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hAnsi="宋体" w:cs="Courier New"/>
          <w:b/>
          <w:bCs/>
          <w:spacing w:val="120"/>
          <w:sz w:val="72"/>
          <w:szCs w:val="72"/>
        </w:rPr>
      </w:pPr>
      <w:r>
        <w:rPr>
          <w:rFonts w:hint="eastAsia" w:ascii="宋体" w:hAnsi="宋体" w:cs="Courier New"/>
          <w:b/>
          <w:bCs/>
          <w:spacing w:val="120"/>
          <w:sz w:val="72"/>
          <w:szCs w:val="72"/>
        </w:rPr>
        <w:t xml:space="preserve"> 泰顺县</w:t>
      </w:r>
      <w:r>
        <w:rPr>
          <w:rFonts w:ascii="宋体" w:hAnsi="宋体" w:cs="Courier New"/>
          <w:b/>
          <w:bCs/>
          <w:spacing w:val="120"/>
          <w:sz w:val="72"/>
          <w:szCs w:val="72"/>
        </w:rPr>
        <w:t>政府采购</w:t>
      </w:r>
    </w:p>
    <w:p>
      <w:pPr>
        <w:spacing w:line="400" w:lineRule="atLeast"/>
        <w:jc w:val="center"/>
        <w:rPr>
          <w:rFonts w:ascii="宋体" w:hAnsi="宋体" w:cs="Courier New"/>
          <w:b/>
          <w:sz w:val="52"/>
        </w:rPr>
      </w:pPr>
    </w:p>
    <w:p>
      <w:pPr>
        <w:spacing w:line="400" w:lineRule="atLeast"/>
        <w:rPr>
          <w:rFonts w:ascii="宋体" w:hAnsi="宋体" w:cs="Courier New"/>
          <w:b/>
          <w:sz w:val="52"/>
        </w:rPr>
      </w:pPr>
    </w:p>
    <w:p>
      <w:pPr>
        <w:autoSpaceDE w:val="0"/>
        <w:autoSpaceDN w:val="0"/>
        <w:spacing w:line="500" w:lineRule="atLeast"/>
        <w:textAlignment w:val="bottom"/>
        <w:rPr>
          <w:rFonts w:ascii="宋体" w:hAnsi="宋体" w:cs="Courier New"/>
          <w:b/>
          <w:bCs/>
          <w:sz w:val="72"/>
          <w:szCs w:val="72"/>
        </w:rPr>
      </w:pPr>
    </w:p>
    <w:p>
      <w:pPr>
        <w:autoSpaceDE w:val="0"/>
        <w:autoSpaceDN w:val="0"/>
        <w:spacing w:line="500" w:lineRule="atLeast"/>
        <w:jc w:val="center"/>
        <w:textAlignment w:val="bottom"/>
        <w:rPr>
          <w:rFonts w:ascii="宋体" w:hAnsi="宋体" w:cs="Courier New"/>
          <w:b/>
          <w:bCs/>
          <w:sz w:val="72"/>
          <w:szCs w:val="72"/>
        </w:rPr>
      </w:pPr>
    </w:p>
    <w:p>
      <w:pPr>
        <w:autoSpaceDE w:val="0"/>
        <w:autoSpaceDN w:val="0"/>
        <w:spacing w:line="500" w:lineRule="atLeast"/>
        <w:ind w:firstLine="419" w:firstLineChars="58"/>
        <w:jc w:val="center"/>
        <w:textAlignment w:val="bottom"/>
        <w:rPr>
          <w:rFonts w:ascii="宋体" w:hAnsi="宋体" w:cs="Courier New"/>
          <w:b/>
          <w:sz w:val="72"/>
          <w:szCs w:val="72"/>
        </w:rPr>
      </w:pPr>
      <w:r>
        <w:rPr>
          <w:rFonts w:hint="eastAsia" w:ascii="宋体" w:hAnsi="宋体" w:cs="Courier New"/>
          <w:b/>
          <w:bCs/>
          <w:sz w:val="72"/>
          <w:szCs w:val="72"/>
        </w:rPr>
        <w:t xml:space="preserve">招标文件 </w:t>
      </w:r>
    </w:p>
    <w:p>
      <w:pPr>
        <w:spacing w:line="400" w:lineRule="atLeast"/>
        <w:jc w:val="center"/>
        <w:rPr>
          <w:rFonts w:ascii="宋体" w:hAnsi="宋体"/>
          <w:sz w:val="32"/>
        </w:rPr>
      </w:pPr>
    </w:p>
    <w:p>
      <w:pPr>
        <w:tabs>
          <w:tab w:val="left" w:pos="4860"/>
        </w:tabs>
        <w:spacing w:line="600" w:lineRule="exact"/>
        <w:ind w:right="1143"/>
        <w:jc w:val="left"/>
        <w:rPr>
          <w:rFonts w:ascii="宋体" w:hAnsi="宋体"/>
          <w:spacing w:val="40"/>
          <w:sz w:val="30"/>
          <w:szCs w:val="30"/>
        </w:rPr>
      </w:pPr>
    </w:p>
    <w:p>
      <w:pPr>
        <w:tabs>
          <w:tab w:val="left" w:pos="4860"/>
        </w:tabs>
        <w:spacing w:line="600" w:lineRule="exact"/>
        <w:ind w:right="1143"/>
        <w:jc w:val="left"/>
        <w:rPr>
          <w:rFonts w:ascii="宋体" w:hAnsi="宋体"/>
          <w:spacing w:val="40"/>
          <w:sz w:val="30"/>
          <w:szCs w:val="30"/>
        </w:rPr>
      </w:pPr>
      <w:r>
        <w:rPr>
          <w:rFonts w:hint="eastAsia" w:ascii="宋体" w:hAnsi="宋体"/>
          <w:spacing w:val="40"/>
          <w:sz w:val="30"/>
          <w:szCs w:val="30"/>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left"/>
              <w:rPr>
                <w:rFonts w:ascii="宋体" w:hAnsi="宋体"/>
                <w:b/>
                <w:bCs/>
                <w:sz w:val="30"/>
                <w:szCs w:val="30"/>
              </w:rPr>
            </w:pPr>
            <w:r>
              <w:rPr>
                <w:rFonts w:ascii="宋体" w:hAnsi="宋体"/>
                <w:b/>
                <w:bCs/>
                <w:spacing w:val="40"/>
                <w:sz w:val="30"/>
                <w:szCs w:val="30"/>
              </w:rPr>
              <w:t>项目编号</w:t>
            </w:r>
          </w:p>
        </w:tc>
        <w:tc>
          <w:tcPr>
            <w:tcW w:w="5396" w:type="dxa"/>
            <w:vAlign w:val="center"/>
          </w:tcPr>
          <w:p>
            <w:pPr>
              <w:widowControl/>
              <w:wordWrap w:val="0"/>
              <w:rPr>
                <w:rFonts w:ascii="宋体" w:hAnsi="宋体" w:eastAsia="宋体"/>
                <w:b/>
                <w:bCs/>
                <w:spacing w:val="-20"/>
                <w:sz w:val="30"/>
                <w:szCs w:val="30"/>
              </w:rPr>
            </w:pPr>
            <w:r>
              <w:rPr>
                <w:rFonts w:hint="eastAsia" w:ascii="宋体" w:hAnsi="宋体" w:eastAsia="宋体"/>
                <w:b/>
                <w:bCs/>
                <w:sz w:val="30"/>
                <w:szCs w:val="30"/>
                <w:lang w:eastAsia="zh-CN"/>
              </w:rPr>
              <w:t xml:space="preserve">TSCG202207017 </w:t>
            </w:r>
            <w:r>
              <w:rPr>
                <w:rFonts w:hint="eastAsia" w:ascii="宋体" w:hAnsi="宋体" w:eastAsia="宋体"/>
                <w:b/>
                <w:bCs/>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z w:val="30"/>
                <w:szCs w:val="30"/>
              </w:rPr>
            </w:pPr>
            <w:r>
              <w:rPr>
                <w:rFonts w:ascii="宋体" w:hAnsi="宋体"/>
                <w:b/>
                <w:bCs/>
                <w:spacing w:val="40"/>
                <w:sz w:val="30"/>
                <w:szCs w:val="30"/>
              </w:rPr>
              <w:t>招标项目</w:t>
            </w:r>
          </w:p>
        </w:tc>
        <w:tc>
          <w:tcPr>
            <w:tcW w:w="5396" w:type="dxa"/>
            <w:vAlign w:val="center"/>
          </w:tcPr>
          <w:p>
            <w:pPr>
              <w:adjustRightInd w:val="0"/>
              <w:snapToGrid w:val="0"/>
              <w:spacing w:line="440" w:lineRule="exact"/>
              <w:jc w:val="left"/>
              <w:rPr>
                <w:rFonts w:hint="eastAsia" w:ascii="宋体" w:hAnsi="宋体" w:eastAsia="宋体"/>
                <w:b/>
                <w:bCs/>
                <w:sz w:val="30"/>
                <w:szCs w:val="30"/>
                <w:lang w:eastAsia="zh-CN"/>
              </w:rPr>
            </w:pPr>
            <w:r>
              <w:rPr>
                <w:rFonts w:hint="eastAsia" w:ascii="宋体" w:hAnsi="宋体" w:eastAsia="宋体"/>
                <w:b/>
                <w:bCs/>
                <w:sz w:val="30"/>
                <w:szCs w:val="30"/>
                <w:lang w:eastAsia="zh-CN"/>
              </w:rPr>
              <w:t>泰顺县方舱医院医疗设备等物资采购项目（二次）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z w:val="30"/>
                <w:szCs w:val="30"/>
              </w:rPr>
            </w:pPr>
            <w:r>
              <w:rPr>
                <w:rFonts w:ascii="宋体" w:hAnsi="宋体"/>
                <w:b/>
                <w:bCs/>
                <w:spacing w:val="40"/>
                <w:sz w:val="30"/>
                <w:szCs w:val="30"/>
              </w:rPr>
              <w:t>招标方式</w:t>
            </w:r>
          </w:p>
        </w:tc>
        <w:tc>
          <w:tcPr>
            <w:tcW w:w="5396" w:type="dxa"/>
            <w:vAlign w:val="center"/>
          </w:tcPr>
          <w:p>
            <w:pPr>
              <w:adjustRightInd w:val="0"/>
              <w:snapToGrid w:val="0"/>
              <w:spacing w:line="440" w:lineRule="exact"/>
              <w:jc w:val="left"/>
              <w:rPr>
                <w:rFonts w:ascii="宋体" w:hAnsi="宋体"/>
                <w:b/>
                <w:bCs/>
                <w:sz w:val="30"/>
                <w:szCs w:val="30"/>
              </w:rPr>
            </w:pPr>
            <w:r>
              <w:rPr>
                <w:rFonts w:hint="eastAsia" w:ascii="宋体" w:hAnsi="宋体"/>
                <w:b/>
                <w:bCs/>
                <w:sz w:val="30"/>
                <w:szCs w:val="3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eastAsia="宋体"/>
                <w:b/>
                <w:bCs/>
                <w:spacing w:val="40"/>
                <w:sz w:val="30"/>
                <w:szCs w:val="30"/>
              </w:rPr>
            </w:pPr>
            <w:r>
              <w:rPr>
                <w:rFonts w:ascii="宋体" w:hAnsi="宋体"/>
                <w:b/>
                <w:bCs/>
                <w:spacing w:val="40"/>
                <w:sz w:val="30"/>
                <w:szCs w:val="30"/>
              </w:rPr>
              <w:t>采购单位</w:t>
            </w:r>
          </w:p>
        </w:tc>
        <w:tc>
          <w:tcPr>
            <w:tcW w:w="5396" w:type="dxa"/>
            <w:vAlign w:val="center"/>
          </w:tcPr>
          <w:p>
            <w:pPr>
              <w:adjustRightInd w:val="0"/>
              <w:snapToGrid w:val="0"/>
              <w:spacing w:line="440" w:lineRule="exact"/>
              <w:jc w:val="left"/>
              <w:rPr>
                <w:rFonts w:ascii="宋体" w:hAnsi="宋体"/>
                <w:b/>
                <w:bCs/>
                <w:sz w:val="30"/>
                <w:szCs w:val="30"/>
              </w:rPr>
            </w:pPr>
            <w:r>
              <w:rPr>
                <w:rFonts w:hint="eastAsia" w:ascii="宋体" w:hAnsi="宋体"/>
                <w:b/>
                <w:bCs/>
                <w:sz w:val="30"/>
                <w:szCs w:val="30"/>
              </w:rPr>
              <w:t>泰顺县妇幼保健院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z w:val="30"/>
                <w:szCs w:val="30"/>
              </w:rPr>
            </w:pPr>
            <w:r>
              <w:rPr>
                <w:rFonts w:hint="eastAsia" w:ascii="宋体" w:hAnsi="宋体"/>
                <w:b/>
                <w:bCs/>
                <w:sz w:val="30"/>
                <w:szCs w:val="30"/>
              </w:rPr>
              <w:t>代建单位</w:t>
            </w:r>
          </w:p>
        </w:tc>
        <w:tc>
          <w:tcPr>
            <w:tcW w:w="5396" w:type="dxa"/>
            <w:vAlign w:val="center"/>
          </w:tcPr>
          <w:p>
            <w:pPr>
              <w:adjustRightInd w:val="0"/>
              <w:snapToGrid w:val="0"/>
              <w:spacing w:line="440" w:lineRule="exact"/>
              <w:jc w:val="left"/>
              <w:rPr>
                <w:rFonts w:ascii="宋体" w:hAnsi="宋体"/>
                <w:b/>
                <w:bCs/>
                <w:sz w:val="30"/>
                <w:szCs w:val="30"/>
              </w:rPr>
            </w:pPr>
            <w:r>
              <w:rPr>
                <w:rFonts w:hint="eastAsia" w:ascii="宋体" w:hAnsi="宋体"/>
                <w:b/>
                <w:bCs/>
                <w:sz w:val="30"/>
                <w:szCs w:val="30"/>
              </w:rPr>
              <w:t>泰顺县城镇工程建设中心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pacing w:val="40"/>
                <w:sz w:val="30"/>
                <w:szCs w:val="30"/>
              </w:rPr>
            </w:pPr>
            <w:r>
              <w:rPr>
                <w:rFonts w:ascii="宋体" w:hAnsi="宋体"/>
                <w:b/>
                <w:bCs/>
                <w:sz w:val="30"/>
                <w:szCs w:val="30"/>
              </w:rPr>
              <w:t>招标代理机构</w:t>
            </w:r>
          </w:p>
        </w:tc>
        <w:tc>
          <w:tcPr>
            <w:tcW w:w="5396" w:type="dxa"/>
            <w:vAlign w:val="center"/>
          </w:tcPr>
          <w:p>
            <w:pPr>
              <w:adjustRightInd w:val="0"/>
              <w:snapToGrid w:val="0"/>
              <w:spacing w:line="440" w:lineRule="exact"/>
              <w:jc w:val="left"/>
              <w:rPr>
                <w:rFonts w:ascii="宋体" w:hAnsi="宋体" w:eastAsia="宋体"/>
                <w:b/>
                <w:bCs/>
                <w:sz w:val="30"/>
                <w:szCs w:val="30"/>
              </w:rPr>
            </w:pPr>
            <w:r>
              <w:rPr>
                <w:rFonts w:hint="eastAsia" w:ascii="宋体" w:hAnsi="宋体"/>
                <w:b/>
                <w:bCs/>
                <w:sz w:val="30"/>
                <w:szCs w:val="30"/>
              </w:rPr>
              <w:t>浙江华域高宇项目有限公司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pacing w:val="40"/>
                <w:sz w:val="30"/>
                <w:szCs w:val="30"/>
              </w:rPr>
            </w:pPr>
            <w:r>
              <w:rPr>
                <w:rFonts w:ascii="宋体" w:hAnsi="宋体"/>
                <w:b/>
                <w:bCs/>
                <w:sz w:val="30"/>
                <w:szCs w:val="30"/>
              </w:rPr>
              <w:t>监督及备案机构</w:t>
            </w:r>
          </w:p>
        </w:tc>
        <w:tc>
          <w:tcPr>
            <w:tcW w:w="5396" w:type="dxa"/>
            <w:vAlign w:val="center"/>
          </w:tcPr>
          <w:p>
            <w:pPr>
              <w:adjustRightInd w:val="0"/>
              <w:snapToGrid w:val="0"/>
              <w:spacing w:line="440" w:lineRule="exact"/>
              <w:jc w:val="left"/>
              <w:rPr>
                <w:rFonts w:ascii="宋体" w:hAnsi="宋体"/>
                <w:b/>
                <w:bCs/>
                <w:sz w:val="30"/>
                <w:szCs w:val="30"/>
              </w:rPr>
            </w:pPr>
            <w:r>
              <w:rPr>
                <w:rFonts w:ascii="宋体" w:hAnsi="宋体"/>
                <w:b/>
                <w:bCs/>
                <w:sz w:val="30"/>
                <w:szCs w:val="30"/>
              </w:rPr>
              <w:t>泰顺县财政局</w:t>
            </w:r>
          </w:p>
        </w:tc>
      </w:tr>
    </w:tbl>
    <w:p>
      <w:pPr>
        <w:jc w:val="center"/>
        <w:rPr>
          <w:rFonts w:ascii="宋体" w:hAnsi="宋体"/>
          <w:bCs/>
          <w:sz w:val="24"/>
        </w:rPr>
      </w:pPr>
    </w:p>
    <w:p>
      <w:pPr>
        <w:jc w:val="center"/>
        <w:rPr>
          <w:rFonts w:ascii="宋体" w:hAnsi="宋体"/>
          <w:bCs/>
          <w:sz w:val="24"/>
        </w:rPr>
      </w:pPr>
    </w:p>
    <w:p>
      <w:pPr>
        <w:spacing w:line="400" w:lineRule="exact"/>
        <w:jc w:val="center"/>
        <w:rPr>
          <w:rFonts w:ascii="楷体" w:hAnsi="楷体" w:eastAsia="楷体" w:cs="楷体"/>
          <w:bCs/>
          <w:sz w:val="44"/>
          <w:szCs w:val="44"/>
        </w:rPr>
      </w:pPr>
      <w:r>
        <w:rPr>
          <w:rFonts w:ascii="宋体" w:hAnsi="宋体"/>
          <w:b/>
          <w:bCs/>
          <w:spacing w:val="40"/>
          <w:sz w:val="30"/>
          <w:szCs w:val="30"/>
        </w:rPr>
        <w:t>二〇二</w:t>
      </w:r>
      <w:r>
        <w:rPr>
          <w:rFonts w:hint="eastAsia" w:ascii="宋体" w:hAnsi="宋体"/>
          <w:b/>
          <w:bCs/>
          <w:spacing w:val="40"/>
          <w:sz w:val="30"/>
          <w:szCs w:val="30"/>
        </w:rPr>
        <w:t>二</w:t>
      </w:r>
      <w:r>
        <w:rPr>
          <w:rFonts w:ascii="宋体" w:hAnsi="宋体"/>
          <w:b/>
          <w:bCs/>
          <w:spacing w:val="40"/>
          <w:sz w:val="30"/>
          <w:szCs w:val="30"/>
        </w:rPr>
        <w:t>年</w:t>
      </w:r>
      <w:r>
        <w:rPr>
          <w:rFonts w:hint="eastAsia" w:ascii="宋体" w:hAnsi="宋体"/>
          <w:b/>
          <w:bCs/>
          <w:spacing w:val="40"/>
          <w:sz w:val="30"/>
          <w:szCs w:val="30"/>
          <w:lang w:eastAsia="zh-CN"/>
        </w:rPr>
        <w:t>七</w:t>
      </w:r>
      <w:r>
        <w:rPr>
          <w:rFonts w:hint="eastAsia" w:ascii="宋体" w:hAnsi="宋体"/>
          <w:b/>
          <w:bCs/>
          <w:spacing w:val="40"/>
          <w:sz w:val="30"/>
          <w:szCs w:val="30"/>
        </w:rPr>
        <w:t>月</w:t>
      </w:r>
    </w:p>
    <w:p>
      <w:pPr>
        <w:spacing w:line="400" w:lineRule="exact"/>
        <w:jc w:val="center"/>
        <w:rPr>
          <w:rFonts w:ascii="楷体" w:hAnsi="楷体" w:eastAsia="楷体" w:cs="楷体"/>
          <w:bCs/>
          <w:sz w:val="44"/>
          <w:szCs w:val="44"/>
        </w:rPr>
      </w:pPr>
    </w:p>
    <w:p>
      <w:pPr>
        <w:spacing w:line="400" w:lineRule="exact"/>
        <w:jc w:val="center"/>
        <w:rPr>
          <w:rFonts w:ascii="楷体" w:hAnsi="楷体" w:eastAsia="楷体" w:cs="楷体"/>
          <w:bCs/>
          <w:sz w:val="44"/>
          <w:szCs w:val="44"/>
        </w:rPr>
      </w:pPr>
    </w:p>
    <w:p>
      <w:pPr>
        <w:spacing w:line="400" w:lineRule="exact"/>
        <w:jc w:val="center"/>
        <w:rPr>
          <w:rFonts w:ascii="楷体" w:hAnsi="楷体" w:eastAsia="楷体" w:cs="楷体"/>
          <w:bCs/>
          <w:sz w:val="44"/>
          <w:szCs w:val="44"/>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pPr>
        <w:spacing w:line="400" w:lineRule="exact"/>
        <w:jc w:val="center"/>
        <w:rPr>
          <w:rFonts w:ascii="楷体" w:hAnsi="楷体" w:eastAsia="楷体" w:cs="楷体"/>
          <w:bCs/>
          <w:sz w:val="44"/>
          <w:szCs w:val="44"/>
        </w:rPr>
      </w:pPr>
    </w:p>
    <w:p>
      <w:pPr>
        <w:spacing w:line="400" w:lineRule="exact"/>
        <w:jc w:val="center"/>
        <w:rPr>
          <w:rFonts w:ascii="楷体" w:hAnsi="楷体" w:eastAsia="楷体" w:cs="楷体"/>
          <w:bCs/>
          <w:sz w:val="44"/>
          <w:szCs w:val="44"/>
        </w:rPr>
      </w:pPr>
      <w:r>
        <w:rPr>
          <w:rFonts w:hint="eastAsia" w:ascii="楷体" w:hAnsi="楷体" w:eastAsia="楷体" w:cs="楷体"/>
          <w:bCs/>
          <w:sz w:val="44"/>
          <w:szCs w:val="44"/>
        </w:rPr>
        <w:t>招标文件目录</w:t>
      </w:r>
    </w:p>
    <w:p>
      <w:pPr>
        <w:pStyle w:val="21"/>
        <w:tabs>
          <w:tab w:val="right" w:leader="dot" w:pos="9628"/>
        </w:tabs>
        <w:spacing w:line="360" w:lineRule="auto"/>
        <w:ind w:left="840" w:firstLine="420"/>
        <w:rPr>
          <w:sz w:val="28"/>
          <w:szCs w:val="28"/>
        </w:rPr>
      </w:pPr>
    </w:p>
    <w:p>
      <w:pPr>
        <w:pStyle w:val="21"/>
        <w:tabs>
          <w:tab w:val="right" w:leader="dot" w:pos="9628"/>
        </w:tabs>
        <w:spacing w:line="360" w:lineRule="auto"/>
        <w:ind w:left="840" w:firstLine="420"/>
        <w:rPr>
          <w:rFonts w:ascii="楷体" w:hAnsi="楷体" w:eastAsia="楷体" w:cs="楷体"/>
          <w:bCs w:val="0"/>
          <w:sz w:val="28"/>
          <w:szCs w:val="28"/>
        </w:rPr>
      </w:pPr>
    </w:p>
    <w:p>
      <w:pPr>
        <w:pStyle w:val="21"/>
        <w:tabs>
          <w:tab w:val="right" w:leader="dot" w:pos="9628"/>
        </w:tabs>
        <w:spacing w:line="480" w:lineRule="auto"/>
        <w:ind w:left="839" w:firstLine="420"/>
        <w:rPr>
          <w:rFonts w:ascii="楷体" w:hAnsi="楷体" w:eastAsia="楷体" w:cs="楷体"/>
          <w:bCs w:val="0"/>
          <w:sz w:val="28"/>
          <w:szCs w:val="28"/>
        </w:rPr>
      </w:pPr>
    </w:p>
    <w:p>
      <w:pPr>
        <w:pStyle w:val="21"/>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第一部分、投标邀请函（投标须知前附表）</w:t>
      </w:r>
    </w:p>
    <w:p>
      <w:pPr>
        <w:pStyle w:val="21"/>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第二部分、招标内容</w:t>
      </w:r>
    </w:p>
    <w:p>
      <w:pPr>
        <w:pStyle w:val="21"/>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第三部分、供应商须知</w:t>
      </w:r>
    </w:p>
    <w:p>
      <w:pPr>
        <w:pStyle w:val="21"/>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第四部分、政府采购政策功能相关说明</w:t>
      </w:r>
    </w:p>
    <w:p>
      <w:pPr>
        <w:pStyle w:val="21"/>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第五部分、合同格式</w:t>
      </w:r>
    </w:p>
    <w:p>
      <w:pPr>
        <w:pStyle w:val="21"/>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第六部分、附件：投标文件格式</w:t>
      </w:r>
    </w:p>
    <w:p>
      <w:pPr>
        <w:pStyle w:val="21"/>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第七部分、评标办法</w:t>
      </w:r>
    </w:p>
    <w:p>
      <w:pPr>
        <w:pStyle w:val="21"/>
        <w:tabs>
          <w:tab w:val="right" w:leader="dot" w:pos="9628"/>
        </w:tabs>
        <w:spacing w:line="360" w:lineRule="auto"/>
        <w:ind w:left="840" w:firstLine="420"/>
        <w:rPr>
          <w:rFonts w:ascii="楷体" w:hAnsi="楷体" w:eastAsia="楷体" w:cs="楷体"/>
          <w:bCs w:val="0"/>
          <w:sz w:val="28"/>
          <w:szCs w:val="28"/>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pStyle w:val="21"/>
        <w:tabs>
          <w:tab w:val="right" w:leader="dot" w:pos="9628"/>
        </w:tabs>
        <w:spacing w:line="480" w:lineRule="auto"/>
        <w:ind w:left="219" w:firstLine="1040"/>
        <w:rPr>
          <w:rFonts w:hAnsi="宋体" w:cs="楷体"/>
          <w:szCs w:val="21"/>
          <w:u w:val="single"/>
        </w:rPr>
      </w:pPr>
      <w:r>
        <w:rPr>
          <w:rFonts w:hint="eastAsia" w:hAnsi="宋体" w:cs="楷体"/>
          <w:szCs w:val="21"/>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pPr>
        <w:rPr>
          <w:rFonts w:ascii="宋体"/>
          <w:b/>
          <w:bCs/>
          <w:sz w:val="36"/>
          <w:szCs w:val="36"/>
          <w:lang w:val="zh-CN"/>
        </w:rPr>
      </w:pPr>
      <w:r>
        <w:rPr>
          <w:rFonts w:hint="eastAsia" w:ascii="宋体"/>
          <w:b/>
          <w:bCs/>
          <w:sz w:val="36"/>
          <w:szCs w:val="36"/>
          <w:lang w:val="zh-CN"/>
        </w:rPr>
        <w:br w:type="page"/>
      </w:r>
    </w:p>
    <w:p>
      <w:pPr>
        <w:tabs>
          <w:tab w:val="left" w:pos="1080"/>
        </w:tabs>
        <w:autoSpaceDE w:val="0"/>
        <w:autoSpaceDN w:val="0"/>
        <w:adjustRightInd w:val="0"/>
        <w:spacing w:line="500" w:lineRule="atLeast"/>
        <w:jc w:val="center"/>
        <w:textAlignment w:val="baseline"/>
        <w:rPr>
          <w:rFonts w:ascii="宋体"/>
          <w:b/>
          <w:bCs/>
          <w:sz w:val="32"/>
          <w:szCs w:val="32"/>
          <w:lang w:val="zh-CN"/>
        </w:rPr>
      </w:pPr>
      <w:r>
        <w:rPr>
          <w:rFonts w:hint="eastAsia" w:ascii="宋体"/>
          <w:b/>
          <w:bCs/>
          <w:sz w:val="36"/>
          <w:szCs w:val="36"/>
          <w:lang w:val="zh-CN"/>
        </w:rPr>
        <w:t>第一部分</w:t>
      </w:r>
      <w:r>
        <w:rPr>
          <w:rFonts w:ascii="宋体"/>
          <w:b/>
          <w:bCs/>
          <w:sz w:val="36"/>
          <w:szCs w:val="36"/>
          <w:lang w:val="zh-CN"/>
        </w:rPr>
        <w:t xml:space="preserve">   </w:t>
      </w:r>
      <w:r>
        <w:rPr>
          <w:rFonts w:hint="eastAsia" w:ascii="宋体"/>
          <w:b/>
          <w:bCs/>
          <w:sz w:val="36"/>
          <w:szCs w:val="36"/>
          <w:lang w:val="zh-CN"/>
        </w:rPr>
        <w:t>投标邀请函（投标须知前附表）</w:t>
      </w:r>
    </w:p>
    <w:tbl>
      <w:tblPr>
        <w:tblStyle w:val="27"/>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pPr>
              <w:spacing w:line="400" w:lineRule="atLeast"/>
              <w:jc w:val="center"/>
              <w:rPr>
                <w:rFonts w:ascii="宋体" w:cs="Arial"/>
                <w:sz w:val="22"/>
              </w:rPr>
            </w:pPr>
            <w:r>
              <w:rPr>
                <w:rFonts w:hint="eastAsia" w:ascii="宋体" w:cs="Arial"/>
                <w:sz w:val="22"/>
              </w:rPr>
              <w:t>项号</w:t>
            </w:r>
          </w:p>
        </w:tc>
        <w:tc>
          <w:tcPr>
            <w:tcW w:w="1600" w:type="dxa"/>
            <w:tcBorders>
              <w:top w:val="single" w:color="auto" w:sz="12" w:space="0"/>
            </w:tcBorders>
            <w:vAlign w:val="center"/>
          </w:tcPr>
          <w:p>
            <w:pPr>
              <w:spacing w:line="400" w:lineRule="atLeast"/>
              <w:jc w:val="center"/>
              <w:rPr>
                <w:rFonts w:ascii="宋体" w:cs="Arial"/>
                <w:sz w:val="22"/>
              </w:rPr>
            </w:pPr>
            <w:r>
              <w:rPr>
                <w:rFonts w:hint="eastAsia" w:ascii="宋体" w:cs="Arial"/>
                <w:sz w:val="22"/>
              </w:rPr>
              <w:t>内容</w:t>
            </w:r>
          </w:p>
        </w:tc>
        <w:tc>
          <w:tcPr>
            <w:tcW w:w="7619" w:type="dxa"/>
            <w:tcBorders>
              <w:top w:val="single" w:color="auto" w:sz="12" w:space="0"/>
            </w:tcBorders>
            <w:vAlign w:val="center"/>
          </w:tcPr>
          <w:p>
            <w:pPr>
              <w:spacing w:line="400" w:lineRule="atLeast"/>
              <w:jc w:val="center"/>
              <w:rPr>
                <w:rFonts w:ascii="宋体" w:cs="Arial"/>
                <w:sz w:val="22"/>
              </w:rPr>
            </w:pPr>
            <w:r>
              <w:rPr>
                <w:rFonts w:hint="eastAsia" w:ascii="宋体" w:cs="Arial"/>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项目名称</w:t>
            </w:r>
          </w:p>
        </w:tc>
        <w:tc>
          <w:tcPr>
            <w:tcW w:w="7619" w:type="dxa"/>
            <w:vAlign w:val="center"/>
          </w:tcPr>
          <w:p>
            <w:pPr>
              <w:rPr>
                <w:rFonts w:hint="eastAsia" w:ascii="宋体" w:eastAsiaTheme="minorEastAsia"/>
                <w:sz w:val="22"/>
                <w:lang w:eastAsia="zh-CN"/>
              </w:rPr>
            </w:pPr>
            <w:r>
              <w:rPr>
                <w:rFonts w:hint="eastAsia" w:ascii="宋体" w:hAnsi="宋体"/>
                <w:bCs/>
                <w:sz w:val="22"/>
                <w:szCs w:val="22"/>
                <w:lang w:eastAsia="zh-CN"/>
              </w:rPr>
              <w:t>泰顺县方舱医院医疗设备等物资采购项目（二次）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32"/>
              </w:tabs>
              <w:ind w:left="420" w:hanging="420"/>
              <w:jc w:val="right"/>
              <w:rPr>
                <w:rFonts w:ascii="宋体"/>
                <w:sz w:val="22"/>
              </w:rPr>
            </w:pPr>
            <w:r>
              <w:rPr>
                <w:rFonts w:ascii="宋体"/>
                <w:sz w:val="22"/>
              </w:rPr>
              <w:t xml:space="preserve"> </w:t>
            </w:r>
          </w:p>
        </w:tc>
        <w:tc>
          <w:tcPr>
            <w:tcW w:w="1600" w:type="dxa"/>
            <w:vAlign w:val="center"/>
          </w:tcPr>
          <w:p>
            <w:pPr>
              <w:jc w:val="center"/>
              <w:rPr>
                <w:rFonts w:ascii="宋体"/>
                <w:sz w:val="22"/>
              </w:rPr>
            </w:pPr>
            <w:r>
              <w:rPr>
                <w:rFonts w:hint="eastAsia" w:ascii="宋体"/>
                <w:sz w:val="22"/>
              </w:rPr>
              <w:t>项目编号</w:t>
            </w:r>
          </w:p>
        </w:tc>
        <w:tc>
          <w:tcPr>
            <w:tcW w:w="7619" w:type="dxa"/>
            <w:vAlign w:val="center"/>
          </w:tcPr>
          <w:p>
            <w:pPr>
              <w:rPr>
                <w:rFonts w:ascii="宋体"/>
                <w:sz w:val="22"/>
              </w:rPr>
            </w:pPr>
            <w:r>
              <w:rPr>
                <w:rFonts w:hint="eastAsia" w:ascii="宋体" w:hAnsi="宋体"/>
                <w:bCs/>
                <w:sz w:val="22"/>
                <w:szCs w:val="22"/>
                <w:lang w:eastAsia="zh-CN"/>
              </w:rPr>
              <w:t xml:space="preserve">TSCG202207017 </w:t>
            </w:r>
            <w:r>
              <w:rPr>
                <w:rFonts w:hint="eastAsia" w:ascii="宋体" w:hAnsi="宋体"/>
                <w:bCs/>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sz w:val="22"/>
              </w:rPr>
              <w:t>资金来源</w:t>
            </w:r>
          </w:p>
        </w:tc>
        <w:tc>
          <w:tcPr>
            <w:tcW w:w="7619" w:type="dxa"/>
            <w:vAlign w:val="center"/>
          </w:tcPr>
          <w:p>
            <w:pPr>
              <w:rPr>
                <w:rFonts w:ascii="宋体" w:cs="Arial"/>
                <w:sz w:val="22"/>
              </w:rPr>
            </w:pPr>
            <w:r>
              <w:rPr>
                <w:rFonts w:hint="eastAsia" w:ascii="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sz w:val="22"/>
              </w:rPr>
            </w:pPr>
            <w:r>
              <w:rPr>
                <w:rFonts w:hint="eastAsia" w:ascii="宋体"/>
                <w:sz w:val="22"/>
              </w:rPr>
              <w:t>采购方式</w:t>
            </w:r>
          </w:p>
        </w:tc>
        <w:tc>
          <w:tcPr>
            <w:tcW w:w="7619" w:type="dxa"/>
            <w:vAlign w:val="center"/>
          </w:tcPr>
          <w:p>
            <w:pPr>
              <w:rPr>
                <w:rFonts w:ascii="宋体"/>
                <w:sz w:val="22"/>
              </w:rPr>
            </w:pPr>
            <w:r>
              <w:rPr>
                <w:rFonts w:hint="eastAsia" w:ascii="宋体"/>
                <w:sz w:val="22"/>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000000" w:themeColor="text1"/>
                <w:sz w:val="22"/>
                <w14:textFill>
                  <w14:solidFill>
                    <w14:schemeClr w14:val="tx1"/>
                  </w14:solidFill>
                </w14:textFill>
              </w:rPr>
            </w:pPr>
          </w:p>
        </w:tc>
        <w:tc>
          <w:tcPr>
            <w:tcW w:w="1600" w:type="dxa"/>
            <w:vAlign w:val="center"/>
          </w:tcPr>
          <w:p>
            <w:pPr>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采购预算</w:t>
            </w:r>
          </w:p>
          <w:p>
            <w:pPr>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（最高限价）</w:t>
            </w:r>
          </w:p>
        </w:tc>
        <w:tc>
          <w:tcPr>
            <w:tcW w:w="7619" w:type="dxa"/>
            <w:vAlign w:val="center"/>
          </w:tcPr>
          <w:p>
            <w:pPr>
              <w:rPr>
                <w:rFonts w:ascii="宋体"/>
                <w:color w:val="000000" w:themeColor="text1"/>
                <w:sz w:val="22"/>
                <w14:textFill>
                  <w14:solidFill>
                    <w14:schemeClr w14:val="tx1"/>
                  </w14:solidFill>
                </w14:textFill>
              </w:rPr>
            </w:pPr>
            <w:r>
              <w:rPr>
                <w:rFonts w:hint="eastAsia" w:ascii="宋体" w:hAnsi="宋体"/>
                <w:bCs/>
                <w:color w:val="000000" w:themeColor="text1"/>
                <w:kern w:val="0"/>
                <w:sz w:val="22"/>
                <w14:textFill>
                  <w14:solidFill>
                    <w14:schemeClr w14:val="tx1"/>
                  </w14:solidFill>
                </w14:textFill>
              </w:rPr>
              <w:t xml:space="preserve"> 200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采购单位</w:t>
            </w:r>
          </w:p>
        </w:tc>
        <w:tc>
          <w:tcPr>
            <w:tcW w:w="7619" w:type="dxa"/>
            <w:vAlign w:val="center"/>
          </w:tcPr>
          <w:p>
            <w:pPr>
              <w:pStyle w:val="44"/>
              <w:rPr>
                <w:rFonts w:ascii="宋体" w:hAnsi="宋体" w:eastAsiaTheme="minorEastAsia" w:cstheme="minorBidi"/>
                <w:bCs/>
                <w:sz w:val="22"/>
              </w:rPr>
            </w:pPr>
            <w:r>
              <w:rPr>
                <w:rFonts w:hint="eastAsia" w:ascii="宋体" w:hAnsi="宋体" w:eastAsiaTheme="minorEastAsia" w:cstheme="minorBidi"/>
                <w:bCs/>
                <w:sz w:val="22"/>
              </w:rPr>
              <w:t>名    称：泰顺县妇幼保健院</w:t>
            </w:r>
          </w:p>
          <w:p>
            <w:pPr>
              <w:pStyle w:val="44"/>
              <w:rPr>
                <w:rFonts w:ascii="宋体" w:hAnsi="宋体" w:eastAsiaTheme="minorEastAsia" w:cstheme="minorBidi"/>
                <w:bCs/>
                <w:sz w:val="22"/>
              </w:rPr>
            </w:pPr>
            <w:r>
              <w:rPr>
                <w:rFonts w:hint="eastAsia" w:ascii="宋体" w:hAnsi="宋体" w:eastAsiaTheme="minorEastAsia" w:cstheme="minorBidi"/>
                <w:bCs/>
                <w:sz w:val="22"/>
              </w:rPr>
              <w:t>项目联系人（询问）：吴爱莲</w:t>
            </w:r>
          </w:p>
          <w:p>
            <w:pPr>
              <w:pStyle w:val="44"/>
              <w:rPr>
                <w:rFonts w:ascii="宋体" w:hAnsi="宋体" w:eastAsiaTheme="minorEastAsia" w:cstheme="minorBidi"/>
                <w:bCs/>
                <w:sz w:val="22"/>
              </w:rPr>
            </w:pPr>
            <w:r>
              <w:rPr>
                <w:rFonts w:hint="eastAsia" w:ascii="宋体" w:hAnsi="宋体" w:eastAsiaTheme="minorEastAsia" w:cstheme="minorBidi"/>
                <w:bCs/>
                <w:sz w:val="22"/>
              </w:rPr>
              <w:t>项目联系方式（询问）：15757797959</w:t>
            </w:r>
          </w:p>
          <w:p>
            <w:pPr>
              <w:pStyle w:val="44"/>
              <w:rPr>
                <w:rFonts w:ascii="宋体" w:hAnsi="宋体" w:eastAsiaTheme="minorEastAsia" w:cstheme="minorBidi"/>
                <w:bCs/>
                <w:sz w:val="22"/>
              </w:rPr>
            </w:pPr>
            <w:r>
              <w:rPr>
                <w:rFonts w:hint="eastAsia" w:ascii="宋体" w:hAnsi="宋体" w:eastAsiaTheme="minorEastAsia" w:cstheme="minorBidi"/>
                <w:bCs/>
                <w:sz w:val="22"/>
              </w:rPr>
              <w:t>质疑联系人：曾斐斐</w:t>
            </w:r>
          </w:p>
          <w:p>
            <w:pPr>
              <w:pStyle w:val="44"/>
              <w:rPr>
                <w:rFonts w:ascii="宋体" w:hAnsi="宋体" w:eastAsiaTheme="minorEastAsia" w:cstheme="minorBidi"/>
                <w:bCs/>
                <w:sz w:val="22"/>
              </w:rPr>
            </w:pPr>
            <w:r>
              <w:rPr>
                <w:rFonts w:hint="eastAsia" w:ascii="宋体" w:hAnsi="宋体" w:eastAsiaTheme="minorEastAsia" w:cstheme="minorBidi"/>
                <w:bCs/>
                <w:sz w:val="22"/>
              </w:rPr>
              <w:t>质疑联系方式：</w:t>
            </w:r>
            <w:r>
              <w:rPr>
                <w:rFonts w:hint="eastAsia" w:ascii="宋体" w:hAnsi="宋体" w:eastAsiaTheme="minorEastAsia" w:cstheme="minorBidi"/>
                <w:bCs/>
                <w:kern w:val="2"/>
                <w:sz w:val="22"/>
                <w:szCs w:val="22"/>
                <w:highlight w:val="none"/>
                <w:lang w:val="en-US" w:eastAsia="zh-CN" w:bidi="ar-SA"/>
              </w:rPr>
              <w:t>0577-67595308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sz w:val="22"/>
              </w:rPr>
            </w:pPr>
            <w:r>
              <w:rPr>
                <w:rFonts w:ascii="宋体"/>
                <w:sz w:val="22"/>
              </w:rPr>
              <w:t xml:space="preserve"> </w:t>
            </w:r>
          </w:p>
        </w:tc>
        <w:tc>
          <w:tcPr>
            <w:tcW w:w="1600" w:type="dxa"/>
            <w:vAlign w:val="center"/>
          </w:tcPr>
          <w:p>
            <w:pPr>
              <w:jc w:val="center"/>
              <w:rPr>
                <w:rFonts w:ascii="宋体"/>
                <w:sz w:val="22"/>
              </w:rPr>
            </w:pPr>
            <w:r>
              <w:rPr>
                <w:rFonts w:hint="eastAsia" w:ascii="宋体"/>
                <w:sz w:val="22"/>
              </w:rPr>
              <w:t>招标代理机构</w:t>
            </w:r>
          </w:p>
        </w:tc>
        <w:tc>
          <w:tcPr>
            <w:tcW w:w="7619" w:type="dxa"/>
            <w:vAlign w:val="center"/>
          </w:tcPr>
          <w:p>
            <w:pPr>
              <w:rPr>
                <w:rFonts w:ascii="宋体" w:hAnsi="宋体"/>
                <w:bCs/>
                <w:sz w:val="22"/>
                <w:szCs w:val="22"/>
              </w:rPr>
            </w:pPr>
            <w:r>
              <w:rPr>
                <w:rFonts w:hint="eastAsia" w:ascii="宋体" w:hAnsi="宋体"/>
                <w:bCs/>
                <w:sz w:val="22"/>
                <w:szCs w:val="22"/>
              </w:rPr>
              <w:t>名    称：浙江华域高宇项目有限公司　　　　　　　　　　　　</w:t>
            </w:r>
          </w:p>
          <w:p>
            <w:pPr>
              <w:rPr>
                <w:rFonts w:ascii="宋体" w:hAnsi="宋体"/>
                <w:bCs/>
                <w:sz w:val="22"/>
                <w:szCs w:val="22"/>
              </w:rPr>
            </w:pPr>
            <w:r>
              <w:rPr>
                <w:rFonts w:hint="eastAsia" w:ascii="宋体" w:hAnsi="宋体"/>
                <w:bCs/>
                <w:sz w:val="22"/>
                <w:szCs w:val="22"/>
              </w:rPr>
              <w:t>项目联系人（询问）：钟高杰</w:t>
            </w:r>
          </w:p>
          <w:p>
            <w:pPr>
              <w:rPr>
                <w:rFonts w:ascii="宋体" w:hAnsi="宋体"/>
                <w:bCs/>
                <w:sz w:val="22"/>
                <w:szCs w:val="22"/>
              </w:rPr>
            </w:pPr>
            <w:r>
              <w:rPr>
                <w:rFonts w:hint="eastAsia" w:ascii="宋体" w:hAnsi="宋体"/>
                <w:bCs/>
                <w:sz w:val="22"/>
                <w:szCs w:val="22"/>
              </w:rPr>
              <w:t>项目联系方式（询问）：18170483372</w:t>
            </w:r>
          </w:p>
          <w:p>
            <w:pPr>
              <w:rPr>
                <w:rFonts w:ascii="宋体" w:hAnsi="宋体"/>
                <w:bCs/>
                <w:sz w:val="22"/>
                <w:szCs w:val="22"/>
              </w:rPr>
            </w:pPr>
            <w:r>
              <w:rPr>
                <w:rFonts w:hint="eastAsia" w:ascii="宋体" w:hAnsi="宋体"/>
                <w:bCs/>
                <w:sz w:val="22"/>
                <w:szCs w:val="22"/>
              </w:rPr>
              <w:t>疑联系人：潘菲菲</w:t>
            </w:r>
          </w:p>
          <w:p>
            <w:pPr>
              <w:rPr>
                <w:rFonts w:ascii="宋体" w:hAnsi="宋体"/>
                <w:bCs/>
                <w:sz w:val="22"/>
                <w:szCs w:val="22"/>
              </w:rPr>
            </w:pPr>
            <w:r>
              <w:rPr>
                <w:rFonts w:hint="eastAsia" w:ascii="宋体" w:hAnsi="宋体"/>
                <w:bCs/>
                <w:sz w:val="22"/>
                <w:szCs w:val="22"/>
              </w:rPr>
              <w:t>质疑联系方式：0577-67623366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sz w:val="22"/>
              </w:rPr>
            </w:pPr>
          </w:p>
        </w:tc>
        <w:tc>
          <w:tcPr>
            <w:tcW w:w="1600" w:type="dxa"/>
            <w:vAlign w:val="center"/>
          </w:tcPr>
          <w:p>
            <w:pPr>
              <w:jc w:val="center"/>
              <w:rPr>
                <w:rFonts w:ascii="宋体"/>
                <w:sz w:val="22"/>
              </w:rPr>
            </w:pPr>
            <w:r>
              <w:rPr>
                <w:rFonts w:hint="eastAsia" w:ascii="宋体"/>
                <w:sz w:val="22"/>
              </w:rPr>
              <w:t>同级政府采购监督管理部门</w:t>
            </w:r>
          </w:p>
        </w:tc>
        <w:tc>
          <w:tcPr>
            <w:tcW w:w="7619" w:type="dxa"/>
            <w:vAlign w:val="center"/>
          </w:tcPr>
          <w:p>
            <w:pPr>
              <w:rPr>
                <w:rFonts w:ascii="宋体" w:hAnsi="宋体"/>
                <w:bCs/>
                <w:sz w:val="22"/>
                <w:szCs w:val="22"/>
              </w:rPr>
            </w:pPr>
            <w:r>
              <w:rPr>
                <w:rFonts w:hint="eastAsia" w:ascii="宋体" w:hAnsi="宋体"/>
                <w:bCs/>
                <w:sz w:val="22"/>
                <w:szCs w:val="22"/>
              </w:rPr>
              <w:t>名    称：泰顺县财政局</w:t>
            </w:r>
          </w:p>
          <w:p>
            <w:pPr>
              <w:rPr>
                <w:rFonts w:ascii="宋体" w:hAnsi="宋体"/>
                <w:bCs/>
                <w:sz w:val="22"/>
                <w:szCs w:val="22"/>
              </w:rPr>
            </w:pPr>
            <w:r>
              <w:rPr>
                <w:rFonts w:hint="eastAsia" w:ascii="宋体" w:hAnsi="宋体"/>
                <w:bCs/>
                <w:sz w:val="22"/>
                <w:szCs w:val="22"/>
              </w:rPr>
              <w:t>联 系 人：董青</w:t>
            </w:r>
          </w:p>
          <w:p>
            <w:pPr>
              <w:rPr>
                <w:rFonts w:ascii="宋体" w:hAnsi="宋体"/>
                <w:bCs/>
                <w:sz w:val="22"/>
                <w:szCs w:val="22"/>
              </w:rPr>
            </w:pPr>
            <w:r>
              <w:rPr>
                <w:rFonts w:hint="eastAsia" w:ascii="宋体" w:hAnsi="宋体"/>
                <w:bCs/>
                <w:sz w:val="22"/>
                <w:szCs w:val="22"/>
              </w:rPr>
              <w:t>联系电话：0577-67588502</w:t>
            </w:r>
          </w:p>
          <w:p>
            <w:pPr>
              <w:rPr>
                <w:rFonts w:ascii="宋体" w:hAnsi="宋体"/>
                <w:bCs/>
                <w:sz w:val="22"/>
                <w:szCs w:val="22"/>
              </w:rPr>
            </w:pPr>
            <w:r>
              <w:rPr>
                <w:rFonts w:hint="eastAsia" w:ascii="宋体" w:hAnsi="宋体"/>
                <w:bCs/>
                <w:sz w:val="22"/>
                <w:szCs w:val="22"/>
              </w:rPr>
              <w:t>联系地址：温州市泰顺县罗阳镇公园路48号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评标办法</w:t>
            </w:r>
          </w:p>
        </w:tc>
        <w:tc>
          <w:tcPr>
            <w:tcW w:w="7619" w:type="dxa"/>
            <w:vAlign w:val="center"/>
          </w:tcPr>
          <w:p>
            <w:pPr>
              <w:adjustRightInd w:val="0"/>
              <w:rPr>
                <w:rFonts w:ascii="宋体"/>
                <w:sz w:val="22"/>
              </w:rPr>
            </w:pPr>
            <w:r>
              <w:rPr>
                <w:rFonts w:hint="eastAsia" w:asci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招标内容</w:t>
            </w:r>
          </w:p>
        </w:tc>
        <w:tc>
          <w:tcPr>
            <w:tcW w:w="7619" w:type="dxa"/>
            <w:vAlign w:val="center"/>
          </w:tcPr>
          <w:p>
            <w:pPr>
              <w:adjustRightInd w:val="0"/>
              <w:rPr>
                <w:rFonts w:ascii="宋体"/>
                <w:sz w:val="22"/>
              </w:rPr>
            </w:pPr>
            <w:r>
              <w:rPr>
                <w:rFonts w:hint="eastAsia" w:ascii="宋体"/>
                <w:sz w:val="22"/>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sz w:val="22"/>
              </w:rPr>
            </w:pPr>
            <w:r>
              <w:rPr>
                <w:rFonts w:hint="eastAsia" w:ascii="宋体"/>
                <w:sz w:val="22"/>
              </w:rPr>
              <w:t>投标供应商</w:t>
            </w:r>
          </w:p>
          <w:p>
            <w:pPr>
              <w:jc w:val="center"/>
              <w:rPr>
                <w:rFonts w:ascii="宋体"/>
                <w:sz w:val="22"/>
              </w:rPr>
            </w:pPr>
            <w:r>
              <w:rPr>
                <w:rFonts w:hint="eastAsia" w:ascii="宋体"/>
                <w:sz w:val="22"/>
              </w:rPr>
              <w:t>资格要求</w:t>
            </w:r>
          </w:p>
        </w:tc>
        <w:tc>
          <w:tcPr>
            <w:tcW w:w="7619" w:type="dxa"/>
            <w:vAlign w:val="center"/>
          </w:tcPr>
          <w:p>
            <w:pPr>
              <w:widowControl/>
              <w:rPr>
                <w:rFonts w:ascii="宋体" w:cs="宋体"/>
                <w:kern w:val="28"/>
                <w:sz w:val="22"/>
              </w:rPr>
            </w:pPr>
            <w:r>
              <w:rPr>
                <w:rFonts w:hint="eastAsia" w:ascii="宋体" w:cs="宋体"/>
                <w:kern w:val="28"/>
                <w:sz w:val="22"/>
              </w:rPr>
              <w:t>1.满足《中华人民共和国政府采购法》第二十二条规定；</w:t>
            </w:r>
          </w:p>
          <w:p>
            <w:pPr>
              <w:widowControl/>
              <w:rPr>
                <w:rFonts w:ascii="宋体" w:cs="宋体"/>
                <w:kern w:val="28"/>
                <w:sz w:val="22"/>
              </w:rPr>
            </w:pPr>
            <w:r>
              <w:rPr>
                <w:rFonts w:hint="eastAsia" w:ascii="宋体" w:cs="宋体"/>
                <w:kern w:val="28"/>
                <w:sz w:val="22"/>
              </w:rPr>
              <w:t>1.1具有独立承担民事责任的能力；</w:t>
            </w:r>
          </w:p>
          <w:p>
            <w:pPr>
              <w:widowControl/>
              <w:rPr>
                <w:rFonts w:ascii="宋体" w:cs="宋体"/>
                <w:kern w:val="28"/>
                <w:sz w:val="22"/>
              </w:rPr>
            </w:pPr>
            <w:r>
              <w:rPr>
                <w:rFonts w:hint="eastAsia" w:ascii="宋体" w:cs="宋体"/>
                <w:kern w:val="28"/>
                <w:sz w:val="22"/>
              </w:rPr>
              <w:t>1.2具有良好的商业信誉和健全的财务会计制度；</w:t>
            </w:r>
          </w:p>
          <w:p>
            <w:pPr>
              <w:widowControl/>
              <w:rPr>
                <w:rFonts w:ascii="宋体" w:cs="宋体"/>
                <w:kern w:val="28"/>
                <w:sz w:val="22"/>
              </w:rPr>
            </w:pPr>
            <w:r>
              <w:rPr>
                <w:rFonts w:hint="eastAsia" w:ascii="宋体" w:cs="宋体"/>
                <w:kern w:val="28"/>
                <w:sz w:val="22"/>
              </w:rPr>
              <w:t>1.3具有履行合同所必需的设备和专业技术能力；</w:t>
            </w:r>
          </w:p>
          <w:p>
            <w:pPr>
              <w:widowControl/>
              <w:rPr>
                <w:rFonts w:ascii="宋体" w:cs="宋体"/>
                <w:kern w:val="28"/>
                <w:sz w:val="22"/>
              </w:rPr>
            </w:pPr>
            <w:r>
              <w:rPr>
                <w:rFonts w:hint="eastAsia" w:ascii="宋体" w:cs="宋体"/>
                <w:kern w:val="28"/>
                <w:sz w:val="22"/>
              </w:rPr>
              <w:t>1.4有依法缴纳税收和社会保障资金的良好记录；</w:t>
            </w:r>
          </w:p>
          <w:p>
            <w:pPr>
              <w:widowControl/>
              <w:rPr>
                <w:rFonts w:ascii="宋体" w:cs="宋体"/>
                <w:kern w:val="28"/>
                <w:sz w:val="22"/>
              </w:rPr>
            </w:pPr>
            <w:r>
              <w:rPr>
                <w:rFonts w:hint="eastAsia" w:ascii="宋体" w:cs="宋体"/>
                <w:kern w:val="28"/>
                <w:sz w:val="22"/>
              </w:rPr>
              <w:t>1.5参加政府采购活动前三年内，在经营活动中没有重大违法记录；</w:t>
            </w:r>
          </w:p>
          <w:p>
            <w:pPr>
              <w:widowControl/>
              <w:numPr>
                <w:ilvl w:val="0"/>
                <w:numId w:val="7"/>
              </w:numPr>
            </w:pPr>
            <w:r>
              <w:rPr>
                <w:rFonts w:hint="eastAsia" w:ascii="宋体" w:cs="宋体"/>
                <w:kern w:val="28"/>
                <w:sz w:val="22"/>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numPr>
                <w:ilvl w:val="0"/>
                <w:numId w:val="7"/>
              </w:numPr>
            </w:pPr>
            <w:r>
              <w:rPr>
                <w:rFonts w:hint="eastAsia" w:ascii="宋体" w:hAnsi="宋体" w:eastAsia="宋体" w:cs="宋体"/>
                <w:color w:val="000000"/>
                <w:kern w:val="0"/>
                <w:sz w:val="22"/>
                <w:szCs w:val="22"/>
                <w:shd w:val="clear" w:color="auto" w:fill="FFFFFF"/>
                <w:lang w:bidi="ar"/>
              </w:rPr>
              <w:t>本项目的特定资格要求：无。</w:t>
            </w:r>
          </w:p>
          <w:p>
            <w:pPr>
              <w:widowControl/>
              <w:rPr>
                <w:rFonts w:ascii="宋体" w:cs="宋体"/>
                <w:kern w:val="28"/>
                <w:sz w:val="22"/>
              </w:rPr>
            </w:pPr>
            <w:r>
              <w:rPr>
                <w:rFonts w:hint="eastAsia" w:ascii="宋体" w:cs="宋体"/>
                <w:kern w:val="28"/>
                <w:sz w:val="22"/>
              </w:rPr>
              <w:t>4、本项目谢绝联合体投标，不允许转包和分包；</w:t>
            </w:r>
          </w:p>
          <w:p>
            <w:pPr>
              <w:widowControl/>
              <w:rPr>
                <w:rFonts w:ascii="宋体" w:cs="宋体"/>
                <w:kern w:val="28"/>
                <w:sz w:val="22"/>
              </w:rPr>
            </w:pPr>
            <w:r>
              <w:rPr>
                <w:rFonts w:hint="eastAsia" w:ascii="宋体" w:cs="宋体"/>
                <w:kern w:val="28"/>
                <w:sz w:val="22"/>
              </w:rPr>
              <w:t>5、法律、行政法规规定的其他条件。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sz w:val="22"/>
              </w:rPr>
            </w:pPr>
            <w:r>
              <w:rPr>
                <w:rFonts w:hint="eastAsia" w:ascii="宋体"/>
                <w:sz w:val="22"/>
              </w:rPr>
              <w:t>落实政府采购政策需满足的资格要求</w:t>
            </w:r>
          </w:p>
        </w:tc>
        <w:tc>
          <w:tcPr>
            <w:tcW w:w="7619" w:type="dxa"/>
            <w:vAlign w:val="center"/>
          </w:tcPr>
          <w:p>
            <w:pPr>
              <w:widowControl/>
              <w:rPr>
                <w:rFonts w:ascii="宋体" w:cs="宋体"/>
                <w:kern w:val="28"/>
                <w:sz w:val="22"/>
              </w:rPr>
            </w:pPr>
            <w:r>
              <w:rPr>
                <w:rFonts w:hint="eastAsia" w:ascii="宋体"/>
                <w:sz w:val="22"/>
              </w:rPr>
              <w:t>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是否接受联合体投标</w:t>
            </w:r>
          </w:p>
        </w:tc>
        <w:tc>
          <w:tcPr>
            <w:tcW w:w="7619" w:type="dxa"/>
            <w:vAlign w:val="center"/>
          </w:tcPr>
          <w:p>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不接受</w:t>
            </w:r>
          </w:p>
          <w:p>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接受</w:t>
            </w:r>
            <w:r>
              <w:rPr>
                <w:rFonts w:ascii="宋体"/>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踏勘现场</w:t>
            </w:r>
          </w:p>
        </w:tc>
        <w:tc>
          <w:tcPr>
            <w:tcW w:w="7619" w:type="dxa"/>
            <w:vAlign w:val="center"/>
          </w:tcPr>
          <w:p>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不组织</w:t>
            </w:r>
          </w:p>
          <w:p>
            <w:pPr>
              <w:adjustRightInd w:val="0"/>
              <w:rPr>
                <w:rFonts w:ascii="宋体"/>
                <w:sz w:val="22"/>
              </w:rPr>
            </w:pPr>
            <w:r>
              <w:rPr>
                <w:rFonts w:hint="eastAsia" w:ascii="宋体"/>
                <w:sz w:val="22"/>
              </w:rPr>
              <w:t>□组织</w:t>
            </w:r>
            <w:r>
              <w:rPr>
                <w:rFonts w:ascii="宋体"/>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是否允许递交备选投标方案</w:t>
            </w:r>
          </w:p>
        </w:tc>
        <w:tc>
          <w:tcPr>
            <w:tcW w:w="7619" w:type="dxa"/>
            <w:vAlign w:val="center"/>
          </w:tcPr>
          <w:p>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ascii="宋体"/>
                <w:sz w:val="22"/>
              </w:rPr>
              <w:t xml:space="preserve"> </w:t>
            </w:r>
            <w:r>
              <w:rPr>
                <w:rFonts w:hint="eastAsia" w:ascii="宋体"/>
                <w:sz w:val="22"/>
              </w:rPr>
              <w:t>不允许</w:t>
            </w:r>
          </w:p>
          <w:p>
            <w:pPr>
              <w:adjustRightInd w:val="0"/>
              <w:rPr>
                <w:rFonts w:ascii="宋体" w:cs="??_GB2312"/>
                <w:sz w:val="22"/>
              </w:rPr>
            </w:pPr>
            <w:r>
              <w:rPr>
                <w:rFonts w:hint="eastAsia" w:ascii="宋体"/>
                <w:sz w:val="22"/>
              </w:rPr>
              <w:t>□</w:t>
            </w:r>
            <w:r>
              <w:rPr>
                <w:rFonts w:ascii="宋体"/>
                <w:sz w:val="22"/>
              </w:rPr>
              <w:t xml:space="preserve"> </w:t>
            </w:r>
            <w:r>
              <w:rPr>
                <w:rFonts w:hint="eastAsia" w:ascii="宋体"/>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投标货币</w:t>
            </w:r>
          </w:p>
        </w:tc>
        <w:tc>
          <w:tcPr>
            <w:tcW w:w="7619" w:type="dxa"/>
            <w:vAlign w:val="center"/>
          </w:tcPr>
          <w:p>
            <w:pPr>
              <w:adjustRightInd w:val="0"/>
              <w:rPr>
                <w:rFonts w:ascii="宋体"/>
                <w:sz w:val="22"/>
              </w:rPr>
            </w:pPr>
            <w:r>
              <w:rPr>
                <w:rFonts w:hint="eastAsia" w:asci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投标语言</w:t>
            </w:r>
          </w:p>
        </w:tc>
        <w:tc>
          <w:tcPr>
            <w:tcW w:w="7619" w:type="dxa"/>
            <w:vAlign w:val="center"/>
          </w:tcPr>
          <w:p>
            <w:pPr>
              <w:adjustRightInd w:val="0"/>
              <w:rPr>
                <w:rFonts w:ascii="宋体"/>
                <w:sz w:val="22"/>
              </w:rPr>
            </w:pPr>
            <w:r>
              <w:rPr>
                <w:rFonts w:hint="eastAsia" w:asci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b/>
                <w:bCs/>
                <w:color w:val="000000" w:themeColor="text1"/>
                <w:sz w:val="22"/>
                <w:szCs w:val="22"/>
                <w:lang w:val="zh-CN"/>
                <w14:textFill>
                  <w14:solidFill>
                    <w14:schemeClr w14:val="tx1"/>
                  </w14:solidFill>
                </w14:textFill>
              </w:rPr>
              <w:t>投标文件</w:t>
            </w:r>
            <w:r>
              <w:rPr>
                <w:rFonts w:hint="eastAsia"/>
                <w:b/>
                <w:bCs/>
                <w:color w:val="000000" w:themeColor="text1"/>
                <w:sz w:val="22"/>
                <w:szCs w:val="22"/>
                <w14:textFill>
                  <w14:solidFill>
                    <w14:schemeClr w14:val="tx1"/>
                  </w14:solidFill>
                </w14:textFill>
              </w:rPr>
              <w:t>说明</w:t>
            </w:r>
          </w:p>
        </w:tc>
        <w:tc>
          <w:tcPr>
            <w:tcW w:w="7619" w:type="dxa"/>
            <w:vAlign w:val="center"/>
          </w:tcPr>
          <w:p>
            <w:pPr>
              <w:autoSpaceDE w:val="0"/>
              <w:autoSpaceDN w:val="0"/>
              <w:adjustRightInd w:val="0"/>
              <w:jc w:val="left"/>
              <w:rPr>
                <w:rFonts w:ascii="宋体" w:hAnsi="宋体" w:eastAsia="宋体" w:cs="宋体"/>
                <w:color w:val="000000"/>
                <w:sz w:val="22"/>
                <w:lang w:val="zh-CN"/>
              </w:rPr>
            </w:pPr>
            <w:r>
              <w:rPr>
                <w:rFonts w:ascii="宋体" w:hAnsi="宋体" w:eastAsia="宋体" w:cs="宋体"/>
                <w:color w:val="000000"/>
                <w:sz w:val="22"/>
                <w:lang w:val="zh-CN"/>
              </w:rPr>
              <w:t>1、</w:t>
            </w:r>
            <w:r>
              <w:rPr>
                <w:rFonts w:ascii="宋体" w:hAnsi="宋体" w:eastAsia="宋体" w:cs="宋体"/>
                <w:b/>
                <w:bCs/>
                <w:color w:val="000000"/>
                <w:sz w:val="22"/>
                <w:lang w:val="zh-CN"/>
              </w:rPr>
              <w:t>投标文件组成：</w:t>
            </w:r>
            <w:r>
              <w:rPr>
                <w:rFonts w:ascii="宋体" w:hAnsi="宋体" w:eastAsia="宋体" w:cs="宋体"/>
                <w:color w:val="000000"/>
                <w:sz w:val="22"/>
                <w:lang w:val="zh-CN"/>
              </w:rPr>
              <w:t>《资格文件》及《商务技术文件》和《报价文件》。</w:t>
            </w:r>
          </w:p>
          <w:p>
            <w:pPr>
              <w:rPr>
                <w:rFonts w:ascii="宋体" w:hAnsi="宋体" w:eastAsia="宋体" w:cs="宋体"/>
                <w:color w:val="000000"/>
                <w:sz w:val="22"/>
              </w:rPr>
            </w:pPr>
            <w:r>
              <w:rPr>
                <w:rFonts w:ascii="宋体" w:hAnsi="宋体" w:eastAsia="宋体" w:cs="宋体"/>
                <w:color w:val="000000"/>
                <w:sz w:val="22"/>
              </w:rPr>
              <w:t>2、</w:t>
            </w:r>
            <w:r>
              <w:rPr>
                <w:rFonts w:ascii="宋体" w:hAnsi="宋体" w:eastAsia="宋体" w:cs="宋体"/>
                <w:b/>
                <w:bCs/>
                <w:color w:val="000000"/>
                <w:sz w:val="22"/>
              </w:rPr>
              <w:t>投标文件编制：</w:t>
            </w:r>
            <w:r>
              <w:rPr>
                <w:rFonts w:ascii="宋体" w:hAnsi="宋体" w:eastAsia="宋体" w:cs="宋体"/>
                <w:color w:val="000000"/>
                <w:sz w:val="22"/>
              </w:rPr>
              <w:t>供应商应先安装“政采云电子交易客户端”，并按照本采购文件和“政府采购云平台”的要求，通过“政采云电子交易客户端”编制并加密投标文件。</w:t>
            </w:r>
          </w:p>
          <w:p>
            <w:pPr>
              <w:rPr>
                <w:rFonts w:ascii="宋体" w:hAnsi="宋体" w:eastAsia="宋体" w:cs="宋体"/>
                <w:color w:val="000000"/>
                <w:sz w:val="22"/>
              </w:rPr>
            </w:pPr>
            <w:r>
              <w:rPr>
                <w:rFonts w:ascii="宋体" w:hAnsi="宋体" w:eastAsia="宋体" w:cs="宋体"/>
                <w:color w:val="000000"/>
                <w:sz w:val="22"/>
              </w:rPr>
              <w:t>3、</w:t>
            </w:r>
            <w:r>
              <w:rPr>
                <w:rFonts w:ascii="宋体" w:hAnsi="宋体" w:eastAsia="宋体" w:cs="宋体"/>
                <w:b/>
                <w:bCs/>
                <w:color w:val="000000"/>
                <w:sz w:val="22"/>
              </w:rPr>
              <w:t>投标文件的签章：</w:t>
            </w:r>
            <w:r>
              <w:rPr>
                <w:rFonts w:ascii="宋体" w:hAnsi="宋体" w:eastAsia="宋体" w:cs="宋体"/>
                <w:color w:val="000000"/>
                <w:sz w:val="22"/>
              </w:rPr>
              <w:t>电子签章。</w:t>
            </w:r>
          </w:p>
          <w:p>
            <w:pPr>
              <w:rPr>
                <w:rFonts w:ascii="宋体" w:hAnsi="宋体" w:eastAsia="宋体" w:cs="宋体"/>
                <w:color w:val="000000"/>
                <w:sz w:val="22"/>
                <w:lang w:bidi="ar"/>
              </w:rPr>
            </w:pPr>
            <w:r>
              <w:rPr>
                <w:rFonts w:ascii="宋体" w:hAnsi="宋体" w:eastAsia="宋体" w:cs="宋体"/>
                <w:color w:val="000000"/>
                <w:sz w:val="22"/>
              </w:rPr>
              <w:t>4、</w:t>
            </w:r>
            <w:r>
              <w:rPr>
                <w:rFonts w:ascii="宋体" w:hAnsi="宋体" w:eastAsia="宋体" w:cs="宋体"/>
                <w:b/>
                <w:bCs/>
                <w:color w:val="000000"/>
                <w:sz w:val="22"/>
              </w:rPr>
              <w:t>投标文件的形式：</w:t>
            </w:r>
            <w:r>
              <w:rPr>
                <w:rFonts w:ascii="Segoe UI Symbol" w:hAnsi="Segoe UI Symbol" w:eastAsia="宋体" w:cs="Segoe UI Symbol"/>
                <w:color w:val="000000"/>
                <w:sz w:val="22"/>
              </w:rPr>
              <w:t>☑</w:t>
            </w:r>
            <w:r>
              <w:rPr>
                <w:rFonts w:ascii="宋体" w:hAnsi="宋体" w:eastAsia="宋体" w:cs="宋体"/>
                <w:color w:val="000000"/>
                <w:sz w:val="22"/>
              </w:rPr>
              <w:t>电子投标文件（包括“</w:t>
            </w:r>
            <w:r>
              <w:rPr>
                <w:rFonts w:ascii="宋体" w:hAnsi="宋体" w:eastAsia="宋体" w:cs="宋体"/>
                <w:color w:val="000000"/>
                <w:sz w:val="22"/>
                <w:lang w:bidi="ar"/>
              </w:rPr>
              <w:t>电子加密投标文件”）；</w:t>
            </w:r>
          </w:p>
          <w:p>
            <w:pPr>
              <w:rPr>
                <w:rFonts w:ascii="宋体" w:hAnsi="宋体" w:eastAsia="宋体" w:cs="宋体"/>
                <w:color w:val="000000"/>
                <w:sz w:val="22"/>
                <w:lang w:bidi="ar"/>
              </w:rPr>
            </w:pPr>
            <w:r>
              <w:rPr>
                <w:rFonts w:ascii="宋体" w:hAnsi="宋体" w:eastAsia="宋体" w:cs="宋体"/>
                <w:color w:val="000000"/>
                <w:sz w:val="22"/>
                <w:lang w:bidi="ar"/>
              </w:rPr>
              <w:t>“电子加密投标文件”是指通过“政采云电子交易客户端”完成投标文件编制后生成并加密的数据电文形式的投标文件。</w:t>
            </w:r>
          </w:p>
          <w:p>
            <w:pPr>
              <w:autoSpaceDE w:val="0"/>
              <w:autoSpaceDN w:val="0"/>
              <w:adjustRightInd w:val="0"/>
              <w:jc w:val="left"/>
              <w:rPr>
                <w:rFonts w:ascii="宋体" w:hAnsi="宋体" w:eastAsia="宋体" w:cs="宋体"/>
                <w:color w:val="000000"/>
                <w:sz w:val="22"/>
                <w:lang w:bidi="ar"/>
              </w:rPr>
            </w:pPr>
            <w:r>
              <w:rPr>
                <w:rFonts w:ascii="宋体" w:hAnsi="宋体" w:eastAsia="宋体" w:cs="宋体"/>
                <w:color w:val="000000"/>
                <w:sz w:val="22"/>
                <w:lang w:bidi="ar"/>
              </w:rPr>
              <w:t>5、</w:t>
            </w:r>
            <w:r>
              <w:rPr>
                <w:rFonts w:ascii="宋体" w:hAnsi="宋体" w:eastAsia="宋体" w:cs="宋体"/>
                <w:b/>
                <w:bCs/>
                <w:color w:val="000000"/>
                <w:sz w:val="22"/>
                <w:lang w:bidi="ar"/>
              </w:rPr>
              <w:t>投标文件份数：</w:t>
            </w:r>
            <w:r>
              <w:rPr>
                <w:rFonts w:ascii="宋体" w:hAnsi="宋体" w:eastAsia="宋体" w:cs="宋体"/>
                <w:color w:val="000000"/>
                <w:sz w:val="22"/>
                <w:lang w:bidi="ar"/>
              </w:rPr>
              <w:t>“电子加密投标文件”：在线上传递交。</w:t>
            </w:r>
          </w:p>
          <w:p>
            <w:pPr>
              <w:rPr>
                <w:rFonts w:ascii="宋体" w:hAnsi="宋体" w:eastAsia="宋体" w:cs="宋体"/>
                <w:b/>
                <w:bCs/>
                <w:color w:val="000000"/>
                <w:sz w:val="22"/>
                <w:lang w:bidi="ar"/>
              </w:rPr>
            </w:pPr>
            <w:r>
              <w:rPr>
                <w:rFonts w:ascii="宋体" w:hAnsi="宋体" w:eastAsia="宋体" w:cs="宋体"/>
                <w:color w:val="000000"/>
                <w:sz w:val="22"/>
                <w:lang w:bidi="ar"/>
              </w:rPr>
              <w:t>6、</w:t>
            </w:r>
            <w:r>
              <w:rPr>
                <w:rFonts w:ascii="宋体" w:hAnsi="宋体" w:eastAsia="宋体" w:cs="宋体"/>
                <w:b/>
                <w:bCs/>
                <w:color w:val="000000"/>
                <w:sz w:val="22"/>
                <w:lang w:bidi="ar"/>
              </w:rPr>
              <w:t>投标文件的上传和递交：</w:t>
            </w:r>
          </w:p>
          <w:p>
            <w:pPr>
              <w:rPr>
                <w:rFonts w:ascii="宋体" w:hAnsi="宋体" w:eastAsia="宋体" w:cs="宋体"/>
                <w:color w:val="000000"/>
                <w:sz w:val="22"/>
                <w:lang w:bidi="ar"/>
              </w:rPr>
            </w:pPr>
            <w:r>
              <w:rPr>
                <w:rFonts w:ascii="宋体" w:hAnsi="宋体" w:eastAsia="宋体" w:cs="宋体"/>
                <w:color w:val="000000"/>
                <w:sz w:val="22"/>
                <w:lang w:bidi="ar"/>
              </w:rPr>
              <w:t>“电子加密投标文件”的上传、递交：</w:t>
            </w:r>
          </w:p>
          <w:p>
            <w:pPr>
              <w:rPr>
                <w:rFonts w:ascii="宋体" w:hAnsi="宋体" w:eastAsia="宋体" w:cs="宋体"/>
                <w:color w:val="000000"/>
                <w:sz w:val="22"/>
                <w:lang w:bidi="ar"/>
              </w:rPr>
            </w:pPr>
            <w:r>
              <w:rPr>
                <w:rFonts w:ascii="宋体" w:hAnsi="宋体" w:eastAsia="宋体" w:cs="宋体"/>
                <w:color w:val="000000"/>
                <w:sz w:val="22"/>
                <w:lang w:bidi="ar"/>
              </w:rPr>
              <w:t>a.供应商应在投标截止时间前将“电子加密投标文件”成功上传递交至“政府采购云平台”，否则投标无效。</w:t>
            </w:r>
          </w:p>
          <w:p>
            <w:pPr>
              <w:rPr>
                <w:rFonts w:ascii="宋体" w:hAnsi="宋体" w:eastAsia="宋体" w:cs="宋体"/>
                <w:color w:val="000000"/>
                <w:sz w:val="22"/>
                <w:lang w:bidi="ar"/>
              </w:rPr>
            </w:pPr>
            <w:r>
              <w:rPr>
                <w:rFonts w:ascii="宋体" w:hAnsi="宋体" w:eastAsia="宋体" w:cs="宋体"/>
                <w:color w:val="000000"/>
                <w:sz w:val="22"/>
                <w:lang w:bidi="ar"/>
              </w:rPr>
              <w:t>b.“电子加密投标文件”成功上传递交后，供应商可自行打印投标文件接收回执。</w:t>
            </w:r>
          </w:p>
          <w:p>
            <w:pPr>
              <w:rPr>
                <w:rFonts w:ascii="宋体" w:hAnsi="宋体" w:eastAsia="宋体" w:cs="宋体"/>
                <w:b/>
                <w:bCs/>
                <w:color w:val="000000"/>
                <w:sz w:val="22"/>
                <w:lang w:bidi="ar"/>
              </w:rPr>
            </w:pPr>
            <w:r>
              <w:rPr>
                <w:rFonts w:ascii="宋体" w:hAnsi="宋体" w:eastAsia="宋体" w:cs="宋体"/>
                <w:b/>
                <w:bCs/>
                <w:color w:val="000000"/>
                <w:sz w:val="22"/>
                <w:lang w:bidi="ar"/>
              </w:rPr>
              <w:t>7、电子加密投标文件的解密和异常情况处理：</w:t>
            </w:r>
          </w:p>
          <w:p>
            <w:pPr>
              <w:autoSpaceDE w:val="0"/>
              <w:autoSpaceDN w:val="0"/>
              <w:adjustRightInd w:val="0"/>
              <w:jc w:val="left"/>
              <w:rPr>
                <w:rFonts w:ascii="宋体" w:hAnsi="宋体" w:eastAsia="宋体" w:cs="宋体"/>
                <w:color w:val="000000"/>
                <w:sz w:val="22"/>
                <w:lang w:bidi="ar"/>
              </w:rPr>
            </w:pPr>
            <w:r>
              <w:rPr>
                <w:rFonts w:ascii="宋体" w:hAnsi="宋体" w:eastAsia="宋体" w:cs="宋体"/>
                <w:color w:val="000000"/>
                <w:sz w:val="22"/>
                <w:lang w:bidi="ar"/>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宋体" w:hAnsi="宋体" w:eastAsia="宋体" w:cs="宋体"/>
                <w:color w:val="000000"/>
                <w:sz w:val="22"/>
                <w:lang w:bidi="ar"/>
              </w:rPr>
            </w:pPr>
            <w:r>
              <w:rPr>
                <w:rFonts w:ascii="宋体" w:hAnsi="宋体" w:eastAsia="宋体" w:cs="宋体"/>
                <w:color w:val="000000"/>
                <w:sz w:val="22"/>
                <w:lang w:bidi="ar"/>
              </w:rPr>
              <w:t>（2）通过“政府采购云平台”成功上传递交的“电子加密投标文件”无法按时解密，否则视为投标文件撤回。</w:t>
            </w:r>
          </w:p>
          <w:p>
            <w:pPr>
              <w:snapToGrid w:val="0"/>
              <w:rPr>
                <w:rFonts w:ascii="宋体" w:hAnsi="宋体" w:eastAsia="宋体" w:cs="宋体"/>
                <w:color w:val="000000"/>
                <w:sz w:val="22"/>
                <w:lang w:bidi="ar"/>
              </w:rPr>
            </w:pPr>
            <w:r>
              <w:rPr>
                <w:rFonts w:ascii="宋体" w:hAnsi="宋体" w:eastAsia="宋体" w:cs="宋体"/>
                <w:color w:val="000000"/>
                <w:sz w:val="22"/>
                <w:lang w:bidi="ar"/>
              </w:rPr>
              <w:t>（</w:t>
            </w:r>
            <w:r>
              <w:rPr>
                <w:rFonts w:hint="eastAsia" w:ascii="宋体" w:hAnsi="宋体" w:eastAsia="宋体" w:cs="宋体"/>
                <w:color w:val="000000"/>
                <w:sz w:val="22"/>
                <w:lang w:bidi="ar"/>
              </w:rPr>
              <w:t>3</w:t>
            </w:r>
            <w:r>
              <w:rPr>
                <w:rFonts w:ascii="宋体" w:hAnsi="宋体" w:eastAsia="宋体" w:cs="宋体"/>
                <w:color w:val="000000"/>
                <w:sz w:val="22"/>
                <w:lang w:bidi="ar"/>
              </w:rPr>
              <w:t>）投标截止后，在投标有效期内，供应商不能撤销投标文件。</w:t>
            </w:r>
          </w:p>
          <w:p>
            <w:pPr>
              <w:snapToGrid w:val="0"/>
              <w:rPr>
                <w:rFonts w:ascii="宋体" w:hAnsi="宋体" w:eastAsia="宋体" w:cs="宋体"/>
                <w:color w:val="000000"/>
                <w:sz w:val="22"/>
                <w:lang w:bidi="ar"/>
              </w:rPr>
            </w:pPr>
            <w:r>
              <w:rPr>
                <w:rFonts w:ascii="宋体" w:hAnsi="宋体" w:eastAsia="宋体" w:cs="宋体"/>
                <w:color w:val="000000"/>
                <w:sz w:val="22"/>
                <w:lang w:bidi="ar"/>
              </w:rPr>
              <w:t>8、投标截止后，在投标有效期内，供应商不能撤销投标文件</w:t>
            </w:r>
          </w:p>
          <w:p>
            <w:pPr>
              <w:snapToGrid w:val="0"/>
              <w:rPr>
                <w:rFonts w:ascii="宋体" w:hAnsi="宋体" w:eastAsia="宋体" w:cs="宋体"/>
                <w:color w:val="000000"/>
                <w:sz w:val="22"/>
                <w:lang w:bidi="ar"/>
              </w:rPr>
            </w:pPr>
            <w:r>
              <w:rPr>
                <w:rFonts w:ascii="宋体" w:hAnsi="宋体" w:eastAsia="宋体" w:cs="宋体"/>
                <w:color w:val="000000"/>
                <w:sz w:val="22"/>
                <w:lang w:bidi="ar"/>
              </w:rPr>
              <w:t>9、</w:t>
            </w:r>
            <w:r>
              <w:rPr>
                <w:rFonts w:hint="eastAsia" w:ascii="宋体" w:hAnsi="宋体"/>
                <w:sz w:val="22"/>
              </w:rPr>
              <w:t>供应商放弃成交或拒绝与采购单位签订合同的</w:t>
            </w:r>
            <w:r>
              <w:rPr>
                <w:rFonts w:ascii="宋体"/>
                <w:sz w:val="22"/>
              </w:rPr>
              <w:t>,</w:t>
            </w:r>
            <w:r>
              <w:rPr>
                <w:rFonts w:hint="eastAsia"/>
              </w:rPr>
              <w:t>按相关法律进行处理</w:t>
            </w:r>
            <w:r>
              <w:rPr>
                <w:rFonts w:hint="eastAsia" w:ascii="宋体" w:hAnsi="宋体"/>
                <w:sz w:val="22"/>
              </w:rPr>
              <w:t>，原则上重新开展政府采购活动。</w:t>
            </w:r>
          </w:p>
          <w:p>
            <w:pPr>
              <w:snapToGrid w:val="0"/>
              <w:rPr>
                <w:rFonts w:ascii="宋体" w:hAnsi="宋体" w:eastAsia="宋体" w:cs="宋体"/>
                <w:color w:val="000000"/>
                <w:sz w:val="22"/>
                <w:lang w:bidi="ar"/>
              </w:rPr>
            </w:pPr>
            <w:r>
              <w:rPr>
                <w:rFonts w:ascii="宋体" w:hAnsi="宋体" w:eastAsia="宋体" w:cs="宋体"/>
                <w:color w:val="000000"/>
                <w:sz w:val="22"/>
                <w:lang w:bidi="ar"/>
              </w:rPr>
              <w:t>10、存在下列行为的，招标代理机构将其失信行为上报政府采购主管部门，由主管部门按有关规定对其违法失信行为记录进行公开：</w:t>
            </w:r>
          </w:p>
          <w:p>
            <w:pPr>
              <w:snapToGrid w:val="0"/>
              <w:rPr>
                <w:rFonts w:ascii="宋体" w:hAnsi="宋体" w:eastAsia="宋体" w:cs="宋体"/>
                <w:color w:val="000000"/>
                <w:sz w:val="22"/>
                <w:lang w:bidi="ar"/>
              </w:rPr>
            </w:pPr>
            <w:r>
              <w:rPr>
                <w:rFonts w:ascii="宋体" w:hAnsi="宋体" w:eastAsia="宋体" w:cs="宋体"/>
                <w:color w:val="000000"/>
                <w:sz w:val="22"/>
                <w:lang w:bidi="ar"/>
              </w:rPr>
              <w:t>（1）中标或者成交后，拒绝签订政府采购合同的；</w:t>
            </w:r>
          </w:p>
          <w:p>
            <w:pPr>
              <w:snapToGrid w:val="0"/>
              <w:rPr>
                <w:sz w:val="22"/>
                <w:szCs w:val="22"/>
              </w:rPr>
            </w:pPr>
            <w:r>
              <w:rPr>
                <w:rFonts w:hAnsi="宋体" w:eastAsia="宋体" w:cs="宋体"/>
                <w:color w:val="000000"/>
                <w:lang w:bidi="ar"/>
              </w:rPr>
              <w:t>（2）</w:t>
            </w:r>
            <w:r>
              <w:rPr>
                <w:rFonts w:ascii="宋体" w:hAnsi="宋体" w:eastAsia="宋体" w:cs="宋体"/>
                <w:color w:val="000000"/>
                <w:sz w:val="22"/>
                <w:lang w:bidi="ar"/>
              </w:rPr>
              <w:t>投标有效期内撤销投标文件的</w:t>
            </w:r>
            <w:r>
              <w:rPr>
                <w:rFonts w:hint="eastAsia" w:ascii="宋体" w:hAnsi="宋体" w:eastAsia="宋体" w:cs="宋体"/>
                <w:color w:val="000000"/>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投标样品</w:t>
            </w:r>
          </w:p>
        </w:tc>
        <w:tc>
          <w:tcPr>
            <w:tcW w:w="7619" w:type="dxa"/>
            <w:vAlign w:val="center"/>
          </w:tcPr>
          <w:p>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hint="eastAsia" w:ascii="宋体"/>
                <w:position w:val="2"/>
                <w:sz w:val="15"/>
              </w:rPr>
              <w:instrText xml:space="preserve">√</w:instrText>
            </w:r>
            <w:r>
              <w:rPr>
                <w:rFonts w:ascii="宋体"/>
                <w:sz w:val="22"/>
              </w:rPr>
              <w:instrText xml:space="preserve">)</w:instrText>
            </w:r>
            <w:r>
              <w:rPr>
                <w:rFonts w:ascii="宋体"/>
                <w:sz w:val="22"/>
              </w:rPr>
              <w:fldChar w:fldCharType="end"/>
            </w:r>
            <w:r>
              <w:rPr>
                <w:rFonts w:hint="eastAsia" w:ascii="宋体"/>
                <w:sz w:val="22"/>
              </w:rPr>
              <w:t>不需要</w:t>
            </w:r>
          </w:p>
          <w:p>
            <w:pPr>
              <w:adjustRightInd w:val="0"/>
              <w:rPr>
                <w:rFonts w:ascii="宋体"/>
                <w:sz w:val="22"/>
              </w:rPr>
            </w:pPr>
            <w:r>
              <w:rPr>
                <w:rFonts w:hint="eastAsia" w:ascii="宋体"/>
                <w:sz w:val="22"/>
              </w:rPr>
              <w:sym w:font="Wingdings 2" w:char="00A3"/>
            </w:r>
            <w:r>
              <w:rPr>
                <w:rFonts w:hint="eastAsia" w:ascii="宋体"/>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履约担保</w:t>
            </w:r>
          </w:p>
        </w:tc>
        <w:tc>
          <w:tcPr>
            <w:tcW w:w="7619" w:type="dxa"/>
            <w:vAlign w:val="center"/>
          </w:tcPr>
          <w:p>
            <w:pPr>
              <w:adjustRightInd w:val="0"/>
              <w:rPr>
                <w:rFonts w:ascii="宋体"/>
                <w:sz w:val="22"/>
              </w:rPr>
            </w:pPr>
            <w:r>
              <w:rPr>
                <w:rFonts w:hint="eastAsia" w:ascii="宋体"/>
                <w:sz w:val="22"/>
              </w:rPr>
              <w:sym w:font="Wingdings 2" w:char="00A3"/>
            </w:r>
            <w:r>
              <w:rPr>
                <w:rFonts w:hint="eastAsia" w:ascii="宋体"/>
                <w:sz w:val="22"/>
              </w:rPr>
              <w:t>不需要</w:t>
            </w:r>
          </w:p>
          <w:p>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hint="eastAsia" w:ascii="宋体"/>
                <w:position w:val="2"/>
                <w:sz w:val="15"/>
              </w:rPr>
              <w:instrText xml:space="preserve">√</w:instrText>
            </w:r>
            <w:r>
              <w:rPr>
                <w:rFonts w:ascii="宋体"/>
                <w:sz w:val="22"/>
              </w:rPr>
              <w:instrText xml:space="preserve">)</w:instrText>
            </w:r>
            <w:r>
              <w:rPr>
                <w:rFonts w:ascii="宋体"/>
                <w:sz w:val="22"/>
              </w:rPr>
              <w:fldChar w:fldCharType="end"/>
            </w:r>
            <w:r>
              <w:rPr>
                <w:rFonts w:hint="eastAsia" w:ascii="宋体"/>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竞争性磋商文件获取方式</w:t>
            </w:r>
          </w:p>
        </w:tc>
        <w:tc>
          <w:tcPr>
            <w:tcW w:w="7619" w:type="dxa"/>
            <w:vAlign w:val="center"/>
          </w:tcPr>
          <w:p>
            <w:pPr>
              <w:adjustRightInd w:val="0"/>
              <w:spacing w:line="280" w:lineRule="exact"/>
              <w:jc w:val="left"/>
              <w:rPr>
                <w:rFonts w:ascii="宋体" w:hAnsi="宋体" w:eastAsia="宋体"/>
                <w:sz w:val="22"/>
              </w:rPr>
            </w:pPr>
            <w:r>
              <w:rPr>
                <w:rFonts w:ascii="宋体" w:hAnsi="宋体" w:eastAsia="宋体"/>
                <w:sz w:val="22"/>
              </w:rPr>
              <w:t>自本公告公布日起至投标文件递交截止时间前，均可获取招标文件，公告附件中的招标文件仅供阅读，招标文件合法获取方式如下：</w:t>
            </w:r>
          </w:p>
          <w:p>
            <w:pPr>
              <w:adjustRightInd w:val="0"/>
              <w:spacing w:line="280" w:lineRule="exact"/>
              <w:jc w:val="left"/>
              <w:rPr>
                <w:rFonts w:ascii="宋体" w:hAnsi="宋体" w:eastAsia="宋体"/>
                <w:sz w:val="22"/>
              </w:rPr>
            </w:pPr>
            <w:r>
              <w:rPr>
                <w:rFonts w:ascii="宋体" w:hAnsi="宋体" w:eastAsia="宋体"/>
                <w:sz w:val="22"/>
              </w:rPr>
              <w:t>①供应商登陆政采云账户（网址：http://www.zjzfcg.gov.cn/）找到本项目后点击获取采购文件；</w:t>
            </w:r>
          </w:p>
          <w:p>
            <w:pPr>
              <w:adjustRightInd w:val="0"/>
              <w:spacing w:line="280" w:lineRule="exact"/>
              <w:rPr>
                <w:rFonts w:ascii="宋体" w:cs="Arial"/>
                <w:sz w:val="22"/>
              </w:rPr>
            </w:pPr>
            <w:r>
              <w:rPr>
                <w:rFonts w:ascii="宋体" w:hAnsi="宋体" w:eastAsia="宋体"/>
                <w:sz w:val="22"/>
              </w:rPr>
              <w:t>②另本项目采购文件同时发布在泰顺县人民政府网-县公共资源交易平台（网址：http://www.ts.gov.cn/col/col1383420/index.html）。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FF0000"/>
                <w:sz w:val="22"/>
              </w:rPr>
            </w:pPr>
          </w:p>
        </w:tc>
        <w:tc>
          <w:tcPr>
            <w:tcW w:w="1600" w:type="dxa"/>
            <w:vAlign w:val="center"/>
          </w:tcPr>
          <w:p>
            <w:pPr>
              <w:jc w:val="center"/>
              <w:rPr>
                <w:rFonts w:ascii="宋体" w:cs="Arial"/>
                <w:color w:val="FF0000"/>
                <w:sz w:val="22"/>
              </w:rPr>
            </w:pPr>
            <w:r>
              <w:rPr>
                <w:rFonts w:hint="eastAsia" w:ascii="宋体" w:cs="Arial"/>
                <w:color w:val="FF0000"/>
                <w:sz w:val="22"/>
              </w:rPr>
              <w:t>投标截止时间</w:t>
            </w:r>
          </w:p>
        </w:tc>
        <w:tc>
          <w:tcPr>
            <w:tcW w:w="7619" w:type="dxa"/>
            <w:vAlign w:val="center"/>
          </w:tcPr>
          <w:p>
            <w:pPr>
              <w:rPr>
                <w:rFonts w:ascii="宋体" w:cs="Arial"/>
                <w:color w:val="FF0000"/>
                <w:sz w:val="22"/>
              </w:rPr>
            </w:pPr>
            <w:r>
              <w:rPr>
                <w:rFonts w:hint="eastAsia" w:hAnsi="宋体"/>
                <w:b/>
                <w:color w:val="FF0000"/>
                <w:sz w:val="22"/>
              </w:rPr>
              <w:t>2022年07月</w:t>
            </w:r>
            <w:r>
              <w:rPr>
                <w:rFonts w:hint="eastAsia" w:hAnsi="宋体"/>
                <w:b/>
                <w:color w:val="FF0000"/>
                <w:sz w:val="22"/>
                <w:lang w:val="en-US" w:eastAsia="zh-CN"/>
              </w:rPr>
              <w:t>25</w:t>
            </w:r>
            <w:r>
              <w:rPr>
                <w:rFonts w:hint="eastAsia" w:hAnsi="宋体"/>
                <w:b/>
                <w:color w:val="FF0000"/>
                <w:sz w:val="22"/>
              </w:rPr>
              <w:t>日09点</w:t>
            </w:r>
            <w:r>
              <w:rPr>
                <w:rFonts w:hint="eastAsia" w:hAnsi="宋体"/>
                <w:b/>
                <w:color w:val="FF0000"/>
                <w:sz w:val="22"/>
                <w:lang w:val="en-US" w:eastAsia="zh-CN"/>
              </w:rPr>
              <w:t>3</w:t>
            </w:r>
            <w:r>
              <w:rPr>
                <w:rFonts w:hint="eastAsia" w:hAnsi="宋体"/>
                <w:b/>
                <w:color w:val="FF0000"/>
                <w:sz w:val="22"/>
              </w:rPr>
              <w:t>0分</w:t>
            </w:r>
            <w:r>
              <w:rPr>
                <w:rFonts w:hint="eastAsia" w:ascii="新宋体" w:hAnsi="新宋体" w:eastAsia="新宋体"/>
                <w:color w:val="FF0000"/>
                <w:sz w:val="22"/>
              </w:rPr>
              <w:t>截</w:t>
            </w:r>
            <w:r>
              <w:rPr>
                <w:rFonts w:hint="eastAsia" w:ascii="宋体" w:cs="Arial"/>
                <w:color w:val="FF0000"/>
                <w:sz w:val="22"/>
              </w:rPr>
              <w:t>止</w:t>
            </w:r>
            <w:r>
              <w:rPr>
                <w:rFonts w:ascii="宋体" w:cs="Arial"/>
                <w:color w:val="FF0000"/>
                <w:sz w:val="22"/>
              </w:rPr>
              <w:t>(</w:t>
            </w:r>
            <w:r>
              <w:rPr>
                <w:rFonts w:hint="eastAsia" w:ascii="宋体" w:cs="Arial"/>
                <w:color w:val="FF0000"/>
                <w:sz w:val="22"/>
              </w:rPr>
              <w:t>北京时间</w:t>
            </w:r>
            <w:r>
              <w:rPr>
                <w:rFonts w:ascii="宋体" w:cs="Arial"/>
                <w:color w:val="FF0000"/>
                <w:sz w:val="22"/>
              </w:rPr>
              <w:t>)</w:t>
            </w:r>
            <w:r>
              <w:rPr>
                <w:rFonts w:hint="eastAsia" w:ascii="宋体" w:cs="Arial"/>
                <w:color w:val="FF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sz w:val="22"/>
              </w:rPr>
              <w:t>投标文件递交地点</w:t>
            </w:r>
          </w:p>
        </w:tc>
        <w:tc>
          <w:tcPr>
            <w:tcW w:w="7619" w:type="dxa"/>
            <w:vAlign w:val="center"/>
          </w:tcPr>
          <w:p>
            <w:pPr>
              <w:rPr>
                <w:rFonts w:ascii="宋体" w:cs="Arial"/>
                <w:sz w:val="22"/>
              </w:rPr>
            </w:pPr>
            <w:r>
              <w:rPr>
                <w:rFonts w:hint="eastAsia" w:hAnsi="宋体"/>
                <w:color w:val="000000" w:themeColor="text1"/>
                <w:sz w:val="22"/>
                <w:szCs w:val="22"/>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pPr>
              <w:widowControl/>
              <w:numPr>
                <w:ilvl w:val="0"/>
                <w:numId w:val="6"/>
              </w:numPr>
              <w:tabs>
                <w:tab w:val="left" w:pos="432"/>
              </w:tabs>
              <w:ind w:left="420" w:hanging="420"/>
              <w:jc w:val="right"/>
              <w:rPr>
                <w:rFonts w:ascii="宋体" w:eastAsia="Times New Roman"/>
                <w:color w:val="FF0000"/>
                <w:sz w:val="22"/>
              </w:rPr>
            </w:pPr>
          </w:p>
        </w:tc>
        <w:tc>
          <w:tcPr>
            <w:tcW w:w="1600" w:type="dxa"/>
            <w:vAlign w:val="center"/>
          </w:tcPr>
          <w:p>
            <w:pPr>
              <w:jc w:val="center"/>
              <w:rPr>
                <w:rFonts w:ascii="宋体" w:cs="Arial"/>
                <w:color w:val="FF0000"/>
                <w:sz w:val="22"/>
              </w:rPr>
            </w:pPr>
            <w:r>
              <w:rPr>
                <w:rFonts w:hint="eastAsia" w:ascii="宋体" w:cs="Arial"/>
                <w:color w:val="FF0000"/>
                <w:sz w:val="22"/>
              </w:rPr>
              <w:t>开标时间</w:t>
            </w:r>
          </w:p>
          <w:p>
            <w:pPr>
              <w:jc w:val="center"/>
              <w:rPr>
                <w:rFonts w:ascii="宋体" w:cs="Arial"/>
                <w:color w:val="FF0000"/>
                <w:sz w:val="22"/>
              </w:rPr>
            </w:pPr>
            <w:r>
              <w:rPr>
                <w:rFonts w:hint="eastAsia" w:ascii="宋体" w:cs="Arial"/>
                <w:color w:val="FF0000"/>
                <w:sz w:val="22"/>
              </w:rPr>
              <w:t>开标地点</w:t>
            </w:r>
          </w:p>
        </w:tc>
        <w:tc>
          <w:tcPr>
            <w:tcW w:w="7619" w:type="dxa"/>
            <w:vAlign w:val="center"/>
          </w:tcPr>
          <w:p>
            <w:pPr>
              <w:rPr>
                <w:rFonts w:ascii="宋体" w:cs="Arial"/>
                <w:color w:val="FF0000"/>
                <w:sz w:val="22"/>
              </w:rPr>
            </w:pPr>
            <w:r>
              <w:rPr>
                <w:rFonts w:hint="eastAsia" w:ascii="宋体" w:cs="Arial"/>
                <w:color w:val="FF0000"/>
                <w:sz w:val="22"/>
              </w:rPr>
              <w:t>开标时间：</w:t>
            </w:r>
            <w:r>
              <w:rPr>
                <w:rFonts w:hint="eastAsia" w:hAnsi="宋体"/>
                <w:b/>
                <w:color w:val="FF0000"/>
                <w:sz w:val="22"/>
              </w:rPr>
              <w:t>2022年07月</w:t>
            </w:r>
            <w:r>
              <w:rPr>
                <w:rFonts w:hint="eastAsia" w:hAnsi="宋体"/>
                <w:b/>
                <w:color w:val="FF0000"/>
                <w:sz w:val="22"/>
                <w:lang w:val="en-US" w:eastAsia="zh-CN"/>
              </w:rPr>
              <w:t>25</w:t>
            </w:r>
            <w:r>
              <w:rPr>
                <w:rFonts w:hint="eastAsia" w:hAnsi="宋体"/>
                <w:b/>
                <w:color w:val="FF0000"/>
                <w:sz w:val="22"/>
              </w:rPr>
              <w:t>日09点</w:t>
            </w:r>
            <w:r>
              <w:rPr>
                <w:rFonts w:hint="eastAsia" w:hAnsi="宋体"/>
                <w:b/>
                <w:color w:val="FF0000"/>
                <w:sz w:val="22"/>
                <w:lang w:val="en-US" w:eastAsia="zh-CN"/>
              </w:rPr>
              <w:t>3</w:t>
            </w:r>
            <w:r>
              <w:rPr>
                <w:rFonts w:hint="eastAsia" w:hAnsi="宋体"/>
                <w:b/>
                <w:color w:val="FF0000"/>
                <w:sz w:val="22"/>
              </w:rPr>
              <w:t>0分</w:t>
            </w:r>
            <w:r>
              <w:rPr>
                <w:rFonts w:hint="eastAsia" w:ascii="宋体" w:cs="Arial"/>
                <w:color w:val="FF0000"/>
                <w:sz w:val="22"/>
              </w:rPr>
              <w:t>时</w:t>
            </w:r>
            <w:r>
              <w:rPr>
                <w:rFonts w:ascii="宋体" w:cs="Arial"/>
                <w:color w:val="FF0000"/>
                <w:sz w:val="22"/>
              </w:rPr>
              <w:t>(</w:t>
            </w:r>
            <w:r>
              <w:rPr>
                <w:rFonts w:hint="eastAsia" w:ascii="宋体" w:cs="Arial"/>
                <w:color w:val="FF0000"/>
                <w:sz w:val="22"/>
              </w:rPr>
              <w:t>北京时间</w:t>
            </w:r>
            <w:r>
              <w:rPr>
                <w:rFonts w:ascii="宋体" w:cs="Arial"/>
                <w:color w:val="FF0000"/>
                <w:sz w:val="22"/>
              </w:rPr>
              <w:t>)</w:t>
            </w:r>
          </w:p>
          <w:p>
            <w:pPr>
              <w:rPr>
                <w:rFonts w:ascii="宋体"/>
                <w:color w:val="FF0000"/>
                <w:sz w:val="22"/>
              </w:rPr>
            </w:pPr>
            <w:r>
              <w:rPr>
                <w:rFonts w:hint="eastAsia" w:ascii="宋体"/>
                <w:color w:val="FF0000"/>
                <w:sz w:val="22"/>
              </w:rPr>
              <w:t>开标地点：</w:t>
            </w:r>
            <w:r>
              <w:rPr>
                <w:rFonts w:hint="eastAsia" w:ascii="宋体" w:hAnsi="宋体" w:eastAsia="宋体"/>
                <w:color w:val="FF0000"/>
                <w:sz w:val="22"/>
              </w:rPr>
              <w:t xml:space="preserve">泰顺县公共资源交易中心5楼开评标室（温州市泰顺县罗阳镇新城大道 123号）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开标程序</w:t>
            </w:r>
          </w:p>
        </w:tc>
        <w:tc>
          <w:tcPr>
            <w:tcW w:w="7619" w:type="dxa"/>
            <w:vAlign w:val="center"/>
          </w:tcPr>
          <w:p>
            <w:pPr>
              <w:rPr>
                <w:rFonts w:ascii="宋体"/>
                <w:sz w:val="22"/>
              </w:rPr>
            </w:pPr>
            <w:r>
              <w:rPr>
                <w:rFonts w:hint="eastAsia" w:ascii="宋体"/>
                <w:sz w:val="22"/>
              </w:rPr>
              <w:t>（一）开标准备</w:t>
            </w:r>
          </w:p>
          <w:p>
            <w:pPr>
              <w:rPr>
                <w:rFonts w:ascii="宋体"/>
                <w:sz w:val="22"/>
              </w:rPr>
            </w:pPr>
            <w:r>
              <w:rPr>
                <w:rFonts w:hint="eastAsia" w:ascii="宋体"/>
                <w:sz w:val="22"/>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rPr>
                <w:rFonts w:ascii="宋体"/>
                <w:sz w:val="22"/>
              </w:rPr>
            </w:pPr>
            <w:r>
              <w:rPr>
                <w:rFonts w:hint="eastAsia" w:ascii="宋体"/>
                <w:sz w:val="22"/>
              </w:rPr>
              <w:t>2、若磋商供应商在规定时间内无法解密或解密失败，投标无效。</w:t>
            </w:r>
          </w:p>
          <w:p>
            <w:pPr>
              <w:rPr>
                <w:rFonts w:ascii="宋体"/>
                <w:sz w:val="22"/>
              </w:rPr>
            </w:pPr>
            <w:r>
              <w:rPr>
                <w:rFonts w:hint="eastAsia" w:ascii="宋体"/>
                <w:sz w:val="22"/>
              </w:rPr>
              <w:t>3、所有二次报价询标流程，均在线上完成，请各供应商务必不要离开电脑太久，并留意手机短信。（请提前检查“政采云”内，关于‘项目采购’的岗位权限是否已勾选上。如有问题，请致电400-881-7190）。</w:t>
            </w:r>
          </w:p>
          <w:p>
            <w:pPr>
              <w:rPr>
                <w:rFonts w:ascii="宋体"/>
                <w:sz w:val="22"/>
              </w:rPr>
            </w:pPr>
            <w:r>
              <w:rPr>
                <w:rFonts w:hint="eastAsia" w:ascii="宋体"/>
                <w:sz w:val="22"/>
              </w:rPr>
              <w:t>（二）电子招投标开标及评审程序</w:t>
            </w:r>
          </w:p>
          <w:p>
            <w:pPr>
              <w:rPr>
                <w:rFonts w:ascii="宋体"/>
                <w:sz w:val="22"/>
              </w:rPr>
            </w:pPr>
            <w:r>
              <w:rPr>
                <w:rFonts w:hint="eastAsia" w:ascii="宋体"/>
                <w:sz w:val="22"/>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rPr>
                <w:rFonts w:ascii="宋体"/>
                <w:sz w:val="22"/>
              </w:rPr>
            </w:pPr>
            <w:r>
              <w:rPr>
                <w:rFonts w:hint="eastAsia" w:ascii="宋体"/>
                <w:sz w:val="22"/>
              </w:rPr>
              <w:t>2、投标文件解密结束，开启响应文件，磋商小组对资格和商务技术响应文件进行评审；</w:t>
            </w:r>
          </w:p>
          <w:p>
            <w:pPr>
              <w:rPr>
                <w:rFonts w:ascii="宋体"/>
                <w:sz w:val="22"/>
              </w:rPr>
            </w:pPr>
            <w:r>
              <w:rPr>
                <w:rFonts w:hint="eastAsia" w:ascii="宋体"/>
                <w:sz w:val="22"/>
              </w:rPr>
              <w:t>3、供应商按签到的前后顺序决定磋商的顺序，就价格、服务等认为需要磋商的内容进行磋商，供应商逐家回答磋商小组的提问，响应人作出最终承诺和最终报价。</w:t>
            </w:r>
          </w:p>
          <w:p>
            <w:pPr>
              <w:rPr>
                <w:rFonts w:ascii="宋体"/>
                <w:sz w:val="22"/>
              </w:rPr>
            </w:pPr>
            <w:r>
              <w:rPr>
                <w:rFonts w:hint="eastAsia" w:ascii="宋体"/>
                <w:sz w:val="22"/>
              </w:rPr>
              <w:t>4、在系统上公开资格和商务技术评审结果；</w:t>
            </w:r>
          </w:p>
          <w:p>
            <w:pPr>
              <w:rPr>
                <w:rFonts w:ascii="宋体"/>
                <w:sz w:val="22"/>
              </w:rPr>
            </w:pPr>
            <w:r>
              <w:rPr>
                <w:rFonts w:hint="eastAsia" w:ascii="宋体"/>
                <w:sz w:val="22"/>
              </w:rPr>
              <w:t>5.在系统上录入最终报价情况；</w:t>
            </w:r>
          </w:p>
          <w:p>
            <w:pPr>
              <w:rPr>
                <w:rFonts w:ascii="宋体"/>
                <w:sz w:val="22"/>
              </w:rPr>
            </w:pPr>
            <w:r>
              <w:rPr>
                <w:rFonts w:hint="eastAsia" w:ascii="宋体"/>
                <w:sz w:val="22"/>
              </w:rPr>
              <w:t>6.磋商小组对报价情况进行评审；</w:t>
            </w:r>
          </w:p>
          <w:p>
            <w:pPr>
              <w:rPr>
                <w:rFonts w:ascii="宋体"/>
                <w:sz w:val="22"/>
              </w:rPr>
            </w:pPr>
            <w:r>
              <w:rPr>
                <w:rFonts w:hint="eastAsia" w:ascii="宋体"/>
                <w:sz w:val="22"/>
              </w:rPr>
              <w:t>7.在系统上公布评审结果。</w:t>
            </w:r>
          </w:p>
          <w:p>
            <w:pPr>
              <w:rPr>
                <w:rFonts w:ascii="宋体"/>
                <w:sz w:val="22"/>
              </w:rPr>
            </w:pPr>
            <w:r>
              <w:rPr>
                <w:rFonts w:hint="eastAsia" w:ascii="宋体"/>
                <w:b/>
                <w:bCs/>
                <w:sz w:val="22"/>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评审小组的</w:t>
            </w:r>
          </w:p>
          <w:p>
            <w:pPr>
              <w:jc w:val="center"/>
              <w:rPr>
                <w:rFonts w:ascii="宋体" w:cs="Arial"/>
                <w:sz w:val="22"/>
              </w:rPr>
            </w:pPr>
            <w:r>
              <w:rPr>
                <w:rFonts w:hint="eastAsia" w:ascii="宋体" w:cs="Arial"/>
                <w:sz w:val="22"/>
              </w:rPr>
              <w:t>组建</w:t>
            </w:r>
          </w:p>
        </w:tc>
        <w:tc>
          <w:tcPr>
            <w:tcW w:w="7619" w:type="dxa"/>
            <w:vAlign w:val="center"/>
          </w:tcPr>
          <w:p>
            <w:pPr>
              <w:rPr>
                <w:rFonts w:ascii="宋体" w:cs="Arial"/>
                <w:sz w:val="22"/>
              </w:rPr>
            </w:pPr>
            <w:r>
              <w:rPr>
                <w:rFonts w:hint="eastAsia" w:ascii="宋体" w:cs="Arial"/>
                <w:sz w:val="22"/>
              </w:rPr>
              <w:t>评审小组构成：</w:t>
            </w:r>
            <w:r>
              <w:rPr>
                <w:rFonts w:ascii="宋体" w:cs="Arial"/>
                <w:sz w:val="22"/>
              </w:rPr>
              <w:t xml:space="preserve"> </w:t>
            </w:r>
            <w:r>
              <w:rPr>
                <w:rFonts w:hint="eastAsia" w:ascii="宋体" w:cs="Arial"/>
                <w:sz w:val="22"/>
              </w:rPr>
              <w:t>由采购单位代表以及有关技术、经济等方面的专家组成，成员为3人及以上单数，其中技术、经济类专家不得少于总人数的</w:t>
            </w:r>
            <w:r>
              <w:rPr>
                <w:rFonts w:ascii="宋体" w:cs="Arial"/>
                <w:sz w:val="22"/>
              </w:rPr>
              <w:t>2/3</w:t>
            </w:r>
            <w:r>
              <w:rPr>
                <w:rFonts w:hint="eastAsia" w:ascii="宋体" w:cs="Arial"/>
                <w:sz w:val="22"/>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adjustRightInd w:val="0"/>
              <w:jc w:val="center"/>
              <w:rPr>
                <w:rFonts w:ascii="宋体"/>
                <w:sz w:val="22"/>
              </w:rPr>
            </w:pPr>
            <w:r>
              <w:rPr>
                <w:rFonts w:hint="eastAsia" w:ascii="宋体"/>
                <w:sz w:val="22"/>
              </w:rPr>
              <w:t>政府采购</w:t>
            </w:r>
          </w:p>
          <w:p>
            <w:pPr>
              <w:adjustRightInd w:val="0"/>
              <w:jc w:val="center"/>
              <w:rPr>
                <w:rFonts w:ascii="宋体"/>
                <w:sz w:val="22"/>
              </w:rPr>
            </w:pPr>
            <w:r>
              <w:rPr>
                <w:rFonts w:hint="eastAsia" w:ascii="宋体"/>
                <w:sz w:val="22"/>
              </w:rPr>
              <w:t>扶持政策</w:t>
            </w:r>
          </w:p>
        </w:tc>
        <w:tc>
          <w:tcPr>
            <w:tcW w:w="7619" w:type="dxa"/>
            <w:vAlign w:val="center"/>
          </w:tcPr>
          <w:p>
            <w:pPr>
              <w:rPr>
                <w:rFonts w:ascii="宋体" w:cs="Arial"/>
                <w:sz w:val="22"/>
              </w:rPr>
            </w:pPr>
            <w:r>
              <w:rPr>
                <w:rFonts w:ascii="宋体"/>
                <w:sz w:val="22"/>
              </w:rPr>
              <w:t>1</w:t>
            </w:r>
            <w:r>
              <w:rPr>
                <w:rFonts w:hint="eastAsia" w:ascii="宋体"/>
                <w:sz w:val="22"/>
              </w:rPr>
              <w:t>、</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pPr>
              <w:rPr>
                <w:rFonts w:ascii="宋体"/>
                <w:sz w:val="22"/>
              </w:rPr>
            </w:pPr>
            <w:r>
              <w:rPr>
                <w:rFonts w:ascii="宋体" w:cs="Arial"/>
                <w:sz w:val="22"/>
              </w:rPr>
              <w:t>2</w:t>
            </w:r>
            <w:r>
              <w:rPr>
                <w:rFonts w:hint="eastAsia" w:ascii="宋体" w:cs="Arial"/>
                <w:sz w:val="22"/>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供应商信用查询</w:t>
            </w:r>
          </w:p>
        </w:tc>
        <w:tc>
          <w:tcPr>
            <w:tcW w:w="7619" w:type="dxa"/>
            <w:vAlign w:val="center"/>
          </w:tcPr>
          <w:p>
            <w:pPr>
              <w:rPr>
                <w:rFonts w:ascii="宋体" w:cs="Arial"/>
                <w:sz w:val="22"/>
              </w:rPr>
            </w:pPr>
            <w:r>
              <w:rPr>
                <w:rFonts w:ascii="宋体" w:cs="Arial"/>
                <w:sz w:val="22"/>
              </w:rPr>
              <w:t>1</w:t>
            </w:r>
            <w:r>
              <w:rPr>
                <w:rFonts w:hint="eastAsia" w:ascii="宋体" w:cs="Arial"/>
                <w:sz w:val="22"/>
              </w:rPr>
              <w:t>、投标供应商信用信息查询的查询渠道：“信用中国”(</w:t>
            </w:r>
            <w:r>
              <w:fldChar w:fldCharType="begin"/>
            </w:r>
            <w:r>
              <w:instrText xml:space="preserve"> HYPERLINK "http://www.creditchina.gov.cn" </w:instrText>
            </w:r>
            <w:r>
              <w:fldChar w:fldCharType="separate"/>
            </w:r>
            <w:r>
              <w:rPr>
                <w:rFonts w:hint="eastAsia" w:ascii="宋体" w:cs="Arial"/>
                <w:sz w:val="22"/>
              </w:rPr>
              <w:t>www.creditchina.gov.cn</w:t>
            </w:r>
            <w:r>
              <w:rPr>
                <w:rFonts w:hint="eastAsia" w:ascii="宋体" w:cs="Arial"/>
                <w:sz w:val="22"/>
              </w:rPr>
              <w:fldChar w:fldCharType="end"/>
            </w:r>
            <w:r>
              <w:rPr>
                <w:rFonts w:hint="eastAsia" w:ascii="宋体" w:cs="Arial"/>
                <w:sz w:val="22"/>
              </w:rPr>
              <w:t>)；“中国政府采购网”（http://www.ccgp.gov.cn/）；</w:t>
            </w:r>
          </w:p>
          <w:p>
            <w:pPr>
              <w:rPr>
                <w:rFonts w:ascii="宋体" w:cs="Arial"/>
                <w:sz w:val="22"/>
              </w:rPr>
            </w:pPr>
            <w:r>
              <w:rPr>
                <w:rFonts w:hint="eastAsia" w:ascii="宋体" w:cs="Arial"/>
                <w:sz w:val="22"/>
              </w:rPr>
              <w:t>2、投标供应商信用信息查询截止时点：本项目投标截止时间。</w:t>
            </w:r>
          </w:p>
          <w:p>
            <w:pPr>
              <w:rPr>
                <w:rFonts w:ascii="宋体" w:cs="Arial"/>
                <w:sz w:val="22"/>
              </w:rPr>
            </w:pPr>
            <w:r>
              <w:rPr>
                <w:rFonts w:ascii="宋体" w:cs="Arial"/>
                <w:sz w:val="22"/>
              </w:rPr>
              <w:t>3</w:t>
            </w:r>
            <w:r>
              <w:rPr>
                <w:rFonts w:hint="eastAsia" w:ascii="宋体" w:cs="Arial"/>
                <w:sz w:val="22"/>
              </w:rPr>
              <w:t>、投标供应商信用信息查询记录和证据留存的具体方式：网页截图打印；</w:t>
            </w:r>
          </w:p>
          <w:p>
            <w:pPr>
              <w:rPr>
                <w:rFonts w:ascii="宋体" w:cs="Arial"/>
                <w:sz w:val="22"/>
              </w:rPr>
            </w:pPr>
            <w:r>
              <w:rPr>
                <w:rFonts w:ascii="宋体" w:cs="Arial"/>
                <w:sz w:val="22"/>
              </w:rPr>
              <w:t>4</w:t>
            </w:r>
            <w:r>
              <w:rPr>
                <w:rFonts w:hint="eastAsia" w:ascii="宋体" w:cs="Arial"/>
                <w:sz w:val="22"/>
              </w:rPr>
              <w:t>、信用信息的使用规则：“信用中国”具有负面记录或受惩黑名单的供应商，或“中国政府采购网”具有严重违法失信行为信息记录的供应商，其投标做无效投标处理；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合同备案</w:t>
            </w:r>
          </w:p>
        </w:tc>
        <w:tc>
          <w:tcPr>
            <w:tcW w:w="7619" w:type="dxa"/>
            <w:vAlign w:val="center"/>
          </w:tcPr>
          <w:p>
            <w:pPr>
              <w:rPr>
                <w:rFonts w:ascii="宋体" w:eastAsia="宋体" w:cs="Arial"/>
                <w:sz w:val="22"/>
                <w:szCs w:val="22"/>
              </w:rPr>
            </w:pPr>
            <w:r>
              <w:rPr>
                <w:rFonts w:hint="eastAsia" w:ascii="宋体" w:cs="Arial"/>
                <w:sz w:val="22"/>
              </w:rPr>
              <w:t>1、中标供应商须在发出中标通知书之日起2日历天内与采购单位签订合同。</w:t>
            </w:r>
          </w:p>
          <w:p>
            <w:pPr>
              <w:rPr>
                <w:rFonts w:ascii="宋体" w:cs="Arial"/>
                <w:sz w:val="22"/>
              </w:rPr>
            </w:pPr>
            <w:r>
              <w:rPr>
                <w:rFonts w:hint="eastAsia" w:ascii="宋体" w:cs="Arial"/>
                <w:sz w:val="22"/>
              </w:rPr>
              <w:t>2、中标供应商与采购单位签订合同后，2日历天内将合同原件交代理机构备案。</w:t>
            </w:r>
            <w:r>
              <w:rPr>
                <w:rFonts w:hint="eastAsia" w:ascii="宋体" w:cs="Arial"/>
                <w:b/>
                <w:bCs/>
                <w:sz w:val="22"/>
              </w:rPr>
              <w:t>合同原件扫描件电子版（邮件注明项目名称）发给泰顺县公共资源交易中心977148244@qq.com</w:t>
            </w:r>
          </w:p>
          <w:p>
            <w:pPr>
              <w:rPr>
                <w:rFonts w:ascii="宋体" w:cs="Arial"/>
                <w:sz w:val="22"/>
              </w:rPr>
            </w:pPr>
            <w:r>
              <w:rPr>
                <w:rFonts w:hint="eastAsia" w:ascii="宋体" w:cs="Arial"/>
                <w:sz w:val="22"/>
              </w:rPr>
              <w:t>3、本项目政府采购合同按规定在</w:t>
            </w:r>
            <w:r>
              <w:rPr>
                <w:rFonts w:hint="eastAsia"/>
                <w:sz w:val="22"/>
              </w:rPr>
              <w:t>浙江政府采购网（http://www.zcygov.cn/）</w:t>
            </w:r>
            <w:r>
              <w:rPr>
                <w:rFonts w:hint="eastAsia" w:ascii="宋体" w:cs="Arial"/>
                <w:sz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sz w:val="22"/>
              </w:rPr>
            </w:pPr>
            <w:r>
              <w:rPr>
                <w:rFonts w:hint="eastAsia" w:ascii="宋体"/>
                <w:sz w:val="22"/>
              </w:rPr>
              <w:t>合同履约管理</w:t>
            </w:r>
          </w:p>
        </w:tc>
        <w:tc>
          <w:tcPr>
            <w:tcW w:w="7619" w:type="dxa"/>
            <w:vAlign w:val="center"/>
          </w:tcPr>
          <w:p>
            <w:pPr>
              <w:rPr>
                <w:rFonts w:ascii="宋体" w:cs="Arial"/>
                <w:sz w:val="22"/>
              </w:rPr>
            </w:pPr>
            <w:r>
              <w:rPr>
                <w:rFonts w:hint="eastAsia" w:ascii="宋体" w:cs="Arial"/>
                <w:sz w:val="22"/>
              </w:rPr>
              <w:t>合同签订后，采购单位依法加强对合同履约进行管理，并在成交单位供货、项目验收等重要关节，如实填写《合同验收报告》（表附合同条款中），并及时向同级财政部门报告验收过程中遇到的问题。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sz w:val="22"/>
              </w:rPr>
            </w:pPr>
            <w:r>
              <w:rPr>
                <w:rFonts w:hint="eastAsia" w:ascii="宋体"/>
                <w:sz w:val="22"/>
              </w:rPr>
              <w:t>免责声明</w:t>
            </w:r>
          </w:p>
        </w:tc>
        <w:tc>
          <w:tcPr>
            <w:tcW w:w="7619" w:type="dxa"/>
            <w:vAlign w:val="center"/>
          </w:tcPr>
          <w:p>
            <w:pPr>
              <w:rPr>
                <w:rFonts w:ascii="宋体" w:cs="Arial"/>
                <w:sz w:val="22"/>
              </w:rPr>
            </w:pPr>
            <w:r>
              <w:rPr>
                <w:rFonts w:ascii="宋体" w:cs="Arial"/>
                <w:sz w:val="22"/>
              </w:rPr>
              <w:t>1</w:t>
            </w:r>
            <w:r>
              <w:rPr>
                <w:rFonts w:hint="eastAsia" w:ascii="宋体" w:cs="Arial"/>
                <w:sz w:val="22"/>
              </w:rPr>
              <w:t>、投标供应商自行承担投标过程中产生的费用。无论何种因素导致采购项目延期开标、废标（流标）、投标供应商未成交、项目终止采购的，采购单位与代理机构均不承担供应商投标费用。</w:t>
            </w:r>
          </w:p>
          <w:p>
            <w:pPr>
              <w:rPr>
                <w:rFonts w:ascii="宋体" w:cs="Arial"/>
                <w:sz w:val="22"/>
              </w:rPr>
            </w:pPr>
            <w:r>
              <w:rPr>
                <w:rFonts w:ascii="宋体" w:cs="Arial"/>
                <w:sz w:val="22"/>
              </w:rPr>
              <w:t>2</w:t>
            </w:r>
            <w:r>
              <w:rPr>
                <w:rFonts w:hint="eastAsia" w:ascii="宋体" w:cs="Arial"/>
                <w:sz w:val="22"/>
              </w:rPr>
              <w:t>、投标供应商在投标、合同履行过程中必须做好安全保障工作，不因项目实施而危及自身及第三方人员、财产安全。若发生任何安全事故，由成交供应商自行承担一切责任并赔偿损失。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rPr>
            </w:pPr>
          </w:p>
        </w:tc>
        <w:tc>
          <w:tcPr>
            <w:tcW w:w="1600" w:type="dxa"/>
            <w:vAlign w:val="center"/>
          </w:tcPr>
          <w:p>
            <w:pPr>
              <w:jc w:val="center"/>
              <w:rPr>
                <w:rFonts w:ascii="宋体" w:cs="Arial"/>
                <w:sz w:val="22"/>
              </w:rPr>
            </w:pPr>
            <w:r>
              <w:rPr>
                <w:rFonts w:hint="eastAsia" w:ascii="宋体" w:cs="Arial"/>
                <w:sz w:val="22"/>
              </w:rPr>
              <w:t>解释权</w:t>
            </w:r>
          </w:p>
        </w:tc>
        <w:tc>
          <w:tcPr>
            <w:tcW w:w="7619" w:type="dxa"/>
            <w:vAlign w:val="center"/>
          </w:tcPr>
          <w:p>
            <w:pPr>
              <w:rPr>
                <w:rFonts w:ascii="宋体" w:cs="Arial"/>
                <w:sz w:val="22"/>
              </w:rPr>
            </w:pPr>
            <w:r>
              <w:rPr>
                <w:rFonts w:hint="eastAsia" w:ascii="宋体" w:cs="Arial"/>
                <w:sz w:val="22"/>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响应文件格式的先后顺序解释；同一文件中就同一事项的约定不一致的，以逻辑顺序在后者为准；同一文件不同版本之间有不一致的，以形成时间在后者为准。按本款前述约定仍不能形成结论的，由招标代理机构或采购单位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6"/>
              </w:numPr>
              <w:tabs>
                <w:tab w:val="left" w:pos="432"/>
              </w:tabs>
              <w:ind w:left="420" w:hanging="420"/>
              <w:jc w:val="right"/>
              <w:rPr>
                <w:rFonts w:ascii="宋体" w:eastAsia="Times New Roman"/>
                <w:sz w:val="22"/>
              </w:rPr>
            </w:pPr>
          </w:p>
        </w:tc>
        <w:tc>
          <w:tcPr>
            <w:tcW w:w="1600" w:type="dxa"/>
            <w:tcBorders>
              <w:bottom w:val="single" w:color="auto" w:sz="12" w:space="0"/>
            </w:tcBorders>
            <w:vAlign w:val="center"/>
          </w:tcPr>
          <w:p>
            <w:pPr>
              <w:jc w:val="center"/>
              <w:rPr>
                <w:rFonts w:ascii="宋体" w:cs="Arial"/>
                <w:sz w:val="22"/>
              </w:rPr>
            </w:pPr>
            <w:r>
              <w:rPr>
                <w:rFonts w:hint="eastAsia" w:ascii="宋体" w:cs="Arial"/>
                <w:color w:val="000000" w:themeColor="text1"/>
                <w:sz w:val="22"/>
                <w:szCs w:val="22"/>
                <w14:textFill>
                  <w14:solidFill>
                    <w14:schemeClr w14:val="tx1"/>
                  </w14:solidFill>
                </w14:textFill>
              </w:rPr>
              <w:t>注意事项</w:t>
            </w:r>
          </w:p>
        </w:tc>
        <w:tc>
          <w:tcPr>
            <w:tcW w:w="7619" w:type="dxa"/>
            <w:tcBorders>
              <w:bottom w:val="single" w:color="auto" w:sz="12" w:space="0"/>
            </w:tcBorders>
            <w:vAlign w:val="center"/>
          </w:tcPr>
          <w:p>
            <w:pPr>
              <w:rPr>
                <w:rFonts w:ascii="宋体" w:cs="Arial"/>
                <w:color w:val="000000" w:themeColor="text1"/>
                <w:sz w:val="22"/>
                <w:szCs w:val="22"/>
                <w14:textFill>
                  <w14:solidFill>
                    <w14:schemeClr w14:val="tx1"/>
                  </w14:solidFill>
                </w14:textFill>
              </w:rPr>
            </w:pPr>
            <w:r>
              <w:rPr>
                <w:rFonts w:hint="eastAsia" w:ascii="宋体" w:cs="Arial"/>
                <w:color w:val="000000" w:themeColor="text1"/>
                <w:sz w:val="22"/>
                <w:szCs w:val="22"/>
                <w14:textFill>
                  <w14:solidFill>
                    <w14:schemeClr w14:val="tx1"/>
                  </w14:solidFill>
                </w14:textFill>
              </w:rPr>
              <w:t>1、请务必确保投标文件制作客户端为最新版本，旧版本可能导致投标文件解密失败。</w:t>
            </w:r>
          </w:p>
          <w:p>
            <w:pPr>
              <w:rPr>
                <w:rFonts w:ascii="宋体" w:cs="Arial"/>
                <w:sz w:val="22"/>
              </w:rPr>
            </w:pPr>
            <w:r>
              <w:rPr>
                <w:rFonts w:hint="eastAsia" w:ascii="宋体" w:cs="Arial"/>
                <w:color w:val="000000" w:themeColor="text1"/>
                <w:sz w:val="22"/>
                <w:szCs w:val="22"/>
                <w14:textFill>
                  <w14:solidFill>
                    <w14:schemeClr w14:val="tx1"/>
                  </w14:solidFill>
                </w14:textFill>
              </w:rPr>
              <w:t>2、请务必确保投标文件制作时所用的 CA 锁与投标文件解密时的 CA 锁为同一把，否则可能导致投标文件解密失败。</w:t>
            </w:r>
          </w:p>
        </w:tc>
      </w:tr>
    </w:tbl>
    <w:p>
      <w:pPr>
        <w:pStyle w:val="24"/>
        <w:jc w:val="both"/>
        <w:rPr>
          <w:lang w:val="zh-CN"/>
        </w:rPr>
      </w:pPr>
      <w:r>
        <w:rPr>
          <w:rFonts w:hint="eastAsia" w:ascii="宋体" w:hAnsi="Calibri"/>
          <w:kern w:val="2"/>
          <w:sz w:val="36"/>
          <w:szCs w:val="36"/>
          <w:lang w:val="zh-CN"/>
        </w:rPr>
        <w:br w:type="page"/>
      </w:r>
    </w:p>
    <w:p>
      <w:pPr>
        <w:pStyle w:val="46"/>
        <w:ind w:firstLine="0"/>
        <w:rPr>
          <w:lang w:val="zh-CN"/>
        </w:rPr>
      </w:pPr>
    </w:p>
    <w:p>
      <w:pPr>
        <w:numPr>
          <w:ilvl w:val="0"/>
          <w:numId w:val="8"/>
        </w:numPr>
        <w:jc w:val="center"/>
        <w:rPr>
          <w:rFonts w:ascii="宋体" w:hAnsi="Calibri"/>
          <w:b/>
          <w:bCs/>
          <w:sz w:val="36"/>
          <w:szCs w:val="36"/>
          <w:lang w:val="zh-CN"/>
        </w:rPr>
      </w:pPr>
      <w:r>
        <w:rPr>
          <w:rFonts w:hint="eastAsia" w:ascii="宋体" w:hAnsi="Calibri"/>
          <w:b/>
          <w:bCs/>
          <w:sz w:val="36"/>
          <w:szCs w:val="36"/>
          <w:lang w:val="zh-CN"/>
        </w:rPr>
        <w:t>招标内容</w:t>
      </w:r>
    </w:p>
    <w:p>
      <w:pPr>
        <w:spacing w:line="360" w:lineRule="auto"/>
        <w:ind w:firstLine="420" w:firstLineChars="190"/>
        <w:rPr>
          <w:rFonts w:ascii="宋体"/>
          <w:b/>
          <w:bCs/>
          <w:sz w:val="22"/>
        </w:rPr>
      </w:pPr>
      <w:r>
        <w:rPr>
          <w:rFonts w:hint="eastAsia" w:ascii="宋体"/>
          <w:b/>
          <w:bCs/>
          <w:sz w:val="22"/>
        </w:rPr>
        <w:t>一、项目背景</w:t>
      </w:r>
    </w:p>
    <w:p>
      <w:pPr>
        <w:spacing w:line="360" w:lineRule="auto"/>
        <w:ind w:firstLine="418" w:firstLineChars="190"/>
        <w:rPr>
          <w:sz w:val="22"/>
          <w:szCs w:val="22"/>
        </w:rPr>
      </w:pPr>
      <w:r>
        <w:rPr>
          <w:rFonts w:hint="eastAsia"/>
          <w:sz w:val="22"/>
          <w:szCs w:val="22"/>
        </w:rPr>
        <w:t>根据《浙江省方舱医院建设实施方案的通知》（省疫情防控办[2022]40号）和县卫健局《关于泰顺县方舱医院医疗设备及日常物资采购建议》文件要求，泰顺要建设完成200张床位规模方舱医院，同时要尽快完成前期改造，能随时投入使用。</w:t>
      </w:r>
    </w:p>
    <w:p>
      <w:pPr>
        <w:spacing w:line="360" w:lineRule="auto"/>
        <w:ind w:firstLine="420" w:firstLineChars="190"/>
        <w:rPr>
          <w:sz w:val="22"/>
          <w:szCs w:val="22"/>
        </w:rPr>
      </w:pPr>
      <w:r>
        <w:rPr>
          <w:rFonts w:hint="eastAsia" w:ascii="宋体"/>
          <w:b/>
          <w:bCs/>
          <w:sz w:val="22"/>
        </w:rPr>
        <w:t>二、采购总说明</w:t>
      </w:r>
    </w:p>
    <w:p>
      <w:pPr>
        <w:spacing w:line="360" w:lineRule="auto"/>
        <w:ind w:firstLine="418" w:firstLineChars="190"/>
        <w:rPr>
          <w:sz w:val="22"/>
          <w:szCs w:val="22"/>
        </w:rPr>
      </w:pPr>
      <w:r>
        <w:rPr>
          <w:rFonts w:hint="eastAsia"/>
          <w:sz w:val="22"/>
          <w:szCs w:val="22"/>
        </w:rPr>
        <w:t>1.1．本技术规范要求提出的是最低限度的基本技术要求，并未对所有技术细节作出规定，供应商应提供符合本技术要求和国家标准、行业标准的优质产品。</w:t>
      </w:r>
    </w:p>
    <w:p>
      <w:pPr>
        <w:spacing w:line="360" w:lineRule="auto"/>
        <w:ind w:firstLine="418" w:firstLineChars="190"/>
        <w:rPr>
          <w:sz w:val="22"/>
          <w:szCs w:val="22"/>
        </w:rPr>
      </w:pPr>
      <w:r>
        <w:rPr>
          <w:rFonts w:hint="eastAsia"/>
          <w:sz w:val="22"/>
          <w:szCs w:val="22"/>
        </w:rPr>
        <w:t>1.2．供应商产品与本技术要求不一致时，供应商应在投标文件中予以说明，并由评审委员会鉴定供应商产品能否达到要求。如供应商没有在投标文件中提出异议，则视为供应商提供的产品完全按照本采购文件要求。</w:t>
      </w:r>
    </w:p>
    <w:p>
      <w:pPr>
        <w:spacing w:line="360" w:lineRule="auto"/>
        <w:ind w:firstLine="418" w:firstLineChars="190"/>
        <w:rPr>
          <w:sz w:val="22"/>
          <w:szCs w:val="22"/>
        </w:rPr>
      </w:pPr>
      <w:r>
        <w:rPr>
          <w:rFonts w:hint="eastAsia"/>
          <w:sz w:val="22"/>
          <w:szCs w:val="22"/>
        </w:rPr>
        <w:t>2．技术要求及标准的执行</w:t>
      </w:r>
    </w:p>
    <w:p>
      <w:pPr>
        <w:spacing w:line="360" w:lineRule="auto"/>
        <w:ind w:firstLine="418" w:firstLineChars="190"/>
        <w:rPr>
          <w:sz w:val="22"/>
          <w:szCs w:val="22"/>
        </w:rPr>
      </w:pPr>
      <w:r>
        <w:rPr>
          <w:rFonts w:hint="eastAsia"/>
          <w:sz w:val="22"/>
          <w:szCs w:val="22"/>
        </w:rPr>
        <w:t>2.1供应商提供的</w:t>
      </w:r>
      <w:r>
        <w:rPr>
          <w:rFonts w:hint="eastAsia" w:eastAsia="宋体"/>
          <w:sz w:val="22"/>
          <w:szCs w:val="22"/>
        </w:rPr>
        <w:t>医疗</w:t>
      </w:r>
      <w:r>
        <w:rPr>
          <w:rFonts w:hint="eastAsia"/>
          <w:sz w:val="22"/>
          <w:szCs w:val="22"/>
        </w:rPr>
        <w:t>产品应标明所执行的质量标准，若同一标准已颁发新标准，则按最新标准执行。若同一产品同时有几个标准（国际标准、国家标准、行业标准、企业标准等），则按最高层次的标准执行</w:t>
      </w:r>
    </w:p>
    <w:p>
      <w:pPr>
        <w:spacing w:line="360" w:lineRule="auto"/>
        <w:ind w:firstLine="418" w:firstLineChars="190"/>
        <w:rPr>
          <w:sz w:val="22"/>
          <w:szCs w:val="22"/>
        </w:rPr>
      </w:pPr>
      <w:r>
        <w:rPr>
          <w:rFonts w:hint="eastAsia"/>
          <w:sz w:val="22"/>
          <w:szCs w:val="22"/>
        </w:rPr>
        <w:t>2.2以上规范和标准应以实施的最新版本为准。原有规范若已被废弃，则以相应的新规范为准。</w:t>
      </w:r>
    </w:p>
    <w:p>
      <w:pPr>
        <w:spacing w:line="360" w:lineRule="auto"/>
        <w:ind w:firstLine="418" w:firstLineChars="190"/>
        <w:rPr>
          <w:sz w:val="22"/>
          <w:szCs w:val="22"/>
        </w:rPr>
      </w:pPr>
      <w:r>
        <w:rPr>
          <w:rFonts w:hint="eastAsia"/>
          <w:sz w:val="22"/>
          <w:szCs w:val="22"/>
        </w:rPr>
        <w:t>2.3投标供应商应对所提供的</w:t>
      </w:r>
      <w:r>
        <w:rPr>
          <w:rFonts w:hint="eastAsia" w:eastAsia="宋体"/>
          <w:sz w:val="22"/>
          <w:szCs w:val="22"/>
        </w:rPr>
        <w:t>医疗</w:t>
      </w:r>
      <w:r>
        <w:rPr>
          <w:rFonts w:hint="eastAsia"/>
          <w:sz w:val="22"/>
          <w:szCs w:val="22"/>
        </w:rPr>
        <w:t>货物材料性能、质量负责，并提供相应的指导安装、服务、质保及技术培训。</w:t>
      </w:r>
    </w:p>
    <w:p>
      <w:pPr>
        <w:spacing w:line="360" w:lineRule="auto"/>
        <w:ind w:firstLine="418" w:firstLineChars="190"/>
        <w:rPr>
          <w:sz w:val="22"/>
          <w:szCs w:val="22"/>
        </w:rPr>
      </w:pPr>
      <w:r>
        <w:rPr>
          <w:rFonts w:hint="eastAsia"/>
          <w:sz w:val="22"/>
          <w:szCs w:val="22"/>
        </w:rPr>
        <w:t>2.4采购的</w:t>
      </w:r>
      <w:r>
        <w:rPr>
          <w:rFonts w:hint="eastAsia" w:eastAsia="宋体"/>
          <w:sz w:val="22"/>
          <w:szCs w:val="22"/>
        </w:rPr>
        <w:t>医疗</w:t>
      </w:r>
      <w:r>
        <w:rPr>
          <w:rFonts w:hint="eastAsia"/>
          <w:sz w:val="22"/>
          <w:szCs w:val="22"/>
        </w:rPr>
        <w:t>货物所涉及的产品标准、规范，验收标准等，应符合国家有关条例及标准的规定。</w:t>
      </w:r>
    </w:p>
    <w:p>
      <w:pPr>
        <w:widowControl/>
        <w:autoSpaceDE w:val="0"/>
        <w:autoSpaceDN w:val="0"/>
        <w:adjustRightInd w:val="0"/>
        <w:spacing w:line="360" w:lineRule="auto"/>
        <w:textAlignment w:val="bottom"/>
        <w:rPr>
          <w:rFonts w:ascii="宋体"/>
          <w:b/>
          <w:bCs/>
          <w:sz w:val="22"/>
        </w:rPr>
      </w:pPr>
      <w:r>
        <w:rPr>
          <w:rFonts w:hint="eastAsia" w:ascii="宋体"/>
          <w:b/>
          <w:bCs/>
          <w:sz w:val="22"/>
        </w:rPr>
        <w:t>三、采购内容及要求</w:t>
      </w:r>
    </w:p>
    <w:p>
      <w:pPr>
        <w:widowControl/>
        <w:autoSpaceDE w:val="0"/>
        <w:autoSpaceDN w:val="0"/>
        <w:adjustRightInd w:val="0"/>
        <w:spacing w:line="360" w:lineRule="auto"/>
        <w:ind w:firstLine="420"/>
        <w:textAlignment w:val="bottom"/>
        <w:rPr>
          <w:rFonts w:hAnsi="宋体" w:cs="宋体"/>
          <w:b/>
          <w:bCs/>
          <w:sz w:val="22"/>
        </w:rPr>
      </w:pPr>
      <w:r>
        <w:rPr>
          <w:rFonts w:hint="eastAsia" w:hAnsi="宋体" w:cs="宋体"/>
          <w:b/>
          <w:bCs/>
          <w:sz w:val="22"/>
        </w:rPr>
        <w:t>1、采购内容</w:t>
      </w:r>
    </w:p>
    <w:tbl>
      <w:tblPr>
        <w:tblStyle w:val="28"/>
        <w:tblpPr w:leftFromText="180" w:rightFromText="180" w:vertAnchor="text" w:horzAnchor="page" w:tblpX="1105" w:tblpY="475"/>
        <w:tblOverlap w:val="never"/>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119"/>
        <w:gridCol w:w="1363"/>
        <w:gridCol w:w="1691"/>
        <w:gridCol w:w="174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b/>
                <w:color w:val="000000"/>
                <w:kern w:val="0"/>
                <w:sz w:val="24"/>
                <w:lang w:bidi="ar"/>
              </w:rPr>
              <w:t>序号</w:t>
            </w:r>
          </w:p>
        </w:tc>
        <w:tc>
          <w:tcPr>
            <w:tcW w:w="3119"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b/>
                <w:color w:val="000000"/>
                <w:kern w:val="0"/>
                <w:sz w:val="24"/>
                <w:lang w:bidi="ar"/>
              </w:rPr>
              <w:t>物资名称</w:t>
            </w:r>
          </w:p>
        </w:tc>
        <w:tc>
          <w:tcPr>
            <w:tcW w:w="136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b/>
                <w:color w:val="000000"/>
                <w:kern w:val="0"/>
                <w:sz w:val="24"/>
                <w:lang w:bidi="ar"/>
              </w:rPr>
              <w:t>单位</w:t>
            </w:r>
          </w:p>
        </w:tc>
        <w:tc>
          <w:tcPr>
            <w:tcW w:w="1691" w:type="dxa"/>
            <w:vAlign w:val="center"/>
          </w:tcPr>
          <w:p>
            <w:pPr>
              <w:widowControl/>
              <w:ind w:firstLine="482" w:firstLineChars="200"/>
              <w:textAlignment w:val="center"/>
              <w:rPr>
                <w:rFonts w:ascii="Calibri" w:hAnsi="Calibri"/>
                <w:b/>
                <w:bCs/>
                <w:color w:val="000000"/>
                <w:sz w:val="6"/>
                <w:szCs w:val="6"/>
              </w:rPr>
            </w:pPr>
            <w:r>
              <w:rPr>
                <w:rFonts w:hint="eastAsia" w:ascii="宋体" w:hAnsi="宋体" w:eastAsia="宋体" w:cs="宋体"/>
                <w:b/>
                <w:color w:val="000000"/>
                <w:kern w:val="0"/>
                <w:sz w:val="24"/>
                <w:lang w:bidi="ar"/>
              </w:rPr>
              <w:t>计划量</w:t>
            </w:r>
          </w:p>
        </w:tc>
        <w:tc>
          <w:tcPr>
            <w:tcW w:w="1746" w:type="dxa"/>
            <w:vAlign w:val="center"/>
          </w:tcPr>
          <w:p>
            <w:pPr>
              <w:widowControl/>
              <w:jc w:val="center"/>
              <w:textAlignment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控制单价（元）</w:t>
            </w:r>
          </w:p>
        </w:tc>
        <w:tc>
          <w:tcPr>
            <w:tcW w:w="1377" w:type="dxa"/>
            <w:vAlign w:val="center"/>
          </w:tcPr>
          <w:p>
            <w:pPr>
              <w:widowControl/>
              <w:jc w:val="center"/>
              <w:textAlignment w:val="center"/>
              <w:rPr>
                <w:rFonts w:ascii="宋体" w:hAnsi="宋体" w:eastAsia="宋体" w:cs="宋体"/>
                <w:b/>
                <w:color w:val="000000"/>
                <w:kern w:val="0"/>
                <w:sz w:val="24"/>
                <w:lang w:bidi="ar"/>
              </w:rPr>
            </w:pPr>
            <w:r>
              <w:rPr>
                <w:rFonts w:hint="eastAsia" w:ascii="宋体" w:hAnsi="宋体" w:eastAsia="宋体" w:cs="宋体"/>
                <w:b/>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1</w:t>
            </w:r>
          </w:p>
        </w:tc>
        <w:tc>
          <w:tcPr>
            <w:tcW w:w="3119" w:type="dxa"/>
            <w:vAlign w:val="center"/>
          </w:tcPr>
          <w:p>
            <w:pPr>
              <w:pStyle w:val="95"/>
              <w:spacing w:before="15" w:line="276" w:lineRule="exact"/>
              <w:ind w:left="49" w:right="38"/>
              <w:rPr>
                <w:sz w:val="22"/>
              </w:rPr>
            </w:pPr>
            <w:r>
              <w:rPr>
                <w:sz w:val="22"/>
              </w:rPr>
              <w:t>预装设备带（包括传呼铃）</w:t>
            </w:r>
          </w:p>
        </w:tc>
        <w:tc>
          <w:tcPr>
            <w:tcW w:w="1363" w:type="dxa"/>
            <w:vAlign w:val="center"/>
          </w:tcPr>
          <w:p>
            <w:pPr>
              <w:jc w:val="center"/>
              <w:rPr>
                <w:rFonts w:ascii="Calibri" w:hAnsi="Calibri"/>
                <w:sz w:val="24"/>
              </w:rPr>
            </w:pPr>
            <w:r>
              <w:rPr>
                <w:rFonts w:hint="eastAsia" w:ascii="Calibri" w:hAnsi="Calibri"/>
                <w:sz w:val="24"/>
              </w:rPr>
              <w:t>套</w:t>
            </w:r>
          </w:p>
        </w:tc>
        <w:tc>
          <w:tcPr>
            <w:tcW w:w="1691" w:type="dxa"/>
            <w:vAlign w:val="center"/>
          </w:tcPr>
          <w:p>
            <w:pPr>
              <w:jc w:val="center"/>
              <w:rPr>
                <w:rFonts w:ascii="Calibri" w:hAnsi="Calibri"/>
                <w:sz w:val="24"/>
              </w:rPr>
            </w:pPr>
            <w:r>
              <w:rPr>
                <w:rFonts w:hint="eastAsia" w:ascii="Calibri" w:hAnsi="Calibri"/>
                <w:sz w:val="24"/>
              </w:rPr>
              <w:t>8</w:t>
            </w:r>
          </w:p>
        </w:tc>
        <w:tc>
          <w:tcPr>
            <w:tcW w:w="1746" w:type="dxa"/>
            <w:vAlign w:val="center"/>
          </w:tcPr>
          <w:p>
            <w:pPr>
              <w:jc w:val="center"/>
              <w:rPr>
                <w:rFonts w:ascii="Calibri" w:hAnsi="Calibri"/>
                <w:sz w:val="24"/>
              </w:rPr>
            </w:pPr>
            <w:r>
              <w:rPr>
                <w:rFonts w:hint="eastAsia" w:ascii="Calibri" w:hAnsi="Calibri"/>
                <w:sz w:val="24"/>
              </w:rPr>
              <w:t>400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3119" w:type="dxa"/>
            <w:vAlign w:val="center"/>
          </w:tcPr>
          <w:p>
            <w:pPr>
              <w:pStyle w:val="95"/>
              <w:spacing w:before="15" w:line="276" w:lineRule="exact"/>
              <w:ind w:left="49" w:right="38"/>
              <w:rPr>
                <w:sz w:val="22"/>
                <w:lang w:val="en-US"/>
              </w:rPr>
            </w:pPr>
            <w:r>
              <w:rPr>
                <w:rFonts w:hint="eastAsia"/>
                <w:sz w:val="22"/>
                <w:lang w:val="en-US"/>
              </w:rPr>
              <w:t>病床</w:t>
            </w:r>
          </w:p>
        </w:tc>
        <w:tc>
          <w:tcPr>
            <w:tcW w:w="136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169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200</w:t>
            </w:r>
          </w:p>
        </w:tc>
        <w:tc>
          <w:tcPr>
            <w:tcW w:w="1746"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400</w:t>
            </w:r>
          </w:p>
        </w:tc>
        <w:tc>
          <w:tcPr>
            <w:tcW w:w="1377" w:type="dxa"/>
            <w:vAlign w:val="center"/>
          </w:tcPr>
          <w:p>
            <w:pPr>
              <w:widowControl/>
              <w:jc w:val="center"/>
              <w:textAlignment w:val="center"/>
              <w:rPr>
                <w:rFonts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3</w:t>
            </w:r>
          </w:p>
        </w:tc>
        <w:tc>
          <w:tcPr>
            <w:tcW w:w="3119" w:type="dxa"/>
            <w:vAlign w:val="center"/>
          </w:tcPr>
          <w:p>
            <w:pPr>
              <w:pStyle w:val="95"/>
              <w:spacing w:before="16"/>
              <w:ind w:left="49" w:right="38"/>
              <w:rPr>
                <w:rFonts w:ascii="Times New Roman" w:hAnsi="Times New Roman"/>
                <w:sz w:val="24"/>
              </w:rPr>
            </w:pPr>
            <w:r>
              <w:rPr>
                <w:sz w:val="22"/>
              </w:rPr>
              <w:t>床单位臭氧消毒器</w:t>
            </w:r>
          </w:p>
        </w:tc>
        <w:tc>
          <w:tcPr>
            <w:tcW w:w="1363" w:type="dxa"/>
            <w:vAlign w:val="center"/>
          </w:tcPr>
          <w:p>
            <w:pPr>
              <w:jc w:val="center"/>
              <w:rPr>
                <w:rFonts w:ascii="Calibri" w:hAnsi="Calibri"/>
                <w:sz w:val="24"/>
              </w:rPr>
            </w:pPr>
            <w:r>
              <w:rPr>
                <w:rFonts w:hint="eastAsia" w:ascii="Calibri" w:hAnsi="Calibri"/>
                <w:sz w:val="24"/>
              </w:rPr>
              <w:t>个</w:t>
            </w:r>
          </w:p>
        </w:tc>
        <w:tc>
          <w:tcPr>
            <w:tcW w:w="1691" w:type="dxa"/>
            <w:vAlign w:val="center"/>
          </w:tcPr>
          <w:p>
            <w:pPr>
              <w:jc w:val="center"/>
              <w:rPr>
                <w:rFonts w:ascii="Calibri" w:hAnsi="Calibri"/>
                <w:sz w:val="24"/>
              </w:rPr>
            </w:pPr>
            <w:r>
              <w:rPr>
                <w:rFonts w:hint="eastAsia" w:ascii="Calibri" w:hAnsi="Calibri"/>
                <w:sz w:val="24"/>
              </w:rPr>
              <w:t>10</w:t>
            </w:r>
          </w:p>
        </w:tc>
        <w:tc>
          <w:tcPr>
            <w:tcW w:w="1746" w:type="dxa"/>
            <w:vAlign w:val="center"/>
          </w:tcPr>
          <w:p>
            <w:pPr>
              <w:jc w:val="center"/>
              <w:rPr>
                <w:rFonts w:ascii="Calibri" w:hAnsi="Calibri"/>
                <w:sz w:val="24"/>
              </w:rPr>
            </w:pPr>
            <w:r>
              <w:rPr>
                <w:rFonts w:hint="eastAsia" w:ascii="Calibri" w:hAnsi="Calibri"/>
                <w:sz w:val="24"/>
              </w:rPr>
              <w:t>7100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4</w:t>
            </w:r>
          </w:p>
        </w:tc>
        <w:tc>
          <w:tcPr>
            <w:tcW w:w="3119" w:type="dxa"/>
            <w:vAlign w:val="center"/>
          </w:tcPr>
          <w:p>
            <w:pPr>
              <w:pStyle w:val="95"/>
              <w:spacing w:before="15" w:line="276" w:lineRule="exact"/>
              <w:ind w:left="49" w:right="38"/>
              <w:rPr>
                <w:rFonts w:ascii="Times New Roman" w:hAnsi="Times New Roman"/>
                <w:sz w:val="24"/>
              </w:rPr>
            </w:pPr>
            <w:r>
              <w:rPr>
                <w:sz w:val="22"/>
              </w:rPr>
              <w:t>紫外线消毒车</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20</w:t>
            </w:r>
          </w:p>
        </w:tc>
        <w:tc>
          <w:tcPr>
            <w:tcW w:w="1746" w:type="dxa"/>
            <w:vAlign w:val="center"/>
          </w:tcPr>
          <w:p>
            <w:pPr>
              <w:jc w:val="center"/>
              <w:rPr>
                <w:rFonts w:ascii="Calibri" w:hAnsi="Calibri"/>
                <w:sz w:val="24"/>
              </w:rPr>
            </w:pPr>
            <w:r>
              <w:rPr>
                <w:rFonts w:hint="eastAsia" w:ascii="Calibri" w:hAnsi="Calibri"/>
                <w:sz w:val="24"/>
              </w:rPr>
              <w:t>1000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5</w:t>
            </w:r>
          </w:p>
        </w:tc>
        <w:tc>
          <w:tcPr>
            <w:tcW w:w="3119" w:type="dxa"/>
            <w:vAlign w:val="center"/>
          </w:tcPr>
          <w:p>
            <w:pPr>
              <w:pStyle w:val="95"/>
              <w:spacing w:before="15" w:line="276" w:lineRule="exact"/>
              <w:ind w:left="49" w:right="38"/>
              <w:rPr>
                <w:sz w:val="22"/>
              </w:rPr>
            </w:pPr>
            <w:r>
              <w:rPr>
                <w:sz w:val="22"/>
              </w:rPr>
              <w:t>等离子移动空气消毒机</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40</w:t>
            </w:r>
          </w:p>
        </w:tc>
        <w:tc>
          <w:tcPr>
            <w:tcW w:w="1746" w:type="dxa"/>
            <w:vAlign w:val="center"/>
          </w:tcPr>
          <w:p>
            <w:pPr>
              <w:jc w:val="center"/>
              <w:rPr>
                <w:rFonts w:ascii="Calibri" w:hAnsi="Calibri"/>
                <w:sz w:val="24"/>
              </w:rPr>
            </w:pPr>
            <w:r>
              <w:rPr>
                <w:rFonts w:hint="eastAsia" w:ascii="Calibri" w:hAnsi="Calibri"/>
                <w:sz w:val="24"/>
              </w:rPr>
              <w:t>5000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6</w:t>
            </w:r>
          </w:p>
        </w:tc>
        <w:tc>
          <w:tcPr>
            <w:tcW w:w="3119" w:type="dxa"/>
            <w:vAlign w:val="center"/>
          </w:tcPr>
          <w:p>
            <w:pPr>
              <w:pStyle w:val="95"/>
              <w:spacing w:before="15" w:line="276" w:lineRule="exact"/>
              <w:ind w:left="49" w:right="38"/>
              <w:rPr>
                <w:sz w:val="22"/>
              </w:rPr>
            </w:pPr>
            <w:r>
              <w:rPr>
                <w:sz w:val="22"/>
              </w:rPr>
              <w:t>电动吸引器</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1000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7</w:t>
            </w:r>
          </w:p>
        </w:tc>
        <w:tc>
          <w:tcPr>
            <w:tcW w:w="3119" w:type="dxa"/>
            <w:vAlign w:val="center"/>
          </w:tcPr>
          <w:p>
            <w:pPr>
              <w:pStyle w:val="95"/>
              <w:spacing w:before="15" w:line="276" w:lineRule="exact"/>
              <w:ind w:left="49" w:right="38"/>
              <w:rPr>
                <w:sz w:val="22"/>
              </w:rPr>
            </w:pPr>
            <w:r>
              <w:rPr>
                <w:sz w:val="22"/>
              </w:rPr>
              <w:t>心电监护仪</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25000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8</w:t>
            </w:r>
          </w:p>
        </w:tc>
        <w:tc>
          <w:tcPr>
            <w:tcW w:w="3119" w:type="dxa"/>
            <w:vAlign w:val="center"/>
          </w:tcPr>
          <w:p>
            <w:pPr>
              <w:pStyle w:val="95"/>
              <w:spacing w:before="15" w:line="276" w:lineRule="exact"/>
              <w:ind w:left="49" w:right="38"/>
              <w:rPr>
                <w:sz w:val="22"/>
              </w:rPr>
            </w:pPr>
            <w:r>
              <w:rPr>
                <w:sz w:val="22"/>
              </w:rPr>
              <w:t>红外耳温计</w:t>
            </w:r>
          </w:p>
        </w:tc>
        <w:tc>
          <w:tcPr>
            <w:tcW w:w="1363" w:type="dxa"/>
            <w:vAlign w:val="center"/>
          </w:tcPr>
          <w:p>
            <w:pPr>
              <w:jc w:val="center"/>
              <w:rPr>
                <w:rFonts w:ascii="Calibri" w:hAnsi="Calibri"/>
                <w:sz w:val="24"/>
              </w:rPr>
            </w:pPr>
            <w:r>
              <w:rPr>
                <w:rFonts w:hint="eastAsia" w:ascii="Calibri" w:hAnsi="Calibri"/>
                <w:sz w:val="24"/>
              </w:rPr>
              <w:t>支</w:t>
            </w:r>
          </w:p>
        </w:tc>
        <w:tc>
          <w:tcPr>
            <w:tcW w:w="1691" w:type="dxa"/>
            <w:vAlign w:val="center"/>
          </w:tcPr>
          <w:p>
            <w:pPr>
              <w:jc w:val="center"/>
              <w:rPr>
                <w:rFonts w:ascii="Calibri" w:hAnsi="Calibri"/>
                <w:sz w:val="24"/>
              </w:rPr>
            </w:pPr>
            <w:r>
              <w:rPr>
                <w:rFonts w:hint="eastAsia" w:ascii="Calibri" w:hAnsi="Calibri"/>
                <w:sz w:val="24"/>
              </w:rPr>
              <w:t>10</w:t>
            </w:r>
          </w:p>
        </w:tc>
        <w:tc>
          <w:tcPr>
            <w:tcW w:w="1746" w:type="dxa"/>
            <w:vAlign w:val="center"/>
          </w:tcPr>
          <w:p>
            <w:pPr>
              <w:jc w:val="center"/>
              <w:rPr>
                <w:rFonts w:ascii="Calibri" w:hAnsi="Calibri"/>
                <w:sz w:val="24"/>
              </w:rPr>
            </w:pPr>
            <w:r>
              <w:rPr>
                <w:rFonts w:hint="eastAsia" w:ascii="Calibri" w:hAnsi="Calibri"/>
                <w:sz w:val="24"/>
              </w:rPr>
              <w:t>2800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9</w:t>
            </w:r>
          </w:p>
        </w:tc>
        <w:tc>
          <w:tcPr>
            <w:tcW w:w="3119" w:type="dxa"/>
            <w:vAlign w:val="center"/>
          </w:tcPr>
          <w:p>
            <w:pPr>
              <w:pStyle w:val="95"/>
              <w:spacing w:before="15" w:line="276" w:lineRule="exact"/>
              <w:ind w:left="49" w:right="38"/>
              <w:rPr>
                <w:sz w:val="22"/>
              </w:rPr>
            </w:pPr>
            <w:r>
              <w:rPr>
                <w:sz w:val="22"/>
              </w:rPr>
              <w:t>电子血压计</w:t>
            </w:r>
          </w:p>
        </w:tc>
        <w:tc>
          <w:tcPr>
            <w:tcW w:w="1363" w:type="dxa"/>
            <w:vAlign w:val="center"/>
          </w:tcPr>
          <w:p>
            <w:pPr>
              <w:jc w:val="center"/>
              <w:rPr>
                <w:rFonts w:ascii="Calibri" w:hAnsi="Calibri"/>
                <w:sz w:val="24"/>
              </w:rPr>
            </w:pPr>
            <w:r>
              <w:rPr>
                <w:rFonts w:hint="eastAsia" w:ascii="Calibri" w:hAnsi="Calibri"/>
                <w:sz w:val="24"/>
              </w:rPr>
              <w:t>支</w:t>
            </w:r>
          </w:p>
        </w:tc>
        <w:tc>
          <w:tcPr>
            <w:tcW w:w="1691" w:type="dxa"/>
            <w:vAlign w:val="center"/>
          </w:tcPr>
          <w:p>
            <w:pPr>
              <w:jc w:val="center"/>
              <w:rPr>
                <w:rFonts w:ascii="Calibri" w:hAnsi="Calibri"/>
                <w:sz w:val="24"/>
              </w:rPr>
            </w:pPr>
            <w:r>
              <w:rPr>
                <w:rFonts w:hint="eastAsia" w:ascii="Calibri" w:hAnsi="Calibri"/>
                <w:sz w:val="24"/>
              </w:rPr>
              <w:t>10</w:t>
            </w:r>
          </w:p>
        </w:tc>
        <w:tc>
          <w:tcPr>
            <w:tcW w:w="1746" w:type="dxa"/>
            <w:vAlign w:val="center"/>
          </w:tcPr>
          <w:p>
            <w:pPr>
              <w:jc w:val="center"/>
              <w:rPr>
                <w:rFonts w:ascii="Calibri" w:hAnsi="Calibri"/>
                <w:sz w:val="24"/>
              </w:rPr>
            </w:pPr>
            <w:r>
              <w:rPr>
                <w:rFonts w:hint="eastAsia" w:ascii="Calibri" w:hAnsi="Calibri"/>
                <w:sz w:val="24"/>
              </w:rPr>
              <w:t>2000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73" w:type="dxa"/>
            <w:vAlign w:val="center"/>
          </w:tcPr>
          <w:p>
            <w:pPr>
              <w:widowControl/>
              <w:jc w:val="center"/>
              <w:textAlignment w:val="center"/>
              <w:rPr>
                <w:rFonts w:ascii="Calibri" w:hAnsi="Calibri"/>
                <w:b/>
                <w:bCs/>
                <w:color w:val="000000"/>
                <w:sz w:val="6"/>
                <w:szCs w:val="6"/>
              </w:rPr>
            </w:pPr>
            <w:r>
              <w:rPr>
                <w:rFonts w:hint="eastAsia" w:ascii="宋体" w:hAnsi="宋体" w:eastAsia="宋体" w:cs="宋体"/>
                <w:color w:val="000000"/>
                <w:kern w:val="0"/>
                <w:sz w:val="24"/>
                <w:lang w:bidi="ar"/>
              </w:rPr>
              <w:t>10</w:t>
            </w:r>
          </w:p>
        </w:tc>
        <w:tc>
          <w:tcPr>
            <w:tcW w:w="3119" w:type="dxa"/>
            <w:vAlign w:val="center"/>
          </w:tcPr>
          <w:p>
            <w:pPr>
              <w:pStyle w:val="95"/>
              <w:spacing w:before="15" w:line="276" w:lineRule="exact"/>
              <w:ind w:left="49" w:right="38"/>
              <w:rPr>
                <w:sz w:val="22"/>
              </w:rPr>
            </w:pPr>
            <w:r>
              <w:rPr>
                <w:sz w:val="22"/>
              </w:rPr>
              <w:t>血氧饱和度监测仪</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10</w:t>
            </w:r>
          </w:p>
        </w:tc>
        <w:tc>
          <w:tcPr>
            <w:tcW w:w="1746" w:type="dxa"/>
            <w:vAlign w:val="center"/>
          </w:tcPr>
          <w:p>
            <w:pPr>
              <w:jc w:val="center"/>
              <w:rPr>
                <w:rFonts w:ascii="Calibri" w:hAnsi="Calibri"/>
                <w:sz w:val="24"/>
              </w:rPr>
            </w:pPr>
            <w:r>
              <w:rPr>
                <w:rFonts w:hint="eastAsia" w:ascii="Calibri" w:hAnsi="Calibri"/>
                <w:sz w:val="24"/>
              </w:rPr>
              <w:t>2000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11</w:t>
            </w:r>
          </w:p>
        </w:tc>
        <w:tc>
          <w:tcPr>
            <w:tcW w:w="3119" w:type="dxa"/>
            <w:vAlign w:val="center"/>
          </w:tcPr>
          <w:p>
            <w:pPr>
              <w:pStyle w:val="95"/>
              <w:spacing w:before="15" w:line="276" w:lineRule="exact"/>
              <w:ind w:left="49" w:right="38"/>
              <w:rPr>
                <w:sz w:val="22"/>
              </w:rPr>
            </w:pPr>
            <w:r>
              <w:rPr>
                <w:sz w:val="22"/>
              </w:rPr>
              <w:t>微量注射泵、输液泵</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2</w:t>
            </w:r>
          </w:p>
        </w:tc>
        <w:tc>
          <w:tcPr>
            <w:tcW w:w="1746" w:type="dxa"/>
            <w:vAlign w:val="center"/>
          </w:tcPr>
          <w:p>
            <w:pPr>
              <w:jc w:val="center"/>
              <w:rPr>
                <w:rFonts w:ascii="Calibri" w:hAnsi="Calibri"/>
                <w:sz w:val="24"/>
              </w:rPr>
            </w:pPr>
            <w:r>
              <w:rPr>
                <w:rFonts w:hint="eastAsia" w:ascii="Calibri" w:hAnsi="Calibri"/>
                <w:sz w:val="24"/>
              </w:rPr>
              <w:t>3000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12</w:t>
            </w:r>
          </w:p>
        </w:tc>
        <w:tc>
          <w:tcPr>
            <w:tcW w:w="3119" w:type="dxa"/>
            <w:vAlign w:val="center"/>
          </w:tcPr>
          <w:p>
            <w:pPr>
              <w:pStyle w:val="95"/>
              <w:spacing w:before="15" w:line="276" w:lineRule="exact"/>
              <w:ind w:left="49" w:right="38"/>
              <w:rPr>
                <w:sz w:val="22"/>
              </w:rPr>
            </w:pPr>
            <w:r>
              <w:rPr>
                <w:sz w:val="22"/>
              </w:rPr>
              <w:t>血糖仪</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6</w:t>
            </w:r>
          </w:p>
        </w:tc>
        <w:tc>
          <w:tcPr>
            <w:tcW w:w="1746" w:type="dxa"/>
            <w:vAlign w:val="center"/>
          </w:tcPr>
          <w:p>
            <w:pPr>
              <w:jc w:val="center"/>
              <w:rPr>
                <w:rFonts w:ascii="Calibri" w:hAnsi="Calibri"/>
                <w:sz w:val="24"/>
              </w:rPr>
            </w:pPr>
            <w:r>
              <w:rPr>
                <w:rFonts w:hint="eastAsia" w:ascii="Calibri" w:hAnsi="Calibri"/>
                <w:sz w:val="24"/>
              </w:rPr>
              <w:t>2000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13</w:t>
            </w:r>
          </w:p>
        </w:tc>
        <w:tc>
          <w:tcPr>
            <w:tcW w:w="3119" w:type="dxa"/>
            <w:vAlign w:val="center"/>
          </w:tcPr>
          <w:p>
            <w:pPr>
              <w:pStyle w:val="95"/>
              <w:spacing w:before="15" w:line="276" w:lineRule="exact"/>
              <w:ind w:left="49" w:right="38"/>
              <w:rPr>
                <w:sz w:val="22"/>
              </w:rPr>
            </w:pPr>
            <w:r>
              <w:rPr>
                <w:sz w:val="22"/>
              </w:rPr>
              <w:t>电动雾化器</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10</w:t>
            </w:r>
          </w:p>
        </w:tc>
        <w:tc>
          <w:tcPr>
            <w:tcW w:w="1746" w:type="dxa"/>
            <w:vAlign w:val="center"/>
          </w:tcPr>
          <w:p>
            <w:pPr>
              <w:jc w:val="center"/>
              <w:rPr>
                <w:rFonts w:ascii="Calibri" w:hAnsi="Calibri"/>
                <w:sz w:val="24"/>
              </w:rPr>
            </w:pPr>
            <w:r>
              <w:rPr>
                <w:rFonts w:hint="eastAsia" w:ascii="Calibri" w:hAnsi="Calibri"/>
                <w:sz w:val="24"/>
              </w:rPr>
              <w:t>1000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14</w:t>
            </w:r>
          </w:p>
        </w:tc>
        <w:tc>
          <w:tcPr>
            <w:tcW w:w="3119" w:type="dxa"/>
            <w:vAlign w:val="center"/>
          </w:tcPr>
          <w:p>
            <w:pPr>
              <w:pStyle w:val="95"/>
              <w:spacing w:before="15" w:line="276" w:lineRule="exact"/>
              <w:ind w:left="49" w:right="38"/>
              <w:rPr>
                <w:sz w:val="22"/>
              </w:rPr>
            </w:pPr>
            <w:r>
              <w:rPr>
                <w:sz w:val="22"/>
              </w:rPr>
              <w:t>心电图机</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2</w:t>
            </w:r>
          </w:p>
        </w:tc>
        <w:tc>
          <w:tcPr>
            <w:tcW w:w="1746" w:type="dxa"/>
            <w:vAlign w:val="center"/>
          </w:tcPr>
          <w:p>
            <w:pPr>
              <w:jc w:val="center"/>
              <w:rPr>
                <w:rFonts w:ascii="Calibri" w:hAnsi="Calibri"/>
                <w:sz w:val="24"/>
              </w:rPr>
            </w:pPr>
            <w:r>
              <w:rPr>
                <w:rFonts w:hint="eastAsia" w:ascii="Calibri" w:hAnsi="Calibri"/>
                <w:sz w:val="24"/>
              </w:rPr>
              <w:t>30000</w:t>
            </w:r>
          </w:p>
        </w:tc>
        <w:tc>
          <w:tcPr>
            <w:tcW w:w="1377" w:type="dxa"/>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15</w:t>
            </w:r>
          </w:p>
        </w:tc>
        <w:tc>
          <w:tcPr>
            <w:tcW w:w="3119" w:type="dxa"/>
            <w:vAlign w:val="center"/>
          </w:tcPr>
          <w:p>
            <w:pPr>
              <w:pStyle w:val="95"/>
              <w:spacing w:before="15" w:line="276" w:lineRule="exact"/>
              <w:ind w:left="49" w:right="38"/>
              <w:rPr>
                <w:sz w:val="22"/>
              </w:rPr>
            </w:pPr>
            <w:r>
              <w:rPr>
                <w:sz w:val="22"/>
              </w:rPr>
              <w:t>除颤仪</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2</w:t>
            </w:r>
          </w:p>
        </w:tc>
        <w:tc>
          <w:tcPr>
            <w:tcW w:w="1746" w:type="dxa"/>
            <w:vAlign w:val="center"/>
          </w:tcPr>
          <w:p>
            <w:pPr>
              <w:jc w:val="center"/>
              <w:rPr>
                <w:rFonts w:ascii="Calibri" w:hAnsi="Calibri"/>
                <w:sz w:val="24"/>
              </w:rPr>
            </w:pPr>
            <w:r>
              <w:rPr>
                <w:rFonts w:hint="eastAsia" w:ascii="Calibri" w:hAnsi="Calibri"/>
                <w:sz w:val="24"/>
              </w:rPr>
              <w:t>30000</w:t>
            </w:r>
          </w:p>
        </w:tc>
        <w:tc>
          <w:tcPr>
            <w:tcW w:w="1377" w:type="dxa"/>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16</w:t>
            </w:r>
          </w:p>
        </w:tc>
        <w:tc>
          <w:tcPr>
            <w:tcW w:w="3119" w:type="dxa"/>
            <w:vAlign w:val="center"/>
          </w:tcPr>
          <w:p>
            <w:pPr>
              <w:pStyle w:val="95"/>
              <w:spacing w:before="15" w:line="276" w:lineRule="exact"/>
              <w:ind w:left="49" w:right="38"/>
              <w:rPr>
                <w:sz w:val="22"/>
              </w:rPr>
            </w:pPr>
            <w:r>
              <w:rPr>
                <w:sz w:val="22"/>
              </w:rPr>
              <w:t>无创呼吸机</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1</w:t>
            </w:r>
          </w:p>
        </w:tc>
        <w:tc>
          <w:tcPr>
            <w:tcW w:w="1746" w:type="dxa"/>
            <w:vAlign w:val="center"/>
          </w:tcPr>
          <w:p>
            <w:pPr>
              <w:jc w:val="center"/>
              <w:rPr>
                <w:rFonts w:ascii="Calibri" w:hAnsi="Calibri"/>
                <w:sz w:val="24"/>
              </w:rPr>
            </w:pPr>
            <w:r>
              <w:rPr>
                <w:rFonts w:hint="eastAsia" w:ascii="Calibri" w:hAnsi="Calibri"/>
                <w:sz w:val="24"/>
              </w:rPr>
              <w:t>150000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17</w:t>
            </w:r>
          </w:p>
        </w:tc>
        <w:tc>
          <w:tcPr>
            <w:tcW w:w="3119" w:type="dxa"/>
            <w:vAlign w:val="center"/>
          </w:tcPr>
          <w:p>
            <w:pPr>
              <w:pStyle w:val="95"/>
              <w:spacing w:before="15" w:line="276" w:lineRule="exact"/>
              <w:ind w:left="49" w:right="38"/>
              <w:rPr>
                <w:sz w:val="22"/>
                <w:lang w:val="en-US"/>
              </w:rPr>
            </w:pPr>
            <w:r>
              <w:rPr>
                <w:sz w:val="22"/>
              </w:rPr>
              <w:t>B 超机</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1</w:t>
            </w:r>
          </w:p>
        </w:tc>
        <w:tc>
          <w:tcPr>
            <w:tcW w:w="1746" w:type="dxa"/>
            <w:vAlign w:val="center"/>
          </w:tcPr>
          <w:p>
            <w:pPr>
              <w:jc w:val="center"/>
              <w:rPr>
                <w:rFonts w:ascii="Calibri" w:hAnsi="Calibri"/>
                <w:sz w:val="24"/>
              </w:rPr>
            </w:pPr>
            <w:r>
              <w:rPr>
                <w:rFonts w:hint="eastAsia" w:ascii="Calibri" w:hAnsi="Calibri"/>
                <w:sz w:val="24"/>
              </w:rPr>
              <w:t>400000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18</w:t>
            </w:r>
          </w:p>
        </w:tc>
        <w:tc>
          <w:tcPr>
            <w:tcW w:w="3119" w:type="dxa"/>
            <w:vAlign w:val="center"/>
          </w:tcPr>
          <w:p>
            <w:pPr>
              <w:pStyle w:val="95"/>
              <w:spacing w:before="15" w:line="276" w:lineRule="exact"/>
              <w:ind w:left="49" w:right="38"/>
              <w:rPr>
                <w:sz w:val="22"/>
                <w:lang w:val="en-US"/>
              </w:rPr>
            </w:pPr>
            <w:r>
              <w:rPr>
                <w:sz w:val="22"/>
              </w:rPr>
              <w:t>血细胞分析仪</w:t>
            </w:r>
            <w:r>
              <w:rPr>
                <w:rFonts w:hint="eastAsia"/>
                <w:sz w:val="22"/>
                <w:lang w:val="en-US"/>
              </w:rPr>
              <w:t>+CRP一体机</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1</w:t>
            </w:r>
          </w:p>
        </w:tc>
        <w:tc>
          <w:tcPr>
            <w:tcW w:w="1746" w:type="dxa"/>
            <w:vAlign w:val="center"/>
          </w:tcPr>
          <w:p>
            <w:pPr>
              <w:jc w:val="center"/>
              <w:rPr>
                <w:rFonts w:ascii="Calibri" w:hAnsi="Calibri"/>
                <w:sz w:val="24"/>
              </w:rPr>
            </w:pPr>
            <w:r>
              <w:rPr>
                <w:rFonts w:hint="eastAsia" w:ascii="Calibri" w:hAnsi="Calibri"/>
                <w:sz w:val="24"/>
              </w:rPr>
              <w:t>300000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19</w:t>
            </w:r>
          </w:p>
        </w:tc>
        <w:tc>
          <w:tcPr>
            <w:tcW w:w="3119" w:type="dxa"/>
            <w:vAlign w:val="center"/>
          </w:tcPr>
          <w:p>
            <w:pPr>
              <w:pStyle w:val="95"/>
              <w:spacing w:before="15" w:line="276" w:lineRule="exact"/>
              <w:ind w:left="49" w:right="38"/>
              <w:rPr>
                <w:sz w:val="22"/>
              </w:rPr>
            </w:pPr>
            <w:r>
              <w:rPr>
                <w:sz w:val="22"/>
              </w:rPr>
              <w:t>免疫分析仪</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1</w:t>
            </w:r>
          </w:p>
        </w:tc>
        <w:tc>
          <w:tcPr>
            <w:tcW w:w="1746" w:type="dxa"/>
            <w:vAlign w:val="center"/>
          </w:tcPr>
          <w:p>
            <w:pPr>
              <w:jc w:val="center"/>
              <w:rPr>
                <w:rFonts w:ascii="Calibri" w:hAnsi="Calibri"/>
                <w:sz w:val="24"/>
              </w:rPr>
            </w:pPr>
            <w:r>
              <w:rPr>
                <w:rFonts w:hint="eastAsia" w:ascii="Calibri" w:hAnsi="Calibri"/>
                <w:sz w:val="24"/>
              </w:rPr>
              <w:t>300000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20</w:t>
            </w:r>
          </w:p>
        </w:tc>
        <w:tc>
          <w:tcPr>
            <w:tcW w:w="3119" w:type="dxa"/>
            <w:vAlign w:val="center"/>
          </w:tcPr>
          <w:p>
            <w:pPr>
              <w:pStyle w:val="95"/>
              <w:spacing w:before="15" w:line="276" w:lineRule="exact"/>
              <w:ind w:left="49" w:right="38"/>
              <w:rPr>
                <w:sz w:val="22"/>
              </w:rPr>
            </w:pPr>
            <w:r>
              <w:rPr>
                <w:sz w:val="22"/>
              </w:rPr>
              <w:t>急救车</w:t>
            </w:r>
          </w:p>
        </w:tc>
        <w:tc>
          <w:tcPr>
            <w:tcW w:w="1363" w:type="dxa"/>
            <w:vAlign w:val="center"/>
          </w:tcPr>
          <w:p>
            <w:pPr>
              <w:jc w:val="center"/>
              <w:rPr>
                <w:rFonts w:ascii="Calibri" w:hAnsi="Calibri"/>
                <w:sz w:val="24"/>
              </w:rPr>
            </w:pPr>
            <w:r>
              <w:rPr>
                <w:rFonts w:hint="eastAsia" w:ascii="Calibri" w:hAnsi="Calibri"/>
                <w:sz w:val="24"/>
              </w:rPr>
              <w:t>辆</w:t>
            </w:r>
          </w:p>
        </w:tc>
        <w:tc>
          <w:tcPr>
            <w:tcW w:w="1691" w:type="dxa"/>
            <w:vAlign w:val="center"/>
          </w:tcPr>
          <w:p>
            <w:pPr>
              <w:jc w:val="center"/>
              <w:rPr>
                <w:rFonts w:ascii="Calibri" w:hAnsi="Calibri"/>
                <w:sz w:val="24"/>
              </w:rPr>
            </w:pP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7500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21</w:t>
            </w:r>
          </w:p>
        </w:tc>
        <w:tc>
          <w:tcPr>
            <w:tcW w:w="3119" w:type="dxa"/>
            <w:vAlign w:val="center"/>
          </w:tcPr>
          <w:p>
            <w:pPr>
              <w:pStyle w:val="95"/>
              <w:spacing w:before="15" w:line="276" w:lineRule="exact"/>
              <w:ind w:left="49" w:right="38"/>
              <w:rPr>
                <w:sz w:val="22"/>
              </w:rPr>
            </w:pPr>
            <w:r>
              <w:rPr>
                <w:sz w:val="22"/>
              </w:rPr>
              <w:t>轮椅</w:t>
            </w:r>
          </w:p>
        </w:tc>
        <w:tc>
          <w:tcPr>
            <w:tcW w:w="1363" w:type="dxa"/>
            <w:vAlign w:val="center"/>
          </w:tcPr>
          <w:p>
            <w:pPr>
              <w:jc w:val="center"/>
              <w:rPr>
                <w:rFonts w:ascii="Calibri" w:hAnsi="Calibri"/>
                <w:sz w:val="24"/>
              </w:rPr>
            </w:pPr>
            <w:r>
              <w:rPr>
                <w:rFonts w:hint="eastAsia" w:ascii="Calibri" w:hAnsi="Calibri"/>
                <w:sz w:val="24"/>
              </w:rPr>
              <w:t>辆</w:t>
            </w:r>
          </w:p>
        </w:tc>
        <w:tc>
          <w:tcPr>
            <w:tcW w:w="1691" w:type="dxa"/>
            <w:vAlign w:val="center"/>
          </w:tcPr>
          <w:p>
            <w:pPr>
              <w:jc w:val="center"/>
              <w:rPr>
                <w:rFonts w:ascii="Calibri" w:hAnsi="Calibri"/>
                <w:sz w:val="24"/>
              </w:rPr>
            </w:pPr>
            <w:r>
              <w:rPr>
                <w:rFonts w:hint="eastAsia" w:ascii="Calibri" w:hAnsi="Calibri"/>
                <w:sz w:val="24"/>
              </w:rPr>
              <w:t>6</w:t>
            </w:r>
          </w:p>
        </w:tc>
        <w:tc>
          <w:tcPr>
            <w:tcW w:w="1746" w:type="dxa"/>
            <w:vAlign w:val="center"/>
          </w:tcPr>
          <w:p>
            <w:pPr>
              <w:jc w:val="center"/>
              <w:rPr>
                <w:rFonts w:ascii="Calibri" w:hAnsi="Calibri"/>
                <w:sz w:val="24"/>
              </w:rPr>
            </w:pPr>
            <w:r>
              <w:rPr>
                <w:rFonts w:hint="eastAsia" w:ascii="Calibri" w:hAnsi="Calibri"/>
                <w:sz w:val="24"/>
              </w:rPr>
              <w:t>500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22</w:t>
            </w:r>
          </w:p>
        </w:tc>
        <w:tc>
          <w:tcPr>
            <w:tcW w:w="3119" w:type="dxa"/>
            <w:vAlign w:val="center"/>
          </w:tcPr>
          <w:p>
            <w:pPr>
              <w:pStyle w:val="95"/>
              <w:spacing w:before="15" w:line="276" w:lineRule="exact"/>
              <w:ind w:left="49" w:right="38"/>
              <w:rPr>
                <w:sz w:val="22"/>
              </w:rPr>
            </w:pPr>
            <w:r>
              <w:rPr>
                <w:sz w:val="22"/>
              </w:rPr>
              <w:t>平车</w:t>
            </w:r>
          </w:p>
        </w:tc>
        <w:tc>
          <w:tcPr>
            <w:tcW w:w="1363" w:type="dxa"/>
            <w:vAlign w:val="center"/>
          </w:tcPr>
          <w:p>
            <w:pPr>
              <w:jc w:val="center"/>
              <w:rPr>
                <w:rFonts w:ascii="Calibri" w:hAnsi="Calibri"/>
                <w:sz w:val="24"/>
              </w:rPr>
            </w:pPr>
            <w:r>
              <w:rPr>
                <w:rFonts w:hint="eastAsia" w:ascii="Calibri" w:hAnsi="Calibri"/>
                <w:sz w:val="24"/>
              </w:rPr>
              <w:t>辆</w:t>
            </w:r>
          </w:p>
        </w:tc>
        <w:tc>
          <w:tcPr>
            <w:tcW w:w="1691" w:type="dxa"/>
            <w:vAlign w:val="center"/>
          </w:tcPr>
          <w:p>
            <w:pPr>
              <w:jc w:val="center"/>
              <w:rPr>
                <w:rFonts w:ascii="Calibri" w:hAnsi="Calibri"/>
                <w:sz w:val="24"/>
              </w:rPr>
            </w:pP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2200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23</w:t>
            </w:r>
          </w:p>
        </w:tc>
        <w:tc>
          <w:tcPr>
            <w:tcW w:w="3119" w:type="dxa"/>
            <w:vAlign w:val="center"/>
          </w:tcPr>
          <w:p>
            <w:pPr>
              <w:pStyle w:val="95"/>
              <w:spacing w:before="15" w:line="276" w:lineRule="exact"/>
              <w:ind w:left="49" w:right="38"/>
              <w:rPr>
                <w:sz w:val="22"/>
              </w:rPr>
            </w:pPr>
            <w:r>
              <w:rPr>
                <w:sz w:val="22"/>
              </w:rPr>
              <w:t>口服药推车</w:t>
            </w:r>
          </w:p>
        </w:tc>
        <w:tc>
          <w:tcPr>
            <w:tcW w:w="1363" w:type="dxa"/>
            <w:vAlign w:val="center"/>
          </w:tcPr>
          <w:p>
            <w:pPr>
              <w:jc w:val="center"/>
              <w:rPr>
                <w:rFonts w:ascii="Calibri" w:hAnsi="Calibri"/>
                <w:sz w:val="24"/>
              </w:rPr>
            </w:pPr>
            <w:r>
              <w:rPr>
                <w:rFonts w:hint="eastAsia" w:ascii="Calibri" w:hAnsi="Calibri"/>
                <w:sz w:val="24"/>
              </w:rPr>
              <w:t>辆</w:t>
            </w:r>
          </w:p>
        </w:tc>
        <w:tc>
          <w:tcPr>
            <w:tcW w:w="1691" w:type="dxa"/>
            <w:vAlign w:val="center"/>
          </w:tcPr>
          <w:p>
            <w:pPr>
              <w:jc w:val="center"/>
              <w:rPr>
                <w:rFonts w:ascii="Calibri" w:hAnsi="Calibri"/>
                <w:sz w:val="24"/>
              </w:rPr>
            </w:pPr>
            <w:r>
              <w:rPr>
                <w:rFonts w:hint="eastAsia" w:ascii="Calibri" w:hAnsi="Calibri"/>
                <w:sz w:val="24"/>
              </w:rPr>
              <w:t>6</w:t>
            </w:r>
          </w:p>
        </w:tc>
        <w:tc>
          <w:tcPr>
            <w:tcW w:w="1746" w:type="dxa"/>
            <w:vAlign w:val="center"/>
          </w:tcPr>
          <w:p>
            <w:pPr>
              <w:jc w:val="center"/>
              <w:rPr>
                <w:rFonts w:ascii="Calibri" w:hAnsi="Calibri"/>
                <w:sz w:val="24"/>
              </w:rPr>
            </w:pPr>
            <w:r>
              <w:rPr>
                <w:rFonts w:hint="eastAsia" w:ascii="Calibri" w:hAnsi="Calibri"/>
                <w:sz w:val="24"/>
              </w:rPr>
              <w:t>3000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24</w:t>
            </w:r>
          </w:p>
        </w:tc>
        <w:tc>
          <w:tcPr>
            <w:tcW w:w="3119" w:type="dxa"/>
            <w:vAlign w:val="center"/>
          </w:tcPr>
          <w:p>
            <w:pPr>
              <w:pStyle w:val="95"/>
              <w:spacing w:before="15" w:line="276" w:lineRule="exact"/>
              <w:ind w:left="49" w:right="38"/>
              <w:rPr>
                <w:sz w:val="22"/>
              </w:rPr>
            </w:pPr>
            <w:r>
              <w:rPr>
                <w:sz w:val="22"/>
              </w:rPr>
              <w:t>治疗车</w:t>
            </w:r>
          </w:p>
        </w:tc>
        <w:tc>
          <w:tcPr>
            <w:tcW w:w="1363" w:type="dxa"/>
            <w:vAlign w:val="center"/>
          </w:tcPr>
          <w:p>
            <w:pPr>
              <w:jc w:val="center"/>
              <w:rPr>
                <w:rFonts w:ascii="Calibri" w:hAnsi="Calibri"/>
                <w:sz w:val="24"/>
              </w:rPr>
            </w:pPr>
            <w:r>
              <w:rPr>
                <w:rFonts w:hint="eastAsia" w:ascii="Calibri" w:hAnsi="Calibri"/>
                <w:sz w:val="24"/>
              </w:rPr>
              <w:t>辆</w:t>
            </w:r>
          </w:p>
        </w:tc>
        <w:tc>
          <w:tcPr>
            <w:tcW w:w="1691" w:type="dxa"/>
            <w:vAlign w:val="center"/>
          </w:tcPr>
          <w:p>
            <w:pPr>
              <w:jc w:val="center"/>
              <w:rPr>
                <w:rFonts w:ascii="Calibri" w:hAnsi="Calibri"/>
                <w:sz w:val="24"/>
              </w:rPr>
            </w:pPr>
            <w:r>
              <w:rPr>
                <w:rFonts w:hint="eastAsia" w:ascii="Calibri" w:hAnsi="Calibri"/>
                <w:sz w:val="24"/>
              </w:rPr>
              <w:t>10</w:t>
            </w:r>
          </w:p>
        </w:tc>
        <w:tc>
          <w:tcPr>
            <w:tcW w:w="1746" w:type="dxa"/>
            <w:vAlign w:val="center"/>
          </w:tcPr>
          <w:p>
            <w:pPr>
              <w:jc w:val="center"/>
              <w:rPr>
                <w:rFonts w:ascii="Calibri" w:hAnsi="Calibri"/>
                <w:sz w:val="24"/>
              </w:rPr>
            </w:pPr>
            <w:r>
              <w:rPr>
                <w:rFonts w:hint="eastAsia" w:ascii="Calibri" w:hAnsi="Calibri"/>
                <w:sz w:val="24"/>
              </w:rPr>
              <w:t>1029.2</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25</w:t>
            </w:r>
          </w:p>
        </w:tc>
        <w:tc>
          <w:tcPr>
            <w:tcW w:w="3119" w:type="dxa"/>
            <w:vAlign w:val="center"/>
          </w:tcPr>
          <w:p>
            <w:pPr>
              <w:pStyle w:val="95"/>
              <w:spacing w:before="15" w:line="276" w:lineRule="exact"/>
              <w:ind w:left="49" w:right="38"/>
              <w:rPr>
                <w:sz w:val="22"/>
              </w:rPr>
            </w:pPr>
            <w:r>
              <w:rPr>
                <w:sz w:val="22"/>
              </w:rPr>
              <w:t>药品阴凉柜</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3000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26</w:t>
            </w:r>
          </w:p>
        </w:tc>
        <w:tc>
          <w:tcPr>
            <w:tcW w:w="3119" w:type="dxa"/>
            <w:vAlign w:val="center"/>
          </w:tcPr>
          <w:p>
            <w:pPr>
              <w:pStyle w:val="95"/>
              <w:spacing w:before="15" w:line="276" w:lineRule="exact"/>
              <w:ind w:left="49" w:right="38"/>
              <w:rPr>
                <w:sz w:val="22"/>
              </w:rPr>
            </w:pPr>
            <w:r>
              <w:rPr>
                <w:sz w:val="22"/>
              </w:rPr>
              <w:t>核酸采集车</w:t>
            </w:r>
          </w:p>
        </w:tc>
        <w:tc>
          <w:tcPr>
            <w:tcW w:w="1363" w:type="dxa"/>
            <w:vAlign w:val="center"/>
          </w:tcPr>
          <w:p>
            <w:pPr>
              <w:jc w:val="center"/>
              <w:rPr>
                <w:rFonts w:ascii="Calibri" w:hAnsi="Calibri"/>
                <w:sz w:val="24"/>
              </w:rPr>
            </w:pPr>
            <w:r>
              <w:rPr>
                <w:rFonts w:hint="eastAsia" w:ascii="Calibri" w:hAnsi="Calibri"/>
                <w:sz w:val="24"/>
              </w:rPr>
              <w:t>辆</w:t>
            </w:r>
          </w:p>
        </w:tc>
        <w:tc>
          <w:tcPr>
            <w:tcW w:w="1691" w:type="dxa"/>
            <w:vAlign w:val="center"/>
          </w:tcPr>
          <w:p>
            <w:pPr>
              <w:jc w:val="center"/>
              <w:rPr>
                <w:rFonts w:ascii="Calibri" w:hAnsi="Calibri"/>
                <w:sz w:val="24"/>
              </w:rPr>
            </w:pP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3400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27</w:t>
            </w:r>
          </w:p>
        </w:tc>
        <w:tc>
          <w:tcPr>
            <w:tcW w:w="3119" w:type="dxa"/>
            <w:vAlign w:val="center"/>
          </w:tcPr>
          <w:p>
            <w:pPr>
              <w:pStyle w:val="95"/>
              <w:spacing w:before="15" w:line="276" w:lineRule="exact"/>
              <w:ind w:left="49" w:right="38"/>
              <w:rPr>
                <w:sz w:val="22"/>
              </w:rPr>
            </w:pPr>
            <w:r>
              <w:rPr>
                <w:sz w:val="22"/>
              </w:rPr>
              <w:t>药品振荡器</w:t>
            </w:r>
          </w:p>
        </w:tc>
        <w:tc>
          <w:tcPr>
            <w:tcW w:w="1363" w:type="dxa"/>
            <w:vAlign w:val="center"/>
          </w:tcPr>
          <w:p>
            <w:pPr>
              <w:jc w:val="center"/>
              <w:rPr>
                <w:rFonts w:ascii="Calibri" w:hAnsi="Calibri"/>
                <w:sz w:val="24"/>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745</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w:t>
            </w:r>
          </w:p>
        </w:tc>
        <w:tc>
          <w:tcPr>
            <w:tcW w:w="3119" w:type="dxa"/>
            <w:vAlign w:val="center"/>
          </w:tcPr>
          <w:p>
            <w:pPr>
              <w:pStyle w:val="95"/>
              <w:spacing w:before="15" w:line="276" w:lineRule="exact"/>
              <w:ind w:left="49" w:right="38"/>
              <w:rPr>
                <w:sz w:val="22"/>
              </w:rPr>
            </w:pPr>
            <w:r>
              <w:rPr>
                <w:sz w:val="22"/>
              </w:rPr>
              <w:t>氧气筒（40L）</w:t>
            </w:r>
          </w:p>
        </w:tc>
        <w:tc>
          <w:tcPr>
            <w:tcW w:w="1363" w:type="dxa"/>
            <w:vAlign w:val="center"/>
          </w:tcPr>
          <w:p>
            <w:pPr>
              <w:jc w:val="center"/>
              <w:rPr>
                <w:rFonts w:ascii="Calibri" w:hAnsi="Calibri"/>
                <w:sz w:val="24"/>
              </w:rPr>
            </w:pPr>
            <w:r>
              <w:rPr>
                <w:rFonts w:hint="eastAsia" w:ascii="Calibri" w:hAnsi="Calibri"/>
                <w:sz w:val="24"/>
              </w:rPr>
              <w:t>个</w:t>
            </w:r>
          </w:p>
        </w:tc>
        <w:tc>
          <w:tcPr>
            <w:tcW w:w="1691" w:type="dxa"/>
            <w:vAlign w:val="center"/>
          </w:tcPr>
          <w:p>
            <w:pPr>
              <w:jc w:val="center"/>
              <w:rPr>
                <w:rFonts w:ascii="Calibri" w:hAnsi="Calibri"/>
                <w:sz w:val="24"/>
              </w:rPr>
            </w:pPr>
            <w:r>
              <w:rPr>
                <w:rFonts w:hint="eastAsia" w:ascii="Calibri" w:hAnsi="Calibri"/>
                <w:sz w:val="24"/>
              </w:rPr>
              <w:t>8</w:t>
            </w:r>
          </w:p>
        </w:tc>
        <w:tc>
          <w:tcPr>
            <w:tcW w:w="1746" w:type="dxa"/>
            <w:vAlign w:val="center"/>
          </w:tcPr>
          <w:p>
            <w:pPr>
              <w:jc w:val="center"/>
              <w:rPr>
                <w:rFonts w:ascii="Calibri" w:hAnsi="Calibri"/>
                <w:sz w:val="24"/>
              </w:rPr>
            </w:pPr>
            <w:r>
              <w:rPr>
                <w:rFonts w:hint="eastAsia" w:ascii="Calibri" w:hAnsi="Calibri"/>
                <w:sz w:val="24"/>
              </w:rPr>
              <w:t>700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29</w:t>
            </w:r>
          </w:p>
        </w:tc>
        <w:tc>
          <w:tcPr>
            <w:tcW w:w="3119" w:type="dxa"/>
            <w:vAlign w:val="center"/>
          </w:tcPr>
          <w:p>
            <w:pPr>
              <w:pStyle w:val="95"/>
              <w:spacing w:before="15" w:line="276" w:lineRule="exact"/>
              <w:ind w:left="49" w:right="38"/>
              <w:rPr>
                <w:sz w:val="22"/>
              </w:rPr>
            </w:pPr>
            <w:r>
              <w:rPr>
                <w:sz w:val="22"/>
              </w:rPr>
              <w:t>氧气枕</w:t>
            </w:r>
          </w:p>
        </w:tc>
        <w:tc>
          <w:tcPr>
            <w:tcW w:w="1363" w:type="dxa"/>
            <w:vAlign w:val="center"/>
          </w:tcPr>
          <w:p>
            <w:pPr>
              <w:jc w:val="center"/>
              <w:rPr>
                <w:rFonts w:ascii="Calibri" w:hAnsi="Calibri"/>
                <w:sz w:val="24"/>
              </w:rPr>
            </w:pPr>
            <w:r>
              <w:rPr>
                <w:rFonts w:hint="eastAsia" w:ascii="Calibri" w:hAnsi="Calibri"/>
                <w:sz w:val="24"/>
              </w:rPr>
              <w:t>个</w:t>
            </w:r>
          </w:p>
        </w:tc>
        <w:tc>
          <w:tcPr>
            <w:tcW w:w="1691" w:type="dxa"/>
            <w:vAlign w:val="center"/>
          </w:tcPr>
          <w:p>
            <w:pPr>
              <w:jc w:val="center"/>
              <w:rPr>
                <w:rFonts w:ascii="Calibri" w:hAnsi="Calibri"/>
                <w:sz w:val="24"/>
              </w:rPr>
            </w:pPr>
            <w:r>
              <w:rPr>
                <w:rFonts w:hint="eastAsia" w:ascii="Calibri" w:hAnsi="Calibri"/>
                <w:sz w:val="24"/>
              </w:rPr>
              <w:t>8</w:t>
            </w:r>
          </w:p>
        </w:tc>
        <w:tc>
          <w:tcPr>
            <w:tcW w:w="1746" w:type="dxa"/>
            <w:vAlign w:val="center"/>
          </w:tcPr>
          <w:p>
            <w:pPr>
              <w:jc w:val="center"/>
              <w:rPr>
                <w:rFonts w:ascii="Calibri" w:hAnsi="Calibri"/>
                <w:sz w:val="24"/>
              </w:rPr>
            </w:pPr>
            <w:r>
              <w:rPr>
                <w:rFonts w:hint="eastAsia" w:ascii="Calibri" w:hAnsi="Calibri"/>
                <w:sz w:val="24"/>
              </w:rPr>
              <w:t>53</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30</w:t>
            </w:r>
          </w:p>
        </w:tc>
        <w:tc>
          <w:tcPr>
            <w:tcW w:w="3119" w:type="dxa"/>
            <w:vAlign w:val="center"/>
          </w:tcPr>
          <w:p>
            <w:pPr>
              <w:pStyle w:val="95"/>
              <w:spacing w:before="15" w:line="276" w:lineRule="exact"/>
              <w:ind w:left="49" w:right="38"/>
              <w:rPr>
                <w:sz w:val="22"/>
              </w:rPr>
            </w:pPr>
            <w:r>
              <w:rPr>
                <w:sz w:val="22"/>
              </w:rPr>
              <w:t>转运氧气筒（</w:t>
            </w:r>
            <w:r>
              <w:rPr>
                <w:rFonts w:hint="eastAsia"/>
                <w:sz w:val="22"/>
                <w:lang w:val="en-US"/>
              </w:rPr>
              <w:t>4</w:t>
            </w:r>
            <w:r>
              <w:rPr>
                <w:sz w:val="22"/>
              </w:rPr>
              <w:t>L）</w:t>
            </w:r>
          </w:p>
        </w:tc>
        <w:tc>
          <w:tcPr>
            <w:tcW w:w="1363" w:type="dxa"/>
          </w:tcPr>
          <w:p>
            <w:pPr>
              <w:jc w:val="center"/>
              <w:rPr>
                <w:rFonts w:ascii="Calibri" w:hAnsi="Calibri"/>
                <w:sz w:val="24"/>
                <w:lang w:val="zh-CN"/>
              </w:rPr>
            </w:pPr>
            <w:r>
              <w:rPr>
                <w:rFonts w:hint="eastAsia" w:ascii="Calibri" w:hAnsi="Calibri"/>
                <w:sz w:val="24"/>
              </w:rPr>
              <w:t>个</w:t>
            </w:r>
          </w:p>
        </w:tc>
        <w:tc>
          <w:tcPr>
            <w:tcW w:w="1691" w:type="dxa"/>
          </w:tcPr>
          <w:p>
            <w:pPr>
              <w:jc w:val="center"/>
              <w:rPr>
                <w:rFonts w:ascii="Calibri" w:hAnsi="Calibri"/>
                <w:sz w:val="24"/>
              </w:rPr>
            </w:pPr>
            <w:r>
              <w:rPr>
                <w:rFonts w:hint="eastAsia" w:ascii="Calibri" w:hAnsi="Calibri"/>
                <w:sz w:val="24"/>
              </w:rPr>
              <w:t>8</w:t>
            </w:r>
          </w:p>
        </w:tc>
        <w:tc>
          <w:tcPr>
            <w:tcW w:w="1746" w:type="dxa"/>
          </w:tcPr>
          <w:p>
            <w:pPr>
              <w:jc w:val="center"/>
              <w:rPr>
                <w:rFonts w:ascii="Calibri" w:hAnsi="Calibri"/>
                <w:sz w:val="24"/>
              </w:rPr>
            </w:pPr>
            <w:r>
              <w:rPr>
                <w:rFonts w:hint="eastAsia" w:ascii="Calibri" w:hAnsi="Calibri"/>
                <w:sz w:val="24"/>
              </w:rPr>
              <w:t>400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31</w:t>
            </w:r>
          </w:p>
        </w:tc>
        <w:tc>
          <w:tcPr>
            <w:tcW w:w="3119" w:type="dxa"/>
            <w:vAlign w:val="center"/>
          </w:tcPr>
          <w:p>
            <w:pPr>
              <w:pStyle w:val="95"/>
              <w:spacing w:before="15" w:line="276" w:lineRule="exact"/>
              <w:ind w:left="49" w:right="38"/>
              <w:rPr>
                <w:sz w:val="22"/>
              </w:rPr>
            </w:pPr>
            <w:r>
              <w:rPr>
                <w:sz w:val="22"/>
              </w:rPr>
              <w:t>不锈钢治疗盘</w:t>
            </w:r>
          </w:p>
        </w:tc>
        <w:tc>
          <w:tcPr>
            <w:tcW w:w="1363" w:type="dxa"/>
          </w:tcPr>
          <w:p>
            <w:pPr>
              <w:jc w:val="center"/>
              <w:rPr>
                <w:rFonts w:ascii="Calibri" w:hAnsi="Calibri"/>
                <w:sz w:val="24"/>
                <w:lang w:val="zh-CN"/>
              </w:rPr>
            </w:pPr>
            <w:r>
              <w:rPr>
                <w:rFonts w:hint="eastAsia" w:ascii="Calibri" w:hAnsi="Calibri"/>
                <w:sz w:val="24"/>
              </w:rPr>
              <w:t>个</w:t>
            </w:r>
          </w:p>
        </w:tc>
        <w:tc>
          <w:tcPr>
            <w:tcW w:w="1691" w:type="dxa"/>
          </w:tcPr>
          <w:p>
            <w:pPr>
              <w:jc w:val="center"/>
              <w:rPr>
                <w:rFonts w:ascii="Calibri" w:hAnsi="Calibri"/>
                <w:sz w:val="24"/>
              </w:rPr>
            </w:pPr>
            <w:r>
              <w:rPr>
                <w:rFonts w:hint="eastAsia" w:ascii="Calibri" w:hAnsi="Calibri"/>
                <w:sz w:val="24"/>
              </w:rPr>
              <w:t>10</w:t>
            </w:r>
          </w:p>
        </w:tc>
        <w:tc>
          <w:tcPr>
            <w:tcW w:w="1746" w:type="dxa"/>
          </w:tcPr>
          <w:p>
            <w:pPr>
              <w:jc w:val="center"/>
              <w:rPr>
                <w:rFonts w:ascii="Calibri" w:hAnsi="Calibri"/>
                <w:sz w:val="24"/>
              </w:rPr>
            </w:pPr>
            <w:r>
              <w:rPr>
                <w:rFonts w:hint="eastAsia" w:ascii="Calibri" w:hAnsi="Calibri"/>
                <w:sz w:val="24"/>
              </w:rPr>
              <w:t>104</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32</w:t>
            </w:r>
          </w:p>
        </w:tc>
        <w:tc>
          <w:tcPr>
            <w:tcW w:w="3119" w:type="dxa"/>
            <w:vAlign w:val="center"/>
          </w:tcPr>
          <w:p>
            <w:pPr>
              <w:pStyle w:val="95"/>
              <w:spacing w:before="15" w:line="276" w:lineRule="exact"/>
              <w:ind w:left="49" w:right="38"/>
              <w:rPr>
                <w:sz w:val="22"/>
              </w:rPr>
            </w:pPr>
            <w:r>
              <w:rPr>
                <w:sz w:val="22"/>
              </w:rPr>
              <w:t>试管架子</w:t>
            </w:r>
          </w:p>
        </w:tc>
        <w:tc>
          <w:tcPr>
            <w:tcW w:w="1363" w:type="dxa"/>
          </w:tcPr>
          <w:p>
            <w:pPr>
              <w:jc w:val="center"/>
              <w:rPr>
                <w:rFonts w:ascii="Calibri" w:hAnsi="Calibri"/>
                <w:sz w:val="24"/>
                <w:lang w:val="zh-CN"/>
              </w:rPr>
            </w:pPr>
            <w:r>
              <w:rPr>
                <w:rFonts w:hint="eastAsia" w:ascii="Calibri" w:hAnsi="Calibri"/>
                <w:sz w:val="24"/>
              </w:rPr>
              <w:t>个</w:t>
            </w:r>
          </w:p>
        </w:tc>
        <w:tc>
          <w:tcPr>
            <w:tcW w:w="1691" w:type="dxa"/>
          </w:tcPr>
          <w:p>
            <w:pPr>
              <w:jc w:val="center"/>
              <w:rPr>
                <w:rFonts w:ascii="Calibri" w:hAnsi="Calibri"/>
                <w:sz w:val="24"/>
              </w:rPr>
            </w:pPr>
            <w:r>
              <w:rPr>
                <w:rFonts w:hint="eastAsia" w:ascii="Calibri" w:hAnsi="Calibri"/>
                <w:sz w:val="24"/>
              </w:rPr>
              <w:t>16</w:t>
            </w:r>
          </w:p>
        </w:tc>
        <w:tc>
          <w:tcPr>
            <w:tcW w:w="1746" w:type="dxa"/>
          </w:tcPr>
          <w:p>
            <w:pPr>
              <w:jc w:val="center"/>
              <w:rPr>
                <w:rFonts w:ascii="Calibri" w:hAnsi="Calibri"/>
                <w:sz w:val="24"/>
              </w:rPr>
            </w:pPr>
            <w:r>
              <w:rPr>
                <w:rFonts w:hint="eastAsia" w:ascii="Calibri" w:hAnsi="Calibri"/>
                <w:sz w:val="24"/>
              </w:rPr>
              <w:t>42</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33</w:t>
            </w:r>
          </w:p>
        </w:tc>
        <w:tc>
          <w:tcPr>
            <w:tcW w:w="3119" w:type="dxa"/>
            <w:vAlign w:val="center"/>
          </w:tcPr>
          <w:p>
            <w:pPr>
              <w:pStyle w:val="95"/>
              <w:spacing w:before="15" w:line="276" w:lineRule="exact"/>
              <w:ind w:left="49" w:right="38"/>
              <w:rPr>
                <w:sz w:val="22"/>
              </w:rPr>
            </w:pPr>
            <w:r>
              <w:rPr>
                <w:sz w:val="22"/>
              </w:rPr>
              <w:t>氧流量表</w:t>
            </w:r>
          </w:p>
        </w:tc>
        <w:tc>
          <w:tcPr>
            <w:tcW w:w="1363" w:type="dxa"/>
          </w:tcPr>
          <w:p>
            <w:pPr>
              <w:jc w:val="center"/>
              <w:rPr>
                <w:rFonts w:ascii="Calibri" w:hAnsi="Calibri"/>
                <w:sz w:val="24"/>
                <w:lang w:val="zh-CN"/>
              </w:rPr>
            </w:pPr>
            <w:r>
              <w:rPr>
                <w:rFonts w:hint="eastAsia" w:ascii="Calibri" w:hAnsi="Calibri"/>
                <w:sz w:val="24"/>
              </w:rPr>
              <w:t>个</w:t>
            </w:r>
          </w:p>
        </w:tc>
        <w:tc>
          <w:tcPr>
            <w:tcW w:w="1691" w:type="dxa"/>
          </w:tcPr>
          <w:p>
            <w:pPr>
              <w:jc w:val="center"/>
              <w:rPr>
                <w:rFonts w:ascii="Calibri" w:hAnsi="Calibri"/>
                <w:sz w:val="24"/>
              </w:rPr>
            </w:pPr>
            <w:r>
              <w:rPr>
                <w:rFonts w:hint="eastAsia" w:ascii="Calibri" w:hAnsi="Calibri"/>
                <w:sz w:val="24"/>
              </w:rPr>
              <w:t>10</w:t>
            </w:r>
          </w:p>
        </w:tc>
        <w:tc>
          <w:tcPr>
            <w:tcW w:w="1746" w:type="dxa"/>
          </w:tcPr>
          <w:p>
            <w:pPr>
              <w:jc w:val="center"/>
              <w:rPr>
                <w:rFonts w:ascii="Calibri" w:hAnsi="Calibri"/>
                <w:sz w:val="24"/>
              </w:rPr>
            </w:pPr>
            <w:r>
              <w:rPr>
                <w:rFonts w:hint="eastAsia" w:ascii="Calibri" w:hAnsi="Calibri"/>
                <w:sz w:val="24"/>
              </w:rPr>
              <w:t>140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34</w:t>
            </w:r>
          </w:p>
        </w:tc>
        <w:tc>
          <w:tcPr>
            <w:tcW w:w="3119" w:type="dxa"/>
            <w:vAlign w:val="center"/>
          </w:tcPr>
          <w:p>
            <w:pPr>
              <w:pStyle w:val="95"/>
              <w:spacing w:before="15" w:line="276" w:lineRule="exact"/>
              <w:ind w:left="49" w:right="38"/>
              <w:rPr>
                <w:sz w:val="22"/>
              </w:rPr>
            </w:pPr>
            <w:r>
              <w:rPr>
                <w:sz w:val="22"/>
              </w:rPr>
              <w:t>呼吸皮囊</w:t>
            </w:r>
          </w:p>
        </w:tc>
        <w:tc>
          <w:tcPr>
            <w:tcW w:w="1363" w:type="dxa"/>
          </w:tcPr>
          <w:p>
            <w:pPr>
              <w:jc w:val="center"/>
              <w:rPr>
                <w:rFonts w:ascii="Calibri" w:hAnsi="Calibri"/>
                <w:sz w:val="24"/>
                <w:lang w:val="zh-CN"/>
              </w:rPr>
            </w:pPr>
            <w:r>
              <w:rPr>
                <w:rFonts w:hint="eastAsia" w:ascii="Calibri" w:hAnsi="Calibri"/>
                <w:sz w:val="24"/>
              </w:rPr>
              <w:t>套</w:t>
            </w:r>
          </w:p>
        </w:tc>
        <w:tc>
          <w:tcPr>
            <w:tcW w:w="1691" w:type="dxa"/>
          </w:tcPr>
          <w:p>
            <w:pPr>
              <w:jc w:val="center"/>
              <w:rPr>
                <w:rFonts w:ascii="Calibri" w:hAnsi="Calibri"/>
                <w:sz w:val="24"/>
              </w:rPr>
            </w:pPr>
            <w:r>
              <w:rPr>
                <w:rFonts w:hint="eastAsia" w:ascii="Calibri" w:hAnsi="Calibri"/>
                <w:sz w:val="24"/>
              </w:rPr>
              <w:t>2</w:t>
            </w:r>
          </w:p>
        </w:tc>
        <w:tc>
          <w:tcPr>
            <w:tcW w:w="1746" w:type="dxa"/>
          </w:tcPr>
          <w:p>
            <w:pPr>
              <w:jc w:val="center"/>
              <w:rPr>
                <w:rFonts w:ascii="Calibri" w:hAnsi="Calibri"/>
                <w:sz w:val="24"/>
              </w:rPr>
            </w:pPr>
            <w:r>
              <w:rPr>
                <w:rFonts w:hint="eastAsia" w:ascii="Calibri" w:hAnsi="Calibri"/>
                <w:sz w:val="24"/>
              </w:rPr>
              <w:t>579</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35</w:t>
            </w:r>
          </w:p>
        </w:tc>
        <w:tc>
          <w:tcPr>
            <w:tcW w:w="3119" w:type="dxa"/>
            <w:vAlign w:val="center"/>
          </w:tcPr>
          <w:p>
            <w:pPr>
              <w:pStyle w:val="95"/>
              <w:spacing w:before="15" w:line="276" w:lineRule="exact"/>
              <w:ind w:left="49" w:right="38"/>
              <w:rPr>
                <w:sz w:val="22"/>
              </w:rPr>
            </w:pPr>
            <w:r>
              <w:rPr>
                <w:sz w:val="22"/>
              </w:rPr>
              <w:t>听诊器</w:t>
            </w:r>
          </w:p>
        </w:tc>
        <w:tc>
          <w:tcPr>
            <w:tcW w:w="1363" w:type="dxa"/>
          </w:tcPr>
          <w:p>
            <w:pPr>
              <w:jc w:val="center"/>
              <w:rPr>
                <w:rFonts w:ascii="Calibri" w:hAnsi="Calibri"/>
                <w:sz w:val="24"/>
                <w:lang w:val="zh-CN"/>
              </w:rPr>
            </w:pPr>
            <w:r>
              <w:rPr>
                <w:rFonts w:hint="eastAsia" w:ascii="Calibri" w:hAnsi="Calibri"/>
                <w:sz w:val="24"/>
              </w:rPr>
              <w:t>副</w:t>
            </w:r>
          </w:p>
        </w:tc>
        <w:tc>
          <w:tcPr>
            <w:tcW w:w="1691" w:type="dxa"/>
          </w:tcPr>
          <w:p>
            <w:pPr>
              <w:jc w:val="center"/>
              <w:rPr>
                <w:rFonts w:ascii="Calibri" w:hAnsi="Calibri"/>
                <w:sz w:val="24"/>
              </w:rPr>
            </w:pPr>
            <w:r>
              <w:rPr>
                <w:rFonts w:hint="eastAsia" w:ascii="Calibri" w:hAnsi="Calibri"/>
                <w:sz w:val="24"/>
              </w:rPr>
              <w:t>6</w:t>
            </w:r>
          </w:p>
        </w:tc>
        <w:tc>
          <w:tcPr>
            <w:tcW w:w="1746" w:type="dxa"/>
          </w:tcPr>
          <w:p>
            <w:pPr>
              <w:jc w:val="center"/>
              <w:rPr>
                <w:rFonts w:ascii="Calibri" w:hAnsi="Calibri"/>
                <w:sz w:val="24"/>
              </w:rPr>
            </w:pPr>
            <w:r>
              <w:rPr>
                <w:rFonts w:hint="eastAsia" w:ascii="Calibri" w:hAnsi="Calibri"/>
                <w:sz w:val="24"/>
              </w:rPr>
              <w:t>25</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36</w:t>
            </w:r>
          </w:p>
        </w:tc>
        <w:tc>
          <w:tcPr>
            <w:tcW w:w="3119" w:type="dxa"/>
            <w:vAlign w:val="center"/>
          </w:tcPr>
          <w:p>
            <w:pPr>
              <w:pStyle w:val="95"/>
              <w:spacing w:before="15" w:line="276" w:lineRule="exact"/>
              <w:ind w:left="49" w:right="38"/>
              <w:rPr>
                <w:sz w:val="22"/>
              </w:rPr>
            </w:pPr>
            <w:r>
              <w:rPr>
                <w:sz w:val="22"/>
              </w:rPr>
              <w:t>电子喉镜</w:t>
            </w:r>
          </w:p>
        </w:tc>
        <w:tc>
          <w:tcPr>
            <w:tcW w:w="1363" w:type="dxa"/>
          </w:tcPr>
          <w:p>
            <w:pPr>
              <w:jc w:val="center"/>
              <w:rPr>
                <w:rFonts w:ascii="Calibri" w:hAnsi="Calibri"/>
                <w:sz w:val="24"/>
                <w:lang w:val="zh-CN"/>
              </w:rPr>
            </w:pPr>
            <w:r>
              <w:rPr>
                <w:rFonts w:hint="eastAsia" w:ascii="Calibri" w:hAnsi="Calibri"/>
                <w:sz w:val="24"/>
              </w:rPr>
              <w:t>台</w:t>
            </w:r>
          </w:p>
        </w:tc>
        <w:tc>
          <w:tcPr>
            <w:tcW w:w="1691" w:type="dxa"/>
          </w:tcPr>
          <w:p>
            <w:pPr>
              <w:jc w:val="center"/>
              <w:rPr>
                <w:rFonts w:ascii="Calibri" w:hAnsi="Calibri"/>
                <w:sz w:val="24"/>
              </w:rPr>
            </w:pPr>
            <w:r>
              <w:rPr>
                <w:rFonts w:hint="eastAsia" w:ascii="Calibri" w:hAnsi="Calibri"/>
                <w:sz w:val="24"/>
              </w:rPr>
              <w:t>2</w:t>
            </w:r>
          </w:p>
        </w:tc>
        <w:tc>
          <w:tcPr>
            <w:tcW w:w="1746" w:type="dxa"/>
          </w:tcPr>
          <w:p>
            <w:pPr>
              <w:jc w:val="center"/>
              <w:rPr>
                <w:rFonts w:ascii="Calibri" w:hAnsi="Calibri"/>
                <w:sz w:val="24"/>
              </w:rPr>
            </w:pPr>
            <w:r>
              <w:rPr>
                <w:rFonts w:hint="eastAsia" w:ascii="Calibri" w:hAnsi="Calibri"/>
                <w:sz w:val="24"/>
              </w:rPr>
              <w:t>9000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37</w:t>
            </w:r>
          </w:p>
        </w:tc>
        <w:tc>
          <w:tcPr>
            <w:tcW w:w="3119" w:type="dxa"/>
            <w:vAlign w:val="center"/>
          </w:tcPr>
          <w:p>
            <w:pPr>
              <w:pStyle w:val="95"/>
              <w:spacing w:before="15" w:line="276" w:lineRule="exact"/>
              <w:ind w:left="49" w:right="38"/>
              <w:rPr>
                <w:sz w:val="22"/>
              </w:rPr>
            </w:pPr>
            <w:r>
              <w:rPr>
                <w:sz w:val="22"/>
              </w:rPr>
              <w:t>血压计（水银）</w:t>
            </w:r>
          </w:p>
        </w:tc>
        <w:tc>
          <w:tcPr>
            <w:tcW w:w="1363" w:type="dxa"/>
          </w:tcPr>
          <w:p>
            <w:pPr>
              <w:jc w:val="center"/>
              <w:rPr>
                <w:rFonts w:ascii="Calibri" w:hAnsi="Calibri"/>
                <w:sz w:val="24"/>
                <w:lang w:val="zh-CN"/>
              </w:rPr>
            </w:pPr>
            <w:r>
              <w:rPr>
                <w:rFonts w:hint="eastAsia" w:ascii="Calibri" w:hAnsi="Calibri"/>
                <w:sz w:val="24"/>
              </w:rPr>
              <w:t>台</w:t>
            </w:r>
          </w:p>
        </w:tc>
        <w:tc>
          <w:tcPr>
            <w:tcW w:w="1691" w:type="dxa"/>
          </w:tcPr>
          <w:p>
            <w:pPr>
              <w:jc w:val="center"/>
              <w:rPr>
                <w:rFonts w:ascii="Calibri" w:hAnsi="Calibri"/>
                <w:sz w:val="24"/>
              </w:rPr>
            </w:pPr>
            <w:r>
              <w:rPr>
                <w:rFonts w:hint="eastAsia" w:ascii="Calibri" w:hAnsi="Calibri"/>
                <w:sz w:val="24"/>
              </w:rPr>
              <w:t>4</w:t>
            </w:r>
          </w:p>
        </w:tc>
        <w:tc>
          <w:tcPr>
            <w:tcW w:w="1746" w:type="dxa"/>
          </w:tcPr>
          <w:p>
            <w:pPr>
              <w:jc w:val="center"/>
              <w:rPr>
                <w:rFonts w:ascii="Calibri" w:hAnsi="Calibri"/>
                <w:sz w:val="24"/>
              </w:rPr>
            </w:pPr>
            <w:r>
              <w:rPr>
                <w:rFonts w:hint="eastAsia" w:ascii="Calibri" w:hAnsi="Calibri"/>
                <w:sz w:val="24"/>
              </w:rPr>
              <w:t>95</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38</w:t>
            </w:r>
          </w:p>
        </w:tc>
        <w:tc>
          <w:tcPr>
            <w:tcW w:w="3119" w:type="dxa"/>
            <w:vAlign w:val="center"/>
          </w:tcPr>
          <w:p>
            <w:pPr>
              <w:pStyle w:val="95"/>
              <w:spacing w:before="15" w:line="276" w:lineRule="exact"/>
              <w:ind w:left="49" w:right="38"/>
              <w:rPr>
                <w:sz w:val="22"/>
              </w:rPr>
            </w:pPr>
            <w:r>
              <w:rPr>
                <w:sz w:val="22"/>
              </w:rPr>
              <w:t>空气消毒机</w:t>
            </w:r>
          </w:p>
        </w:tc>
        <w:tc>
          <w:tcPr>
            <w:tcW w:w="1363" w:type="dxa"/>
          </w:tcPr>
          <w:p>
            <w:pPr>
              <w:jc w:val="center"/>
              <w:rPr>
                <w:rFonts w:ascii="Calibri" w:hAnsi="Calibri"/>
                <w:sz w:val="24"/>
                <w:lang w:val="zh-CN"/>
              </w:rPr>
            </w:pPr>
            <w:r>
              <w:rPr>
                <w:rFonts w:hint="eastAsia" w:ascii="Calibri" w:hAnsi="Calibri"/>
                <w:sz w:val="24"/>
              </w:rPr>
              <w:t>台</w:t>
            </w:r>
          </w:p>
        </w:tc>
        <w:tc>
          <w:tcPr>
            <w:tcW w:w="1691" w:type="dxa"/>
          </w:tcPr>
          <w:p>
            <w:pPr>
              <w:jc w:val="center"/>
              <w:rPr>
                <w:rFonts w:ascii="Calibri" w:hAnsi="Calibri"/>
                <w:sz w:val="24"/>
              </w:rPr>
            </w:pPr>
            <w:r>
              <w:rPr>
                <w:rFonts w:hint="eastAsia" w:ascii="Calibri" w:hAnsi="Calibri"/>
                <w:sz w:val="24"/>
              </w:rPr>
              <w:t>8</w:t>
            </w:r>
          </w:p>
        </w:tc>
        <w:tc>
          <w:tcPr>
            <w:tcW w:w="1746" w:type="dxa"/>
          </w:tcPr>
          <w:p>
            <w:pPr>
              <w:jc w:val="center"/>
              <w:rPr>
                <w:rFonts w:ascii="Calibri" w:hAnsi="Calibri"/>
                <w:sz w:val="24"/>
              </w:rPr>
            </w:pPr>
            <w:r>
              <w:rPr>
                <w:rFonts w:hint="eastAsia" w:ascii="Calibri" w:hAnsi="Calibri"/>
                <w:sz w:val="24"/>
              </w:rPr>
              <w:t>2870</w:t>
            </w:r>
          </w:p>
        </w:tc>
        <w:tc>
          <w:tcPr>
            <w:tcW w:w="1377"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39</w:t>
            </w:r>
          </w:p>
        </w:tc>
        <w:tc>
          <w:tcPr>
            <w:tcW w:w="3119" w:type="dxa"/>
            <w:vAlign w:val="center"/>
          </w:tcPr>
          <w:p>
            <w:pPr>
              <w:pStyle w:val="95"/>
              <w:spacing w:before="15" w:line="276" w:lineRule="exact"/>
              <w:ind w:left="49" w:right="38"/>
              <w:rPr>
                <w:sz w:val="22"/>
              </w:rPr>
            </w:pPr>
            <w:r>
              <w:rPr>
                <w:sz w:val="22"/>
              </w:rPr>
              <w:t>便携式超低容量自动喷雾消毒器</w:t>
            </w:r>
          </w:p>
        </w:tc>
        <w:tc>
          <w:tcPr>
            <w:tcW w:w="1363" w:type="dxa"/>
            <w:vAlign w:val="center"/>
          </w:tcPr>
          <w:p>
            <w:pPr>
              <w:jc w:val="center"/>
              <w:rPr>
                <w:rFonts w:ascii="Calibri" w:hAnsi="Calibri"/>
                <w:sz w:val="24"/>
                <w:lang w:val="zh-CN"/>
              </w:rPr>
            </w:pPr>
            <w:r>
              <w:rPr>
                <w:rFonts w:hint="eastAsia" w:ascii="Calibri" w:hAnsi="Calibri"/>
                <w:sz w:val="24"/>
              </w:rPr>
              <w:t>台</w:t>
            </w:r>
          </w:p>
        </w:tc>
        <w:tc>
          <w:tcPr>
            <w:tcW w:w="1691" w:type="dxa"/>
            <w:vAlign w:val="center"/>
          </w:tcPr>
          <w:p>
            <w:pPr>
              <w:jc w:val="center"/>
              <w:rPr>
                <w:rFonts w:ascii="Calibri" w:hAnsi="Calibri"/>
                <w:sz w:val="24"/>
              </w:rPr>
            </w:pPr>
            <w:r>
              <w:rPr>
                <w:rFonts w:hint="eastAsia" w:ascii="Calibri" w:hAnsi="Calibri"/>
                <w:sz w:val="24"/>
                <w:lang w:val="en-US" w:eastAsia="zh-CN"/>
              </w:rPr>
              <w:t xml:space="preserve"> </w:t>
            </w:r>
            <w:r>
              <w:rPr>
                <w:rFonts w:hint="eastAsia" w:ascii="Calibri" w:hAnsi="Calibri"/>
                <w:sz w:val="24"/>
              </w:rPr>
              <w:t>4</w:t>
            </w:r>
          </w:p>
        </w:tc>
        <w:tc>
          <w:tcPr>
            <w:tcW w:w="1746" w:type="dxa"/>
            <w:vAlign w:val="center"/>
          </w:tcPr>
          <w:p>
            <w:pPr>
              <w:jc w:val="center"/>
              <w:rPr>
                <w:rFonts w:ascii="Calibri" w:hAnsi="Calibri"/>
                <w:sz w:val="24"/>
              </w:rPr>
            </w:pPr>
            <w:r>
              <w:rPr>
                <w:rFonts w:hint="eastAsia" w:ascii="Calibri" w:hAnsi="Calibri"/>
                <w:sz w:val="24"/>
              </w:rPr>
              <w:t>536</w:t>
            </w:r>
          </w:p>
        </w:tc>
        <w:tc>
          <w:tcPr>
            <w:tcW w:w="1377" w:type="dxa"/>
            <w:vAlign w:val="center"/>
          </w:tcPr>
          <w:p>
            <w:pPr>
              <w:jc w:val="center"/>
              <w:rPr>
                <w:rFonts w:ascii="Calibri" w:hAnsi="Calibri"/>
                <w:sz w:val="24"/>
              </w:rPr>
            </w:pPr>
          </w:p>
        </w:tc>
      </w:tr>
    </w:tbl>
    <w:p>
      <w:pPr>
        <w:pStyle w:val="12"/>
        <w:ind w:firstLine="0"/>
        <w:rPr>
          <w:rFonts w:ascii="宋体" w:hAnsi="宋体" w:cs="宋体"/>
          <w:b/>
          <w:sz w:val="24"/>
        </w:rPr>
      </w:pPr>
    </w:p>
    <w:p>
      <w:pPr>
        <w:pStyle w:val="13"/>
        <w:rPr>
          <w:rFonts w:ascii="宋体" w:hAnsi="宋体" w:cs="宋体"/>
          <w:b/>
          <w:sz w:val="24"/>
          <w:szCs w:val="24"/>
        </w:rPr>
      </w:pPr>
    </w:p>
    <w:p/>
    <w:p>
      <w:pPr>
        <w:pStyle w:val="43"/>
      </w:pPr>
    </w:p>
    <w:p>
      <w:pPr>
        <w:pStyle w:val="11"/>
      </w:pPr>
    </w:p>
    <w:p>
      <w:pPr>
        <w:pStyle w:val="13"/>
      </w:pPr>
    </w:p>
    <w:p/>
    <w:p>
      <w:pPr>
        <w:pStyle w:val="12"/>
        <w:ind w:firstLine="0"/>
        <w:rPr>
          <w:rFonts w:ascii="宋体" w:hAnsi="宋体" w:cs="宋体"/>
          <w:b/>
          <w:sz w:val="24"/>
        </w:rPr>
      </w:pPr>
    </w:p>
    <w:p>
      <w:pPr>
        <w:pStyle w:val="13"/>
      </w:pPr>
    </w:p>
    <w:p>
      <w:pPr>
        <w:pStyle w:val="12"/>
        <w:ind w:firstLine="0"/>
        <w:rPr>
          <w:rFonts w:ascii="宋体" w:hAnsi="宋体" w:cs="宋体"/>
          <w:b/>
          <w:sz w:val="24"/>
        </w:rPr>
      </w:pPr>
      <w:r>
        <w:rPr>
          <w:rFonts w:hint="eastAsia" w:ascii="宋体" w:hAnsi="宋体" w:cs="宋体"/>
          <w:b/>
          <w:sz w:val="24"/>
        </w:rPr>
        <w:t>技术参数</w:t>
      </w:r>
    </w:p>
    <w:tbl>
      <w:tblPr>
        <w:tblStyle w:val="27"/>
        <w:tblW w:w="0" w:type="auto"/>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30" w:line="275" w:lineRule="exact"/>
              <w:ind w:left="124"/>
              <w:jc w:val="center"/>
              <w:rPr>
                <w:spacing w:val="-3"/>
              </w:rPr>
            </w:pPr>
            <w:r>
              <w:rPr>
                <w:rFonts w:hint="eastAsia"/>
                <w:spacing w:val="-3"/>
              </w:rPr>
              <w:t>名称</w:t>
            </w:r>
          </w:p>
        </w:tc>
        <w:tc>
          <w:tcPr>
            <w:tcW w:w="7648" w:type="dxa"/>
          </w:tcPr>
          <w:p>
            <w:pPr>
              <w:pStyle w:val="95"/>
              <w:spacing w:before="30" w:line="275" w:lineRule="exact"/>
              <w:ind w:left="124"/>
              <w:jc w:val="center"/>
              <w:rPr>
                <w:spacing w:val="-3"/>
              </w:rPr>
            </w:pPr>
            <w:r>
              <w:rPr>
                <w:rFonts w:hint="eastAsia"/>
                <w:spacing w:val="-3"/>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ind w:left="107"/>
              <w:jc w:val="center"/>
            </w:pPr>
            <w:r>
              <w:rPr>
                <w:spacing w:val="-18"/>
              </w:rPr>
              <w:t>预装设备带</w:t>
            </w:r>
            <w:r>
              <w:rPr>
                <w:spacing w:val="-1"/>
              </w:rPr>
              <w:t>（包括</w:t>
            </w:r>
          </w:p>
          <w:p>
            <w:pPr>
              <w:pStyle w:val="95"/>
              <w:spacing w:before="30" w:line="275" w:lineRule="exact"/>
              <w:ind w:left="124"/>
              <w:jc w:val="center"/>
            </w:pPr>
            <w:r>
              <w:rPr>
                <w:spacing w:val="-3"/>
              </w:rPr>
              <w:t>传呼铃</w:t>
            </w:r>
            <w:r>
              <w:rPr>
                <w:spacing w:val="-1"/>
              </w:rPr>
              <w:t>）</w:t>
            </w:r>
          </w:p>
        </w:tc>
        <w:tc>
          <w:tcPr>
            <w:tcW w:w="7648" w:type="dxa"/>
          </w:tcPr>
          <w:p>
            <w:pPr>
              <w:pStyle w:val="95"/>
              <w:spacing w:before="30" w:line="275" w:lineRule="exact"/>
              <w:rPr>
                <w:spacing w:val="-3"/>
              </w:rPr>
            </w:pPr>
            <w:r>
              <w:rPr>
                <w:spacing w:val="-3"/>
              </w:rPr>
              <w:t>1、用铝合金一次成型技术，铝合金板材厚度为1.5m。</w:t>
            </w:r>
          </w:p>
          <w:p>
            <w:pPr>
              <w:pStyle w:val="95"/>
              <w:spacing w:before="30" w:line="275" w:lineRule="exact"/>
              <w:rPr>
                <w:spacing w:val="-3"/>
              </w:rPr>
            </w:pPr>
            <w:r>
              <w:rPr>
                <w:spacing w:val="-3"/>
              </w:rPr>
              <w:t>2、技术参照HTM2022标准。</w:t>
            </w:r>
          </w:p>
          <w:p>
            <w:pPr>
              <w:pStyle w:val="95"/>
              <w:spacing w:before="30" w:line="275" w:lineRule="exact"/>
              <w:rPr>
                <w:spacing w:val="-3"/>
              </w:rPr>
            </w:pPr>
            <w:r>
              <w:rPr>
                <w:spacing w:val="-3"/>
              </w:rPr>
              <w:t>3、设备带内部腔体空间较大，可装载多种电气设备及气体插座，包括照明灯、阅读灯、特殊用途灯、电源插座、电话或网络插座、电气开关、医用气体插座、护士呼叫系统等。</w:t>
            </w:r>
          </w:p>
          <w:p>
            <w:pPr>
              <w:pStyle w:val="95"/>
              <w:spacing w:before="30" w:line="275" w:lineRule="exact"/>
              <w:rPr>
                <w:spacing w:val="-3"/>
              </w:rPr>
            </w:pPr>
            <w:r>
              <w:rPr>
                <w:spacing w:val="-3"/>
              </w:rPr>
              <w:t>4、灯罩采用医用聚脂透明塑料，可根据用户需要确定灯罩长短。</w:t>
            </w:r>
          </w:p>
          <w:p>
            <w:pPr>
              <w:pStyle w:val="95"/>
              <w:spacing w:before="30" w:line="275" w:lineRule="exact"/>
              <w:rPr>
                <w:spacing w:val="-3"/>
                <w:lang w:val="en-US"/>
              </w:rPr>
            </w:pPr>
            <w:r>
              <w:rPr>
                <w:spacing w:val="-3"/>
              </w:rPr>
              <w:t>5、可使用新式的LED节能灯，可以应用在医用设备带上</w:t>
            </w:r>
            <w:r>
              <w:rPr>
                <w:rFonts w:hint="eastAsia"/>
                <w:spacing w:val="-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95"/>
              <w:spacing w:before="172"/>
              <w:ind w:right="38"/>
              <w:jc w:val="center"/>
            </w:pPr>
            <w:r>
              <w:t>病床</w:t>
            </w:r>
          </w:p>
        </w:tc>
        <w:tc>
          <w:tcPr>
            <w:tcW w:w="7648" w:type="dxa"/>
            <w:vAlign w:val="center"/>
          </w:tcPr>
          <w:p>
            <w:pPr>
              <w:pStyle w:val="95"/>
              <w:spacing w:before="30" w:line="275" w:lineRule="exact"/>
              <w:rPr>
                <w:spacing w:val="-3"/>
              </w:rPr>
            </w:pPr>
            <w:r>
              <w:rPr>
                <w:rFonts w:hint="eastAsia"/>
                <w:spacing w:val="-3"/>
                <w:lang w:val="en-US"/>
              </w:rPr>
              <w:t>1、</w:t>
            </w:r>
            <w:r>
              <w:rPr>
                <w:rFonts w:hint="eastAsia"/>
                <w:spacing w:val="-3"/>
              </w:rPr>
              <w:t>病床</w:t>
            </w:r>
            <w:r>
              <w:t>≥</w:t>
            </w:r>
            <w:r>
              <w:rPr>
                <w:spacing w:val="-3"/>
              </w:rPr>
              <w:t>196*90*50CM 钢铁喷塑烤漆  配床垫</w:t>
            </w:r>
            <w:r>
              <w:t>≥</w:t>
            </w:r>
            <w:r>
              <w:rPr>
                <w:spacing w:val="-3"/>
              </w:rPr>
              <w:t>190*90*4CM 环保棕材质，牛津布防水</w:t>
            </w:r>
            <w:r>
              <w:rPr>
                <w:rFonts w:hint="eastAsia"/>
                <w:spacing w:val="-3"/>
              </w:rPr>
              <w:t>。</w:t>
            </w:r>
          </w:p>
          <w:p>
            <w:pPr>
              <w:pStyle w:val="95"/>
              <w:spacing w:before="30" w:line="275" w:lineRule="exact"/>
              <w:rPr>
                <w:spacing w:val="-3"/>
              </w:rPr>
            </w:pPr>
            <w:r>
              <w:rPr>
                <w:rFonts w:hint="eastAsia"/>
                <w:spacing w:val="-3"/>
                <w:lang w:val="en-US"/>
              </w:rPr>
              <w:t>2、</w:t>
            </w:r>
            <w:r>
              <w:rPr>
                <w:spacing w:val="-3"/>
              </w:rPr>
              <w:t>病床的外形要整齐，表面不要有锋棱，焊接应牢固、焊缝应光滑、均匀;床架弯圆处的管子外径应圆滑;喷塑层应光滑平整、色泽均匀;床身与床架装配后应固定牢固，不得松动。</w:t>
            </w:r>
          </w:p>
          <w:p>
            <w:pPr>
              <w:pStyle w:val="95"/>
              <w:spacing w:before="30" w:line="275" w:lineRule="exact"/>
              <w:rPr>
                <w:spacing w:val="-3"/>
              </w:rPr>
            </w:pPr>
            <w:r>
              <w:rPr>
                <w:rFonts w:hint="eastAsia"/>
                <w:color w:val="000000"/>
                <w:lang w:val="en-US"/>
              </w:rPr>
              <w:t>3、</w:t>
            </w:r>
            <w:r>
              <w:rPr>
                <w:color w:val="000000"/>
              </w:rPr>
              <w:t>护栏具</w:t>
            </w:r>
            <w:r>
              <w:rPr>
                <w:spacing w:val="-3"/>
              </w:rPr>
              <w:t>有防夹手功能，让病人更加安全</w:t>
            </w:r>
            <w:r>
              <w:rPr>
                <w:rFonts w:hint="eastAsia"/>
                <w:spacing w:val="-3"/>
              </w:rPr>
              <w:t>。</w:t>
            </w:r>
          </w:p>
          <w:p>
            <w:pPr>
              <w:pStyle w:val="95"/>
              <w:spacing w:before="30" w:line="275" w:lineRule="exact"/>
              <w:rPr>
                <w:color w:val="000000"/>
              </w:rPr>
            </w:pPr>
            <w:r>
              <w:rPr>
                <w:rFonts w:hint="eastAsia"/>
                <w:spacing w:val="-3"/>
                <w:lang w:val="en-US"/>
              </w:rPr>
              <w:t>4、</w:t>
            </w:r>
            <w:r>
              <w:rPr>
                <w:color w:val="000000"/>
              </w:rPr>
              <w:t>摇杆采用万向联轴结构，隐藏式设计，具有自锁功能</w:t>
            </w:r>
            <w:r>
              <w:rPr>
                <w:rFonts w:hint="eastAsia"/>
                <w:color w:val="000000"/>
              </w:rPr>
              <w:t>。</w:t>
            </w:r>
          </w:p>
          <w:p>
            <w:pPr>
              <w:pStyle w:val="95"/>
              <w:spacing w:before="30" w:line="275" w:lineRule="exact"/>
              <w:rPr>
                <w:color w:val="000000"/>
                <w:lang w:val="en-US"/>
              </w:rPr>
            </w:pPr>
            <w:r>
              <w:rPr>
                <w:rFonts w:hint="eastAsia"/>
                <w:spacing w:val="-3"/>
                <w:lang w:val="en-US"/>
              </w:rPr>
              <w:t>5、</w:t>
            </w:r>
            <w:r>
              <w:rPr>
                <w:spacing w:val="-3"/>
              </w:rPr>
              <w:t>脚轮为4个万向轮，其材质为</w:t>
            </w:r>
            <w:r>
              <w:rPr>
                <w:spacing w:val="-3"/>
                <w:lang w:val="en-US"/>
              </w:rPr>
              <w:t>PU</w:t>
            </w:r>
            <w:r>
              <w:rPr>
                <w:spacing w:val="-3"/>
              </w:rPr>
              <w:t>聚氨脂，高耐磨， 无噪音，四个脚轮带刹车装置，稳定性好。</w:t>
            </w:r>
          </w:p>
          <w:p>
            <w:pPr>
              <w:pStyle w:val="95"/>
              <w:spacing w:before="30" w:line="275" w:lineRule="exact"/>
              <w:rPr>
                <w:spacing w:val="-3"/>
                <w:lang w:val="en-US"/>
              </w:rPr>
            </w:pPr>
            <w:r>
              <w:rPr>
                <w:rFonts w:hint="eastAsia"/>
                <w:spacing w:val="-3"/>
                <w:lang w:val="en-US"/>
              </w:rPr>
              <w:t>6、配备床头架、床腿架、床面。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ind w:left="49" w:right="38"/>
              <w:jc w:val="center"/>
            </w:pPr>
            <w:r>
              <w:t>床单位臭氧消毒器</w:t>
            </w:r>
          </w:p>
        </w:tc>
        <w:tc>
          <w:tcPr>
            <w:tcW w:w="7648" w:type="dxa"/>
          </w:tcPr>
          <w:p>
            <w:pPr>
              <w:pStyle w:val="95"/>
              <w:spacing w:before="16"/>
              <w:ind w:right="38"/>
            </w:pPr>
            <w:r>
              <w:t>1、环境温度：0℃～+40℃；</w:t>
            </w:r>
          </w:p>
          <w:p>
            <w:pPr>
              <w:pStyle w:val="95"/>
              <w:spacing w:before="16"/>
              <w:ind w:right="38"/>
            </w:pPr>
            <w:r>
              <w:t>2、相对湿度：≤80%</w:t>
            </w:r>
          </w:p>
          <w:p>
            <w:pPr>
              <w:pStyle w:val="95"/>
              <w:spacing w:before="16"/>
              <w:ind w:right="38"/>
            </w:pPr>
            <w:r>
              <w:t>3、电源：交流 220V±22V；电源频率：50HZ±1HZ。</w:t>
            </w:r>
          </w:p>
          <w:p>
            <w:pPr>
              <w:pStyle w:val="95"/>
              <w:spacing w:before="16"/>
              <w:ind w:right="38"/>
            </w:pPr>
            <w:r>
              <w:t>4、大气压力 860hpa～1060hpa;</w:t>
            </w:r>
          </w:p>
          <w:p>
            <w:pPr>
              <w:pStyle w:val="95"/>
              <w:spacing w:before="16"/>
              <w:ind w:right="38"/>
            </w:pPr>
            <w:r>
              <w:t>5、</w:t>
            </w:r>
            <w:r>
              <w:rPr>
                <w:rFonts w:hint="eastAsia"/>
              </w:rPr>
              <w:t>▲</w:t>
            </w:r>
            <w:r>
              <w:t>臭氧浓度：≥1100mg/m³</w:t>
            </w:r>
          </w:p>
          <w:p>
            <w:pPr>
              <w:pStyle w:val="95"/>
              <w:spacing w:before="16"/>
              <w:ind w:right="38"/>
            </w:pPr>
            <w:r>
              <w:t>6、臭氧产量：≥</w:t>
            </w:r>
            <w:r>
              <w:rPr>
                <w:rFonts w:hint="eastAsia"/>
                <w:lang w:val="en-US"/>
              </w:rPr>
              <w:t>3158</w:t>
            </w:r>
            <w:r>
              <w:t>mg/h</w:t>
            </w:r>
          </w:p>
          <w:p>
            <w:pPr>
              <w:pStyle w:val="95"/>
              <w:spacing w:before="16"/>
              <w:ind w:right="38"/>
            </w:pPr>
            <w:r>
              <w:t>7、</w:t>
            </w:r>
            <w:r>
              <w:tab/>
            </w:r>
            <w:r>
              <w:rPr>
                <w:rFonts w:hint="eastAsia"/>
              </w:rPr>
              <w:t>▲</w:t>
            </w:r>
            <w:r>
              <w:t>臭氧泄漏量：≤0.078mg/m³</w:t>
            </w:r>
          </w:p>
          <w:p>
            <w:pPr>
              <w:pStyle w:val="95"/>
              <w:spacing w:before="16"/>
              <w:ind w:right="38"/>
            </w:pPr>
            <w:r>
              <w:rPr>
                <w:rFonts w:hint="eastAsia"/>
                <w:lang w:val="en-US"/>
              </w:rPr>
              <w:t>8</w:t>
            </w:r>
            <w:r>
              <w:t>、工作噪声≤55dB</w:t>
            </w:r>
          </w:p>
          <w:p>
            <w:pPr>
              <w:pStyle w:val="95"/>
              <w:spacing w:before="16"/>
              <w:ind w:right="38"/>
            </w:pPr>
            <w:r>
              <w:rPr>
                <w:rFonts w:hint="eastAsia"/>
                <w:lang w:val="en-US"/>
              </w:rPr>
              <w:t>9</w:t>
            </w:r>
            <w:r>
              <w:t>、</w:t>
            </w:r>
            <w:r>
              <w:rPr>
                <w:rFonts w:hint="eastAsia"/>
              </w:rPr>
              <w:t>▲</w:t>
            </w:r>
            <w:r>
              <w:t>臭氧发生器平均使用寿命≥20000h；</w:t>
            </w:r>
          </w:p>
          <w:p>
            <w:pPr>
              <w:pStyle w:val="95"/>
              <w:spacing w:before="16"/>
              <w:ind w:right="38"/>
            </w:pPr>
            <w:r>
              <w:rPr>
                <w:rFonts w:hint="eastAsia"/>
                <w:lang w:val="en-US"/>
              </w:rPr>
              <w:t>10</w:t>
            </w:r>
            <w:r>
              <w:t>、输入功率消毒≤300VA，抽气≤230VA。</w:t>
            </w:r>
          </w:p>
          <w:p>
            <w:pPr>
              <w:pStyle w:val="95"/>
              <w:spacing w:before="16"/>
              <w:ind w:right="38"/>
            </w:pPr>
            <w:r>
              <w:t>1</w:t>
            </w:r>
            <w:r>
              <w:rPr>
                <w:rFonts w:hint="eastAsia"/>
                <w:lang w:val="en-US"/>
              </w:rPr>
              <w:t>1</w:t>
            </w:r>
            <w:r>
              <w:t>、采用高频陶瓷放电臭氧发生器，臭氧浓度高、寿命长、消毒能力强；</w:t>
            </w:r>
          </w:p>
          <w:p>
            <w:pPr>
              <w:pStyle w:val="95"/>
              <w:spacing w:before="16"/>
              <w:ind w:right="38"/>
            </w:pPr>
            <w:r>
              <w:t>1</w:t>
            </w:r>
            <w:r>
              <w:rPr>
                <w:rFonts w:hint="eastAsia"/>
                <w:lang w:val="en-US"/>
              </w:rPr>
              <w:t>2</w:t>
            </w:r>
            <w:r>
              <w:t>、具有抽真空功能，能使臭氧完全渗透至被褥内部，消毒更彻底、无死角；臭氧解析功能，解析时间快无残留。</w:t>
            </w:r>
          </w:p>
          <w:p>
            <w:pPr>
              <w:pStyle w:val="95"/>
              <w:spacing w:before="16"/>
              <w:ind w:right="38"/>
            </w:pPr>
            <w:r>
              <w:t>1</w:t>
            </w:r>
            <w:r>
              <w:rPr>
                <w:rFonts w:hint="eastAsia"/>
                <w:lang w:val="en-US"/>
              </w:rPr>
              <w:t>3</w:t>
            </w:r>
            <w:r>
              <w:t>、采用新型臭氧解析技术，消毒结束后进行臭氧解析，无残留、安全可靠；</w:t>
            </w:r>
          </w:p>
          <w:p>
            <w:pPr>
              <w:pStyle w:val="95"/>
              <w:spacing w:before="16"/>
              <w:ind w:right="38"/>
            </w:pPr>
            <w:r>
              <w:t>1</w:t>
            </w:r>
            <w:r>
              <w:rPr>
                <w:rFonts w:hint="eastAsia"/>
                <w:lang w:val="en-US"/>
              </w:rPr>
              <w:t>4</w:t>
            </w:r>
            <w:r>
              <w:t>、双通道输出，可单路或同时对两张床位进行消毒，充分提高床位利用率；</w:t>
            </w:r>
          </w:p>
          <w:p>
            <w:pPr>
              <w:pStyle w:val="95"/>
              <w:spacing w:before="16"/>
              <w:ind w:right="38"/>
            </w:pPr>
            <w:r>
              <w:t>1</w:t>
            </w:r>
            <w:r>
              <w:rPr>
                <w:rFonts w:hint="eastAsia"/>
                <w:lang w:val="en-US"/>
              </w:rPr>
              <w:t>5</w:t>
            </w:r>
            <w:r>
              <w:t>、</w:t>
            </w:r>
            <w:r>
              <w:rPr>
                <w:rFonts w:hint="eastAsia"/>
              </w:rPr>
              <w:t>▲</w:t>
            </w:r>
            <w:r>
              <w:t>消毒过程抽真空、消毒、保持、解析全自动智能控制，亦可手动操作，可在任意状态进行各个过程时间的设定，操作更方便；外观美观，移动方便。</w:t>
            </w:r>
          </w:p>
          <w:p>
            <w:pPr>
              <w:pStyle w:val="95"/>
              <w:spacing w:before="16"/>
              <w:ind w:right="38"/>
            </w:pPr>
            <w:r>
              <w:t>1</w:t>
            </w:r>
            <w:r>
              <w:rPr>
                <w:rFonts w:hint="eastAsia"/>
                <w:lang w:val="en-US"/>
              </w:rPr>
              <w:t>6</w:t>
            </w:r>
            <w:r>
              <w:t>、</w:t>
            </w:r>
            <w:r>
              <w:rPr>
                <w:rFonts w:hint="eastAsia"/>
              </w:rPr>
              <w:t>▲</w:t>
            </w:r>
            <w:r>
              <w:t>微电脑程序控制，臭氧发生器故障报警、停机保护</w:t>
            </w:r>
            <w:r>
              <w:rPr>
                <w:rFonts w:hint="eastAsia"/>
              </w:rPr>
              <w:t>。</w:t>
            </w:r>
          </w:p>
          <w:p>
            <w:pPr>
              <w:pStyle w:val="95"/>
              <w:spacing w:before="16"/>
              <w:ind w:right="38"/>
            </w:pPr>
            <w:r>
              <w:t>1</w:t>
            </w:r>
            <w:r>
              <w:rPr>
                <w:rFonts w:hint="eastAsia"/>
                <w:lang w:val="en-US"/>
              </w:rPr>
              <w:t>7</w:t>
            </w:r>
            <w:r>
              <w:t>、钣金壳体机身抗菌耐腐蚀，易清洁不发黄，臭氧输出管气嘴采用XBS材质，床罩接气嘴采用高密度乙烯树脂，耐腐蚀；</w:t>
            </w:r>
          </w:p>
          <w:p>
            <w:pPr>
              <w:pStyle w:val="95"/>
              <w:spacing w:before="16"/>
              <w:ind w:right="38"/>
            </w:pPr>
            <w:r>
              <w:t>1</w:t>
            </w:r>
            <w:r>
              <w:rPr>
                <w:rFonts w:hint="eastAsia"/>
                <w:lang w:val="en-US"/>
              </w:rPr>
              <w:t>8</w:t>
            </w:r>
            <w:r>
              <w:t>、</w:t>
            </w:r>
            <w:r>
              <w:rPr>
                <w:rFonts w:hint="eastAsia"/>
              </w:rPr>
              <w:t>▲</w:t>
            </w:r>
            <w:r>
              <w:t>定时时间可根据需要设定并记忆，操作更方便；</w:t>
            </w:r>
          </w:p>
          <w:p>
            <w:pPr>
              <w:pStyle w:val="95"/>
              <w:spacing w:before="16"/>
              <w:ind w:right="38"/>
            </w:pPr>
            <w:r>
              <w:rPr>
                <w:rFonts w:hint="eastAsia"/>
                <w:lang w:val="en-US"/>
              </w:rPr>
              <w:t>19</w:t>
            </w:r>
            <w:r>
              <w:t>、能一次性彻底杀灭床单位上的各种细菌、病毒及繁殖体；具有除臭、增白、驱虫的功效。</w:t>
            </w:r>
          </w:p>
          <w:p>
            <w:pPr>
              <w:pStyle w:val="95"/>
              <w:spacing w:before="16"/>
              <w:ind w:right="38"/>
            </w:pPr>
            <w:r>
              <w:t>2</w:t>
            </w:r>
            <w:r>
              <w:rPr>
                <w:rFonts w:hint="eastAsia"/>
                <w:lang w:val="en-US"/>
              </w:rPr>
              <w:t>0</w:t>
            </w:r>
            <w:r>
              <w:t>、</w:t>
            </w:r>
            <w:r>
              <w:rPr>
                <w:rFonts w:hint="eastAsia"/>
              </w:rPr>
              <w:t>▲</w:t>
            </w:r>
            <w:r>
              <w:t>消毒效果：消毒器开机完成 1 个消毒周期，对放置于床单位密封袋内棉被上污染的载体布片上金黄色葡萄球菌（ATCC6538）、大肠杆菌（8099）和铜绿假单胞菌（ATCC15442）的杀灭对数值均≥3.00，对放置于床单位密封袋内棉被上污染床单的自然菌杀灭对数值≥1.00。</w:t>
            </w:r>
          </w:p>
          <w:p>
            <w:pPr>
              <w:pStyle w:val="95"/>
              <w:spacing w:before="16"/>
              <w:ind w:right="38"/>
              <w:rPr>
                <w:lang w:val="en-US"/>
              </w:rPr>
            </w:pPr>
            <w:r>
              <w:rPr>
                <w:rFonts w:hint="eastAsia"/>
                <w:lang w:val="en-US"/>
              </w:rPr>
              <w:t>21、包含500床臭氧消毒床罩。</w:t>
            </w:r>
          </w:p>
          <w:p>
            <w:pPr>
              <w:pStyle w:val="95"/>
              <w:spacing w:before="16"/>
              <w:ind w:right="38"/>
              <w:rPr>
                <w:lang w:val="en-US"/>
              </w:rPr>
            </w:pPr>
            <w:r>
              <w:rPr>
                <w:rFonts w:hint="eastAsia"/>
                <w:lang w:val="en-US"/>
              </w:rPr>
              <w:t>22、</w:t>
            </w:r>
            <w:r>
              <w:rPr>
                <w:rFonts w:hint="eastAsia"/>
              </w:rPr>
              <w:t>▲</w:t>
            </w:r>
            <w:r>
              <w:rPr>
                <w:rFonts w:hint="eastAsia"/>
                <w:lang w:val="en-US"/>
              </w:rPr>
              <w:t>具备消毒产品生产企业卫生许可证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6" w:lineRule="exact"/>
              <w:ind w:left="49" w:right="38"/>
              <w:jc w:val="center"/>
            </w:pPr>
            <w:r>
              <w:rPr>
                <w:rFonts w:hint="eastAsia"/>
              </w:rPr>
              <w:t xml:space="preserve"> </w:t>
            </w:r>
            <w:r>
              <w:rPr>
                <w:rFonts w:hint="eastAsia"/>
                <w:lang w:val="en-US"/>
              </w:rPr>
              <w:t xml:space="preserve">                                                                                                                                                                                                                                                                                                                                                                                                                                                                                                                  </w:t>
            </w:r>
            <w:r>
              <w:t>紫外线消毒车</w:t>
            </w:r>
          </w:p>
        </w:tc>
        <w:tc>
          <w:tcPr>
            <w:tcW w:w="7648" w:type="dxa"/>
          </w:tcPr>
          <w:p>
            <w:pPr>
              <w:pStyle w:val="95"/>
              <w:spacing w:before="15" w:line="276" w:lineRule="exact"/>
              <w:ind w:left="49" w:right="38"/>
            </w:pPr>
            <w:r>
              <w:t>1、</w:t>
            </w:r>
            <w:r>
              <w:tab/>
            </w:r>
            <w:r>
              <w:t>单支灯管辐照强度:≥110μw/cm2; 灯管寿命≥1000小时;</w:t>
            </w:r>
          </w:p>
          <w:p>
            <w:pPr>
              <w:pStyle w:val="95"/>
              <w:spacing w:before="15" w:line="276" w:lineRule="exact"/>
              <w:ind w:left="49" w:right="38"/>
            </w:pPr>
            <w:r>
              <w:t>2、双开关，每个开关控制一只灯管; 每只灯管是自己生产且都有合格证；</w:t>
            </w:r>
          </w:p>
          <w:p>
            <w:pPr>
              <w:pStyle w:val="95"/>
              <w:spacing w:before="15" w:line="276" w:lineRule="exact"/>
              <w:ind w:left="49" w:right="38"/>
            </w:pPr>
            <w:r>
              <w:t>3、</w:t>
            </w:r>
            <w:r>
              <w:tab/>
            </w:r>
            <w:r>
              <w:t>灯臂长度: 915mm; 箱体展开高度约2米；</w:t>
            </w:r>
          </w:p>
          <w:p>
            <w:pPr>
              <w:pStyle w:val="95"/>
              <w:spacing w:before="15" w:line="276" w:lineRule="exact"/>
              <w:ind w:left="49" w:right="38"/>
            </w:pPr>
            <w:r>
              <w:t>4、</w:t>
            </w:r>
            <w:r>
              <w:tab/>
            </w:r>
            <w:r>
              <w:t>铝合金材质灯臂，能更好的折射光效，灯臂可垂放，折叠放入箱体，有保护装置夹紧灯管；</w:t>
            </w:r>
          </w:p>
          <w:p>
            <w:pPr>
              <w:pStyle w:val="95"/>
              <w:spacing w:before="15" w:line="276" w:lineRule="exact"/>
              <w:ind w:left="49" w:right="38"/>
            </w:pPr>
            <w:r>
              <w:t>5、</w:t>
            </w:r>
            <w:r>
              <w:tab/>
            </w:r>
            <w:r>
              <w:t>折合后离地高度: ≥1070mm；</w:t>
            </w:r>
          </w:p>
          <w:p>
            <w:pPr>
              <w:pStyle w:val="95"/>
              <w:spacing w:before="15" w:line="276" w:lineRule="exact"/>
              <w:ind w:left="49" w:right="38"/>
            </w:pPr>
            <w:r>
              <w:t>6、灯臂调节角度: 0°~180°;可360度全方位消毒；</w:t>
            </w:r>
          </w:p>
          <w:p>
            <w:pPr>
              <w:pStyle w:val="95"/>
              <w:spacing w:before="15" w:line="276" w:lineRule="exact"/>
              <w:ind w:left="49" w:right="38"/>
            </w:pPr>
            <w:r>
              <w:t>7、</w:t>
            </w:r>
            <w:r>
              <w:tab/>
            </w:r>
            <w:r>
              <w:t>适用灯管功率: 2 X 30W; 灯</w:t>
            </w:r>
            <w:r>
              <w:rPr>
                <w:rFonts w:hint="eastAsia"/>
              </w:rPr>
              <w:t>管</w:t>
            </w:r>
            <w:r>
              <w:t>材质：石英玻璃；</w:t>
            </w:r>
          </w:p>
          <w:p>
            <w:pPr>
              <w:pStyle w:val="95"/>
              <w:spacing w:before="15" w:line="276" w:lineRule="exact"/>
              <w:ind w:left="49" w:right="38"/>
            </w:pPr>
            <w:r>
              <w:t>8、</w:t>
            </w:r>
            <w:r>
              <w:tab/>
            </w:r>
            <w:r>
              <w:t>紫外辐射峰值波长：紫外线杀菌灯管低臭氧型253. 7nm，有臭氧型185nm；</w:t>
            </w:r>
          </w:p>
          <w:p>
            <w:pPr>
              <w:pStyle w:val="95"/>
              <w:spacing w:before="15" w:line="276" w:lineRule="exact"/>
              <w:ind w:left="49" w:right="38"/>
            </w:pPr>
            <w:r>
              <w:t>9、</w:t>
            </w:r>
            <w:r>
              <w:tab/>
            </w:r>
            <w:r>
              <w:t>输入功率: 160VA；</w:t>
            </w:r>
          </w:p>
          <w:p>
            <w:pPr>
              <w:pStyle w:val="95"/>
              <w:spacing w:before="15" w:line="276" w:lineRule="exact"/>
              <w:ind w:right="38"/>
              <w:rPr>
                <w:lang w:val="en-US"/>
              </w:rPr>
            </w:pPr>
            <w:r>
              <w:t>10、具有电源安全保险保护装置两个；</w:t>
            </w:r>
          </w:p>
          <w:p>
            <w:pPr>
              <w:pStyle w:val="95"/>
              <w:spacing w:before="15" w:line="276" w:lineRule="exact"/>
              <w:ind w:right="38"/>
            </w:pPr>
            <w:r>
              <w:t>11、四个万向旋转静音脚轮，拔插式安装，维护方便，配有扶手移动灵活；</w:t>
            </w:r>
          </w:p>
          <w:p>
            <w:pPr>
              <w:pStyle w:val="95"/>
              <w:spacing w:before="15" w:line="276" w:lineRule="exact"/>
              <w:ind w:left="49" w:right="38"/>
            </w:pPr>
            <w:r>
              <w:t>12、箱体材质：≥1.2mm厚钢板底座：碳钢喷塑；</w:t>
            </w:r>
          </w:p>
          <w:p>
            <w:pPr>
              <w:pStyle w:val="95"/>
              <w:spacing w:before="15" w:line="276" w:lineRule="exact"/>
              <w:ind w:left="49" w:right="38"/>
            </w:pPr>
            <w:r>
              <w:t>13、 普通款0~ 120min机械定时（可加配遥控模块，特有接法遥控器丢失操控不冲突）；智能款和遥控款为智能芯片30/60/90电脑定时，带延迟启动。</w:t>
            </w:r>
          </w:p>
          <w:p>
            <w:pPr>
              <w:pStyle w:val="95"/>
              <w:spacing w:before="15" w:line="276" w:lineRule="exact"/>
              <w:ind w:left="49" w:right="38"/>
            </w:pPr>
            <w:r>
              <w:t>14、紫外线杀菌灯管具有良好的启动特性，在198V供电下10秒钟内完全启动；</w:t>
            </w:r>
          </w:p>
          <w:p>
            <w:pPr>
              <w:pStyle w:val="95"/>
              <w:spacing w:before="15" w:line="276" w:lineRule="exact"/>
              <w:ind w:left="49" w:right="38"/>
            </w:pPr>
            <w:r>
              <w:t>15、电源：220V±10V,50HZ±1HZ；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7" w:lineRule="exact"/>
              <w:ind w:left="47" w:right="38"/>
              <w:jc w:val="center"/>
              <w:rPr>
                <w:highlight w:val="yellow"/>
              </w:rPr>
            </w:pPr>
            <w:r>
              <w:t>等离子移动空气消毒机</w:t>
            </w:r>
          </w:p>
        </w:tc>
        <w:tc>
          <w:tcPr>
            <w:tcW w:w="7648" w:type="dxa"/>
          </w:tcPr>
          <w:p>
            <w:pPr>
              <w:pStyle w:val="95"/>
              <w:spacing w:before="15"/>
            </w:pPr>
            <w:r>
              <w:t>1、类</w:t>
            </w:r>
            <w:r>
              <w:rPr>
                <w:rFonts w:hint="eastAsia"/>
              </w:rPr>
              <w:t xml:space="preserve"> </w:t>
            </w:r>
            <w:r>
              <w:t xml:space="preserve">   型：移动式</w:t>
            </w:r>
          </w:p>
          <w:p>
            <w:pPr>
              <w:pStyle w:val="95"/>
              <w:spacing w:before="15"/>
            </w:pPr>
            <w:r>
              <w:t>2、适用环境：动态环境及静态环境</w:t>
            </w:r>
          </w:p>
          <w:p>
            <w:pPr>
              <w:pStyle w:val="95"/>
              <w:spacing w:before="15"/>
            </w:pPr>
            <w:r>
              <w:t xml:space="preserve">3、适用房间体积：≥100m³                       </w:t>
            </w:r>
          </w:p>
          <w:p>
            <w:pPr>
              <w:pStyle w:val="95"/>
              <w:spacing w:before="15"/>
            </w:pPr>
            <w:r>
              <w:t>4、工作电源：220V±22V  50HZ±1HZ</w:t>
            </w:r>
          </w:p>
          <w:p>
            <w:pPr>
              <w:pStyle w:val="95"/>
              <w:spacing w:before="15"/>
            </w:pPr>
            <w:r>
              <w:t xml:space="preserve">5、输入功率：≤90W  </w:t>
            </w:r>
          </w:p>
          <w:p>
            <w:pPr>
              <w:pStyle w:val="95"/>
              <w:spacing w:before="15"/>
            </w:pPr>
            <w:r>
              <w:t>6、等离子体电压：≥8000V</w:t>
            </w:r>
          </w:p>
          <w:p>
            <w:pPr>
              <w:pStyle w:val="95"/>
              <w:spacing w:before="15"/>
            </w:pPr>
            <w:r>
              <w:rPr>
                <w:rFonts w:hint="eastAsia"/>
                <w:lang w:val="en-US"/>
              </w:rPr>
              <w:t>7</w:t>
            </w:r>
            <w:r>
              <w:t>、操作方式：人机共存、循环消毒、程序控制。</w:t>
            </w:r>
          </w:p>
          <w:p>
            <w:pPr>
              <w:pStyle w:val="95"/>
              <w:spacing w:before="15"/>
              <w:ind w:left="210" w:hanging="210" w:hangingChars="100"/>
            </w:pPr>
            <w:r>
              <w:rPr>
                <w:rFonts w:hint="eastAsia"/>
                <w:lang w:val="en-US"/>
              </w:rPr>
              <w:t>8</w:t>
            </w:r>
            <w:r>
              <w:t>、消毒器无线遥控器能对开/关机、时间调节、风速调节进行控制，其无线遥控距离不小于5M。</w:t>
            </w:r>
          </w:p>
          <w:p>
            <w:pPr>
              <w:pStyle w:val="95"/>
              <w:spacing w:before="15"/>
              <w:ind w:left="210" w:hanging="210" w:hangingChars="100"/>
            </w:pPr>
            <w:r>
              <w:rPr>
                <w:rFonts w:hint="eastAsia"/>
                <w:lang w:val="en-US"/>
              </w:rPr>
              <w:t>9</w:t>
            </w:r>
            <w:r>
              <w:t>、遥控器有定时键，可设置1-24小时步进量，按用户需要选择消毒时间。</w:t>
            </w:r>
          </w:p>
          <w:p>
            <w:pPr>
              <w:pStyle w:val="95"/>
              <w:spacing w:before="15"/>
            </w:pPr>
            <w:r>
              <w:rPr>
                <w:rFonts w:hint="eastAsia"/>
                <w:lang w:val="en-US"/>
              </w:rPr>
              <w:t>10</w:t>
            </w:r>
            <w:r>
              <w:t>、循环消毒风量：≥1000m3/h</w:t>
            </w:r>
          </w:p>
          <w:p>
            <w:pPr>
              <w:pStyle w:val="95"/>
              <w:spacing w:before="15"/>
            </w:pPr>
            <w:r>
              <w:t>1</w:t>
            </w:r>
            <w:r>
              <w:rPr>
                <w:rFonts w:hint="eastAsia"/>
                <w:lang w:val="en-US"/>
              </w:rPr>
              <w:t>1</w:t>
            </w:r>
            <w:r>
              <w:t>、消毒器工作的噪声≤55db(A)</w:t>
            </w:r>
          </w:p>
          <w:p>
            <w:pPr>
              <w:pStyle w:val="95"/>
              <w:spacing w:before="15"/>
            </w:pPr>
            <w:r>
              <w:t>1</w:t>
            </w:r>
            <w:r>
              <w:rPr>
                <w:rFonts w:hint="eastAsia"/>
                <w:lang w:val="en-US"/>
              </w:rPr>
              <w:t>2</w:t>
            </w:r>
            <w:r>
              <w:t>、等离子电场电子密度5.34×1017～2.62×1018 m3（提供检测机构出具的检测报告）</w:t>
            </w:r>
          </w:p>
          <w:p>
            <w:pPr>
              <w:pStyle w:val="95"/>
              <w:spacing w:before="15"/>
            </w:pPr>
            <w:r>
              <w:t>1</w:t>
            </w:r>
            <w:r>
              <w:rPr>
                <w:rFonts w:hint="eastAsia"/>
                <w:lang w:val="en-US"/>
              </w:rPr>
              <w:t>3</w:t>
            </w:r>
            <w:r>
              <w:t>、负离子量≥3×107个/m³。</w:t>
            </w:r>
          </w:p>
          <w:p>
            <w:pPr>
              <w:pStyle w:val="95"/>
              <w:spacing w:before="15"/>
            </w:pPr>
            <w:r>
              <w:t>1</w:t>
            </w:r>
            <w:r>
              <w:rPr>
                <w:rFonts w:hint="eastAsia"/>
                <w:lang w:val="en-US"/>
              </w:rPr>
              <w:t>4</w:t>
            </w:r>
            <w:r>
              <w:t>、空气消毒效果：对白色葡萄球菌（8032株）的杀灭率≥99.98%（提供检测机构出具的检测报告）</w:t>
            </w:r>
          </w:p>
          <w:p>
            <w:pPr>
              <w:pStyle w:val="95"/>
              <w:spacing w:before="15"/>
            </w:pPr>
            <w:r>
              <w:t>1</w:t>
            </w:r>
            <w:r>
              <w:rPr>
                <w:rFonts w:hint="eastAsia"/>
                <w:lang w:val="en-US"/>
              </w:rPr>
              <w:t>5</w:t>
            </w:r>
            <w:r>
              <w:t>、在体积为100 m3室内，对空气中的自然菌消亡率均大于94%。（提供检测机构出具的检测报告）</w:t>
            </w:r>
          </w:p>
          <w:p>
            <w:pPr>
              <w:pStyle w:val="95"/>
              <w:spacing w:before="15"/>
            </w:pPr>
            <w:r>
              <w:t>1</w:t>
            </w:r>
            <w:r>
              <w:rPr>
                <w:rFonts w:hint="eastAsia"/>
                <w:lang w:val="en-US"/>
              </w:rPr>
              <w:t>6</w:t>
            </w:r>
            <w:r>
              <w:t>、消毒时空气中的臭氧量≤0.06mg/m³。（提供检测机构出具的检测报告）</w:t>
            </w:r>
          </w:p>
          <w:p>
            <w:pPr>
              <w:pStyle w:val="95"/>
              <w:spacing w:before="15"/>
            </w:pPr>
            <w:r>
              <w:t>1</w:t>
            </w:r>
            <w:r>
              <w:rPr>
                <w:rFonts w:hint="eastAsia"/>
                <w:lang w:val="en-US"/>
              </w:rPr>
              <w:t>7</w:t>
            </w:r>
            <w:r>
              <w:t>、等离子发生器寿命≥30000小时。</w:t>
            </w:r>
          </w:p>
          <w:p>
            <w:pPr>
              <w:pStyle w:val="95"/>
              <w:spacing w:before="15"/>
            </w:pPr>
            <w:r>
              <w:t>1</w:t>
            </w:r>
            <w:r>
              <w:rPr>
                <w:rFonts w:hint="eastAsia"/>
                <w:lang w:val="en-US"/>
              </w:rPr>
              <w:t>8</w:t>
            </w:r>
            <w:r>
              <w:t>、有程控定时功能，可以预先设置好消毒器的开、关机时间，定时时段≥6个，并记忆存储功能。</w:t>
            </w:r>
          </w:p>
          <w:p>
            <w:pPr>
              <w:pStyle w:val="95"/>
              <w:spacing w:before="15"/>
            </w:pPr>
            <w:r>
              <w:rPr>
                <w:rFonts w:hint="eastAsia"/>
                <w:lang w:val="en-US"/>
              </w:rPr>
              <w:t>19</w:t>
            </w:r>
            <w:r>
              <w:t>、有触摸式、手、遥控开关机功能。</w:t>
            </w:r>
          </w:p>
          <w:p>
            <w:pPr>
              <w:pStyle w:val="95"/>
              <w:spacing w:before="15"/>
            </w:pPr>
            <w:r>
              <w:t>2</w:t>
            </w:r>
            <w:r>
              <w:rPr>
                <w:rFonts w:hint="eastAsia"/>
                <w:lang w:val="en-US"/>
              </w:rPr>
              <w:t>0</w:t>
            </w:r>
            <w:r>
              <w:t>、报警功能：等离子体杀菌净化模块故障报警。</w:t>
            </w:r>
          </w:p>
          <w:p>
            <w:pPr>
              <w:pStyle w:val="95"/>
              <w:spacing w:before="15"/>
            </w:pPr>
            <w:r>
              <w:t>2</w:t>
            </w:r>
            <w:r>
              <w:rPr>
                <w:rFonts w:hint="eastAsia"/>
                <w:lang w:val="en-US"/>
              </w:rPr>
              <w:t>1</w:t>
            </w:r>
            <w:r>
              <w:t>、LED液晶显示屏，能显示北京时间、累计工作时间等数值。</w:t>
            </w:r>
          </w:p>
          <w:p>
            <w:pPr>
              <w:pStyle w:val="95"/>
              <w:spacing w:before="15"/>
            </w:pPr>
            <w:r>
              <w:t>2</w:t>
            </w:r>
            <w:r>
              <w:rPr>
                <w:rFonts w:hint="eastAsia"/>
                <w:lang w:val="en-US"/>
              </w:rPr>
              <w:t>2</w:t>
            </w:r>
            <w:r>
              <w:t>、采用三挡风速：低、中、高，具有临时消毒模式（1小时倒计时自动停机）。</w:t>
            </w:r>
          </w:p>
          <w:p>
            <w:pPr>
              <w:pStyle w:val="95"/>
              <w:spacing w:before="15"/>
            </w:pPr>
            <w:r>
              <w:t>2</w:t>
            </w:r>
            <w:r>
              <w:rPr>
                <w:rFonts w:hint="eastAsia"/>
                <w:lang w:val="en-US"/>
              </w:rPr>
              <w:t>3</w:t>
            </w:r>
            <w:r>
              <w:t>、外壳采用冷轧板喷塑而成，使用更安全放心。</w:t>
            </w:r>
          </w:p>
          <w:p>
            <w:pPr>
              <w:pStyle w:val="95"/>
              <w:spacing w:before="15"/>
            </w:pPr>
            <w:r>
              <w:t>2</w:t>
            </w:r>
            <w:r>
              <w:rPr>
                <w:rFonts w:hint="eastAsia"/>
                <w:lang w:val="en-US"/>
              </w:rPr>
              <w:t>4</w:t>
            </w:r>
            <w:r>
              <w:t>、采用多层滤网，能有效的去除甲醛、氨气、苯类、TVOC、硫化氢等多种有害气体。</w:t>
            </w:r>
          </w:p>
          <w:p>
            <w:pPr>
              <w:pStyle w:val="95"/>
              <w:spacing w:before="15"/>
            </w:pPr>
            <w:r>
              <w:t>2</w:t>
            </w:r>
            <w:r>
              <w:rPr>
                <w:rFonts w:hint="eastAsia"/>
                <w:lang w:val="en-US"/>
              </w:rPr>
              <w:t>5</w:t>
            </w:r>
            <w:r>
              <w:t>、提供卫生安全评价报告。</w:t>
            </w:r>
          </w:p>
          <w:p>
            <w:pPr>
              <w:pStyle w:val="95"/>
              <w:spacing w:before="15" w:line="277" w:lineRule="exact"/>
              <w:ind w:left="47" w:right="38"/>
            </w:pPr>
            <w:r>
              <w:t>2</w:t>
            </w:r>
            <w:r>
              <w:rPr>
                <w:rFonts w:hint="eastAsia"/>
                <w:lang w:val="en-US"/>
              </w:rPr>
              <w:t>6</w:t>
            </w:r>
            <w:r>
              <w:t>、厂家拥有ISO9001质量体系证书 、ISO13485质量体系证书</w:t>
            </w:r>
            <w:r>
              <w:rPr>
                <w:rFonts w:hint="eastAsia"/>
              </w:rPr>
              <w:t>。</w:t>
            </w:r>
          </w:p>
          <w:p>
            <w:pPr>
              <w:pStyle w:val="95"/>
              <w:spacing w:before="15" w:line="277" w:lineRule="exact"/>
              <w:ind w:left="47" w:right="38"/>
              <w:rPr>
                <w:lang w:val="en-US"/>
              </w:rPr>
            </w:pPr>
            <w:r>
              <w:rPr>
                <w:rFonts w:hint="eastAsia"/>
                <w:lang w:val="en-US"/>
              </w:rPr>
              <w:t>27、</w:t>
            </w:r>
            <w:r>
              <w:rPr>
                <w:rFonts w:hint="eastAsia"/>
              </w:rPr>
              <w:t>▲</w:t>
            </w:r>
            <w:r>
              <w:rPr>
                <w:rFonts w:hint="eastAsia"/>
                <w:lang w:val="en-US"/>
              </w:rPr>
              <w:t>具备消毒产品生产企业卫生许可证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line="275" w:lineRule="exact"/>
              <w:ind w:left="47" w:right="38"/>
              <w:jc w:val="center"/>
            </w:pPr>
            <w:r>
              <w:t>电动吸引器</w:t>
            </w:r>
          </w:p>
        </w:tc>
        <w:tc>
          <w:tcPr>
            <w:tcW w:w="7648" w:type="dxa"/>
          </w:tcPr>
          <w:p>
            <w:pPr>
              <w:pStyle w:val="95"/>
              <w:spacing w:before="17" w:line="275" w:lineRule="exact"/>
              <w:ind w:right="38"/>
            </w:pPr>
            <w:r>
              <w:t>1、高负压/高流量，间歇吸引</w:t>
            </w:r>
          </w:p>
          <w:p>
            <w:pPr>
              <w:pStyle w:val="95"/>
              <w:spacing w:before="17" w:line="275" w:lineRule="exact"/>
              <w:ind w:right="38"/>
            </w:pPr>
            <w:r>
              <w:t>2、电源：AC220V±22V，50Hz±1Hz</w:t>
            </w:r>
          </w:p>
          <w:p>
            <w:pPr>
              <w:pStyle w:val="95"/>
              <w:spacing w:before="17" w:line="275" w:lineRule="exact"/>
              <w:ind w:right="38"/>
            </w:pPr>
            <w:r>
              <w:t>3、输入功率：180VA</w:t>
            </w:r>
          </w:p>
          <w:p>
            <w:pPr>
              <w:pStyle w:val="95"/>
              <w:spacing w:before="17" w:line="275" w:lineRule="exact"/>
              <w:ind w:right="38"/>
            </w:pPr>
            <w:r>
              <w:t>4、吸引泵：活塞泵</w:t>
            </w:r>
          </w:p>
          <w:p>
            <w:pPr>
              <w:pStyle w:val="95"/>
              <w:spacing w:before="17" w:line="275" w:lineRule="exact"/>
              <w:ind w:right="38"/>
            </w:pPr>
            <w:r>
              <w:t>5、极限负压值：≥0.06MPa</w:t>
            </w:r>
          </w:p>
          <w:p>
            <w:pPr>
              <w:pStyle w:val="95"/>
              <w:spacing w:before="17" w:line="275" w:lineRule="exact"/>
              <w:ind w:right="38"/>
            </w:pPr>
            <w:r>
              <w:t>6、负压调节范围：0.02MPa至极限负压值</w:t>
            </w:r>
          </w:p>
          <w:p>
            <w:pPr>
              <w:pStyle w:val="95"/>
              <w:spacing w:before="17" w:line="275" w:lineRule="exact"/>
              <w:ind w:right="38"/>
            </w:pPr>
            <w:r>
              <w:t>7、抽气速率：≥20L/min</w:t>
            </w:r>
          </w:p>
          <w:p>
            <w:pPr>
              <w:pStyle w:val="95"/>
              <w:spacing w:before="17" w:line="275" w:lineRule="exact"/>
              <w:ind w:right="38"/>
            </w:pPr>
            <w:r>
              <w:t>8、贮液瓶容量：2500mL/只，2只一组</w:t>
            </w:r>
          </w:p>
          <w:p>
            <w:pPr>
              <w:pStyle w:val="95"/>
              <w:spacing w:before="17" w:line="275" w:lineRule="exact"/>
              <w:ind w:right="38"/>
            </w:pPr>
            <w:r>
              <w:t>9、噪声：≤65dB(A)</w:t>
            </w:r>
          </w:p>
          <w:p>
            <w:pPr>
              <w:pStyle w:val="95"/>
              <w:spacing w:before="17" w:line="275" w:lineRule="exact"/>
              <w:ind w:right="38"/>
              <w:rPr>
                <w:lang w:val="en-US"/>
              </w:rPr>
            </w:pPr>
            <w:r>
              <w:t>10、熔丝管：5×20</w:t>
            </w:r>
            <w:r>
              <w:rPr>
                <w:rFonts w:hint="eastAsia"/>
                <w:lang w:val="en-US"/>
              </w:rPr>
              <w:t>mm</w:t>
            </w:r>
          </w:p>
          <w:p>
            <w:pPr>
              <w:pStyle w:val="95"/>
              <w:spacing w:before="17" w:line="275" w:lineRule="exact"/>
              <w:ind w:right="38"/>
            </w:pPr>
            <w:r>
              <w:t>1</w:t>
            </w:r>
            <w:r>
              <w:rPr>
                <w:rFonts w:hint="eastAsia"/>
                <w:lang w:val="en-US"/>
              </w:rPr>
              <w:t>1</w:t>
            </w:r>
            <w:r>
              <w:t>、</w:t>
            </w:r>
            <w:r>
              <w:rPr>
                <w:rFonts w:hint="eastAsia"/>
              </w:rPr>
              <w:t>非</w:t>
            </w:r>
            <w:r>
              <w:t>AP/非APG设备</w:t>
            </w:r>
          </w:p>
          <w:p>
            <w:pPr>
              <w:pStyle w:val="95"/>
              <w:spacing w:before="17" w:line="275" w:lineRule="exact"/>
              <w:ind w:right="38"/>
            </w:pPr>
            <w:r>
              <w:rPr>
                <w:rFonts w:hint="eastAsia"/>
                <w:lang w:val="en-US"/>
              </w:rPr>
              <w:t>12、</w:t>
            </w:r>
            <w:r>
              <w:rPr>
                <w:rFonts w:hint="eastAsia"/>
              </w:rPr>
              <w:t>运行模式：间歇加载连续运行，最长连续工作时间</w:t>
            </w:r>
            <w:r>
              <w:t>30分钟，持续率50％，间歇吸引。</w:t>
            </w:r>
          </w:p>
          <w:p>
            <w:pPr>
              <w:pStyle w:val="95"/>
              <w:spacing w:before="17" w:line="275" w:lineRule="exact"/>
              <w:ind w:right="38"/>
            </w:pPr>
            <w:r>
              <w:rPr>
                <w:rFonts w:hint="eastAsia"/>
                <w:lang w:val="en-US"/>
              </w:rPr>
              <w:t>13、</w:t>
            </w:r>
            <w:r>
              <w:rPr>
                <w:rFonts w:hint="eastAsia"/>
              </w:rPr>
              <w:t>防电击类型分类：</w:t>
            </w:r>
            <w:r>
              <w:t>I类设备</w:t>
            </w:r>
          </w:p>
          <w:p>
            <w:pPr>
              <w:pStyle w:val="95"/>
              <w:spacing w:before="17" w:line="275" w:lineRule="exact"/>
              <w:ind w:right="38"/>
            </w:pPr>
            <w:r>
              <w:rPr>
                <w:rFonts w:hint="eastAsia"/>
                <w:lang w:val="en-US"/>
              </w:rPr>
              <w:t>14、</w:t>
            </w:r>
            <w:r>
              <w:rPr>
                <w:rFonts w:hint="eastAsia"/>
              </w:rPr>
              <w:t>防电击程度分类：</w:t>
            </w:r>
            <w:r>
              <w:t>B型应用部分</w:t>
            </w:r>
          </w:p>
          <w:p>
            <w:pPr>
              <w:pStyle w:val="95"/>
              <w:spacing w:before="17" w:line="275" w:lineRule="exact"/>
              <w:ind w:right="38"/>
            </w:pPr>
            <w:r>
              <w:rPr>
                <w:rFonts w:hint="eastAsia"/>
                <w:lang w:val="en-US"/>
              </w:rPr>
              <w:t>15、</w:t>
            </w:r>
            <w:r>
              <w:rPr>
                <w:rFonts w:hint="eastAsia"/>
              </w:rPr>
              <w:t>进液防护程度分类：</w:t>
            </w:r>
            <w:r>
              <w:t>PX0，脚踏开关PX8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5" w:lineRule="exact"/>
              <w:ind w:left="47" w:right="38"/>
              <w:jc w:val="center"/>
            </w:pPr>
            <w:r>
              <w:t>心电监护仪</w:t>
            </w:r>
          </w:p>
        </w:tc>
        <w:tc>
          <w:tcPr>
            <w:tcW w:w="7648" w:type="dxa"/>
          </w:tcPr>
          <w:p>
            <w:pPr>
              <w:pStyle w:val="95"/>
              <w:spacing w:before="16" w:line="275" w:lineRule="exact"/>
              <w:ind w:right="38"/>
            </w:pPr>
            <w:r>
              <w:t>1、</w:t>
            </w:r>
            <w:r>
              <w:rPr>
                <w:rFonts w:hint="eastAsia"/>
              </w:rPr>
              <w:t>▲</w:t>
            </w:r>
            <w:r>
              <w:t>基本要求：适用于对成人、小儿和新生儿的监护，含ST段测量及心律失常分析，需通过国家三类注册证明。</w:t>
            </w:r>
          </w:p>
          <w:p>
            <w:pPr>
              <w:pStyle w:val="95"/>
              <w:spacing w:before="16" w:line="275" w:lineRule="exact"/>
              <w:ind w:left="47" w:right="38"/>
            </w:pPr>
            <w:r>
              <w:t>2、</w:t>
            </w:r>
            <w:r>
              <w:rPr>
                <w:rFonts w:hint="eastAsia"/>
              </w:rPr>
              <w:t>▲</w:t>
            </w:r>
            <w:r>
              <w:t>监测心电、血氧、脉博、无创血压、呼吸、体温等基础参数</w:t>
            </w:r>
            <w:r>
              <w:rPr>
                <w:rFonts w:hint="eastAsia"/>
              </w:rPr>
              <w:t>。</w:t>
            </w:r>
          </w:p>
          <w:p>
            <w:pPr>
              <w:pStyle w:val="95"/>
              <w:spacing w:before="16" w:line="275" w:lineRule="exact"/>
              <w:ind w:left="47" w:right="38"/>
            </w:pPr>
            <w:r>
              <w:t>3、便携式一体化插件式监护仪，可用于监护成人、儿童、新生儿患者。</w:t>
            </w:r>
          </w:p>
          <w:p>
            <w:pPr>
              <w:pStyle w:val="95"/>
              <w:spacing w:before="16" w:line="275" w:lineRule="exact"/>
              <w:ind w:left="47" w:right="38"/>
            </w:pPr>
            <w:r>
              <w:t>4、≥12.1英寸高清触摸屏，触控操作。</w:t>
            </w:r>
          </w:p>
          <w:p>
            <w:pPr>
              <w:pStyle w:val="95"/>
              <w:spacing w:before="16" w:line="275" w:lineRule="exact"/>
              <w:ind w:left="47" w:right="38"/>
            </w:pPr>
            <w:r>
              <w:t>5、</w:t>
            </w:r>
            <w:r>
              <w:rPr>
                <w:rFonts w:hint="eastAsia"/>
              </w:rPr>
              <w:t>▲</w:t>
            </w:r>
            <w:r>
              <w:t>双报警灯设计，生理报警和技术报警有各自独立的报警灯和报警信息。</w:t>
            </w:r>
          </w:p>
          <w:p>
            <w:pPr>
              <w:pStyle w:val="95"/>
              <w:spacing w:before="16" w:line="275" w:lineRule="exact"/>
              <w:ind w:left="47" w:right="38"/>
            </w:pPr>
            <w:r>
              <w:t>6、整机无风扇，降低环境噪音干扰，适合手术室ICU等环境。</w:t>
            </w:r>
          </w:p>
          <w:p>
            <w:pPr>
              <w:pStyle w:val="95"/>
              <w:spacing w:before="16" w:line="275" w:lineRule="exact"/>
              <w:ind w:left="47" w:right="38"/>
            </w:pPr>
            <w:r>
              <w:t>7、固定式提手，提动时稳固安全。</w:t>
            </w:r>
          </w:p>
          <w:p>
            <w:pPr>
              <w:pStyle w:val="95"/>
              <w:spacing w:before="16" w:line="275" w:lineRule="exact"/>
              <w:ind w:left="47" w:right="38"/>
            </w:pPr>
            <w:r>
              <w:rPr>
                <w:rFonts w:hint="eastAsia"/>
                <w:lang w:val="en-US"/>
              </w:rPr>
              <w:t>8</w:t>
            </w:r>
            <w:r>
              <w:t>、心电：支持3/5/12导心电测量，导联自动识别。</w:t>
            </w:r>
          </w:p>
          <w:p>
            <w:pPr>
              <w:pStyle w:val="95"/>
              <w:spacing w:before="16" w:line="275" w:lineRule="exact"/>
              <w:ind w:left="47" w:right="38"/>
            </w:pPr>
            <w:r>
              <w:rPr>
                <w:rFonts w:hint="eastAsia"/>
                <w:lang w:val="en-US"/>
              </w:rPr>
              <w:t>9</w:t>
            </w:r>
            <w:r>
              <w:t>、心率测量范围：成人15-300bpm，小儿/新生儿15-350bpm，分辨率±1bpm。</w:t>
            </w:r>
          </w:p>
          <w:p>
            <w:pPr>
              <w:pStyle w:val="95"/>
              <w:spacing w:before="16" w:line="275" w:lineRule="exact"/>
              <w:ind w:left="47" w:right="38"/>
            </w:pPr>
            <w:r>
              <w:t>1</w:t>
            </w:r>
            <w:r>
              <w:rPr>
                <w:rFonts w:hint="eastAsia"/>
                <w:lang w:val="en-US"/>
              </w:rPr>
              <w:t>0</w:t>
            </w:r>
            <w:r>
              <w:t>、加±650mV的直流极化电压，灵敏度变化范围±5%。</w:t>
            </w:r>
          </w:p>
          <w:p>
            <w:pPr>
              <w:pStyle w:val="95"/>
              <w:spacing w:before="16" w:line="275" w:lineRule="exact"/>
              <w:ind w:left="47" w:right="38"/>
            </w:pPr>
            <w:r>
              <w:t>1</w:t>
            </w:r>
            <w:r>
              <w:rPr>
                <w:rFonts w:hint="eastAsia"/>
                <w:lang w:val="en-US"/>
              </w:rPr>
              <w:t>1</w:t>
            </w:r>
            <w:r>
              <w:t>、具有监护、诊断、手术、ST模式。</w:t>
            </w:r>
          </w:p>
          <w:p>
            <w:pPr>
              <w:pStyle w:val="95"/>
              <w:spacing w:before="16" w:line="275" w:lineRule="exact"/>
              <w:ind w:left="47" w:right="38"/>
            </w:pPr>
            <w:r>
              <w:t>1</w:t>
            </w:r>
            <w:r>
              <w:rPr>
                <w:rFonts w:hint="eastAsia"/>
                <w:lang w:val="en-US"/>
              </w:rPr>
              <w:t>2</w:t>
            </w:r>
            <w:r>
              <w:t>、具有心律失常分析和ST段功能。</w:t>
            </w:r>
          </w:p>
          <w:p>
            <w:pPr>
              <w:pStyle w:val="95"/>
              <w:spacing w:before="16" w:line="275" w:lineRule="exact"/>
              <w:ind w:left="47" w:right="38"/>
            </w:pPr>
            <w:r>
              <w:t>1</w:t>
            </w:r>
            <w:r>
              <w:rPr>
                <w:rFonts w:hint="eastAsia"/>
                <w:lang w:val="en-US"/>
              </w:rPr>
              <w:t>3</w:t>
            </w:r>
            <w:r>
              <w:t>、呼吸测量范围：成人0-120rpm，小儿/新生儿0-150rpm。</w:t>
            </w:r>
          </w:p>
          <w:p>
            <w:pPr>
              <w:pStyle w:val="95"/>
              <w:spacing w:before="16" w:line="275" w:lineRule="exact"/>
              <w:ind w:left="47" w:right="38"/>
            </w:pPr>
            <w:r>
              <w:t>1</w:t>
            </w:r>
            <w:r>
              <w:rPr>
                <w:rFonts w:hint="eastAsia"/>
                <w:lang w:val="en-US"/>
              </w:rPr>
              <w:t>4</w:t>
            </w:r>
            <w:r>
              <w:t>、窒息报警范围：成人10-60s，儿童/新生儿10-20s，测量误差为±5s。</w:t>
            </w:r>
          </w:p>
          <w:p>
            <w:pPr>
              <w:pStyle w:val="95"/>
              <w:spacing w:before="16" w:line="275" w:lineRule="exact"/>
              <w:ind w:left="47" w:right="38"/>
            </w:pPr>
            <w:r>
              <w:t>1</w:t>
            </w:r>
            <w:r>
              <w:rPr>
                <w:rFonts w:hint="eastAsia"/>
                <w:lang w:val="en-US"/>
              </w:rPr>
              <w:t>5</w:t>
            </w:r>
            <w:r>
              <w:t>、具有心动干扰（CVA）识别功能。</w:t>
            </w:r>
          </w:p>
          <w:p>
            <w:pPr>
              <w:pStyle w:val="95"/>
              <w:spacing w:before="16" w:line="275" w:lineRule="exact"/>
              <w:ind w:left="47" w:right="38"/>
            </w:pPr>
            <w:r>
              <w:t>1</w:t>
            </w:r>
            <w:r>
              <w:rPr>
                <w:rFonts w:hint="eastAsia"/>
                <w:lang w:val="en-US"/>
              </w:rPr>
              <w:t>6</w:t>
            </w:r>
            <w:r>
              <w:t>、</w:t>
            </w:r>
            <w:r>
              <w:rPr>
                <w:rFonts w:hint="eastAsia"/>
              </w:rPr>
              <w:t>▲</w:t>
            </w:r>
            <w:r>
              <w:t>血氧：全球金标准的 Masimo血氧，测量范围为1 ％ ～100％；在70％～100％范围内，成人/儿童测量精度为±2％（非运动状态下）、±3％（运动状态下），新生儿为±3％（非运动状态和运动状态下）。</w:t>
            </w:r>
          </w:p>
          <w:p>
            <w:pPr>
              <w:pStyle w:val="95"/>
              <w:spacing w:before="16" w:line="275" w:lineRule="exact"/>
              <w:ind w:left="47" w:right="38"/>
            </w:pPr>
            <w:r>
              <w:t>1</w:t>
            </w:r>
            <w:r>
              <w:rPr>
                <w:rFonts w:hint="eastAsia"/>
                <w:lang w:val="en-US"/>
              </w:rPr>
              <w:t>7</w:t>
            </w:r>
            <w:r>
              <w:t>、NIBP静态压力测量范围：0-300mmHg，精度±3mmHg。</w:t>
            </w:r>
          </w:p>
          <w:p>
            <w:pPr>
              <w:pStyle w:val="95"/>
              <w:spacing w:before="16" w:line="275" w:lineRule="exact"/>
              <w:ind w:left="47" w:right="38"/>
            </w:pPr>
            <w:r>
              <w:t>1</w:t>
            </w:r>
            <w:r>
              <w:rPr>
                <w:rFonts w:hint="eastAsia"/>
                <w:lang w:val="en-US"/>
              </w:rPr>
              <w:t>8</w:t>
            </w:r>
            <w:r>
              <w:t>、NIBP具有手动、自动、连续测量模式。</w:t>
            </w:r>
          </w:p>
          <w:p>
            <w:pPr>
              <w:pStyle w:val="95"/>
              <w:spacing w:before="16" w:line="275" w:lineRule="exact"/>
              <w:ind w:left="47" w:right="38"/>
            </w:pPr>
            <w:r>
              <w:rPr>
                <w:rFonts w:hint="eastAsia"/>
                <w:lang w:val="en-US"/>
              </w:rPr>
              <w:t>19</w:t>
            </w:r>
            <w:r>
              <w:t>、NIBP具有整点测量功能，更符合临床记录习惯，提高护理效率。</w:t>
            </w:r>
          </w:p>
          <w:p>
            <w:pPr>
              <w:pStyle w:val="95"/>
              <w:spacing w:before="16" w:line="275" w:lineRule="exact"/>
              <w:ind w:left="47" w:right="38"/>
            </w:pPr>
            <w:r>
              <w:rPr>
                <w:rFonts w:hint="eastAsia"/>
                <w:lang w:val="en-US"/>
              </w:rPr>
              <w:t>20</w:t>
            </w:r>
            <w:r>
              <w:t>、可选择初始充气压力，提升测量的精准性和患者的舒适性。</w:t>
            </w:r>
          </w:p>
          <w:p>
            <w:pPr>
              <w:pStyle w:val="95"/>
              <w:spacing w:before="16" w:line="275" w:lineRule="exact"/>
              <w:ind w:left="47" w:right="38"/>
            </w:pPr>
            <w:r>
              <w:t>2</w:t>
            </w:r>
            <w:r>
              <w:rPr>
                <w:rFonts w:hint="eastAsia"/>
                <w:lang w:val="en-US"/>
              </w:rPr>
              <w:t>1</w:t>
            </w:r>
            <w:r>
              <w:t>、具有辅助静脉穿刺功能。</w:t>
            </w:r>
          </w:p>
          <w:p>
            <w:pPr>
              <w:pStyle w:val="95"/>
              <w:spacing w:before="16" w:line="275" w:lineRule="exact"/>
              <w:ind w:left="47" w:right="38"/>
            </w:pPr>
            <w:r>
              <w:t>2</w:t>
            </w:r>
            <w:r>
              <w:rPr>
                <w:rFonts w:hint="eastAsia"/>
                <w:lang w:val="en-US"/>
              </w:rPr>
              <w:t>2</w:t>
            </w:r>
            <w:r>
              <w:t>、支持手写中文输入。</w:t>
            </w:r>
          </w:p>
          <w:p>
            <w:pPr>
              <w:pStyle w:val="95"/>
              <w:spacing w:before="16" w:line="275" w:lineRule="exact"/>
              <w:ind w:left="47" w:right="38"/>
            </w:pPr>
            <w:r>
              <w:t>2</w:t>
            </w:r>
            <w:r>
              <w:rPr>
                <w:rFonts w:hint="eastAsia"/>
                <w:lang w:val="en-US"/>
              </w:rPr>
              <w:t>3</w:t>
            </w:r>
            <w:r>
              <w:t>、可存储、回放不少于48小时波形全息回顾。</w:t>
            </w:r>
          </w:p>
          <w:p>
            <w:pPr>
              <w:pStyle w:val="95"/>
              <w:spacing w:before="16" w:line="275" w:lineRule="exact"/>
              <w:ind w:left="47" w:right="38"/>
            </w:pPr>
            <w:r>
              <w:t>2</w:t>
            </w:r>
            <w:r>
              <w:rPr>
                <w:rFonts w:hint="eastAsia"/>
                <w:lang w:val="en-US"/>
              </w:rPr>
              <w:t>4</w:t>
            </w:r>
            <w:r>
              <w:t>、支持标准界面、列表界面、趋势共存界面、大字体界面、全屏7导界面、全屏12导界面等多种界面可选。</w:t>
            </w:r>
          </w:p>
          <w:p>
            <w:pPr>
              <w:pStyle w:val="95"/>
              <w:spacing w:before="16" w:line="275" w:lineRule="exact"/>
              <w:ind w:left="47" w:right="38"/>
            </w:pPr>
            <w:r>
              <w:t>2</w:t>
            </w:r>
            <w:r>
              <w:rPr>
                <w:rFonts w:hint="eastAsia"/>
                <w:lang w:val="en-US"/>
              </w:rPr>
              <w:t>5</w:t>
            </w:r>
            <w:r>
              <w:t>、具有夜间模式，避免夜间打扰患者休息。</w:t>
            </w:r>
          </w:p>
          <w:p>
            <w:pPr>
              <w:pStyle w:val="95"/>
              <w:spacing w:before="16" w:line="275" w:lineRule="exact"/>
              <w:ind w:left="47" w:right="38"/>
            </w:pPr>
            <w:r>
              <w:t>2</w:t>
            </w:r>
            <w:r>
              <w:rPr>
                <w:rFonts w:hint="eastAsia"/>
                <w:lang w:val="en-US"/>
              </w:rPr>
              <w:t>6</w:t>
            </w:r>
            <w:r>
              <w:t>、具有屏幕亮度自动调节功能，可根据光线亮度的不同自动调节屏幕亮度。</w:t>
            </w:r>
          </w:p>
          <w:p>
            <w:pPr>
              <w:pStyle w:val="95"/>
              <w:spacing w:before="16" w:line="275" w:lineRule="exact"/>
              <w:ind w:left="47" w:right="38"/>
            </w:pPr>
            <w:r>
              <w:t>2</w:t>
            </w:r>
            <w:r>
              <w:rPr>
                <w:rFonts w:hint="eastAsia"/>
                <w:lang w:val="en-US"/>
              </w:rPr>
              <w:t>7</w:t>
            </w:r>
            <w:r>
              <w:t>、具有药物计算、血液动力学计算、通气计算、氧合计算、肾功能计算。</w:t>
            </w:r>
          </w:p>
          <w:p>
            <w:pPr>
              <w:pStyle w:val="95"/>
              <w:spacing w:before="16" w:line="275" w:lineRule="exact"/>
              <w:ind w:left="47" w:right="38"/>
            </w:pPr>
            <w:r>
              <w:t>2</w:t>
            </w:r>
            <w:r>
              <w:rPr>
                <w:rFonts w:hint="eastAsia"/>
                <w:lang w:val="en-US"/>
              </w:rPr>
              <w:t>8</w:t>
            </w:r>
            <w:r>
              <w:t>、内置3通道热敏记录仪，实时记录时间可设为：8秒、16秒、32秒、连续。</w:t>
            </w:r>
          </w:p>
          <w:p>
            <w:pPr>
              <w:pStyle w:val="95"/>
              <w:spacing w:before="16" w:line="275" w:lineRule="exact"/>
              <w:ind w:left="47" w:right="38"/>
            </w:pPr>
            <w:r>
              <w:rPr>
                <w:rFonts w:hint="eastAsia"/>
                <w:lang w:val="en-US"/>
              </w:rPr>
              <w:t>29</w:t>
            </w:r>
            <w:r>
              <w:t>、标配大容量锂电池，使用时间≥3小时。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6" w:lineRule="exact"/>
              <w:ind w:left="47" w:right="38"/>
              <w:jc w:val="center"/>
              <w:rPr>
                <w:highlight w:val="yellow"/>
              </w:rPr>
            </w:pPr>
            <w:r>
              <w:t>红外耳温计</w:t>
            </w:r>
          </w:p>
        </w:tc>
        <w:tc>
          <w:tcPr>
            <w:tcW w:w="7648" w:type="dxa"/>
          </w:tcPr>
          <w:p>
            <w:pPr>
              <w:pStyle w:val="95"/>
              <w:spacing w:before="16" w:line="276" w:lineRule="exact"/>
              <w:ind w:right="38"/>
            </w:pPr>
            <w:r>
              <w:t>1、正常环境：环境温度范围：+10℃-40℃相对湿度：≤85％</w:t>
            </w:r>
          </w:p>
          <w:p>
            <w:pPr>
              <w:pStyle w:val="95"/>
              <w:spacing w:before="16" w:line="276" w:lineRule="exact"/>
              <w:ind w:right="38"/>
            </w:pPr>
            <w:r>
              <w:t>2、大气压力：70kPa-106kPa</w:t>
            </w:r>
          </w:p>
          <w:p>
            <w:pPr>
              <w:pStyle w:val="95"/>
              <w:spacing w:before="16" w:line="276" w:lineRule="exact"/>
              <w:ind w:right="38"/>
            </w:pPr>
            <w:r>
              <w:t>3、大气压力：70kPa-106kPa</w:t>
            </w:r>
          </w:p>
          <w:p>
            <w:pPr>
              <w:pStyle w:val="95"/>
              <w:spacing w:before="16" w:line="276" w:lineRule="exact"/>
              <w:ind w:right="38"/>
            </w:pPr>
            <w:r>
              <w:t>4、电源：DC3V(-10％。+5％)。</w:t>
            </w:r>
          </w:p>
          <w:p>
            <w:pPr>
              <w:pStyle w:val="95"/>
              <w:spacing w:before="16" w:line="276" w:lineRule="exact"/>
              <w:ind w:right="38"/>
            </w:pPr>
            <w:r>
              <w:t>5、测量范围：34.0℃-42.2℃</w:t>
            </w:r>
          </w:p>
          <w:p>
            <w:pPr>
              <w:pStyle w:val="95"/>
              <w:spacing w:before="16" w:line="276" w:lineRule="exact"/>
              <w:ind w:right="38"/>
            </w:pPr>
            <w:r>
              <w:t>6、温度单位：摄氏度℃华氏度下</w:t>
            </w:r>
          </w:p>
          <w:p>
            <w:pPr>
              <w:pStyle w:val="95"/>
              <w:spacing w:before="16" w:line="276" w:lineRule="exact"/>
              <w:ind w:right="38"/>
            </w:pPr>
            <w:r>
              <w:t>7、分辨率；0.1℃</w:t>
            </w:r>
          </w:p>
          <w:p>
            <w:pPr>
              <w:pStyle w:val="95"/>
              <w:spacing w:before="16" w:line="276" w:lineRule="exact"/>
              <w:ind w:right="38"/>
            </w:pPr>
            <w:r>
              <w:t>8、温度则量最大充许误差：在35.0℃-42.0℃的温度显示范围内为±0.2℃：</w:t>
            </w:r>
          </w:p>
          <w:p>
            <w:pPr>
              <w:pStyle w:val="95"/>
              <w:spacing w:before="16" w:line="276" w:lineRule="exact"/>
              <w:ind w:right="38"/>
            </w:pPr>
            <w:r>
              <w:rPr>
                <w:rFonts w:hint="eastAsia"/>
                <w:lang w:val="en-US"/>
              </w:rPr>
              <w:t>9、</w:t>
            </w:r>
            <w:r>
              <w:rPr>
                <w:rFonts w:hint="eastAsia"/>
              </w:rPr>
              <w:t>在</w:t>
            </w:r>
            <w:r>
              <w:t>35.0℃-42，0℃的温度显示范围外为±0.3℃。</w:t>
            </w:r>
          </w:p>
          <w:p>
            <w:pPr>
              <w:pStyle w:val="95"/>
              <w:spacing w:before="16" w:line="276" w:lineRule="exact"/>
              <w:ind w:right="38"/>
            </w:pPr>
            <w:r>
              <w:rPr>
                <w:rFonts w:hint="eastAsia"/>
                <w:lang w:val="en-US"/>
              </w:rPr>
              <w:t>10、</w:t>
            </w:r>
            <w:r>
              <w:rPr>
                <w:rFonts w:hint="eastAsia"/>
              </w:rPr>
              <w:t>每次测量时间间隔≤</w:t>
            </w:r>
            <w:r>
              <w:t>12线</w:t>
            </w:r>
          </w:p>
          <w:p>
            <w:pPr>
              <w:pStyle w:val="95"/>
              <w:spacing w:before="16" w:line="276" w:lineRule="exact"/>
              <w:ind w:right="38"/>
            </w:pPr>
            <w:r>
              <w:rPr>
                <w:rFonts w:hint="eastAsia"/>
                <w:lang w:val="en-US"/>
              </w:rPr>
              <w:t>11、</w:t>
            </w:r>
            <w:r>
              <w:rPr>
                <w:rFonts w:hint="eastAsia"/>
              </w:rPr>
              <w:t>自动关机时间：</w:t>
            </w:r>
            <w:r>
              <w:t>60s±10s垂则量时间：≤2s</w:t>
            </w:r>
          </w:p>
          <w:p>
            <w:pPr>
              <w:pStyle w:val="95"/>
              <w:spacing w:before="16" w:line="276" w:lineRule="exact"/>
              <w:ind w:left="47" w:right="38"/>
            </w:pPr>
            <w:r>
              <w:rPr>
                <w:rFonts w:hint="eastAsia"/>
                <w:lang w:val="en-US"/>
              </w:rPr>
              <w:t>12、</w:t>
            </w:r>
            <w:r>
              <w:rPr>
                <w:rFonts w:hint="eastAsia"/>
              </w:rPr>
              <w:t>按防电击类型分类：内部电源供电设备</w:t>
            </w:r>
          </w:p>
          <w:p>
            <w:pPr>
              <w:pStyle w:val="95"/>
              <w:spacing w:before="16" w:line="276" w:lineRule="exact"/>
              <w:ind w:right="38"/>
            </w:pPr>
            <w:r>
              <w:rPr>
                <w:rFonts w:hint="eastAsia"/>
                <w:lang w:val="en-US"/>
              </w:rPr>
              <w:t>13、</w:t>
            </w:r>
            <w:r>
              <w:rPr>
                <w:rFonts w:hint="eastAsia"/>
              </w:rPr>
              <w:t>按防电击的程度分类：</w:t>
            </w:r>
            <w:r>
              <w:t>B型应用部分</w:t>
            </w:r>
          </w:p>
          <w:p>
            <w:pPr>
              <w:pStyle w:val="95"/>
              <w:spacing w:before="16" w:line="276" w:lineRule="exact"/>
              <w:ind w:left="47" w:right="38"/>
            </w:pPr>
            <w:r>
              <w:rPr>
                <w:rFonts w:hint="eastAsia"/>
                <w:lang w:val="en-US"/>
              </w:rPr>
              <w:t>14、</w:t>
            </w:r>
            <w:r>
              <w:rPr>
                <w:rFonts w:hint="eastAsia"/>
              </w:rPr>
              <w:t>按对防进液的防护程度分类：</w:t>
            </w:r>
            <w:r>
              <w:t>iPX0</w:t>
            </w:r>
          </w:p>
          <w:p>
            <w:pPr>
              <w:pStyle w:val="95"/>
              <w:spacing w:before="16" w:line="276" w:lineRule="exact"/>
              <w:ind w:left="47" w:right="38"/>
            </w:pPr>
            <w:r>
              <w:rPr>
                <w:rFonts w:hint="eastAsia"/>
                <w:lang w:val="en-US"/>
              </w:rPr>
              <w:t>15、</w:t>
            </w:r>
            <w:r>
              <w:rPr>
                <w:rFonts w:hint="eastAsia"/>
              </w:rPr>
              <w:t>运行模试：连续运行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6" w:lineRule="exact"/>
              <w:ind w:left="47" w:right="38"/>
              <w:jc w:val="center"/>
              <w:rPr>
                <w:highlight w:val="yellow"/>
              </w:rPr>
            </w:pPr>
            <w:r>
              <w:t>电子血压计</w:t>
            </w:r>
          </w:p>
        </w:tc>
        <w:tc>
          <w:tcPr>
            <w:tcW w:w="7648" w:type="dxa"/>
          </w:tcPr>
          <w:p>
            <w:pPr>
              <w:pStyle w:val="95"/>
              <w:spacing w:before="16" w:line="276" w:lineRule="exact"/>
              <w:ind w:right="38"/>
            </w:pPr>
            <w:r>
              <w:rPr>
                <w:rFonts w:hint="eastAsia"/>
                <w:lang w:val="en-US"/>
              </w:rPr>
              <w:t>1</w:t>
            </w:r>
            <w:r>
              <w:rPr>
                <w:rFonts w:hint="eastAsia"/>
              </w:rPr>
              <w:t>、显示方式：数字式显示方式</w:t>
            </w:r>
          </w:p>
          <w:p>
            <w:pPr>
              <w:pStyle w:val="95"/>
              <w:spacing w:before="16" w:line="276" w:lineRule="exact"/>
              <w:ind w:right="38"/>
            </w:pPr>
            <w:r>
              <w:rPr>
                <w:rFonts w:hint="eastAsia"/>
                <w:lang w:val="en-US"/>
              </w:rPr>
              <w:t>2</w:t>
            </w:r>
            <w:r>
              <w:rPr>
                <w:rFonts w:hint="eastAsia"/>
              </w:rPr>
              <w:t>、测量方法：示波测定法</w:t>
            </w:r>
          </w:p>
          <w:p>
            <w:pPr>
              <w:pStyle w:val="95"/>
              <w:spacing w:before="16" w:line="276" w:lineRule="exact"/>
              <w:ind w:right="38"/>
            </w:pPr>
            <w:r>
              <w:rPr>
                <w:rFonts w:hint="eastAsia"/>
                <w:lang w:val="en-US"/>
              </w:rPr>
              <w:t>3</w:t>
            </w:r>
            <w:r>
              <w:rPr>
                <w:rFonts w:hint="eastAsia"/>
              </w:rPr>
              <w:t>、测量范围：压力：</w:t>
            </w:r>
            <w:r>
              <w:t>0-299mmHg0-39，9kPaj脉搏数：40次/分-180次/分</w:t>
            </w:r>
          </w:p>
          <w:p>
            <w:pPr>
              <w:pStyle w:val="95"/>
              <w:spacing w:before="16" w:line="276" w:lineRule="exact"/>
              <w:ind w:right="38"/>
            </w:pPr>
            <w:r>
              <w:rPr>
                <w:rFonts w:hint="eastAsia"/>
                <w:lang w:val="en-US"/>
              </w:rPr>
              <w:t>4</w:t>
            </w:r>
            <w:r>
              <w:rPr>
                <w:rFonts w:hint="eastAsia"/>
              </w:rPr>
              <w:t xml:space="preserve">、精 </w:t>
            </w:r>
            <w:r>
              <w:t xml:space="preserve">   </w:t>
            </w:r>
            <w:r>
              <w:rPr>
                <w:rFonts w:hint="eastAsia"/>
              </w:rPr>
              <w:t>度：压力：±</w:t>
            </w:r>
            <w:r>
              <w:t>3mmHg｛±04kPa以内脉搏数：精度为±5％</w:t>
            </w:r>
          </w:p>
          <w:p>
            <w:pPr>
              <w:pStyle w:val="95"/>
              <w:spacing w:before="16" w:line="276" w:lineRule="exact"/>
              <w:ind w:right="38"/>
            </w:pPr>
            <w:r>
              <w:rPr>
                <w:rFonts w:hint="eastAsia"/>
                <w:lang w:val="en-US"/>
              </w:rPr>
              <w:t>5</w:t>
            </w:r>
            <w:r>
              <w:rPr>
                <w:rFonts w:hint="eastAsia"/>
              </w:rPr>
              <w:t>、压力检测：压力传感器</w:t>
            </w:r>
          </w:p>
          <w:p>
            <w:pPr>
              <w:pStyle w:val="95"/>
              <w:spacing w:before="16" w:line="276" w:lineRule="exact"/>
              <w:ind w:right="38"/>
            </w:pPr>
            <w:r>
              <w:rPr>
                <w:rFonts w:hint="eastAsia"/>
                <w:lang w:val="en-US"/>
              </w:rPr>
              <w:t>6</w:t>
            </w:r>
            <w:r>
              <w:rPr>
                <w:rFonts w:hint="eastAsia"/>
              </w:rPr>
              <w:t xml:space="preserve">、电 </w:t>
            </w:r>
            <w:r>
              <w:t xml:space="preserve">   </w:t>
            </w:r>
            <w:r>
              <w:rPr>
                <w:rFonts w:hint="eastAsia"/>
              </w:rPr>
              <w:t>源：</w:t>
            </w:r>
            <w:r>
              <w:t>5号干电池4节(DC6V)，</w:t>
            </w:r>
            <w:r>
              <w:rPr>
                <w:rFonts w:hint="eastAsia"/>
              </w:rPr>
              <w:t>配备</w:t>
            </w:r>
            <w:r>
              <w:t>电源适配器</w:t>
            </w:r>
          </w:p>
          <w:p>
            <w:pPr>
              <w:pStyle w:val="95"/>
              <w:spacing w:before="16" w:line="276" w:lineRule="exact"/>
              <w:ind w:left="210" w:right="38" w:hanging="210" w:hangingChars="100"/>
            </w:pPr>
            <w:r>
              <w:rPr>
                <w:rFonts w:hint="eastAsia"/>
                <w:lang w:val="en-US"/>
              </w:rPr>
              <w:t>7</w:t>
            </w:r>
            <w:r>
              <w:rPr>
                <w:rFonts w:hint="eastAsia"/>
              </w:rPr>
              <w:t>、电池寿命：在室温</w:t>
            </w:r>
            <w:r>
              <w:t>23C.臂周为250mm，加压至170mmH《22.7kPa的条件下：5号干电池4节（碱性）均能使用250次</w:t>
            </w:r>
            <w:r>
              <w:rPr>
                <w:rFonts w:hint="eastAsia"/>
              </w:rPr>
              <w:t>以上</w:t>
            </w:r>
          </w:p>
          <w:p>
            <w:pPr>
              <w:pStyle w:val="95"/>
              <w:spacing w:before="16" w:line="276" w:lineRule="exact"/>
              <w:ind w:right="38"/>
            </w:pPr>
            <w:r>
              <w:rPr>
                <w:rFonts w:hint="eastAsia"/>
                <w:lang w:val="en-US"/>
              </w:rPr>
              <w:t>8</w:t>
            </w:r>
            <w:r>
              <w:rPr>
                <w:rFonts w:hint="eastAsia"/>
              </w:rPr>
              <w:t>、使用温湿度：</w:t>
            </w:r>
            <w:r>
              <w:t>+5C+40C·15％HH-85％RH</w:t>
            </w:r>
          </w:p>
          <w:p>
            <w:pPr>
              <w:pStyle w:val="95"/>
              <w:spacing w:before="16" w:line="276" w:lineRule="exact"/>
              <w:ind w:right="38"/>
            </w:pPr>
            <w:r>
              <w:rPr>
                <w:rFonts w:hint="eastAsia"/>
                <w:lang w:val="en-US"/>
              </w:rPr>
              <w:t>9</w:t>
            </w:r>
            <w:r>
              <w:t>、</w:t>
            </w:r>
            <w:r>
              <w:rPr>
                <w:rFonts w:hint="eastAsia"/>
              </w:rPr>
              <w:t>运输和保存温湿度：</w:t>
            </w:r>
            <w:r>
              <w:t xml:space="preserve">-20C～ + 60＇C </w:t>
            </w:r>
            <w:r>
              <w:rPr>
                <w:rFonts w:hint="eastAsia" w:ascii="MS Gothic" w:hAnsi="MS Gothic" w:eastAsia="MS Gothic" w:cs="MS Gothic"/>
              </w:rPr>
              <w:t>・</w:t>
            </w:r>
            <w:r>
              <w:t xml:space="preserve"> 10％ RH～95％ RH(本产品符合GB/T14710标准中低温贮存(-40C)的要求，为</w:t>
            </w:r>
            <w:r>
              <w:rPr>
                <w:rFonts w:hint="eastAsia"/>
              </w:rPr>
              <w:t>了更好电保证产品性能的意定性，建议本产品运输和保存温度不任于</w:t>
            </w:r>
            <w:r>
              <w:t>-20＂C)</w:t>
            </w:r>
          </w:p>
          <w:p>
            <w:pPr>
              <w:pStyle w:val="95"/>
              <w:spacing w:before="16" w:line="276" w:lineRule="exact"/>
              <w:ind w:right="38"/>
            </w:pPr>
            <w:r>
              <w:rPr>
                <w:rFonts w:hint="eastAsia"/>
              </w:rPr>
              <w:t>1</w:t>
            </w:r>
            <w:r>
              <w:rPr>
                <w:rFonts w:hint="eastAsia"/>
                <w:lang w:val="en-US"/>
              </w:rPr>
              <w:t>0</w:t>
            </w:r>
            <w:r>
              <w:t>、</w:t>
            </w:r>
            <w:r>
              <w:rPr>
                <w:rFonts w:hint="eastAsia"/>
              </w:rPr>
              <w:t>运行太气压力：</w:t>
            </w:r>
            <w:r>
              <w:t>700 hPa 1060 hPa</w:t>
            </w:r>
          </w:p>
          <w:p>
            <w:pPr>
              <w:pStyle w:val="95"/>
              <w:spacing w:before="16" w:line="276" w:lineRule="exact"/>
              <w:ind w:right="38"/>
            </w:pPr>
            <w:r>
              <w:rPr>
                <w:rFonts w:hint="eastAsia"/>
              </w:rPr>
              <w:t>1</w:t>
            </w:r>
            <w:r>
              <w:rPr>
                <w:rFonts w:hint="eastAsia"/>
                <w:lang w:val="en-US"/>
              </w:rPr>
              <w:t>1</w:t>
            </w:r>
            <w:r>
              <w:t>、</w:t>
            </w:r>
            <w:r>
              <w:rPr>
                <w:rFonts w:hint="eastAsia"/>
              </w:rPr>
              <w:t>远墙和保存大气压力：</w:t>
            </w:r>
            <w:r>
              <w:t>500 hPa 1060 hPa</w:t>
            </w:r>
          </w:p>
          <w:p>
            <w:pPr>
              <w:pStyle w:val="95"/>
              <w:spacing w:before="16" w:line="276" w:lineRule="exact"/>
              <w:ind w:right="38"/>
            </w:pPr>
            <w:r>
              <w:rPr>
                <w:rFonts w:hint="eastAsia"/>
              </w:rPr>
              <w:t>1</w:t>
            </w:r>
            <w:r>
              <w:rPr>
                <w:rFonts w:hint="eastAsia"/>
                <w:lang w:val="en-US"/>
              </w:rPr>
              <w:t>2</w:t>
            </w:r>
            <w:r>
              <w:t>、</w:t>
            </w:r>
            <w:r>
              <w:rPr>
                <w:rFonts w:hint="eastAsia"/>
              </w:rPr>
              <w:t>测量臂周：</w:t>
            </w:r>
            <w:r>
              <w:t>170mm-320mm</w:t>
            </w:r>
          </w:p>
          <w:p>
            <w:pPr>
              <w:pStyle w:val="95"/>
              <w:spacing w:before="16" w:line="276" w:lineRule="exact"/>
              <w:ind w:right="38"/>
            </w:pPr>
            <w:r>
              <w:rPr>
                <w:rFonts w:hint="eastAsia"/>
              </w:rPr>
              <w:t>1</w:t>
            </w:r>
            <w:r>
              <w:rPr>
                <w:rFonts w:hint="eastAsia"/>
                <w:lang w:val="en-US"/>
              </w:rPr>
              <w:t>3</w:t>
            </w:r>
            <w:r>
              <w:t>、</w:t>
            </w:r>
            <w:r>
              <w:rPr>
                <w:rFonts w:hint="eastAsia"/>
              </w:rPr>
              <w:t>电击提护：Ⅱ类设备《不使用电源适配器时为内部电源设备</w:t>
            </w:r>
            <w:r>
              <w:t>)、B型应用部分</w:t>
            </w:r>
          </w:p>
          <w:p>
            <w:pPr>
              <w:pStyle w:val="95"/>
              <w:spacing w:before="16" w:line="276" w:lineRule="exact"/>
              <w:ind w:right="38"/>
            </w:pPr>
            <w:r>
              <w:rPr>
                <w:rFonts w:hint="eastAsia"/>
              </w:rPr>
              <w:t>1</w:t>
            </w:r>
            <w:r>
              <w:rPr>
                <w:rFonts w:hint="eastAsia"/>
                <w:lang w:val="en-US"/>
              </w:rPr>
              <w:t>4</w:t>
            </w:r>
            <w:r>
              <w:t>、</w:t>
            </w:r>
            <w:r>
              <w:rPr>
                <w:rFonts w:hint="eastAsia"/>
              </w:rPr>
              <w:t>进液防护分英：普通设备</w:t>
            </w:r>
          </w:p>
          <w:p>
            <w:pPr>
              <w:pStyle w:val="95"/>
              <w:spacing w:before="16" w:line="276" w:lineRule="exact"/>
              <w:ind w:right="38"/>
            </w:pPr>
            <w:r>
              <w:rPr>
                <w:rFonts w:hint="eastAsia"/>
                <w:lang w:val="en-US"/>
              </w:rPr>
              <w:t>15</w:t>
            </w:r>
            <w:r>
              <w:t>、</w:t>
            </w:r>
            <w:r>
              <w:rPr>
                <w:rFonts w:hint="eastAsia"/>
              </w:rPr>
              <w:t>按工作制分类：连续运行</w:t>
            </w:r>
          </w:p>
          <w:p>
            <w:pPr>
              <w:pStyle w:val="95"/>
              <w:spacing w:before="16" w:line="276" w:lineRule="exact"/>
              <w:ind w:right="38"/>
            </w:pPr>
            <w:r>
              <w:rPr>
                <w:rFonts w:hint="eastAsia"/>
                <w:lang w:val="en-US"/>
              </w:rPr>
              <w:t>16</w:t>
            </w:r>
            <w:r>
              <w:t>、</w:t>
            </w:r>
            <w:r>
              <w:rPr>
                <w:rFonts w:hint="eastAsia"/>
              </w:rPr>
              <w:t>电磁兼容性：</w:t>
            </w:r>
            <w:r>
              <w:t>1组.B类设备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ind w:left="49" w:right="38"/>
              <w:jc w:val="center"/>
            </w:pPr>
            <w:r>
              <w:t>血氧饱和度监测仪</w:t>
            </w:r>
          </w:p>
        </w:tc>
        <w:tc>
          <w:tcPr>
            <w:tcW w:w="7648" w:type="dxa"/>
          </w:tcPr>
          <w:p>
            <w:pPr>
              <w:pStyle w:val="95"/>
              <w:spacing w:before="15"/>
              <w:ind w:left="49" w:right="38"/>
            </w:pPr>
            <w:r>
              <w:t>1、脉搏氧饱和度：</w:t>
            </w:r>
            <w:r>
              <w:rPr>
                <w:rFonts w:hint="eastAsia"/>
              </w:rPr>
              <w:t>脉搏氧饱和度标称测量范围为：</w:t>
            </w:r>
            <w:r>
              <w:t>35%～100%</w:t>
            </w:r>
          </w:p>
          <w:p>
            <w:pPr>
              <w:pStyle w:val="95"/>
              <w:spacing w:before="15"/>
              <w:ind w:left="49" w:right="38"/>
            </w:pPr>
            <w:r>
              <w:rPr>
                <w:rFonts w:hint="eastAsia"/>
              </w:rPr>
              <w:t>脉搏氧饱和度显示范围为：</w:t>
            </w:r>
            <w:r>
              <w:t>0%～100%</w:t>
            </w:r>
          </w:p>
          <w:p>
            <w:pPr>
              <w:pStyle w:val="95"/>
              <w:spacing w:before="15"/>
              <w:ind w:left="49" w:right="38"/>
            </w:pPr>
            <w:r>
              <w:rPr>
                <w:rFonts w:hint="eastAsia"/>
              </w:rPr>
              <w:t>脉搏氧饱和度测量显示误差：脉搏氧饱和度在</w:t>
            </w:r>
            <w:r>
              <w:t>70%～100%范围内误差为±2%；当脉搏氧饱和度低于70%</w:t>
            </w:r>
            <w:r>
              <w:rPr>
                <w:rFonts w:hint="eastAsia"/>
              </w:rPr>
              <w:t>时，血氧仪能正常显示，但不保证精度。</w:t>
            </w:r>
          </w:p>
          <w:p>
            <w:pPr>
              <w:pStyle w:val="95"/>
              <w:spacing w:before="15"/>
              <w:ind w:left="49" w:right="38"/>
            </w:pPr>
            <w:r>
              <w:t>2、脉率：</w:t>
            </w:r>
          </w:p>
          <w:p>
            <w:pPr>
              <w:pStyle w:val="95"/>
              <w:spacing w:before="15"/>
              <w:ind w:left="49" w:right="38"/>
            </w:pPr>
            <w:r>
              <w:rPr>
                <w:rFonts w:hint="eastAsia"/>
              </w:rPr>
              <w:t>脉率标称测量范围为：</w:t>
            </w:r>
            <w:r>
              <w:t>25bpm～250bpm</w:t>
            </w:r>
          </w:p>
          <w:p>
            <w:pPr>
              <w:pStyle w:val="95"/>
              <w:spacing w:before="15"/>
              <w:ind w:left="49" w:right="38"/>
            </w:pPr>
            <w:r>
              <w:rPr>
                <w:rFonts w:hint="eastAsia"/>
              </w:rPr>
              <w:t>脉率显示范围为：</w:t>
            </w:r>
            <w:r>
              <w:t>25bpm～250bpm</w:t>
            </w:r>
          </w:p>
          <w:p>
            <w:pPr>
              <w:pStyle w:val="95"/>
              <w:spacing w:before="15"/>
              <w:ind w:left="49" w:right="38"/>
            </w:pPr>
            <w:r>
              <w:rPr>
                <w:rFonts w:hint="eastAsia"/>
              </w:rPr>
              <w:t>脉率测量误差：±</w:t>
            </w:r>
            <w:r>
              <w:t>1%或±1bpm二者中较大者</w:t>
            </w:r>
          </w:p>
          <w:p>
            <w:pPr>
              <w:pStyle w:val="95"/>
              <w:spacing w:before="15"/>
              <w:ind w:left="49" w:right="38"/>
            </w:pPr>
            <w:r>
              <w:t>3、使用电源：DC 2.3V～3.0V，允差±5%(2节AAA</w:t>
            </w:r>
            <w:r>
              <w:rPr>
                <w:rFonts w:hint="eastAsia"/>
              </w:rPr>
              <w:t>电池，每节</w:t>
            </w:r>
            <w:r>
              <w:t>1.5V)。</w:t>
            </w:r>
          </w:p>
          <w:p>
            <w:pPr>
              <w:pStyle w:val="95"/>
              <w:spacing w:before="15"/>
              <w:ind w:left="49" w:right="38"/>
            </w:pPr>
            <w:r>
              <w:t>4、产品分类：</w:t>
            </w:r>
            <w:r>
              <w:rPr>
                <w:rFonts w:hint="eastAsia"/>
              </w:rPr>
              <w:t>按防电击类型分类：内部电源供电设备</w:t>
            </w:r>
          </w:p>
          <w:p>
            <w:pPr>
              <w:pStyle w:val="95"/>
              <w:spacing w:before="15"/>
              <w:ind w:left="49" w:right="38"/>
            </w:pPr>
            <w:r>
              <w:rPr>
                <w:rFonts w:hint="eastAsia"/>
              </w:rPr>
              <w:t>对进液的防护程度分类：</w:t>
            </w:r>
            <w:r>
              <w:t>IPX1</w:t>
            </w:r>
          </w:p>
          <w:p>
            <w:pPr>
              <w:pStyle w:val="95"/>
              <w:spacing w:before="15"/>
              <w:ind w:left="49" w:right="38"/>
            </w:pPr>
            <w:r>
              <w:rPr>
                <w:rFonts w:hint="eastAsia"/>
              </w:rPr>
              <w:t>按防电击的程度分类：</w:t>
            </w:r>
            <w:r>
              <w:t>BF型应用部分</w:t>
            </w:r>
          </w:p>
          <w:p>
            <w:pPr>
              <w:pStyle w:val="95"/>
              <w:spacing w:before="15"/>
              <w:ind w:left="49" w:right="38"/>
            </w:pPr>
            <w:r>
              <w:rPr>
                <w:rFonts w:hint="eastAsia"/>
              </w:rPr>
              <w:t>按运行模式分类：连续运行</w:t>
            </w:r>
          </w:p>
          <w:p>
            <w:pPr>
              <w:pStyle w:val="95"/>
              <w:spacing w:before="15"/>
              <w:ind w:left="49" w:right="38"/>
            </w:pPr>
            <w:r>
              <w:rPr>
                <w:rFonts w:hint="eastAsia"/>
              </w:rPr>
              <w:t>按在与空气混合的易燃麻醉气或与氧或氧化亚氮混合的易燃麻醉气情况下使用时的安全程度分类：非</w:t>
            </w:r>
            <w:r>
              <w:t>AP/APG</w:t>
            </w:r>
            <w:r>
              <w:rPr>
                <w:rFonts w:hint="eastAsia"/>
              </w:rPr>
              <w:t>设备</w:t>
            </w:r>
          </w:p>
          <w:p>
            <w:pPr>
              <w:pStyle w:val="95"/>
              <w:spacing w:before="15"/>
              <w:ind w:left="49" w:right="38"/>
            </w:pPr>
            <w:r>
              <w:t>5、无手指插入时8秒后自动退出。</w:t>
            </w:r>
          </w:p>
          <w:p>
            <w:pPr>
              <w:pStyle w:val="95"/>
              <w:spacing w:before="15"/>
              <w:ind w:left="49" w:right="38"/>
            </w:pPr>
            <w:r>
              <w:t>6、正常工作条件：</w:t>
            </w:r>
          </w:p>
          <w:p>
            <w:pPr>
              <w:pStyle w:val="95"/>
              <w:spacing w:before="15"/>
              <w:ind w:left="49" w:right="38"/>
            </w:pPr>
            <w:r>
              <w:rPr>
                <w:rFonts w:hint="eastAsia"/>
              </w:rPr>
              <w:t>环境温度范围：</w:t>
            </w:r>
            <w:r>
              <w:t>5℃～40℃</w:t>
            </w:r>
          </w:p>
          <w:p>
            <w:pPr>
              <w:pStyle w:val="95"/>
              <w:spacing w:before="15"/>
              <w:ind w:left="49" w:right="38"/>
            </w:pPr>
            <w:r>
              <w:rPr>
                <w:rFonts w:hint="eastAsia"/>
              </w:rPr>
              <w:t>相对湿度范围：≤</w:t>
            </w:r>
            <w:r>
              <w:t>80％</w:t>
            </w:r>
          </w:p>
          <w:p>
            <w:pPr>
              <w:pStyle w:val="95"/>
              <w:spacing w:before="15"/>
              <w:ind w:left="49" w:right="38"/>
            </w:pPr>
            <w:r>
              <w:rPr>
                <w:rFonts w:hint="eastAsia"/>
              </w:rPr>
              <w:t>大气压力范围：</w:t>
            </w:r>
            <w:r>
              <w:t>860hPa～1060hPa</w:t>
            </w:r>
          </w:p>
          <w:p>
            <w:pPr>
              <w:pStyle w:val="95"/>
              <w:spacing w:before="15"/>
              <w:ind w:left="49" w:right="38"/>
            </w:pPr>
            <w:r>
              <w:rPr>
                <w:rFonts w:hint="eastAsia"/>
              </w:rPr>
              <w:t>7、L</w:t>
            </w:r>
            <w:r>
              <w:t>ED光源参数：</w:t>
            </w:r>
          </w:p>
          <w:p>
            <w:pPr>
              <w:pStyle w:val="95"/>
              <w:spacing w:before="15"/>
              <w:ind w:left="49" w:right="38"/>
            </w:pPr>
            <w:r>
              <w:rPr>
                <w:rFonts w:hint="eastAsia"/>
              </w:rPr>
              <w:t>红光：波长（n</w:t>
            </w:r>
            <w:r>
              <w:t>m）:660±15，</w:t>
            </w:r>
            <w:r>
              <w:rPr>
                <w:rFonts w:hint="eastAsia"/>
              </w:rPr>
              <w:t xml:space="preserve"> </w:t>
            </w:r>
            <w:r>
              <w:t xml:space="preserve">     </w:t>
            </w:r>
            <w:r>
              <w:rPr>
                <w:rFonts w:hint="eastAsia"/>
              </w:rPr>
              <w:t>辐射强度</w:t>
            </w:r>
            <w:r>
              <w:t>(If=20mA) ：</w:t>
            </w:r>
            <w:r>
              <w:rPr>
                <w:rFonts w:hint="eastAsia"/>
              </w:rPr>
              <w:t>＜</w:t>
            </w:r>
            <w:r>
              <w:t>5mW/sr</w:t>
            </w:r>
          </w:p>
          <w:p>
            <w:pPr>
              <w:pStyle w:val="95"/>
              <w:spacing w:before="15"/>
              <w:ind w:left="49" w:right="38"/>
            </w:pPr>
            <w:r>
              <w:rPr>
                <w:rFonts w:hint="eastAsia"/>
              </w:rPr>
              <w:t>红外</w:t>
            </w:r>
            <w:r>
              <w:t>：波长(nm)：905/940±20     辐射强度(If=20mA) : ＜5mW/sr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tcPr>
          <w:p>
            <w:pPr>
              <w:pStyle w:val="95"/>
              <w:spacing w:before="15"/>
              <w:ind w:left="49" w:right="38"/>
              <w:jc w:val="center"/>
            </w:pPr>
            <w:r>
              <w:t>微量注射泵、输液泵</w:t>
            </w:r>
          </w:p>
        </w:tc>
        <w:tc>
          <w:tcPr>
            <w:tcW w:w="7648" w:type="dxa"/>
          </w:tcPr>
          <w:p>
            <w:pPr>
              <w:pStyle w:val="95"/>
              <w:spacing w:before="15"/>
              <w:ind w:left="49" w:right="38"/>
            </w:pPr>
            <w:r>
              <w:t>1、注射模式：流速模式，流速-时间模式，流速-总量模式，时间-总量模式</w:t>
            </w:r>
          </w:p>
          <w:p>
            <w:pPr>
              <w:pStyle w:val="95"/>
              <w:spacing w:before="15"/>
              <w:ind w:left="49" w:right="38"/>
            </w:pPr>
            <w:r>
              <w:t>2、</w:t>
            </w:r>
            <w:r>
              <w:tab/>
            </w:r>
            <w:r>
              <w:t>操作方式：数字按键调节，简单快捷，减少误操作</w:t>
            </w:r>
          </w:p>
          <w:p>
            <w:pPr>
              <w:pStyle w:val="95"/>
              <w:spacing w:before="15"/>
              <w:ind w:left="49" w:right="38"/>
            </w:pPr>
            <w:r>
              <w:t>3、</w:t>
            </w:r>
            <w:r>
              <w:tab/>
            </w:r>
            <w:r>
              <w:t>具有叠加功能：不需要支架可任意叠加组成多通道注射泵</w:t>
            </w:r>
          </w:p>
          <w:p>
            <w:pPr>
              <w:pStyle w:val="95"/>
              <w:spacing w:before="15"/>
              <w:ind w:left="49" w:right="38"/>
            </w:pPr>
            <w:r>
              <w:t>4、注射速度设定范围：5ml：0.1-150ml/h；10ml：0.1-300ml/h；20ml：0.1-600ml/h；30ml：0.1-900ml/h；50/60ml：0.1-1200ml/h；流速&lt;100ml/h，步进值0.1，流速≥100ml/h，步进值1</w:t>
            </w:r>
          </w:p>
          <w:p>
            <w:pPr>
              <w:pStyle w:val="95"/>
              <w:spacing w:before="15"/>
              <w:ind w:left="49" w:right="38"/>
            </w:pPr>
            <w:r>
              <w:t>5、</w:t>
            </w:r>
            <w:r>
              <w:tab/>
            </w:r>
            <w:r>
              <w:t>注射精度：±1.9%或±0.005ml/h(取大值)</w:t>
            </w:r>
          </w:p>
          <w:p>
            <w:pPr>
              <w:pStyle w:val="95"/>
              <w:spacing w:before="15"/>
              <w:ind w:left="49" w:right="38"/>
            </w:pPr>
            <w:r>
              <w:t>6、注射量预置范围：0-9999ml，&lt;100ml步进值0.1，≥100ml步进值1</w:t>
            </w:r>
          </w:p>
          <w:p>
            <w:pPr>
              <w:pStyle w:val="95"/>
              <w:spacing w:before="15"/>
              <w:ind w:left="49" w:right="38"/>
            </w:pPr>
            <w:r>
              <w:t>7、注射量预置量精度：±1.9%或±0.005ml(取大值)</w:t>
            </w:r>
          </w:p>
          <w:p>
            <w:pPr>
              <w:pStyle w:val="95"/>
              <w:spacing w:before="15"/>
              <w:ind w:left="49" w:right="38"/>
            </w:pPr>
            <w:r>
              <w:t>8、注射时间设置范围：00:01-99:59（小时:分钟）</w:t>
            </w:r>
          </w:p>
          <w:p>
            <w:pPr>
              <w:pStyle w:val="95"/>
              <w:spacing w:before="15"/>
              <w:ind w:left="49" w:right="38"/>
            </w:pPr>
            <w:r>
              <w:t>9、快排速度：5ml：150ml/h，10ml：300ml/h，20ml：600ml/h，30ml：900ml/h；50/60ml：1200ml/h；快排平均流速精度：±1.9%</w:t>
            </w:r>
          </w:p>
          <w:p>
            <w:pPr>
              <w:pStyle w:val="95"/>
              <w:spacing w:before="15"/>
              <w:ind w:left="49" w:right="38"/>
            </w:pPr>
            <w:r>
              <w:t>10、丸剂速度：5ml：0.1-150ml/h；10ml：0.1-300ml/h；20ml：0.1-600ml/h；30ml：0.1-900ml/h；50/60ml：0.1-1200ml/h；流速&lt;100ml/h，步进值0.1，流速≥100ml/h，步进值1</w:t>
            </w:r>
          </w:p>
          <w:p>
            <w:pPr>
              <w:pStyle w:val="95"/>
              <w:spacing w:before="15"/>
              <w:ind w:left="49" w:right="38"/>
            </w:pPr>
            <w:r>
              <w:t>11、单次丸剂量：0.1-10ml可调，步进值0.1，默认3ml</w:t>
            </w:r>
          </w:p>
          <w:p>
            <w:pPr>
              <w:pStyle w:val="95"/>
              <w:spacing w:before="15"/>
              <w:ind w:left="49" w:right="38"/>
            </w:pPr>
            <w:r>
              <w:t>12、最大输液压力：120KPa</w:t>
            </w:r>
          </w:p>
          <w:p>
            <w:pPr>
              <w:pStyle w:val="95"/>
              <w:spacing w:before="15"/>
              <w:ind w:left="49" w:right="38"/>
            </w:pPr>
            <w:r>
              <w:t>13、阻塞报警阈值：高100KPa±20KPa，中60 KPa±20KPa，低40 KPa±20KPa</w:t>
            </w:r>
          </w:p>
          <w:p>
            <w:pPr>
              <w:pStyle w:val="95"/>
              <w:spacing w:before="15"/>
              <w:ind w:left="49" w:right="38"/>
            </w:pPr>
            <w:r>
              <w:t>14、KVO流速：0.1-5.0ml/h可调，默认值1ml/h，步进值0.1，平均流速精度: ±1.9%或±0.005ml/h(取大值)</w:t>
            </w:r>
          </w:p>
          <w:p>
            <w:pPr>
              <w:pStyle w:val="95"/>
              <w:spacing w:before="15"/>
              <w:ind w:left="49" w:right="38"/>
            </w:pPr>
            <w:r>
              <w:t>15、内部电池：电池外部可拆卸，锂电池充满电中速（5ml/h）运行连续工作时间大于8h</w:t>
            </w:r>
          </w:p>
          <w:p>
            <w:pPr>
              <w:pStyle w:val="95"/>
              <w:spacing w:before="15"/>
              <w:ind w:left="49" w:right="38"/>
            </w:pPr>
            <w:r>
              <w:t>16、电源/输入功率: ～100V-240V  50Hz/60Hz    30VA</w:t>
            </w:r>
          </w:p>
          <w:p>
            <w:pPr>
              <w:pStyle w:val="95"/>
              <w:spacing w:before="15"/>
              <w:ind w:left="49" w:right="38"/>
            </w:pPr>
            <w:r>
              <w:t>17、电击防护等级：I类CF型设备；</w:t>
            </w:r>
          </w:p>
          <w:p>
            <w:pPr>
              <w:pStyle w:val="95"/>
              <w:spacing w:before="15"/>
              <w:ind w:left="49" w:right="38"/>
            </w:pPr>
            <w:r>
              <w:t>18、外壳封闭等级：IPX4</w:t>
            </w:r>
          </w:p>
          <w:p>
            <w:pPr>
              <w:pStyle w:val="95"/>
              <w:spacing w:before="15"/>
              <w:ind w:left="49" w:right="38"/>
            </w:pPr>
            <w:r>
              <w:rPr>
                <w:rFonts w:hint="eastAsia"/>
              </w:rPr>
              <w:t>输液泵技术参数</w:t>
            </w:r>
          </w:p>
          <w:p>
            <w:pPr>
              <w:pStyle w:val="95"/>
              <w:spacing w:before="15"/>
              <w:ind w:right="38"/>
            </w:pPr>
            <w:r>
              <w:t>1、</w:t>
            </w:r>
            <w:r>
              <w:rPr>
                <w:rFonts w:hint="eastAsia"/>
              </w:rPr>
              <w:t>输液模式</w:t>
            </w:r>
            <w:r>
              <w:t>: 流速模式、流速-时间模式、流速-总量模式、时间-总量模式</w:t>
            </w:r>
          </w:p>
          <w:p>
            <w:pPr>
              <w:pStyle w:val="95"/>
              <w:spacing w:before="15"/>
              <w:ind w:right="38"/>
            </w:pPr>
            <w:r>
              <w:t>2、操作方式：数字按键调节，简单快捷，减少误操作</w:t>
            </w:r>
          </w:p>
          <w:p>
            <w:pPr>
              <w:pStyle w:val="95"/>
              <w:spacing w:before="15"/>
              <w:ind w:right="38"/>
            </w:pPr>
            <w:r>
              <w:rPr>
                <w:rFonts w:hint="eastAsia"/>
              </w:rPr>
              <w:t>3、输液速度设定范围：</w:t>
            </w:r>
            <w:r>
              <w:t>1-1200ml/h，流速&lt;100ml/h，步进值0.1，流速≥100ml/h，步进值1</w:t>
            </w:r>
          </w:p>
          <w:p>
            <w:pPr>
              <w:pStyle w:val="95"/>
              <w:spacing w:before="15"/>
              <w:ind w:right="38"/>
            </w:pPr>
            <w:r>
              <w:rPr>
                <w:rFonts w:hint="eastAsia"/>
              </w:rPr>
              <w:t>4、输液精度：±</w:t>
            </w:r>
            <w:r>
              <w:t>5%</w:t>
            </w:r>
          </w:p>
          <w:p>
            <w:pPr>
              <w:pStyle w:val="95"/>
              <w:spacing w:before="15"/>
              <w:ind w:right="38"/>
            </w:pPr>
            <w:r>
              <w:rPr>
                <w:rFonts w:hint="eastAsia"/>
              </w:rPr>
              <w:t>5、快排速度</w:t>
            </w:r>
            <w:r>
              <w:t>: 1000 ml/h可调，快排平均流速精度: ±5%</w:t>
            </w:r>
          </w:p>
          <w:p>
            <w:pPr>
              <w:pStyle w:val="95"/>
              <w:spacing w:before="15"/>
              <w:ind w:right="38"/>
            </w:pPr>
            <w:r>
              <w:t>6、丸剂速度: 1-1200ml/h可调，默认值800ml/h，步进值1，丸剂平均流速精度: ±5%</w:t>
            </w:r>
          </w:p>
          <w:p>
            <w:pPr>
              <w:pStyle w:val="95"/>
              <w:spacing w:before="15"/>
              <w:ind w:right="38"/>
            </w:pPr>
            <w:r>
              <w:rPr>
                <w:rFonts w:hint="eastAsia"/>
              </w:rPr>
              <w:t>7、单次丸剂量</w:t>
            </w:r>
            <w:r>
              <w:t>: 单次丸剂量1.0-10ml可调，默认3ml</w:t>
            </w:r>
          </w:p>
          <w:p>
            <w:pPr>
              <w:pStyle w:val="95"/>
              <w:spacing w:before="15"/>
              <w:ind w:right="38"/>
            </w:pPr>
            <w:r>
              <w:t>8、KVO流速：1.0-5.0ml/h可调，默认值1ml/h，步进值0.1,平均流速精度±5%</w:t>
            </w:r>
          </w:p>
          <w:p>
            <w:pPr>
              <w:pStyle w:val="95"/>
              <w:spacing w:before="15"/>
              <w:ind w:right="38"/>
            </w:pPr>
            <w:r>
              <w:rPr>
                <w:rFonts w:hint="eastAsia"/>
              </w:rPr>
              <w:t>9、报警提示功能</w:t>
            </w:r>
            <w:r>
              <w:t>: 阻塞报警，气泡报警，开门报警，完成报警，接近完成报警，暂停超时报警，电池电量低报警，电池耗尽报警，故障报警，网电源断开报警，网电源接入提示，电池充电提示，电池充电完成提示，环境低温提示</w:t>
            </w:r>
          </w:p>
          <w:p>
            <w:pPr>
              <w:pStyle w:val="95"/>
              <w:spacing w:before="15"/>
              <w:ind w:right="38"/>
            </w:pPr>
            <w:r>
              <w:rPr>
                <w:rFonts w:hint="eastAsia"/>
              </w:rPr>
              <w:t>1</w:t>
            </w:r>
            <w:r>
              <w:t>0、</w:t>
            </w:r>
            <w:r>
              <w:rPr>
                <w:rFonts w:hint="eastAsia"/>
              </w:rPr>
              <w:t>夜间模式功能：运行中可随意切换，给患者提供更安静的输液环境</w:t>
            </w:r>
          </w:p>
          <w:p>
            <w:pPr>
              <w:pStyle w:val="95"/>
              <w:spacing w:before="15"/>
              <w:ind w:right="38"/>
            </w:pPr>
            <w:r>
              <w:rPr>
                <w:rFonts w:hint="eastAsia"/>
              </w:rPr>
              <w:t>1</w:t>
            </w:r>
            <w:r>
              <w:t>1、</w:t>
            </w:r>
            <w:r>
              <w:rPr>
                <w:rFonts w:hint="eastAsia"/>
              </w:rPr>
              <w:t>报警方式：报警根据安全级别分档显示，并以不同颜色灯光提示</w:t>
            </w:r>
          </w:p>
          <w:p>
            <w:pPr>
              <w:pStyle w:val="95"/>
              <w:spacing w:before="15"/>
              <w:ind w:right="38"/>
            </w:pPr>
            <w:r>
              <w:rPr>
                <w:rFonts w:hint="eastAsia"/>
              </w:rPr>
              <w:t>1</w:t>
            </w:r>
            <w:r>
              <w:t>2、</w:t>
            </w:r>
            <w:r>
              <w:rPr>
                <w:rFonts w:hint="eastAsia"/>
              </w:rPr>
              <w:t>电源</w:t>
            </w:r>
            <w:r>
              <w:t>/输入功率: ～100V-240V  50Hz/60Hz    30VA</w:t>
            </w:r>
          </w:p>
          <w:p>
            <w:pPr>
              <w:pStyle w:val="95"/>
              <w:spacing w:before="15"/>
              <w:ind w:right="38"/>
            </w:pPr>
            <w:r>
              <w:t>13、内部电池: 电池外部可拆卸，锂电池充满电中速25ml/h运行连续工作时间大于4h</w:t>
            </w:r>
          </w:p>
          <w:p>
            <w:pPr>
              <w:pStyle w:val="95"/>
              <w:spacing w:before="15"/>
              <w:ind w:right="38"/>
            </w:pPr>
            <w:r>
              <w:rPr>
                <w:rFonts w:hint="eastAsia"/>
              </w:rPr>
              <w:t>1</w:t>
            </w:r>
            <w:r>
              <w:t>4、</w:t>
            </w:r>
            <w:r>
              <w:rPr>
                <w:rFonts w:hint="eastAsia"/>
              </w:rPr>
              <w:t>电击防护等级：</w:t>
            </w:r>
            <w:r>
              <w:t xml:space="preserve">I类CF型设备； </w:t>
            </w:r>
          </w:p>
          <w:p>
            <w:pPr>
              <w:pStyle w:val="95"/>
              <w:spacing w:before="15"/>
              <w:ind w:right="38"/>
            </w:pPr>
            <w:r>
              <w:rPr>
                <w:rFonts w:hint="eastAsia"/>
              </w:rPr>
              <w:t>1</w:t>
            </w:r>
            <w:r>
              <w:t>5、</w:t>
            </w:r>
            <w:r>
              <w:rPr>
                <w:rFonts w:hint="eastAsia"/>
              </w:rPr>
              <w:t>外壳封闭等级：</w:t>
            </w:r>
            <w:r>
              <w:t>IPX4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line="275" w:lineRule="exact"/>
              <w:ind w:left="47" w:right="38"/>
              <w:jc w:val="center"/>
            </w:pPr>
            <w:r>
              <w:t>血糖仪</w:t>
            </w:r>
          </w:p>
        </w:tc>
        <w:tc>
          <w:tcPr>
            <w:tcW w:w="7648" w:type="dxa"/>
          </w:tcPr>
          <w:p>
            <w:pPr>
              <w:pStyle w:val="95"/>
              <w:spacing w:before="17" w:line="275" w:lineRule="exact"/>
              <w:ind w:left="47" w:right="38"/>
            </w:pPr>
            <w:r>
              <w:rPr>
                <w:rFonts w:hint="eastAsia"/>
              </w:rPr>
              <w:t>1、度量单位：</w:t>
            </w:r>
            <w:r>
              <w:t>mmol/L</w:t>
            </w:r>
          </w:p>
          <w:p>
            <w:pPr>
              <w:pStyle w:val="95"/>
              <w:spacing w:before="17" w:line="275" w:lineRule="exact"/>
              <w:ind w:left="47" w:right="38"/>
            </w:pPr>
            <w:r>
              <w:rPr>
                <w:rFonts w:hint="eastAsia"/>
              </w:rPr>
              <w:t>2、测量范围：</w:t>
            </w:r>
            <w:r>
              <w:t>1.1～33.3 mmol/L(20~600mg/dL)</w:t>
            </w:r>
          </w:p>
          <w:p>
            <w:pPr>
              <w:pStyle w:val="95"/>
              <w:spacing w:before="17" w:line="275" w:lineRule="exact"/>
              <w:ind w:left="47" w:right="38"/>
            </w:pPr>
            <w:r>
              <w:rPr>
                <w:rFonts w:hint="eastAsia"/>
              </w:rPr>
              <w:t>3、目标血液：毛细血管全血</w:t>
            </w:r>
          </w:p>
          <w:p>
            <w:pPr>
              <w:pStyle w:val="95"/>
              <w:spacing w:before="17" w:line="275" w:lineRule="exact"/>
              <w:ind w:left="47" w:right="38"/>
            </w:pPr>
            <w:r>
              <w:rPr>
                <w:rFonts w:hint="eastAsia"/>
              </w:rPr>
              <w:t>4、校正标准：血浆矫正</w:t>
            </w:r>
          </w:p>
          <w:p>
            <w:pPr>
              <w:pStyle w:val="95"/>
              <w:spacing w:before="17" w:line="275" w:lineRule="exact"/>
              <w:ind w:left="47" w:right="38"/>
            </w:pPr>
            <w:r>
              <w:rPr>
                <w:rFonts w:hint="eastAsia"/>
                <w:lang w:val="en-US"/>
              </w:rPr>
              <w:t>5</w:t>
            </w:r>
            <w:r>
              <w:rPr>
                <w:rFonts w:hint="eastAsia"/>
              </w:rPr>
              <w:t>、血容积比：</w:t>
            </w:r>
            <w:r>
              <w:t>30%～60%</w:t>
            </w:r>
          </w:p>
          <w:p>
            <w:pPr>
              <w:pStyle w:val="95"/>
              <w:spacing w:before="17" w:line="275" w:lineRule="exact"/>
              <w:ind w:left="47" w:right="38"/>
            </w:pPr>
            <w:r>
              <w:rPr>
                <w:rFonts w:hint="eastAsia"/>
                <w:lang w:val="en-US"/>
              </w:rPr>
              <w:t>6</w:t>
            </w:r>
            <w:r>
              <w:rPr>
                <w:rFonts w:hint="eastAsia"/>
              </w:rPr>
              <w:t>、测试时间：＜</w:t>
            </w:r>
            <w:r>
              <w:t>10s</w:t>
            </w:r>
          </w:p>
          <w:p>
            <w:pPr>
              <w:pStyle w:val="95"/>
              <w:spacing w:before="17" w:line="275" w:lineRule="exact"/>
              <w:ind w:left="47" w:right="38"/>
            </w:pPr>
            <w:r>
              <w:rPr>
                <w:rFonts w:hint="eastAsia"/>
                <w:lang w:val="en-US"/>
              </w:rPr>
              <w:t>7</w:t>
            </w:r>
            <w:r>
              <w:rPr>
                <w:rFonts w:hint="eastAsia"/>
              </w:rPr>
              <w:t>、记忆组数：</w:t>
            </w:r>
            <w:r>
              <w:t>300组测量结果</w:t>
            </w:r>
          </w:p>
          <w:p>
            <w:pPr>
              <w:pStyle w:val="95"/>
              <w:spacing w:before="17" w:line="275" w:lineRule="exact"/>
              <w:ind w:left="47" w:right="38"/>
            </w:pPr>
            <w:r>
              <w:rPr>
                <w:rFonts w:hint="eastAsia"/>
                <w:lang w:val="en-US"/>
              </w:rPr>
              <w:t>8</w:t>
            </w:r>
            <w:r>
              <w:rPr>
                <w:rFonts w:hint="eastAsia"/>
              </w:rPr>
              <w:t>、自动关机：</w:t>
            </w:r>
            <w:r>
              <w:t>3分钟内无任何操作，血糖仪自动关机</w:t>
            </w:r>
          </w:p>
          <w:p>
            <w:pPr>
              <w:pStyle w:val="95"/>
              <w:spacing w:before="17" w:line="275" w:lineRule="exact"/>
              <w:ind w:left="47" w:right="38"/>
            </w:pPr>
            <w:r>
              <w:rPr>
                <w:rFonts w:hint="eastAsia"/>
                <w:lang w:val="en-US"/>
              </w:rPr>
              <w:t>9</w:t>
            </w:r>
            <w:r>
              <w:t>、</w:t>
            </w:r>
            <w:r>
              <w:rPr>
                <w:rFonts w:hint="eastAsia"/>
              </w:rPr>
              <w:t>设备运行方式：连续运行</w:t>
            </w:r>
          </w:p>
          <w:p>
            <w:pPr>
              <w:pStyle w:val="95"/>
              <w:spacing w:before="17" w:line="275" w:lineRule="exact"/>
              <w:ind w:left="47" w:right="38"/>
            </w:pPr>
            <w:r>
              <w:rPr>
                <w:rFonts w:hint="eastAsia"/>
              </w:rPr>
              <w:t>1</w:t>
            </w:r>
            <w:r>
              <w:rPr>
                <w:rFonts w:hint="eastAsia"/>
                <w:lang w:val="en-US"/>
              </w:rPr>
              <w:t>0</w:t>
            </w:r>
            <w:r>
              <w:t>、</w:t>
            </w:r>
            <w:r>
              <w:rPr>
                <w:rFonts w:hint="eastAsia"/>
              </w:rPr>
              <w:t>电源电压：</w:t>
            </w:r>
            <w:r>
              <w:t>DC3.0V(-10%，+5%)</w:t>
            </w:r>
          </w:p>
          <w:p>
            <w:pPr>
              <w:pStyle w:val="95"/>
              <w:spacing w:before="17" w:line="275" w:lineRule="exact"/>
              <w:ind w:left="47" w:right="38"/>
            </w:pPr>
            <w:r>
              <w:rPr>
                <w:rFonts w:hint="eastAsia"/>
              </w:rPr>
              <w:t>1</w:t>
            </w:r>
            <w:r>
              <w:rPr>
                <w:rFonts w:hint="eastAsia"/>
                <w:lang w:val="en-US"/>
              </w:rPr>
              <w:t>1</w:t>
            </w:r>
            <w:r>
              <w:t>、</w:t>
            </w:r>
            <w:r>
              <w:rPr>
                <w:rFonts w:hint="eastAsia"/>
              </w:rPr>
              <w:t>电源寿命：</w:t>
            </w:r>
            <w:r>
              <w:t>2节7号碱性干电池能测量约1000次</w:t>
            </w:r>
          </w:p>
          <w:p>
            <w:pPr>
              <w:pStyle w:val="95"/>
              <w:spacing w:before="17" w:line="275" w:lineRule="exact"/>
              <w:ind w:left="47" w:right="38"/>
              <w:rPr>
                <w:lang w:val="en-US"/>
              </w:rPr>
            </w:pPr>
            <w:r>
              <w:rPr>
                <w:rFonts w:hint="eastAsia"/>
                <w:lang w:val="en-US"/>
              </w:rPr>
              <w:t>12、含600人份血糖仪试纸。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5" w:lineRule="exact"/>
              <w:ind w:left="47" w:right="38"/>
              <w:jc w:val="center"/>
            </w:pPr>
            <w:r>
              <w:t>电动雾化器</w:t>
            </w:r>
          </w:p>
        </w:tc>
        <w:tc>
          <w:tcPr>
            <w:tcW w:w="7648" w:type="dxa"/>
          </w:tcPr>
          <w:p>
            <w:pPr>
              <w:pStyle w:val="95"/>
              <w:spacing w:before="16" w:line="275" w:lineRule="exact"/>
              <w:ind w:right="38"/>
            </w:pPr>
            <w:r>
              <w:t>1、电压，AC22W±10％，频率：50</w:t>
            </w:r>
            <w:r>
              <w:rPr>
                <w:rFonts w:hint="eastAsia"/>
              </w:rPr>
              <w:t>H</w:t>
            </w:r>
            <w:r>
              <w:t>z</w:t>
            </w:r>
            <w:r>
              <w:rPr>
                <w:rFonts w:hint="eastAsia"/>
              </w:rPr>
              <w:t>±1</w:t>
            </w:r>
            <w:r>
              <w:t>Hz</w:t>
            </w:r>
          </w:p>
          <w:p>
            <w:pPr>
              <w:pStyle w:val="95"/>
              <w:spacing w:before="16" w:line="275" w:lineRule="exact"/>
              <w:ind w:right="38"/>
            </w:pPr>
            <w:r>
              <w:t>2、最大雾化率：≥0.2mL/min</w:t>
            </w:r>
          </w:p>
          <w:p>
            <w:pPr>
              <w:pStyle w:val="95"/>
              <w:spacing w:before="16" w:line="275" w:lineRule="exact"/>
              <w:ind w:right="38"/>
            </w:pPr>
            <w:r>
              <w:t>3、药液残留量：≤1.0ml</w:t>
            </w:r>
          </w:p>
          <w:p>
            <w:pPr>
              <w:pStyle w:val="95"/>
              <w:spacing w:before="16" w:line="275" w:lineRule="exact"/>
              <w:ind w:right="38"/>
            </w:pPr>
            <w:r>
              <w:t>4、雾粒中直径（</w:t>
            </w:r>
            <w:r>
              <w:rPr>
                <w:rFonts w:hint="eastAsia"/>
              </w:rPr>
              <w:t>M</w:t>
            </w:r>
            <w:r>
              <w:t>MD）:3.9μm±25%，直径小于</w:t>
            </w:r>
            <w:r>
              <w:rPr>
                <w:rFonts w:hint="eastAsia"/>
              </w:rPr>
              <w:t>5</w:t>
            </w:r>
            <w:r>
              <w:t>μm的雾粒占比＞</w:t>
            </w:r>
            <w:r>
              <w:rPr>
                <w:rFonts w:hint="eastAsia"/>
              </w:rPr>
              <w:t>6</w:t>
            </w:r>
            <w:r>
              <w:t>5%。</w:t>
            </w:r>
          </w:p>
          <w:p>
            <w:pPr>
              <w:pStyle w:val="95"/>
              <w:spacing w:before="16" w:line="275" w:lineRule="exact"/>
              <w:ind w:right="38"/>
            </w:pPr>
            <w:r>
              <w:t>5、雾化器产生的压力范围：正常工作条件下，雾化器所产生的最大压力范围是</w:t>
            </w:r>
            <w:r>
              <w:rPr>
                <w:rFonts w:hint="eastAsia"/>
              </w:rPr>
              <w:t>0</w:t>
            </w:r>
            <w:r>
              <w:t>.08-0.15Mpa,当雾化器发生异常情况，雾化器所产生的最大压力范围是</w:t>
            </w:r>
            <w:r>
              <w:rPr>
                <w:rFonts w:hint="eastAsia"/>
              </w:rPr>
              <w:t>0</w:t>
            </w:r>
            <w:r>
              <w:t>.15-0.4MPa</w:t>
            </w:r>
          </w:p>
          <w:p>
            <w:pPr>
              <w:pStyle w:val="95"/>
              <w:spacing w:before="16" w:line="275" w:lineRule="exact"/>
              <w:ind w:right="38"/>
              <w:rPr>
                <w:lang w:val="en-US"/>
              </w:rPr>
            </w:pPr>
            <w:r>
              <w:t>6、熔丝管：3.6*11</w:t>
            </w:r>
            <w:r>
              <w:rPr>
                <w:rFonts w:hint="eastAsia"/>
                <w:lang w:val="en-US"/>
              </w:rPr>
              <w:t xml:space="preserve">mm </w:t>
            </w:r>
          </w:p>
          <w:p>
            <w:pPr>
              <w:pStyle w:val="95"/>
              <w:spacing w:before="16" w:line="275" w:lineRule="exact"/>
              <w:ind w:right="38"/>
            </w:pPr>
            <w:r>
              <w:t>7、压缩泵自由空气流量：≥10L</w:t>
            </w:r>
            <w:r>
              <w:rPr>
                <w:rFonts w:hint="eastAsia"/>
              </w:rPr>
              <w:t>/</w:t>
            </w:r>
            <w:r>
              <w:t>min</w:t>
            </w:r>
          </w:p>
          <w:p>
            <w:pPr>
              <w:pStyle w:val="95"/>
              <w:spacing w:before="16" w:line="275" w:lineRule="exact"/>
              <w:ind w:right="38"/>
              <w:rPr>
                <w:lang w:val="en-US"/>
              </w:rPr>
            </w:pPr>
            <w:r>
              <w:rPr>
                <w:lang w:val="en-US"/>
              </w:rPr>
              <w:t>8</w:t>
            </w:r>
            <w:r>
              <w:t>、噪音</w:t>
            </w:r>
            <w:r>
              <w:rPr>
                <w:lang w:val="en-US"/>
              </w:rPr>
              <w:t>：≤60Db(A)</w:t>
            </w:r>
          </w:p>
          <w:p>
            <w:pPr>
              <w:pStyle w:val="95"/>
              <w:spacing w:before="16" w:line="275" w:lineRule="exact"/>
              <w:ind w:right="38"/>
            </w:pPr>
            <w:r>
              <w:rPr>
                <w:rFonts w:hint="eastAsia"/>
                <w:lang w:val="en-US"/>
              </w:rPr>
              <w:t>9</w:t>
            </w:r>
            <w:r>
              <w:t>、输入功率：≤200VA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6" w:lineRule="exact"/>
              <w:ind w:left="47" w:right="38" w:firstLine="210" w:firstLineChars="100"/>
            </w:pPr>
            <w:r>
              <w:t>心电图机</w:t>
            </w:r>
          </w:p>
        </w:tc>
        <w:tc>
          <w:tcPr>
            <w:tcW w:w="7648" w:type="dxa"/>
          </w:tcPr>
          <w:p>
            <w:pPr>
              <w:pStyle w:val="95"/>
              <w:spacing w:before="16" w:line="276" w:lineRule="exact"/>
              <w:ind w:right="38"/>
            </w:pPr>
            <w:r>
              <w:t>1、导联：12导联同步采集、显示、打印。</w:t>
            </w:r>
          </w:p>
          <w:p>
            <w:pPr>
              <w:pStyle w:val="95"/>
              <w:spacing w:before="16" w:line="276" w:lineRule="exact"/>
              <w:ind w:right="38"/>
            </w:pPr>
            <w:r>
              <w:t>2、噪声电平：≤15uVp-p</w:t>
            </w:r>
          </w:p>
          <w:p>
            <w:pPr>
              <w:pStyle w:val="95"/>
              <w:spacing w:before="16" w:line="276" w:lineRule="exact"/>
              <w:ind w:right="38"/>
            </w:pPr>
            <w:r>
              <w:t>3、</w:t>
            </w:r>
            <w:r>
              <w:tab/>
            </w:r>
            <w:r>
              <w:t>频率特性：0.05Hz-150Hz（-3db）</w:t>
            </w:r>
          </w:p>
          <w:p>
            <w:pPr>
              <w:pStyle w:val="95"/>
              <w:spacing w:before="16" w:line="276" w:lineRule="exact"/>
              <w:ind w:right="38"/>
            </w:pPr>
            <w:r>
              <w:t>4、</w:t>
            </w:r>
            <w:r>
              <w:tab/>
            </w:r>
            <w:r>
              <w:t>时间常数：≥5S（提供检验报告证明）</w:t>
            </w:r>
          </w:p>
          <w:p>
            <w:pPr>
              <w:pStyle w:val="95"/>
              <w:spacing w:before="16" w:line="276" w:lineRule="exact"/>
              <w:ind w:right="38"/>
            </w:pPr>
            <w:r>
              <w:t>5、</w:t>
            </w:r>
            <w:r>
              <w:tab/>
            </w:r>
            <w:r>
              <w:t>抗击化电压：±650mV（提供检验报告证明）</w:t>
            </w:r>
          </w:p>
          <w:p>
            <w:pPr>
              <w:pStyle w:val="95"/>
              <w:spacing w:before="16" w:line="276" w:lineRule="exact"/>
              <w:ind w:right="38"/>
            </w:pPr>
            <w:r>
              <w:t>6、共模拟制比：≥105dB</w:t>
            </w:r>
          </w:p>
          <w:p>
            <w:pPr>
              <w:pStyle w:val="95"/>
              <w:spacing w:before="16" w:line="276" w:lineRule="exact"/>
              <w:ind w:right="38"/>
            </w:pPr>
            <w:r>
              <w:t>7、</w:t>
            </w:r>
            <w:r>
              <w:tab/>
            </w:r>
            <w:r>
              <w:t>增益：2.5 mm/mv 、5 mm/mv、10 mm/mv、20mm/mv、10/5 mm/mv、20/10 mm/mv、AGC。（提供检验报告证明）</w:t>
            </w:r>
          </w:p>
          <w:p>
            <w:pPr>
              <w:pStyle w:val="95"/>
              <w:spacing w:before="16" w:line="276" w:lineRule="exact"/>
              <w:ind w:right="38"/>
            </w:pPr>
            <w:r>
              <w:t>8、</w:t>
            </w:r>
            <w:r>
              <w:tab/>
            </w:r>
            <w:r>
              <w:t>记录速度：5mm/s、10mm/s、12.5mm/s、25mm/s、50mm/s。</w:t>
            </w:r>
          </w:p>
          <w:p>
            <w:pPr>
              <w:pStyle w:val="95"/>
              <w:spacing w:before="16" w:line="276" w:lineRule="exact"/>
              <w:ind w:right="38"/>
            </w:pPr>
            <w:r>
              <w:t>9、</w:t>
            </w:r>
            <w:r>
              <w:tab/>
            </w:r>
            <w:r>
              <w:t>≥5.6英寸TFT液晶屏，支持中文、英文输入。</w:t>
            </w:r>
          </w:p>
          <w:p>
            <w:pPr>
              <w:pStyle w:val="95"/>
              <w:spacing w:before="16" w:line="276" w:lineRule="exact"/>
              <w:ind w:right="38"/>
            </w:pPr>
            <w:r>
              <w:t>10、交直流两用,内置环保耐用型锂电电池,能连续工作2小时以上。</w:t>
            </w:r>
          </w:p>
          <w:p>
            <w:pPr>
              <w:pStyle w:val="95"/>
              <w:spacing w:before="16" w:line="276" w:lineRule="exact"/>
              <w:ind w:right="38"/>
            </w:pPr>
            <w:r>
              <w:t>11、可存储最近2分钟12导联波形。</w:t>
            </w:r>
          </w:p>
          <w:p>
            <w:pPr>
              <w:pStyle w:val="95"/>
              <w:spacing w:before="16" w:line="276" w:lineRule="exact"/>
              <w:ind w:right="38"/>
            </w:pPr>
            <w:r>
              <w:t>12、可存储回放300例病人数据，数据可通过SD卡、USB口导入导出，并可通过U盘,扩展内存容量。</w:t>
            </w:r>
          </w:p>
          <w:p>
            <w:pPr>
              <w:pStyle w:val="95"/>
              <w:spacing w:before="16" w:line="276" w:lineRule="exact"/>
              <w:ind w:right="38"/>
            </w:pPr>
            <w:r>
              <w:t>13、具有导联连接示意图,能准确判定接触不良的电极，提示各个导联脱落的信息。</w:t>
            </w:r>
          </w:p>
          <w:p>
            <w:pPr>
              <w:pStyle w:val="95"/>
              <w:spacing w:before="16" w:line="276" w:lineRule="exact"/>
              <w:ind w:right="38"/>
            </w:pPr>
            <w:r>
              <w:t>1</w:t>
            </w:r>
            <w:r>
              <w:rPr>
                <w:rFonts w:hint="eastAsia"/>
                <w:lang w:val="en-US"/>
              </w:rPr>
              <w:t>4</w:t>
            </w:r>
            <w:r>
              <w:t>、通过</w:t>
            </w:r>
            <w:r>
              <w:rPr>
                <w:rFonts w:hint="eastAsia"/>
              </w:rPr>
              <w:t>中华人民共和国国家食品和药品监督管理局</w:t>
            </w:r>
            <w:r>
              <w:t>CFDA认证。</w:t>
            </w:r>
          </w:p>
          <w:p>
            <w:pPr>
              <w:pStyle w:val="95"/>
              <w:spacing w:before="16" w:line="276" w:lineRule="exact"/>
              <w:ind w:right="38"/>
            </w:pPr>
            <w:r>
              <w:rPr>
                <w:rFonts w:hint="eastAsia"/>
                <w:lang w:val="en-US"/>
              </w:rPr>
              <w:t>15、</w:t>
            </w:r>
            <w:r>
              <w:rPr>
                <w:rFonts w:hint="eastAsia"/>
              </w:rPr>
              <w:t>▲具有针对该项目的厂家出具的授权质保原件加盖公章。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7" w:lineRule="exact"/>
              <w:ind w:left="47" w:right="38"/>
              <w:jc w:val="center"/>
            </w:pPr>
            <w:r>
              <w:t>除颤仪</w:t>
            </w:r>
          </w:p>
        </w:tc>
        <w:tc>
          <w:tcPr>
            <w:tcW w:w="7648" w:type="dxa"/>
          </w:tcPr>
          <w:p>
            <w:pPr>
              <w:pStyle w:val="95"/>
              <w:spacing w:before="15" w:line="277" w:lineRule="exact"/>
              <w:ind w:left="47" w:right="38"/>
            </w:pPr>
            <w:r>
              <w:t>1、</w:t>
            </w:r>
            <w:r>
              <w:tab/>
            </w:r>
            <w:r>
              <w:t>除颤采用双相波技术，具备自动阻抗补偿功能；</w:t>
            </w:r>
          </w:p>
          <w:p>
            <w:pPr>
              <w:pStyle w:val="95"/>
              <w:spacing w:before="15" w:line="277" w:lineRule="exact"/>
              <w:ind w:left="47" w:right="38"/>
            </w:pPr>
            <w:r>
              <w:t>2、</w:t>
            </w:r>
            <w:r>
              <w:tab/>
            </w:r>
            <w:r>
              <w:rPr>
                <w:rFonts w:hint="eastAsia"/>
              </w:rPr>
              <w:t>▲</w:t>
            </w:r>
            <w:r>
              <w:t>同步除颤和手动除颤中，能量分25档以上，可通过体外电极板进行能量选择最小为1J，最大为360J；</w:t>
            </w:r>
          </w:p>
          <w:p>
            <w:pPr>
              <w:pStyle w:val="95"/>
              <w:spacing w:before="15" w:line="277" w:lineRule="exact"/>
              <w:ind w:left="47" w:right="38"/>
            </w:pPr>
            <w:r>
              <w:t>3、支持体内除颤功能，配置专用体内除颤附件包；</w:t>
            </w:r>
          </w:p>
          <w:p>
            <w:pPr>
              <w:pStyle w:val="95"/>
              <w:spacing w:before="15" w:line="277" w:lineRule="exact"/>
              <w:ind w:left="47" w:right="38"/>
            </w:pPr>
            <w:r>
              <w:t>4、</w:t>
            </w:r>
            <w:r>
              <w:tab/>
            </w:r>
            <w:r>
              <w:t>支持AED除颤功能，电击能量：100～360J；</w:t>
            </w:r>
          </w:p>
          <w:p>
            <w:pPr>
              <w:pStyle w:val="95"/>
              <w:spacing w:before="15" w:line="277" w:lineRule="exact"/>
              <w:ind w:left="47" w:right="38"/>
            </w:pPr>
            <w:r>
              <w:t>5、</w:t>
            </w:r>
            <w:r>
              <w:tab/>
            </w:r>
            <w:r>
              <w:t>具有旋钮式能量选择，可快速选择能量，节约时间；</w:t>
            </w:r>
          </w:p>
          <w:p>
            <w:pPr>
              <w:pStyle w:val="95"/>
              <w:spacing w:before="15" w:line="277" w:lineRule="exact"/>
              <w:ind w:left="47" w:right="38"/>
            </w:pPr>
            <w:r>
              <w:t>6、</w:t>
            </w:r>
            <w:r>
              <w:rPr>
                <w:rFonts w:hint="eastAsia"/>
              </w:rPr>
              <w:t>▲</w:t>
            </w:r>
            <w:r>
              <w:t>病人阻抗范围：体外除颤：20~250欧；体内除颤：15-250欧；</w:t>
            </w:r>
          </w:p>
          <w:p>
            <w:pPr>
              <w:pStyle w:val="95"/>
              <w:spacing w:before="15" w:line="277" w:lineRule="exact"/>
              <w:ind w:left="47" w:right="38"/>
            </w:pPr>
            <w:r>
              <w:t>7、</w:t>
            </w:r>
            <w:r>
              <w:tab/>
            </w:r>
            <w:r>
              <w:t>体外起搏功能，起搏分为固定和按需两种模式。具备降速起搏功能；</w:t>
            </w:r>
          </w:p>
          <w:p>
            <w:pPr>
              <w:pStyle w:val="95"/>
              <w:spacing w:before="15" w:line="277" w:lineRule="exact"/>
              <w:ind w:left="47" w:right="38"/>
            </w:pPr>
            <w:r>
              <w:t>8、</w:t>
            </w:r>
            <w:r>
              <w:rPr>
                <w:rFonts w:hint="eastAsia"/>
              </w:rPr>
              <w:t>▲</w:t>
            </w:r>
            <w:r>
              <w:t>CPR心肺复苏抢救提示功能，可指导CPR操作；</w:t>
            </w:r>
          </w:p>
          <w:p>
            <w:pPr>
              <w:pStyle w:val="95"/>
              <w:spacing w:before="15" w:line="277" w:lineRule="exact"/>
              <w:ind w:left="47" w:right="38"/>
            </w:pPr>
            <w:r>
              <w:t>9、实现包括12导ECG，SpO2、2-体温、NIBP，旁流EtCO2监测功能；</w:t>
            </w:r>
          </w:p>
          <w:p>
            <w:pPr>
              <w:pStyle w:val="95"/>
              <w:spacing w:before="15" w:line="277" w:lineRule="exact"/>
              <w:ind w:left="47" w:right="38"/>
            </w:pPr>
            <w:r>
              <w:t>10、配置3/5/12导心电监护功能，波形来源心电导联线，电极板或多功能电极片，并具备高大T波抑制能力；</w:t>
            </w:r>
          </w:p>
          <w:p>
            <w:pPr>
              <w:pStyle w:val="95"/>
              <w:spacing w:before="15" w:line="277" w:lineRule="exact"/>
              <w:ind w:left="47" w:right="38"/>
            </w:pPr>
            <w:r>
              <w:t>11、</w:t>
            </w:r>
            <w:r>
              <w:rPr>
                <w:rFonts w:hint="eastAsia"/>
              </w:rPr>
              <w:t>▲</w:t>
            </w:r>
            <w:r>
              <w:t>具有≥25种心律失常分析；</w:t>
            </w:r>
          </w:p>
          <w:p>
            <w:pPr>
              <w:pStyle w:val="95"/>
              <w:spacing w:before="15" w:line="277" w:lineRule="exact"/>
              <w:ind w:left="47" w:right="38"/>
            </w:pPr>
            <w:r>
              <w:t>12、两块外置锂电池，1块电池可支持360J除颤210次以上，单ECG监测≥6 小时。</w:t>
            </w:r>
          </w:p>
          <w:p>
            <w:pPr>
              <w:pStyle w:val="95"/>
              <w:spacing w:before="15" w:line="277" w:lineRule="exact"/>
              <w:ind w:left="47" w:right="38"/>
            </w:pPr>
            <w:r>
              <w:t>13、电池体上带有五段LED 电池电量指示装置，用于快速评估电池电量</w:t>
            </w:r>
          </w:p>
          <w:p>
            <w:pPr>
              <w:pStyle w:val="95"/>
              <w:spacing w:before="15" w:line="277" w:lineRule="exact"/>
              <w:ind w:left="47" w:right="38"/>
            </w:pPr>
            <w:r>
              <w:t>14、具备生理报警和技术报警功能，并且具有双报警灯，分别显示生理报警和技术报警。</w:t>
            </w:r>
          </w:p>
          <w:p>
            <w:pPr>
              <w:pStyle w:val="95"/>
              <w:spacing w:before="15" w:line="277" w:lineRule="exact"/>
              <w:ind w:left="47" w:right="38"/>
            </w:pPr>
            <w:r>
              <w:t>15、成人、小儿一体化电极板，可选用除颤起搏监护多功能电极片。</w:t>
            </w:r>
          </w:p>
          <w:p>
            <w:pPr>
              <w:pStyle w:val="95"/>
              <w:spacing w:before="15" w:line="277" w:lineRule="exact"/>
              <w:ind w:left="47" w:right="38"/>
            </w:pPr>
            <w:r>
              <w:t>16、体外除颤电极板手柄支持充电、放电、能量选择，具备充电完成指示灯。</w:t>
            </w:r>
          </w:p>
          <w:p>
            <w:pPr>
              <w:pStyle w:val="95"/>
              <w:spacing w:before="15" w:line="277" w:lineRule="exact"/>
              <w:ind w:left="47" w:right="38"/>
            </w:pPr>
            <w:r>
              <w:t>17、支持中文操作界面。</w:t>
            </w:r>
          </w:p>
          <w:p>
            <w:pPr>
              <w:pStyle w:val="95"/>
              <w:spacing w:before="15" w:line="277" w:lineRule="exact"/>
              <w:ind w:left="47" w:right="38"/>
            </w:pPr>
            <w:r>
              <w:t>18、彩色TFT显示屏≥8.4英寸, 分辨率≥800×600，最多可显示4通道监护参数波形，有高对比度显示界面。</w:t>
            </w:r>
          </w:p>
          <w:p>
            <w:pPr>
              <w:pStyle w:val="95"/>
              <w:spacing w:before="15" w:line="277" w:lineRule="exact"/>
              <w:ind w:left="47" w:right="38"/>
            </w:pPr>
            <w:r>
              <w:t>19、体外除颤监护仪配置80mm记录仪，实时记录时间有3秒、5秒、8秒、16秒、32秒、连续可供选择</w:t>
            </w:r>
          </w:p>
          <w:p>
            <w:pPr>
              <w:pStyle w:val="95"/>
              <w:spacing w:before="15" w:line="277" w:lineRule="exact"/>
              <w:ind w:left="47" w:right="38"/>
            </w:pPr>
            <w:r>
              <w:t>20、具备USB接口，数据可导出至电脑查看。</w:t>
            </w:r>
          </w:p>
          <w:p>
            <w:pPr>
              <w:pStyle w:val="95"/>
              <w:spacing w:before="15" w:line="277" w:lineRule="exact"/>
              <w:ind w:left="47" w:right="38"/>
            </w:pPr>
            <w:r>
              <w:t>21、主机具备≥120小时趋势图和趋势表、≥400min录音存储、≥100小时全息波形</w:t>
            </w:r>
          </w:p>
          <w:p>
            <w:pPr>
              <w:pStyle w:val="95"/>
              <w:spacing w:before="15" w:line="277" w:lineRule="exact"/>
              <w:ind w:left="47" w:right="38"/>
            </w:pPr>
            <w:r>
              <w:t xml:space="preserve">22、关机状态下设备可自动运行自检，支持大能量自检（不低于200J）、屏幕、按键检测。 </w:t>
            </w:r>
          </w:p>
          <w:p>
            <w:pPr>
              <w:pStyle w:val="95"/>
              <w:spacing w:before="15" w:line="277" w:lineRule="exact"/>
              <w:ind w:left="47" w:right="38"/>
            </w:pPr>
            <w:r>
              <w:t>2</w:t>
            </w:r>
            <w:r>
              <w:rPr>
                <w:rFonts w:hint="eastAsia"/>
                <w:lang w:val="en-US"/>
              </w:rPr>
              <w:t>3</w:t>
            </w:r>
            <w:r>
              <w:t>、具备良好的防水防尘性能：防水级别≥IPX4。</w:t>
            </w:r>
          </w:p>
          <w:p>
            <w:pPr>
              <w:pStyle w:val="95"/>
              <w:spacing w:before="15" w:line="277" w:lineRule="exact"/>
              <w:ind w:left="47" w:right="38"/>
              <w:rPr>
                <w:lang w:val="en-US"/>
              </w:rPr>
            </w:pPr>
            <w:r>
              <w:rPr>
                <w:rFonts w:hint="eastAsia"/>
                <w:lang w:val="en-US"/>
              </w:rPr>
              <w:t>24、通过</w:t>
            </w:r>
            <w:r>
              <w:rPr>
                <w:rFonts w:hint="eastAsia"/>
              </w:rPr>
              <w:t>中华人民共和国国家食品和药品监督管理局</w:t>
            </w:r>
            <w:r>
              <w:rPr>
                <w:rFonts w:hint="eastAsia"/>
                <w:lang w:val="en-US"/>
              </w:rPr>
              <w:t>CFDA认证。</w:t>
            </w:r>
          </w:p>
          <w:p>
            <w:pPr>
              <w:pStyle w:val="95"/>
              <w:spacing w:before="15" w:line="277" w:lineRule="exact"/>
              <w:ind w:left="47" w:right="38"/>
            </w:pPr>
            <w:r>
              <w:rPr>
                <w:rFonts w:hint="eastAsia"/>
                <w:lang w:val="en-US"/>
              </w:rPr>
              <w:t>25、</w:t>
            </w:r>
            <w:r>
              <w:rPr>
                <w:rFonts w:hint="eastAsia"/>
              </w:rPr>
              <w:t>▲具有针对该项目的厂家出具的授权质保原件加盖公章。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line="275" w:lineRule="exact"/>
              <w:ind w:left="47" w:right="38"/>
              <w:jc w:val="center"/>
            </w:pPr>
            <w:r>
              <w:t>无创呼吸机</w:t>
            </w:r>
          </w:p>
        </w:tc>
        <w:tc>
          <w:tcPr>
            <w:tcW w:w="7648" w:type="dxa"/>
          </w:tcPr>
          <w:p>
            <w:pPr>
              <w:pStyle w:val="95"/>
              <w:spacing w:before="17" w:line="275" w:lineRule="exact"/>
              <w:ind w:left="47" w:right="38"/>
            </w:pPr>
            <w:r>
              <w:t>1、 基本要求</w:t>
            </w:r>
          </w:p>
          <w:p>
            <w:pPr>
              <w:pStyle w:val="95"/>
              <w:spacing w:before="17" w:line="275" w:lineRule="exact"/>
              <w:ind w:left="47" w:right="38"/>
            </w:pPr>
            <w:r>
              <w:t>1.1</w:t>
            </w:r>
            <w:r>
              <w:tab/>
            </w:r>
            <w:r>
              <w:t>、通气模式：无创通气</w:t>
            </w:r>
          </w:p>
          <w:p>
            <w:pPr>
              <w:pStyle w:val="95"/>
              <w:spacing w:before="17" w:line="275" w:lineRule="exact"/>
              <w:ind w:left="47" w:right="38"/>
            </w:pPr>
            <w:r>
              <w:t>1.2</w:t>
            </w:r>
            <w:r>
              <w:tab/>
            </w:r>
            <w:r>
              <w:t>、患者类型：成人，儿童</w:t>
            </w:r>
          </w:p>
          <w:p>
            <w:pPr>
              <w:pStyle w:val="95"/>
              <w:spacing w:before="17" w:line="275" w:lineRule="exact"/>
              <w:ind w:left="47" w:right="38"/>
            </w:pPr>
            <w:r>
              <w:t>1.3、</w:t>
            </w:r>
            <w:r>
              <w:rPr>
                <w:rFonts w:hint="eastAsia"/>
              </w:rPr>
              <w:t>▲</w:t>
            </w:r>
            <w:r>
              <w:t>显示单元：显示器≥15.6英寸彩色全触屏平板示器，分辨率为1920X1080，方便医护人员对参数进行调节及观察</w:t>
            </w:r>
            <w:r>
              <w:rPr>
                <w:rFonts w:hint="eastAsia"/>
              </w:rPr>
              <w:t>，屏机分离设计，屏幕可上吊塔，避免交叉感染。</w:t>
            </w:r>
          </w:p>
          <w:p>
            <w:pPr>
              <w:pStyle w:val="95"/>
              <w:spacing w:before="17" w:line="275" w:lineRule="exact"/>
              <w:ind w:left="47" w:right="38"/>
            </w:pPr>
            <w:r>
              <w:t>1.4、电动电控呼吸机，内置涡轮驱动，无需配置空气压缩机，最大流速≥240L/min</w:t>
            </w:r>
          </w:p>
          <w:p>
            <w:pPr>
              <w:pStyle w:val="95"/>
              <w:spacing w:before="17" w:line="275" w:lineRule="exact"/>
              <w:ind w:left="47" w:right="38"/>
            </w:pPr>
            <w:r>
              <w:t>1.5、内置锂电池，电池工作时间不低于2小时。</w:t>
            </w:r>
          </w:p>
          <w:p>
            <w:pPr>
              <w:pStyle w:val="95"/>
              <w:spacing w:before="17" w:line="275" w:lineRule="exact"/>
              <w:ind w:left="47" w:right="38"/>
            </w:pPr>
            <w:r>
              <w:t>1.6、具备高压氧及低压氧接口</w:t>
            </w:r>
          </w:p>
          <w:p>
            <w:pPr>
              <w:pStyle w:val="95"/>
              <w:spacing w:before="17" w:line="275" w:lineRule="exact"/>
              <w:ind w:left="47" w:right="38"/>
            </w:pPr>
            <w:r>
              <w:t>1.7、具有屏幕锁功能，可以进行屏幕锁定防止误触碰，造成通气参数改变。</w:t>
            </w:r>
          </w:p>
          <w:p>
            <w:pPr>
              <w:pStyle w:val="95"/>
              <w:spacing w:before="17" w:line="275" w:lineRule="exact"/>
              <w:ind w:left="47" w:right="38"/>
            </w:pPr>
            <w:r>
              <w:t>1.8、 在CPAP模式下，可以进行呼气压力释放调节，降低患者呼气阻力。</w:t>
            </w:r>
          </w:p>
          <w:p>
            <w:pPr>
              <w:pStyle w:val="95"/>
              <w:spacing w:before="17" w:line="275" w:lineRule="exact"/>
              <w:ind w:left="47" w:right="38"/>
            </w:pPr>
            <w:r>
              <w:t>1.9、</w:t>
            </w:r>
            <w:r>
              <w:rPr>
                <w:rFonts w:hint="eastAsia"/>
              </w:rPr>
              <w:t>▲</w:t>
            </w:r>
            <w:r>
              <w:t xml:space="preserve"> </w:t>
            </w:r>
            <w:r>
              <w:rPr>
                <w:rFonts w:hint="eastAsia"/>
              </w:rPr>
              <w:t>具备</w:t>
            </w:r>
            <w:r>
              <w:t>可控温加温加湿湿化系统、加热管路、鼻囊管等，可以满足高流量患者的温湿化治疗。</w:t>
            </w:r>
          </w:p>
          <w:p>
            <w:pPr>
              <w:pStyle w:val="95"/>
              <w:spacing w:before="17" w:line="275" w:lineRule="exact"/>
              <w:ind w:right="38"/>
            </w:pPr>
            <w:r>
              <w:t>2 、通气模式</w:t>
            </w:r>
          </w:p>
          <w:p>
            <w:pPr>
              <w:pStyle w:val="95"/>
              <w:spacing w:before="17" w:line="275" w:lineRule="exact"/>
              <w:ind w:left="47" w:right="38"/>
            </w:pPr>
            <w:r>
              <w:t xml:space="preserve">2.1、持续气道正压 NIV- CPAP </w:t>
            </w:r>
          </w:p>
          <w:p>
            <w:pPr>
              <w:pStyle w:val="95"/>
              <w:spacing w:before="17" w:line="275" w:lineRule="exact"/>
              <w:ind w:left="47" w:right="38"/>
            </w:pPr>
            <w:r>
              <w:t>2.2</w:t>
            </w:r>
            <w:r>
              <w:rPr>
                <w:rFonts w:hint="eastAsia"/>
              </w:rPr>
              <w:t>、</w:t>
            </w:r>
            <w:r>
              <w:t xml:space="preserve">自主/时间切换NIV- S/T </w:t>
            </w:r>
          </w:p>
          <w:p>
            <w:pPr>
              <w:pStyle w:val="95"/>
              <w:spacing w:before="17" w:line="275" w:lineRule="exact"/>
              <w:ind w:left="47" w:right="38"/>
            </w:pPr>
            <w:r>
              <w:t xml:space="preserve">2.3、 时间切换通气 NIV-  T </w:t>
            </w:r>
          </w:p>
          <w:p>
            <w:pPr>
              <w:pStyle w:val="95"/>
              <w:spacing w:before="17" w:line="275" w:lineRule="exact"/>
              <w:ind w:left="47" w:right="38"/>
            </w:pPr>
            <w:r>
              <w:t>2.4、</w:t>
            </w:r>
            <w:r>
              <w:rPr>
                <w:rFonts w:hint="eastAsia"/>
              </w:rPr>
              <w:t>▲</w:t>
            </w:r>
            <w:r>
              <w:t xml:space="preserve"> 容量保证压力支持通气 NIV-VGPS或同等呼吸模式。</w:t>
            </w:r>
          </w:p>
          <w:p>
            <w:pPr>
              <w:pStyle w:val="95"/>
              <w:spacing w:before="17" w:line="275" w:lineRule="exact"/>
              <w:ind w:left="47" w:right="38"/>
            </w:pPr>
            <w:r>
              <w:t>2.5、</w:t>
            </w:r>
            <w:r>
              <w:rPr>
                <w:rFonts w:hint="eastAsia"/>
              </w:rPr>
              <w:t>▲</w:t>
            </w:r>
            <w:r>
              <w:t>HFT高流量氧疗模式</w:t>
            </w:r>
          </w:p>
          <w:p>
            <w:pPr>
              <w:pStyle w:val="95"/>
              <w:spacing w:before="17" w:line="275" w:lineRule="exact"/>
              <w:ind w:left="47" w:right="38"/>
            </w:pPr>
            <w:r>
              <w:t>2.6、具备窒息通气</w:t>
            </w:r>
          </w:p>
          <w:p>
            <w:pPr>
              <w:pStyle w:val="95"/>
              <w:spacing w:before="17" w:line="275" w:lineRule="exact"/>
              <w:ind w:left="47" w:right="38"/>
            </w:pPr>
            <w:r>
              <w:t>2.7、 可以进行波形冻结、屏幕拷贝、手动通气功能</w:t>
            </w:r>
          </w:p>
          <w:p>
            <w:pPr>
              <w:pStyle w:val="95"/>
              <w:spacing w:before="17" w:line="275" w:lineRule="exact"/>
              <w:ind w:left="47" w:right="38"/>
            </w:pPr>
            <w:r>
              <w:t>2.8、</w:t>
            </w:r>
            <w:r>
              <w:rPr>
                <w:rFonts w:hint="eastAsia"/>
              </w:rPr>
              <w:t>▲</w:t>
            </w:r>
            <w:r>
              <w:t xml:space="preserve"> </w:t>
            </w:r>
            <w:r>
              <w:rPr>
                <w:rFonts w:hint="eastAsia"/>
              </w:rPr>
              <w:t>具备</w:t>
            </w:r>
            <w:r>
              <w:t>血氧饱和度监测及脉率监测，实时患者评估无创通气情况</w:t>
            </w:r>
          </w:p>
          <w:p>
            <w:pPr>
              <w:pStyle w:val="95"/>
              <w:spacing w:before="17" w:line="275" w:lineRule="exact"/>
              <w:ind w:left="47" w:right="38"/>
            </w:pPr>
            <w:r>
              <w:t xml:space="preserve"> 3、参数设置</w:t>
            </w:r>
          </w:p>
          <w:p>
            <w:pPr>
              <w:pStyle w:val="95"/>
              <w:spacing w:before="17" w:line="275" w:lineRule="exact"/>
              <w:ind w:left="47" w:right="38"/>
            </w:pPr>
            <w:r>
              <w:t>3.1、目标潮气量： 50-2000ml</w:t>
            </w:r>
          </w:p>
          <w:p>
            <w:pPr>
              <w:pStyle w:val="95"/>
              <w:spacing w:before="17" w:line="275" w:lineRule="exact"/>
              <w:ind w:left="47" w:right="38"/>
            </w:pPr>
            <w:r>
              <w:t xml:space="preserve">3.2、呼吸频率：1-55bpm </w:t>
            </w:r>
          </w:p>
          <w:p>
            <w:pPr>
              <w:pStyle w:val="95"/>
              <w:spacing w:before="17" w:line="275" w:lineRule="exact"/>
              <w:ind w:left="47" w:right="38"/>
            </w:pPr>
            <w:r>
              <w:t>3.3、吸气时间：0.3-5s</w:t>
            </w:r>
          </w:p>
          <w:p>
            <w:pPr>
              <w:pStyle w:val="95"/>
              <w:spacing w:before="17" w:line="275" w:lineRule="exact"/>
              <w:ind w:left="47" w:right="38"/>
            </w:pPr>
            <w:r>
              <w:t>3.4、压力上升时间：0.1-2.0s</w:t>
            </w:r>
          </w:p>
          <w:p>
            <w:pPr>
              <w:pStyle w:val="95"/>
              <w:spacing w:before="17" w:line="275" w:lineRule="exact"/>
              <w:ind w:left="47" w:right="38"/>
            </w:pPr>
            <w:r>
              <w:t>3.5、吸气压力（IPAP）：4-50cmH2O</w:t>
            </w:r>
          </w:p>
          <w:p>
            <w:pPr>
              <w:pStyle w:val="95"/>
              <w:spacing w:before="17" w:line="275" w:lineRule="exact"/>
              <w:ind w:left="47" w:right="38"/>
            </w:pPr>
            <w:r>
              <w:t>3.6、呼气末正压(EPAP)： 4-30cmH2O</w:t>
            </w:r>
          </w:p>
          <w:p>
            <w:pPr>
              <w:pStyle w:val="95"/>
              <w:spacing w:before="17" w:line="275" w:lineRule="exact"/>
              <w:ind w:left="47" w:right="38"/>
            </w:pPr>
            <w:r>
              <w:t>3.7、吸入氧浓度： 21%~100%</w:t>
            </w:r>
          </w:p>
          <w:p>
            <w:pPr>
              <w:pStyle w:val="95"/>
              <w:spacing w:before="17" w:line="275" w:lineRule="exact"/>
              <w:ind w:left="47" w:right="38"/>
            </w:pPr>
            <w:r>
              <w:t>3.8、持续气道正压（无创呼吸）： 4-25cmH2O</w:t>
            </w:r>
          </w:p>
          <w:p>
            <w:pPr>
              <w:pStyle w:val="95"/>
              <w:spacing w:before="17" w:line="275" w:lineRule="exact"/>
              <w:ind w:left="47" w:right="38"/>
            </w:pPr>
            <w:r>
              <w:t>3.9、压力释放量（Crelief）：多档位可调节。</w:t>
            </w:r>
          </w:p>
          <w:p>
            <w:pPr>
              <w:pStyle w:val="95"/>
              <w:spacing w:before="17" w:line="275" w:lineRule="exact"/>
              <w:ind w:left="47" w:right="38"/>
            </w:pPr>
            <w:r>
              <w:t xml:space="preserve">3.10、吸气压力最大值（Pmax）： 6-50cmH2O </w:t>
            </w:r>
          </w:p>
          <w:p>
            <w:pPr>
              <w:pStyle w:val="95"/>
              <w:spacing w:before="17" w:line="275" w:lineRule="exact"/>
              <w:ind w:left="47" w:right="38"/>
            </w:pPr>
            <w:r>
              <w:t>3.11、吸气压力最小值（Pmin）： 5-30cmH2O</w:t>
            </w:r>
          </w:p>
          <w:p>
            <w:pPr>
              <w:pStyle w:val="95"/>
              <w:spacing w:before="17" w:line="275" w:lineRule="exact"/>
              <w:ind w:left="47" w:right="38"/>
            </w:pPr>
            <w:r>
              <w:t>3.12、吸气触发灵敏度（Trigger）：多挡可调节</w:t>
            </w:r>
          </w:p>
          <w:p>
            <w:pPr>
              <w:pStyle w:val="95"/>
              <w:spacing w:before="17" w:line="275" w:lineRule="exact"/>
              <w:ind w:left="47" w:right="38"/>
            </w:pPr>
            <w:r>
              <w:t>3.13、高流量氧疗流量调节范围：2-60L/min</w:t>
            </w:r>
          </w:p>
          <w:p>
            <w:pPr>
              <w:pStyle w:val="95"/>
              <w:spacing w:before="17" w:line="275" w:lineRule="exact"/>
              <w:ind w:right="38"/>
            </w:pPr>
            <w:r>
              <w:t xml:space="preserve">4、监测参数 </w:t>
            </w:r>
          </w:p>
          <w:p>
            <w:pPr>
              <w:pStyle w:val="95"/>
              <w:spacing w:before="17" w:line="275" w:lineRule="exact"/>
              <w:ind w:left="47" w:right="38"/>
            </w:pPr>
            <w:r>
              <w:t>4.1、 压力类： 气道峰压（Ppeak）， EPAP、</w:t>
            </w:r>
          </w:p>
          <w:p>
            <w:pPr>
              <w:pStyle w:val="95"/>
              <w:spacing w:before="17" w:line="275" w:lineRule="exact"/>
              <w:ind w:left="47" w:right="38"/>
            </w:pPr>
            <w:r>
              <w:t>4.2、 容量、流速类：呼吸频率、潮气量、分钟通气量、总漏气量</w:t>
            </w:r>
          </w:p>
          <w:p>
            <w:pPr>
              <w:pStyle w:val="95"/>
              <w:spacing w:before="17" w:line="275" w:lineRule="exact"/>
              <w:ind w:left="47" w:right="38"/>
            </w:pPr>
            <w:r>
              <w:t>4.3、 波形： 压力-时间 容量-时间、流速-时间</w:t>
            </w:r>
          </w:p>
          <w:p>
            <w:pPr>
              <w:pStyle w:val="95"/>
              <w:spacing w:before="17" w:line="275" w:lineRule="exact"/>
              <w:ind w:left="47" w:right="38"/>
            </w:pPr>
            <w:r>
              <w:t>4.4、</w:t>
            </w:r>
            <w:r>
              <w:rPr>
                <w:rFonts w:hint="eastAsia"/>
              </w:rPr>
              <w:t xml:space="preserve"> </w:t>
            </w:r>
            <w:r>
              <w:t>吸入氧浓度、血氧饱和度、脉率</w:t>
            </w:r>
          </w:p>
          <w:p>
            <w:pPr>
              <w:pStyle w:val="95"/>
              <w:spacing w:before="17" w:line="275" w:lineRule="exact"/>
              <w:ind w:left="47" w:right="38"/>
            </w:pPr>
            <w:r>
              <w:t>5、报警参数</w:t>
            </w:r>
          </w:p>
          <w:p>
            <w:pPr>
              <w:pStyle w:val="95"/>
              <w:spacing w:before="17" w:line="275" w:lineRule="exact"/>
              <w:ind w:left="47" w:right="38"/>
            </w:pPr>
            <w:r>
              <w:t>5.1 、气道高压报警、气道低压报警、呼气末压力高低报警、总计呼吸频率高低报警、氧浓度高低报警、分钟通气量高低报警、脉率高低报警、SPO2低报警。</w:t>
            </w:r>
          </w:p>
          <w:p>
            <w:pPr>
              <w:pStyle w:val="95"/>
              <w:spacing w:before="17" w:line="275" w:lineRule="exact"/>
              <w:ind w:left="47" w:right="38"/>
              <w:rPr>
                <w:lang w:val="en-US"/>
              </w:rPr>
            </w:pPr>
            <w:r>
              <w:rPr>
                <w:rFonts w:hint="eastAsia"/>
                <w:lang w:val="en-US"/>
              </w:rPr>
              <w:t>6、配备3个湿化器、自带医用空压机、配备5个氧气面罩。</w:t>
            </w:r>
          </w:p>
          <w:p>
            <w:pPr>
              <w:pStyle w:val="95"/>
              <w:spacing w:before="17" w:line="275" w:lineRule="exact"/>
              <w:ind w:left="47" w:right="38"/>
            </w:pPr>
            <w:r>
              <w:rPr>
                <w:rFonts w:hint="eastAsia"/>
                <w:lang w:val="en-US"/>
              </w:rPr>
              <w:t>7、</w:t>
            </w:r>
            <w:r>
              <w:rPr>
                <w:rFonts w:hint="eastAsia"/>
              </w:rPr>
              <w:t>▲具有针对该项目的厂家出具的授权质保原件加盖公章。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jc w:val="center"/>
              <w:rPr>
                <w:highlight w:val="yellow"/>
              </w:rPr>
            </w:pPr>
            <w:r>
              <w:t>B 超机</w:t>
            </w:r>
          </w:p>
        </w:tc>
        <w:tc>
          <w:tcPr>
            <w:tcW w:w="7648" w:type="dxa"/>
          </w:tcPr>
          <w:p>
            <w:r>
              <w:t>1、主机系统性能</w:t>
            </w:r>
          </w:p>
          <w:p>
            <w:r>
              <w:t>1.1、≥15英寸超薄宽屏高分辨率逐行扫描彩色液晶显示器</w:t>
            </w:r>
          </w:p>
          <w:p>
            <w:r>
              <w:t>1.2、数字波束形成器</w:t>
            </w:r>
          </w:p>
          <w:p>
            <w:r>
              <w:t>1.3、数字化可变孔径及动态变迹技术，A/D≥14 bit</w:t>
            </w:r>
          </w:p>
          <w:p>
            <w:r>
              <w:t>1.4、二维灰阶成像单元</w:t>
            </w:r>
          </w:p>
          <w:p>
            <w:r>
              <w:t>1.5、脉冲反相谐波成像技术</w:t>
            </w:r>
          </w:p>
          <w:p>
            <w:r>
              <w:t>1.6、空间复合成像技术</w:t>
            </w:r>
          </w:p>
          <w:p>
            <w:r>
              <w:t>1.7、彩色多普勒成像单元</w:t>
            </w:r>
          </w:p>
          <w:p>
            <w:r>
              <w:t>1.8、频谱多普勒成像单元</w:t>
            </w:r>
          </w:p>
          <w:p>
            <w:r>
              <w:t>1.9、M型成像单元</w:t>
            </w:r>
          </w:p>
          <w:p>
            <w:r>
              <w:t>1.10、解剖M型成像</w:t>
            </w:r>
          </w:p>
          <w:p>
            <w:r>
              <w:t>1.11、组织多普勒成像</w:t>
            </w:r>
          </w:p>
          <w:p>
            <w:r>
              <w:t>1.12、定向声速匹配技术，可选择相应的速度条件</w:t>
            </w:r>
          </w:p>
          <w:p>
            <w:r>
              <w:t>1.13、</w:t>
            </w:r>
            <w:r>
              <w:rPr>
                <w:rFonts w:hint="eastAsia"/>
              </w:rPr>
              <w:t>▲</w:t>
            </w:r>
            <w:r>
              <w:t>斑点噪声抑制，≥13级可调（提供后三级设备生产商盖章证明图片）</w:t>
            </w:r>
          </w:p>
          <w:p>
            <w:r>
              <w:t>1.14、线阵梯形成像</w:t>
            </w:r>
          </w:p>
          <w:p>
            <w:r>
              <w:t>1.15、一键优化</w:t>
            </w:r>
          </w:p>
          <w:p>
            <w:r>
              <w:t>1.16、放大功能</w:t>
            </w:r>
          </w:p>
          <w:p>
            <w:r>
              <w:t>1.17、</w:t>
            </w:r>
            <w:r>
              <w:rPr>
                <w:rFonts w:hint="eastAsia"/>
              </w:rPr>
              <w:t>▲</w:t>
            </w:r>
            <w:r>
              <w:t>具备穿刺引导功能，引导线具备深度提示，并且探头具备中线位置进针标识，以便徒手快速穿刺定位（提供探头中线进针标识证明图片）</w:t>
            </w:r>
          </w:p>
          <w:p>
            <w:r>
              <w:t>2、探头规格</w:t>
            </w:r>
          </w:p>
          <w:p>
            <w:r>
              <w:t>2.1、</w:t>
            </w:r>
            <w:r>
              <w:rPr>
                <w:rFonts w:hint="eastAsia"/>
              </w:rPr>
              <w:t>▲</w:t>
            </w:r>
            <w:r>
              <w:t>标配探头扩展器（无须外接电源驱动），扩展后接口≥3个，全激活</w:t>
            </w:r>
          </w:p>
          <w:p>
            <w:r>
              <w:t>2.2、宽频变频探头范围1.0-13.0MHz，可视可调</w:t>
            </w:r>
          </w:p>
          <w:p>
            <w:r>
              <w:t>2.3、探头配置：凸阵、线阵</w:t>
            </w:r>
          </w:p>
          <w:p>
            <w:r>
              <w:t>3、二维灰阶参数</w:t>
            </w:r>
          </w:p>
          <w:p>
            <w:r>
              <w:t>3.1、最高扫描线密度≥512超声线</w:t>
            </w:r>
          </w:p>
          <w:p>
            <w:r>
              <w:t>3.2、二维增益，可视可调</w:t>
            </w:r>
          </w:p>
          <w:p>
            <w:r>
              <w:t>3.3、最大显示深度≥40cm（提供证明图片）</w:t>
            </w:r>
          </w:p>
          <w:p>
            <w:r>
              <w:t>3.4、动态范围，可视可调</w:t>
            </w:r>
          </w:p>
          <w:p>
            <w:r>
              <w:t>3.5、具有物理实体滑动TGC方便操作，分段调节≥8段</w:t>
            </w:r>
          </w:p>
          <w:p>
            <w:r>
              <w:t>3.6、伪彩功能</w:t>
            </w:r>
          </w:p>
          <w:p>
            <w:r>
              <w:t>4、彩色多普勒参数</w:t>
            </w:r>
          </w:p>
          <w:p>
            <w:r>
              <w:t>4.1、多普勒增益，连续可调</w:t>
            </w:r>
          </w:p>
          <w:p>
            <w:r>
              <w:t>4.2、彩色增强功能：彩色多普勒能量图及方向性能量图</w:t>
            </w:r>
          </w:p>
          <w:p>
            <w:r>
              <w:t>4.3、血流峰值捕捉技术</w:t>
            </w:r>
          </w:p>
          <w:p>
            <w:r>
              <w:t>4.4、支持B/C 同宽</w:t>
            </w:r>
          </w:p>
          <w:p>
            <w:r>
              <w:t>5、频谱多普勒参数</w:t>
            </w:r>
          </w:p>
          <w:p>
            <w:r>
              <w:t>5.1、方式：脉冲波多普勒（PW）、连续波多普勒（CW）</w:t>
            </w:r>
          </w:p>
          <w:p>
            <w:r>
              <w:t>5.2、B/D兼用：线阵：B/PW，凸阵：B/PW，扇扫：B/PW</w:t>
            </w:r>
          </w:p>
          <w:p>
            <w:r>
              <w:t>5.3、取样宽度及位置范围：宽度 0.5–30mm</w:t>
            </w:r>
          </w:p>
          <w:p>
            <w:r>
              <w:t>5.4、显示控制：反转显示（左/右；上/下）</w:t>
            </w:r>
          </w:p>
          <w:p>
            <w:r>
              <w:t>5.5、PW实时包络功能，在实时诊断下，频谱实时包络并显示血流参数</w:t>
            </w:r>
          </w:p>
          <w:p>
            <w:r>
              <w:t>6、测量和分析</w:t>
            </w:r>
          </w:p>
          <w:p>
            <w:r>
              <w:t>6.1、常规测量软件包：距离、面积、容积、角度、时间、斜率、心率、速度、流量、狭</w:t>
            </w:r>
            <w:r>
              <w:rPr>
                <w:rFonts w:hint="eastAsia"/>
              </w:rPr>
              <w:t>窄率、阻力指数</w:t>
            </w:r>
          </w:p>
          <w:p>
            <w:r>
              <w:t>6.2、产科测量和分析：羊水指数、胎重及胎龄的估算等；具有多胞胎测量分析</w:t>
            </w:r>
          </w:p>
          <w:p>
            <w:r>
              <w:t>6.3、腹部、妇科、血管、肌骨、矫形外科、心脏测量等专科分析软件包</w:t>
            </w:r>
          </w:p>
          <w:p>
            <w:r>
              <w:t>6.4、测量游标初始状态、移动状态、测量结果可分别设置大小、颜色</w:t>
            </w:r>
          </w:p>
          <w:p>
            <w:r>
              <w:t xml:space="preserve">6.5 </w:t>
            </w:r>
            <w:r>
              <w:rPr>
                <w:rFonts w:hint="eastAsia"/>
              </w:rPr>
              <w:t>▲</w:t>
            </w:r>
            <w:r>
              <w:t>血流量分析测量：二维模式下血流量分析测量包，具备单平面和双平面血管直径和面积测量，以便提高血流量精准性；PW频谱取样分析后，即可得出血流量（提供二维模式下血流量测量分析证明图片）</w:t>
            </w:r>
          </w:p>
          <w:p>
            <w:r>
              <w:t>7、图像存储及报告系统</w:t>
            </w:r>
          </w:p>
          <w:p>
            <w:r>
              <w:t>7.1、同屏一体化智能剪切板</w:t>
            </w:r>
          </w:p>
          <w:p>
            <w:r>
              <w:t>7.2、保存的病例图像信息可上传到云端共享并生成二维码，医生均可通过扫描二维码查看图像并进行分享（提供证明图片）</w:t>
            </w:r>
          </w:p>
          <w:p>
            <w:r>
              <w:t xml:space="preserve">7.3、图像存储格式包含bmp、avi、dcm </w:t>
            </w:r>
          </w:p>
          <w:p>
            <w:r>
              <w:t>7.4、系统可存储病人信息，可查询、检索、调阅历史信息</w:t>
            </w:r>
          </w:p>
          <w:p>
            <w:r>
              <w:t>7.5、无线投屏技术，将机器图像直接实时投身到电视等大屏幕，进行会诊或即时教学（提供证明图片）</w:t>
            </w:r>
          </w:p>
          <w:p>
            <w:r>
              <w:t>8、系统通用技术规格及外部接口</w:t>
            </w:r>
          </w:p>
          <w:p>
            <w:r>
              <w:t>8.1、≥256G固态硬盘</w:t>
            </w:r>
          </w:p>
          <w:p>
            <w:r>
              <w:t>8.2、USB移动存储设备，USB接口≥3个</w:t>
            </w:r>
          </w:p>
          <w:p>
            <w:r>
              <w:t>8.3、内置锂电池可独立供电，电池容量≥10000mAh</w:t>
            </w:r>
          </w:p>
          <w:p>
            <w:r>
              <w:t>8.4、DICOM3.0接口、HDMI等接口</w:t>
            </w:r>
          </w:p>
          <w:p>
            <w:r>
              <w:rPr>
                <w:rFonts w:hint="eastAsia"/>
              </w:rPr>
              <w:t>8.5、▲具有针对该项目的厂家出具的授权质保原件加盖公章。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tcPr>
          <w:p>
            <w:pPr>
              <w:pStyle w:val="95"/>
              <w:spacing w:before="17" w:line="275" w:lineRule="exact"/>
              <w:ind w:left="289"/>
              <w:jc w:val="center"/>
              <w:rPr>
                <w:lang w:val="en-US"/>
              </w:rPr>
            </w:pPr>
            <w:r>
              <w:t>血细胞分析仪</w:t>
            </w:r>
            <w:r>
              <w:rPr>
                <w:rFonts w:hint="eastAsia"/>
                <w:lang w:val="en-US"/>
              </w:rPr>
              <w:t>+CRP一体机</w:t>
            </w:r>
          </w:p>
        </w:tc>
        <w:tc>
          <w:tcPr>
            <w:tcW w:w="7648" w:type="dxa"/>
          </w:tcPr>
          <w:p>
            <w:pPr>
              <w:pStyle w:val="95"/>
              <w:spacing w:before="17" w:line="275" w:lineRule="exact"/>
            </w:pPr>
            <w:r>
              <w:t>1、</w:t>
            </w:r>
            <w:r>
              <w:rPr>
                <w:rFonts w:hint="eastAsia"/>
              </w:rPr>
              <w:t>▲</w:t>
            </w:r>
            <w:r>
              <w:t>仪器功能:一次进样可实现血细胞五分类和C-反应蛋白同时检测。</w:t>
            </w:r>
          </w:p>
          <w:p>
            <w:pPr>
              <w:pStyle w:val="95"/>
              <w:spacing w:before="17" w:line="275" w:lineRule="exact"/>
            </w:pPr>
            <w:r>
              <w:t>2、检测原理：五分类采用半导体激光散射结合特异性细胞染色和流式细胞术原理，CRP采用乳胶免疫散射比浊检测技术。</w:t>
            </w:r>
          </w:p>
          <w:p>
            <w:pPr>
              <w:pStyle w:val="95"/>
              <w:spacing w:before="17" w:line="275" w:lineRule="exact"/>
            </w:pPr>
            <w:r>
              <w:t>3、检测参数：报告参数≥26项（不含散点图、直方图），研究参数≥6项（含有核红细胞和幼稚粒细胞参数信息）。</w:t>
            </w:r>
          </w:p>
          <w:p>
            <w:pPr>
              <w:pStyle w:val="95"/>
              <w:spacing w:before="17" w:line="275" w:lineRule="exact"/>
            </w:pPr>
            <w:r>
              <w:t>4、图形参数：三维格式的散点图≥1个，直方图≥3个。</w:t>
            </w:r>
          </w:p>
          <w:p>
            <w:pPr>
              <w:pStyle w:val="95"/>
              <w:spacing w:before="17" w:line="275" w:lineRule="exact"/>
            </w:pPr>
            <w:r>
              <w:t>5、检测速度：血常规≥80样本/小时。</w:t>
            </w:r>
          </w:p>
          <w:p>
            <w:pPr>
              <w:pStyle w:val="95"/>
              <w:spacing w:before="17" w:line="275" w:lineRule="exact"/>
            </w:pPr>
            <w:r>
              <w:t>6、</w:t>
            </w:r>
            <w:r>
              <w:rPr>
                <w:rFonts w:hint="eastAsia"/>
              </w:rPr>
              <w:t>▲</w:t>
            </w:r>
            <w:r>
              <w:t>生物安全性：采用全自动封闭进样和手动单管封闭穿刺进样，样本全程不开盖检测。</w:t>
            </w:r>
          </w:p>
          <w:p>
            <w:pPr>
              <w:pStyle w:val="95"/>
              <w:spacing w:before="17" w:line="275" w:lineRule="exact"/>
            </w:pPr>
            <w:r>
              <w:t>7、自动进样器装载量：≥50个，可循环不间断添加。</w:t>
            </w:r>
          </w:p>
          <w:p>
            <w:pPr>
              <w:pStyle w:val="95"/>
              <w:spacing w:before="17" w:line="275" w:lineRule="exact"/>
            </w:pPr>
            <w:r>
              <w:t>8、分析模式：具有独立CRP、五分类、五分类+CRP等3种以上全血检测模式。</w:t>
            </w:r>
          </w:p>
          <w:p>
            <w:pPr>
              <w:pStyle w:val="95"/>
              <w:spacing w:before="17" w:line="275" w:lineRule="exact"/>
            </w:pPr>
            <w:r>
              <w:t>9、血样模式：具有全血模式、预稀释模式。</w:t>
            </w:r>
          </w:p>
          <w:p>
            <w:pPr>
              <w:pStyle w:val="95"/>
              <w:spacing w:before="17" w:line="275" w:lineRule="exact"/>
            </w:pPr>
            <w:r>
              <w:t>10、用血量:五分类+CRP模式≤25μL。</w:t>
            </w:r>
          </w:p>
          <w:p>
            <w:pPr>
              <w:pStyle w:val="95"/>
              <w:spacing w:before="17" w:line="275" w:lineRule="exact"/>
            </w:pPr>
            <w:r>
              <w:rPr>
                <w:rFonts w:hint="eastAsia"/>
                <w:lang w:val="en-US"/>
              </w:rPr>
              <w:t>11</w:t>
            </w:r>
            <w:r>
              <w:t>、线性范围：WBC：0.0–400×10^9/L，RBC：0-9.0×10^12/L ，HGB：0-250 g/L，CRP：0.2-</w:t>
            </w:r>
            <w:r>
              <w:rPr>
                <w:rFonts w:hint="eastAsia"/>
                <w:lang w:val="en-US"/>
              </w:rPr>
              <w:t>360</w:t>
            </w:r>
            <w:r>
              <w:t>mg/L。</w:t>
            </w:r>
          </w:p>
          <w:p>
            <w:pPr>
              <w:pStyle w:val="95"/>
              <w:spacing w:before="17" w:line="275" w:lineRule="exact"/>
            </w:pPr>
            <w:r>
              <w:t>1</w:t>
            </w:r>
            <w:r>
              <w:rPr>
                <w:rFonts w:hint="eastAsia"/>
                <w:lang w:val="en-US"/>
              </w:rPr>
              <w:t>2</w:t>
            </w:r>
            <w:r>
              <w:t>、</w:t>
            </w:r>
            <w:r>
              <w:rPr>
                <w:rFonts w:hint="eastAsia"/>
              </w:rPr>
              <w:t>▲</w:t>
            </w:r>
            <w:r>
              <w:t>操作方便性：仪器主机自带≥10寸高清彩色液晶触摸显示屏，直接外接打印机快速打印检测结果报告。</w:t>
            </w:r>
          </w:p>
          <w:p>
            <w:pPr>
              <w:pStyle w:val="95"/>
              <w:spacing w:before="17" w:line="275" w:lineRule="exact"/>
            </w:pPr>
            <w:r>
              <w:t>1</w:t>
            </w:r>
            <w:r>
              <w:rPr>
                <w:rFonts w:hint="eastAsia"/>
                <w:lang w:val="en-US"/>
              </w:rPr>
              <w:t>3</w:t>
            </w:r>
            <w:r>
              <w:t>、试剂温控系统：具备加热和制冷双温控技术，避免环境温度对检测结果的影响。</w:t>
            </w:r>
          </w:p>
          <w:p>
            <w:pPr>
              <w:pStyle w:val="95"/>
              <w:spacing w:before="17" w:line="275" w:lineRule="exact"/>
            </w:pPr>
            <w:r>
              <w:t>1</w:t>
            </w:r>
            <w:r>
              <w:rPr>
                <w:rFonts w:hint="eastAsia"/>
                <w:lang w:val="en-US"/>
              </w:rPr>
              <w:t>4</w:t>
            </w:r>
            <w:r>
              <w:t>、数据存储：全中文操作分析报告软件，仪器主机可储存≥20万份样本完整结果，包括散点图、直方图及患者信息。</w:t>
            </w:r>
          </w:p>
          <w:p>
            <w:pPr>
              <w:pStyle w:val="95"/>
              <w:spacing w:before="17" w:line="275" w:lineRule="exact"/>
            </w:pPr>
            <w:r>
              <w:t>1</w:t>
            </w:r>
            <w:r>
              <w:rPr>
                <w:rFonts w:hint="eastAsia"/>
                <w:lang w:val="en-US"/>
              </w:rPr>
              <w:t>5</w:t>
            </w:r>
            <w:r>
              <w:t>、条码扫描功能：主机具备360º全景自动旋转样本条码扫描功能。</w:t>
            </w:r>
          </w:p>
          <w:p>
            <w:pPr>
              <w:pStyle w:val="95"/>
              <w:spacing w:before="17" w:line="275" w:lineRule="exact"/>
            </w:pPr>
            <w:r>
              <w:t>1</w:t>
            </w:r>
            <w:r>
              <w:rPr>
                <w:rFonts w:hint="eastAsia"/>
                <w:lang w:val="en-US"/>
              </w:rPr>
              <w:t>6</w:t>
            </w:r>
            <w:r>
              <w:t>、复检提示功能：具有内置复检规则，可自由设定，自动提示异常样本。</w:t>
            </w:r>
          </w:p>
          <w:p>
            <w:pPr>
              <w:pStyle w:val="95"/>
              <w:spacing w:before="17" w:line="275" w:lineRule="exact"/>
            </w:pPr>
            <w:r>
              <w:t>1</w:t>
            </w:r>
            <w:r>
              <w:rPr>
                <w:rFonts w:hint="eastAsia"/>
                <w:lang w:val="en-US"/>
              </w:rPr>
              <w:t>7</w:t>
            </w:r>
            <w:r>
              <w:t>、质控方式：至少具有L-J、X-M、X-R和X-B质控等4种质控方式。</w:t>
            </w:r>
          </w:p>
          <w:p>
            <w:pPr>
              <w:pStyle w:val="95"/>
              <w:spacing w:before="17" w:line="275" w:lineRule="exact"/>
            </w:pPr>
            <w:r>
              <w:t>1</w:t>
            </w:r>
            <w:r>
              <w:rPr>
                <w:rFonts w:hint="eastAsia"/>
                <w:lang w:val="en-US"/>
              </w:rPr>
              <w:t>8</w:t>
            </w:r>
            <w:r>
              <w:t>、原厂配套耗材：具有适用于投标仪器的原厂注册生产的配套血常规及CRP质控品。</w:t>
            </w:r>
          </w:p>
          <w:p>
            <w:pPr>
              <w:pStyle w:val="95"/>
              <w:spacing w:before="17" w:line="275" w:lineRule="exact"/>
              <w:rPr>
                <w:lang w:val="en-US"/>
              </w:rPr>
            </w:pPr>
            <w:r>
              <w:rPr>
                <w:rFonts w:hint="eastAsia"/>
                <w:lang w:val="en-US"/>
              </w:rPr>
              <w:t>19、</w:t>
            </w:r>
            <w:r>
              <w:rPr>
                <w:rFonts w:hint="eastAsia"/>
              </w:rPr>
              <w:t>▲具有针对该项目的厂家出具的授权质保原件加盖公章。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trPr>
        <w:tc>
          <w:tcPr>
            <w:tcW w:w="2263" w:type="dxa"/>
          </w:tcPr>
          <w:p>
            <w:pPr>
              <w:pStyle w:val="95"/>
              <w:spacing w:before="17" w:line="275" w:lineRule="exact"/>
              <w:ind w:left="397"/>
              <w:jc w:val="center"/>
            </w:pPr>
            <w:r>
              <w:t>免疫分析仪</w:t>
            </w:r>
          </w:p>
        </w:tc>
        <w:tc>
          <w:tcPr>
            <w:tcW w:w="7648" w:type="dxa"/>
          </w:tcPr>
          <w:p>
            <w:pPr>
              <w:pStyle w:val="95"/>
              <w:spacing w:before="17" w:line="275" w:lineRule="exact"/>
            </w:pPr>
            <w:r>
              <w:rPr>
                <w:rFonts w:hint="eastAsia"/>
              </w:rPr>
              <w:t>1、基本功能：</w:t>
            </w:r>
            <w:r>
              <w:t>全自动完成免疫实验，包括加样、稀释、振荡、孵育、清洗、读数及结果判断全过程实验</w:t>
            </w:r>
          </w:p>
          <w:p>
            <w:pPr>
              <w:pStyle w:val="95"/>
              <w:spacing w:before="17" w:line="275" w:lineRule="exact"/>
            </w:pPr>
            <w:r>
              <w:rPr>
                <w:rFonts w:hint="eastAsia"/>
              </w:rPr>
              <w:t>2、测定方法：</w:t>
            </w:r>
            <w:r>
              <w:t>磁微粒化学发光免疫测定（CLIA）</w:t>
            </w:r>
          </w:p>
          <w:p>
            <w:pPr>
              <w:pStyle w:val="95"/>
              <w:spacing w:before="17" w:line="275" w:lineRule="exact"/>
            </w:pPr>
            <w:r>
              <w:rPr>
                <w:rFonts w:hint="eastAsia"/>
              </w:rPr>
              <w:t>3、分析方式</w:t>
            </w:r>
            <w:r>
              <w:tab/>
            </w:r>
            <w:r>
              <w:t>：支持随机分析</w:t>
            </w:r>
          </w:p>
          <w:p>
            <w:pPr>
              <w:pStyle w:val="95"/>
              <w:spacing w:before="17" w:line="275" w:lineRule="exact"/>
            </w:pPr>
            <w:r>
              <w:rPr>
                <w:rFonts w:hint="eastAsia"/>
              </w:rPr>
              <w:t>4、检测速度：</w:t>
            </w:r>
            <w:r>
              <w:t>200测试/小时</w:t>
            </w:r>
          </w:p>
          <w:p>
            <w:pPr>
              <w:pStyle w:val="95"/>
              <w:spacing w:before="17" w:line="275" w:lineRule="exact"/>
            </w:pPr>
            <w:r>
              <w:rPr>
                <w:rFonts w:hint="eastAsia"/>
              </w:rPr>
              <w:t>5、仪器吸取样本后最快出结果时间：</w:t>
            </w:r>
            <w:r>
              <w:t>21分钟</w:t>
            </w:r>
          </w:p>
          <w:p>
            <w:pPr>
              <w:pStyle w:val="95"/>
              <w:spacing w:before="17" w:line="275" w:lineRule="exact"/>
            </w:pPr>
            <w:r>
              <w:rPr>
                <w:rFonts w:hint="eastAsia"/>
              </w:rPr>
              <w:t>6、仪器吸取样本后最慢出结果时间：</w:t>
            </w:r>
            <w:r>
              <w:t>40分钟</w:t>
            </w:r>
          </w:p>
          <w:p>
            <w:pPr>
              <w:pStyle w:val="95"/>
              <w:spacing w:before="17" w:line="275" w:lineRule="exact"/>
            </w:pPr>
            <w:r>
              <w:rPr>
                <w:rFonts w:hint="eastAsia"/>
              </w:rPr>
              <w:t>7、定标曲线稳定时间</w:t>
            </w:r>
            <w:r>
              <w:tab/>
            </w:r>
            <w:r>
              <w:t>：28天</w:t>
            </w:r>
          </w:p>
          <w:p>
            <w:pPr>
              <w:pStyle w:val="95"/>
              <w:spacing w:before="17" w:line="275" w:lineRule="exact"/>
            </w:pPr>
            <w:r>
              <w:rPr>
                <w:rFonts w:hint="eastAsia"/>
              </w:rPr>
              <w:t>8、进样模式</w:t>
            </w:r>
            <w:r>
              <w:tab/>
            </w:r>
            <w:r>
              <w:t>：原试管装载，多种预稀释比例选择，急诊优先。</w:t>
            </w:r>
          </w:p>
          <w:p>
            <w:pPr>
              <w:pStyle w:val="95"/>
              <w:spacing w:before="17" w:line="275" w:lineRule="exact"/>
            </w:pPr>
            <w:r>
              <w:rPr>
                <w:rFonts w:hint="eastAsia"/>
              </w:rPr>
              <w:t>9、样品位：</w:t>
            </w:r>
            <w:r>
              <w:tab/>
            </w:r>
            <w:r>
              <w:t>一批次100个样本（可循环追加、连续加载），设有急诊样本优先通道</w:t>
            </w:r>
          </w:p>
          <w:p>
            <w:pPr>
              <w:pStyle w:val="95"/>
              <w:spacing w:before="17" w:line="275" w:lineRule="exact"/>
            </w:pPr>
            <w:r>
              <w:rPr>
                <w:rFonts w:hint="eastAsia"/>
              </w:rPr>
              <w:t>1</w:t>
            </w:r>
            <w:r>
              <w:t>0、</w:t>
            </w:r>
            <w:r>
              <w:rPr>
                <w:rFonts w:hint="eastAsia"/>
              </w:rPr>
              <w:t>样本容器：</w:t>
            </w:r>
            <w:r>
              <w:tab/>
            </w:r>
            <w:r>
              <w:t>血液采集管、样本杯</w:t>
            </w:r>
          </w:p>
          <w:p>
            <w:pPr>
              <w:pStyle w:val="95"/>
              <w:spacing w:before="17" w:line="275" w:lineRule="exact"/>
            </w:pPr>
            <w:r>
              <w:rPr>
                <w:rFonts w:hint="eastAsia"/>
              </w:rPr>
              <w:t>1</w:t>
            </w:r>
            <w:r>
              <w:t>1、</w:t>
            </w:r>
            <w:r>
              <w:rPr>
                <w:rFonts w:hint="eastAsia"/>
              </w:rPr>
              <w:t>样本载体：</w:t>
            </w:r>
            <w:r>
              <w:tab/>
            </w:r>
            <w:r>
              <w:t>样本架（5个样本位/架）</w:t>
            </w:r>
          </w:p>
          <w:p>
            <w:pPr>
              <w:pStyle w:val="95"/>
              <w:spacing w:before="17" w:line="275" w:lineRule="exact"/>
            </w:pPr>
            <w:r>
              <w:rPr>
                <w:rFonts w:hint="eastAsia"/>
              </w:rPr>
              <w:t>1</w:t>
            </w:r>
            <w:r>
              <w:t>2、</w:t>
            </w:r>
            <w:r>
              <w:rPr>
                <w:rFonts w:hint="eastAsia"/>
              </w:rPr>
              <w:t>样本针：</w:t>
            </w:r>
            <w:r>
              <w:tab/>
            </w:r>
            <w:r>
              <w:t>永久性加样针</w:t>
            </w:r>
          </w:p>
          <w:p>
            <w:pPr>
              <w:pStyle w:val="95"/>
              <w:spacing w:before="17" w:line="275" w:lineRule="exact"/>
            </w:pPr>
            <w:r>
              <w:rPr>
                <w:rFonts w:hint="eastAsia"/>
              </w:rPr>
              <w:t>1</w:t>
            </w:r>
            <w:r>
              <w:t>3、</w:t>
            </w:r>
            <w:r>
              <w:rPr>
                <w:rFonts w:hint="eastAsia"/>
              </w:rPr>
              <w:t>样本针清洗：</w:t>
            </w:r>
            <w:r>
              <w:tab/>
            </w:r>
            <w:r>
              <w:t>内外全冲式高速清洗站</w:t>
            </w:r>
          </w:p>
          <w:p>
            <w:pPr>
              <w:pStyle w:val="95"/>
              <w:spacing w:before="17" w:line="275" w:lineRule="exact"/>
            </w:pPr>
            <w:r>
              <w:rPr>
                <w:rFonts w:hint="eastAsia"/>
              </w:rPr>
              <w:t>1</w:t>
            </w:r>
            <w:r>
              <w:t>4、</w:t>
            </w:r>
            <w:r>
              <w:rPr>
                <w:rFonts w:hint="eastAsia"/>
              </w:rPr>
              <w:t>样本针加样精密度：</w:t>
            </w:r>
            <w:r>
              <w:tab/>
            </w:r>
            <w:r>
              <w:t>≤2%（50ul）</w:t>
            </w:r>
          </w:p>
          <w:p>
            <w:pPr>
              <w:pStyle w:val="95"/>
              <w:spacing w:before="17" w:line="275" w:lineRule="exact"/>
            </w:pPr>
            <w:r>
              <w:rPr>
                <w:rFonts w:hint="eastAsia"/>
              </w:rPr>
              <w:t>1</w:t>
            </w:r>
            <w:r>
              <w:t>5、</w:t>
            </w:r>
            <w:r>
              <w:rPr>
                <w:rFonts w:hint="eastAsia"/>
              </w:rPr>
              <w:t>样品针加样量范围：</w:t>
            </w:r>
            <w:r>
              <w:tab/>
            </w:r>
            <w:r>
              <w:t>5ul-150ul</w:t>
            </w:r>
          </w:p>
          <w:p>
            <w:pPr>
              <w:pStyle w:val="95"/>
              <w:spacing w:before="17" w:line="275" w:lineRule="exact"/>
            </w:pPr>
            <w:r>
              <w:rPr>
                <w:rFonts w:hint="eastAsia"/>
              </w:rPr>
              <w:t>1</w:t>
            </w:r>
            <w:r>
              <w:t>6、</w:t>
            </w:r>
            <w:r>
              <w:rPr>
                <w:rFonts w:hint="eastAsia"/>
              </w:rPr>
              <w:t>样品管死体积：</w:t>
            </w:r>
            <w:r>
              <w:tab/>
            </w:r>
            <w:r>
              <w:t>150ul</w:t>
            </w:r>
          </w:p>
          <w:p>
            <w:pPr>
              <w:pStyle w:val="95"/>
              <w:spacing w:before="17" w:line="275" w:lineRule="exact"/>
            </w:pPr>
            <w:r>
              <w:rPr>
                <w:rFonts w:hint="eastAsia"/>
              </w:rPr>
              <w:t>1</w:t>
            </w:r>
            <w:r>
              <w:t>7、</w:t>
            </w:r>
            <w:r>
              <w:rPr>
                <w:rFonts w:hint="eastAsia"/>
              </w:rPr>
              <w:t>液体水平监测：</w:t>
            </w:r>
            <w:r>
              <w:tab/>
            </w:r>
            <w:r>
              <w:t>具备液面检测功能、凝块检测功能</w:t>
            </w:r>
          </w:p>
          <w:p>
            <w:pPr>
              <w:pStyle w:val="95"/>
              <w:spacing w:before="17" w:line="275" w:lineRule="exact"/>
            </w:pPr>
            <w:r>
              <w:rPr>
                <w:rFonts w:hint="eastAsia"/>
              </w:rPr>
              <w:t>1</w:t>
            </w:r>
            <w:r>
              <w:t>8、</w:t>
            </w:r>
            <w:r>
              <w:rPr>
                <w:rFonts w:hint="eastAsia"/>
              </w:rPr>
              <w:t>样本稀释功能：</w:t>
            </w:r>
            <w:r>
              <w:tab/>
            </w:r>
            <w:r>
              <w:t>支持在机稀释（最大100倍稀释），设有2个专用稀释液位</w:t>
            </w:r>
          </w:p>
          <w:p>
            <w:pPr>
              <w:pStyle w:val="95"/>
              <w:spacing w:before="17" w:line="275" w:lineRule="exact"/>
            </w:pPr>
            <w:r>
              <w:rPr>
                <w:rFonts w:hint="eastAsia"/>
              </w:rPr>
              <w:t>1</w:t>
            </w:r>
            <w:r>
              <w:t>9、</w:t>
            </w:r>
            <w:r>
              <w:rPr>
                <w:rFonts w:hint="eastAsia"/>
              </w:rPr>
              <w:t>携带污染率：</w:t>
            </w:r>
            <w:r>
              <w:tab/>
            </w:r>
            <w:r>
              <w:t>≤1*10-6</w:t>
            </w:r>
          </w:p>
          <w:p>
            <w:pPr>
              <w:pStyle w:val="95"/>
              <w:spacing w:before="17" w:line="275" w:lineRule="exact"/>
            </w:pPr>
            <w:r>
              <w:rPr>
                <w:rFonts w:hint="eastAsia"/>
              </w:rPr>
              <w:t>2</w:t>
            </w:r>
            <w:r>
              <w:t>0、</w:t>
            </w:r>
            <w:r>
              <w:rPr>
                <w:rFonts w:hint="eastAsia"/>
              </w:rPr>
              <w:t>反应杯位：</w:t>
            </w:r>
            <w:r>
              <w:tab/>
            </w:r>
            <w:r>
              <w:t>独立反应杯，可存放2000个，连续供给，随时添加</w:t>
            </w:r>
          </w:p>
          <w:p>
            <w:pPr>
              <w:pStyle w:val="95"/>
              <w:spacing w:before="17" w:line="275" w:lineRule="exact"/>
            </w:pPr>
            <w:r>
              <w:rPr>
                <w:rFonts w:hint="eastAsia"/>
              </w:rPr>
              <w:t>21</w:t>
            </w:r>
            <w:r>
              <w:t>、</w:t>
            </w:r>
            <w:r>
              <w:rPr>
                <w:rFonts w:hint="eastAsia"/>
              </w:rPr>
              <w:t>试剂位：</w:t>
            </w:r>
            <w:r>
              <w:tab/>
            </w:r>
            <w:r>
              <w:t>24个，有在机冷藏功能（4℃-10℃）</w:t>
            </w:r>
          </w:p>
          <w:p>
            <w:pPr>
              <w:pStyle w:val="95"/>
              <w:spacing w:before="17" w:line="275" w:lineRule="exact"/>
            </w:pPr>
            <w:r>
              <w:rPr>
                <w:rFonts w:hint="eastAsia"/>
              </w:rPr>
              <w:t>2</w:t>
            </w:r>
            <w:r>
              <w:t>2、</w:t>
            </w:r>
            <w:r>
              <w:rPr>
                <w:rFonts w:hint="eastAsia"/>
              </w:rPr>
              <w:t>试剂更换：</w:t>
            </w:r>
            <w:r>
              <w:tab/>
            </w:r>
            <w:r>
              <w:t>支持不停机更换试剂，可通过预约功能实现</w:t>
            </w:r>
          </w:p>
          <w:p>
            <w:pPr>
              <w:pStyle w:val="95"/>
              <w:spacing w:before="17" w:line="275" w:lineRule="exact"/>
            </w:pPr>
            <w:r>
              <w:rPr>
                <w:rFonts w:hint="eastAsia"/>
              </w:rPr>
              <w:t>2</w:t>
            </w:r>
            <w:r>
              <w:t>3、</w:t>
            </w:r>
            <w:r>
              <w:rPr>
                <w:rFonts w:hint="eastAsia"/>
              </w:rPr>
              <w:t>底物更换：</w:t>
            </w:r>
            <w:r>
              <w:tab/>
            </w:r>
            <w:r>
              <w:t>支持不停机更换，可放置2套发光底物</w:t>
            </w:r>
          </w:p>
          <w:p>
            <w:pPr>
              <w:pStyle w:val="95"/>
              <w:spacing w:before="17" w:line="275" w:lineRule="exact"/>
            </w:pPr>
            <w:r>
              <w:rPr>
                <w:rFonts w:hint="eastAsia"/>
              </w:rPr>
              <w:t>2</w:t>
            </w:r>
            <w:r>
              <w:t>4、</w:t>
            </w:r>
            <w:r>
              <w:rPr>
                <w:rFonts w:hint="eastAsia"/>
              </w:rPr>
              <w:t>孵育位：</w:t>
            </w:r>
            <w:r>
              <w:tab/>
            </w:r>
            <w:r>
              <w:t>192个</w:t>
            </w:r>
          </w:p>
          <w:p>
            <w:pPr>
              <w:pStyle w:val="95"/>
              <w:spacing w:before="17" w:line="275" w:lineRule="exact"/>
            </w:pPr>
            <w:r>
              <w:rPr>
                <w:rFonts w:hint="eastAsia"/>
              </w:rPr>
              <w:t>2</w:t>
            </w:r>
            <w:r>
              <w:t>5、</w:t>
            </w:r>
            <w:r>
              <w:rPr>
                <w:rFonts w:hint="eastAsia"/>
              </w:rPr>
              <w:t>灵敏度</w:t>
            </w:r>
            <w:r>
              <w:tab/>
            </w:r>
            <w:r>
              <w:t>10孔平行检测0.7PEIU/ml样本，CV≤10%；10孔平行检测5PEIU/ml样本，CV≤20%</w:t>
            </w:r>
          </w:p>
          <w:p>
            <w:pPr>
              <w:pStyle w:val="95"/>
              <w:spacing w:before="17" w:line="275" w:lineRule="exact"/>
            </w:pPr>
            <w:r>
              <w:rPr>
                <w:rFonts w:hint="eastAsia"/>
              </w:rPr>
              <w:t>2</w:t>
            </w:r>
            <w:r>
              <w:rPr>
                <w:rFonts w:hint="eastAsia"/>
                <w:lang w:val="en-US"/>
              </w:rPr>
              <w:t>6</w:t>
            </w:r>
            <w:r>
              <w:t>、</w:t>
            </w:r>
            <w:r>
              <w:rPr>
                <w:rFonts w:hint="eastAsia"/>
              </w:rPr>
              <w:t>清洗方式：</w:t>
            </w:r>
            <w:r>
              <w:tab/>
            </w:r>
            <w:r>
              <w:t>12针独立清洗，6遍磁洗</w:t>
            </w:r>
          </w:p>
          <w:p>
            <w:pPr>
              <w:pStyle w:val="95"/>
              <w:spacing w:before="17" w:line="275" w:lineRule="exact"/>
            </w:pPr>
            <w:r>
              <w:t>2</w:t>
            </w:r>
            <w:r>
              <w:rPr>
                <w:rFonts w:hint="eastAsia"/>
                <w:lang w:val="en-US"/>
              </w:rPr>
              <w:t>7</w:t>
            </w:r>
            <w:r>
              <w:t>、</w:t>
            </w:r>
            <w:r>
              <w:rPr>
                <w:rFonts w:hint="eastAsia"/>
              </w:rPr>
              <w:t>输入设备：</w:t>
            </w:r>
            <w:r>
              <w:tab/>
            </w:r>
            <w:r>
              <w:t>条码读取器、鼠标、键盘</w:t>
            </w:r>
          </w:p>
          <w:p>
            <w:pPr>
              <w:pStyle w:val="95"/>
              <w:spacing w:before="17" w:line="275" w:lineRule="exact"/>
            </w:pPr>
            <w:r>
              <w:rPr>
                <w:rFonts w:hint="eastAsia"/>
              </w:rPr>
              <w:t>2</w:t>
            </w:r>
            <w:r>
              <w:rPr>
                <w:rFonts w:hint="eastAsia"/>
                <w:lang w:val="en-US"/>
              </w:rPr>
              <w:t>8</w:t>
            </w:r>
            <w:r>
              <w:t>、</w:t>
            </w:r>
            <w:r>
              <w:rPr>
                <w:rFonts w:hint="eastAsia"/>
              </w:rPr>
              <w:t>输出设备：</w:t>
            </w:r>
            <w:r>
              <w:tab/>
            </w:r>
            <w:r>
              <w:t>显示屏、打印机</w:t>
            </w:r>
          </w:p>
          <w:p>
            <w:pPr>
              <w:pStyle w:val="95"/>
              <w:spacing w:before="17" w:line="275" w:lineRule="exact"/>
            </w:pPr>
            <w:r>
              <w:rPr>
                <w:rFonts w:hint="eastAsia"/>
                <w:lang w:val="en-US"/>
              </w:rPr>
              <w:t>29</w:t>
            </w:r>
            <w:r>
              <w:t>、</w:t>
            </w:r>
            <w:r>
              <w:rPr>
                <w:rFonts w:hint="eastAsia"/>
              </w:rPr>
              <w:t>通信接口:</w:t>
            </w:r>
            <w:r>
              <w:tab/>
            </w:r>
            <w:r>
              <w:t>RJ45/RS232</w:t>
            </w:r>
          </w:p>
          <w:p>
            <w:pPr>
              <w:pStyle w:val="95"/>
              <w:spacing w:before="17" w:line="275" w:lineRule="exact"/>
            </w:pPr>
            <w:r>
              <w:rPr>
                <w:rFonts w:hint="eastAsia"/>
                <w:lang w:val="en-US"/>
              </w:rPr>
              <w:t>30</w:t>
            </w:r>
            <w:r>
              <w:t>、</w:t>
            </w:r>
            <w:r>
              <w:rPr>
                <w:rFonts w:hint="eastAsia"/>
              </w:rPr>
              <w:t>数据处理方式：</w:t>
            </w:r>
            <w:r>
              <w:tab/>
            </w:r>
            <w:r>
              <w:t>四参数、线性回归、logit-log、点到点</w:t>
            </w:r>
          </w:p>
          <w:p>
            <w:pPr>
              <w:pStyle w:val="95"/>
              <w:spacing w:before="17" w:line="275" w:lineRule="exact"/>
            </w:pPr>
            <w:r>
              <w:rPr>
                <w:rFonts w:hint="eastAsia"/>
              </w:rPr>
              <w:t>3</w:t>
            </w:r>
            <w:r>
              <w:rPr>
                <w:rFonts w:hint="eastAsia"/>
                <w:lang w:val="en-US"/>
              </w:rPr>
              <w:t>1</w:t>
            </w:r>
            <w:r>
              <w:t>、</w:t>
            </w:r>
            <w:r>
              <w:rPr>
                <w:rFonts w:hint="eastAsia"/>
              </w:rPr>
              <w:t>环境温度：</w:t>
            </w:r>
            <w:r>
              <w:tab/>
            </w:r>
            <w:r>
              <w:t>10℃-30℃</w:t>
            </w:r>
          </w:p>
          <w:p>
            <w:pPr>
              <w:pStyle w:val="95"/>
              <w:spacing w:before="17" w:line="275" w:lineRule="exact"/>
            </w:pPr>
            <w:r>
              <w:rPr>
                <w:rFonts w:hint="eastAsia"/>
              </w:rPr>
              <w:t>3</w:t>
            </w:r>
            <w:r>
              <w:rPr>
                <w:rFonts w:hint="eastAsia"/>
                <w:lang w:val="en-US"/>
              </w:rPr>
              <w:t>2</w:t>
            </w:r>
            <w:r>
              <w:t>、</w:t>
            </w:r>
            <w:r>
              <w:rPr>
                <w:rFonts w:hint="eastAsia"/>
              </w:rPr>
              <w:t>电源：</w:t>
            </w:r>
            <w:r>
              <w:tab/>
            </w:r>
            <w:r>
              <w:t>电压：AC220V,50Hz</w:t>
            </w:r>
          </w:p>
          <w:p>
            <w:pPr>
              <w:pStyle w:val="95"/>
              <w:spacing w:before="17" w:line="275" w:lineRule="exact"/>
            </w:pPr>
            <w:r>
              <w:rPr>
                <w:rFonts w:hint="eastAsia"/>
              </w:rPr>
              <w:t>3</w:t>
            </w:r>
            <w:r>
              <w:rPr>
                <w:rFonts w:hint="eastAsia"/>
                <w:lang w:val="en-US"/>
              </w:rPr>
              <w:t>3</w:t>
            </w:r>
            <w:r>
              <w:t>、</w:t>
            </w:r>
            <w:r>
              <w:rPr>
                <w:rFonts w:hint="eastAsia"/>
              </w:rPr>
              <w:t>额定功率：</w:t>
            </w:r>
            <w:r>
              <w:tab/>
            </w:r>
            <w:r>
              <w:t>1.0kVA</w:t>
            </w:r>
          </w:p>
          <w:p>
            <w:pPr>
              <w:pStyle w:val="95"/>
              <w:spacing w:before="17" w:line="275" w:lineRule="exact"/>
            </w:pPr>
            <w:r>
              <w:rPr>
                <w:rFonts w:hint="eastAsia"/>
              </w:rPr>
              <w:t>3</w:t>
            </w:r>
            <w:r>
              <w:rPr>
                <w:rFonts w:hint="eastAsia"/>
                <w:lang w:val="en-US"/>
              </w:rPr>
              <w:t>4</w:t>
            </w:r>
            <w:r>
              <w:t>、</w:t>
            </w:r>
            <w:r>
              <w:rPr>
                <w:rFonts w:hint="eastAsia"/>
              </w:rPr>
              <w:t>可工作最大海拔高度</w:t>
            </w:r>
            <w:r>
              <w:tab/>
            </w:r>
            <w:r>
              <w:t>：不小于2000m</w:t>
            </w:r>
          </w:p>
          <w:p>
            <w:pPr>
              <w:pStyle w:val="95"/>
              <w:spacing w:before="17" w:line="275" w:lineRule="exact"/>
            </w:pPr>
            <w:r>
              <w:rPr>
                <w:rFonts w:hint="eastAsia"/>
                <w:lang w:val="en-US"/>
              </w:rPr>
              <w:t>38、</w:t>
            </w:r>
            <w:r>
              <w:rPr>
                <w:rFonts w:hint="eastAsia"/>
              </w:rPr>
              <w:t>▲具有针对该项目的厂家出具的授权质保原件加盖公章。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6" w:lineRule="exact"/>
              <w:ind w:left="205"/>
              <w:jc w:val="center"/>
            </w:pPr>
            <w:r>
              <w:t>急救车</w:t>
            </w:r>
          </w:p>
        </w:tc>
        <w:tc>
          <w:tcPr>
            <w:tcW w:w="7648" w:type="dxa"/>
          </w:tcPr>
          <w:p>
            <w:pPr>
              <w:pStyle w:val="95"/>
              <w:spacing w:before="15" w:line="276" w:lineRule="exact"/>
            </w:pPr>
            <w:r>
              <w:rPr>
                <w:rFonts w:hint="eastAsia"/>
              </w:rPr>
              <w:t>1、</w:t>
            </w:r>
            <w:r>
              <w:t>总长度：≥</w:t>
            </w:r>
            <w:r>
              <w:rPr>
                <w:rFonts w:hint="eastAsia"/>
              </w:rPr>
              <w:t>7</w:t>
            </w:r>
            <w:r>
              <w:t xml:space="preserve">70mm   </w:t>
            </w:r>
          </w:p>
          <w:p>
            <w:pPr>
              <w:pStyle w:val="95"/>
              <w:spacing w:before="15" w:line="276" w:lineRule="exact"/>
            </w:pPr>
            <w:r>
              <w:rPr>
                <w:rFonts w:hint="eastAsia"/>
              </w:rPr>
              <w:t>2、</w:t>
            </w:r>
            <w:r>
              <w:t>总宽度：≥</w:t>
            </w:r>
            <w:r>
              <w:rPr>
                <w:rFonts w:hint="eastAsia"/>
              </w:rPr>
              <w:t>6</w:t>
            </w:r>
            <w:r>
              <w:t>00mm</w:t>
            </w:r>
          </w:p>
          <w:p>
            <w:pPr>
              <w:pStyle w:val="95"/>
              <w:spacing w:before="15" w:line="276" w:lineRule="exact"/>
            </w:pPr>
            <w:r>
              <w:rPr>
                <w:rFonts w:hint="eastAsia"/>
              </w:rPr>
              <w:t>3、</w:t>
            </w:r>
            <w:r>
              <w:t>高度范围：≥</w:t>
            </w:r>
            <w:r>
              <w:rPr>
                <w:rFonts w:hint="eastAsia"/>
              </w:rPr>
              <w:t>1</w:t>
            </w:r>
            <w:r>
              <w:t>160mm</w:t>
            </w:r>
          </w:p>
          <w:p>
            <w:pPr>
              <w:pStyle w:val="95"/>
              <w:spacing w:before="15" w:line="276" w:lineRule="exact"/>
            </w:pPr>
            <w:r>
              <w:t>4、ABS塑钢一体成型顶板，凹面设计，防止物品滑落</w:t>
            </w:r>
          </w:p>
          <w:p>
            <w:pPr>
              <w:pStyle w:val="95"/>
              <w:spacing w:before="15" w:line="276" w:lineRule="exact"/>
            </w:pPr>
            <w:r>
              <w:rPr>
                <w:rFonts w:hint="eastAsia"/>
              </w:rPr>
              <w:t>5、</w:t>
            </w:r>
            <w:r>
              <w:t>可旋转除颤仪托架，最大可承重</w:t>
            </w:r>
            <w:r>
              <w:rPr>
                <w:rFonts w:hint="eastAsia"/>
              </w:rPr>
              <w:t>1</w:t>
            </w:r>
            <w:r>
              <w:t>0KG</w:t>
            </w:r>
          </w:p>
          <w:p>
            <w:pPr>
              <w:pStyle w:val="95"/>
              <w:spacing w:before="15" w:line="276" w:lineRule="exact"/>
            </w:pPr>
            <w:r>
              <w:rPr>
                <w:rFonts w:hint="eastAsia"/>
              </w:rPr>
              <w:t>6、</w:t>
            </w:r>
            <w:r>
              <w:t>中控锁设计，保障管理权限和药品安全</w:t>
            </w:r>
          </w:p>
          <w:p>
            <w:pPr>
              <w:pStyle w:val="95"/>
              <w:spacing w:before="15" w:line="276" w:lineRule="exact"/>
            </w:pPr>
            <w:r>
              <w:rPr>
                <w:rFonts w:hint="eastAsia"/>
              </w:rPr>
              <w:t>7、</w:t>
            </w:r>
            <w:r>
              <w:t>带</w:t>
            </w:r>
            <w:r>
              <w:rPr>
                <w:rFonts w:hint="eastAsia"/>
              </w:rPr>
              <w:t>C</w:t>
            </w:r>
            <w:r>
              <w:t>PR板</w:t>
            </w:r>
          </w:p>
          <w:p>
            <w:pPr>
              <w:pStyle w:val="95"/>
              <w:spacing w:before="15" w:line="276" w:lineRule="exact"/>
            </w:pPr>
            <w:r>
              <w:t>8、</w:t>
            </w:r>
            <w:r>
              <w:rPr>
                <w:rFonts w:hint="eastAsia"/>
              </w:rPr>
              <w:t>5寸带刹车脚轮</w:t>
            </w:r>
          </w:p>
          <w:p>
            <w:pPr>
              <w:pStyle w:val="95"/>
              <w:spacing w:before="15" w:line="276" w:lineRule="exact"/>
            </w:pPr>
            <w:r>
              <w:rPr>
                <w:rFonts w:hint="eastAsia"/>
              </w:rPr>
              <w:t>9、</w:t>
            </w:r>
            <w:r>
              <w:t>防撞保护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7" w:lineRule="exact"/>
              <w:ind w:left="49" w:right="38"/>
              <w:jc w:val="center"/>
            </w:pPr>
            <w:r>
              <w:rPr>
                <w:rFonts w:hint="eastAsia"/>
              </w:rPr>
              <w:t>轮椅</w:t>
            </w:r>
          </w:p>
        </w:tc>
        <w:tc>
          <w:tcPr>
            <w:tcW w:w="7648" w:type="dxa"/>
          </w:tcPr>
          <w:p>
            <w:pPr>
              <w:pStyle w:val="95"/>
              <w:spacing w:before="15" w:line="277" w:lineRule="exact"/>
              <w:ind w:right="38"/>
            </w:pPr>
            <w:r>
              <w:t>1、车轮着地性：除提升车轮外的所有车轮必须平稳着地</w:t>
            </w:r>
          </w:p>
          <w:p>
            <w:pPr>
              <w:pStyle w:val="95"/>
              <w:spacing w:before="15" w:line="277" w:lineRule="exact"/>
              <w:ind w:right="38"/>
            </w:pPr>
            <w:r>
              <w:t>2、静态稳定性：纵向≥10°，侧向≥15°</w:t>
            </w:r>
          </w:p>
          <w:p>
            <w:pPr>
              <w:pStyle w:val="95"/>
              <w:spacing w:before="15" w:line="277" w:lineRule="exact"/>
              <w:ind w:right="38"/>
            </w:pPr>
            <w:r>
              <w:t>3、驻坡性能：≥8</w:t>
            </w:r>
          </w:p>
          <w:p>
            <w:pPr>
              <w:pStyle w:val="95"/>
              <w:spacing w:before="15" w:line="277" w:lineRule="exact"/>
              <w:ind w:right="38"/>
            </w:pPr>
            <w:r>
              <w:t>4、滑行偏移量：≤350mm</w:t>
            </w:r>
          </w:p>
          <w:p>
            <w:pPr>
              <w:pStyle w:val="95"/>
              <w:spacing w:before="15" w:line="277" w:lineRule="exact"/>
              <w:ind w:right="38"/>
            </w:pPr>
            <w:r>
              <w:t>5、最小回转半径：≤850mm</w:t>
            </w:r>
          </w:p>
          <w:p>
            <w:pPr>
              <w:pStyle w:val="95"/>
              <w:spacing w:before="15" w:line="277" w:lineRule="exact"/>
              <w:ind w:right="38"/>
            </w:pPr>
            <w:r>
              <w:t>6、最小换向宽度：≤1500mm</w:t>
            </w:r>
          </w:p>
          <w:p>
            <w:pPr>
              <w:pStyle w:val="95"/>
              <w:spacing w:before="15" w:line="277" w:lineRule="exact"/>
              <w:ind w:right="38"/>
            </w:pPr>
            <w:r>
              <w:t>7、使用期限：5年（前轮、后轮、座垫、背垫等易耗品除外）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pStyle w:val="95"/>
              <w:spacing w:before="17" w:line="275" w:lineRule="exact"/>
              <w:ind w:left="49" w:right="38"/>
              <w:jc w:val="center"/>
            </w:pPr>
            <w:r>
              <w:t>平车</w:t>
            </w:r>
          </w:p>
        </w:tc>
        <w:tc>
          <w:tcPr>
            <w:tcW w:w="7648" w:type="dxa"/>
          </w:tcPr>
          <w:p>
            <w:pPr>
              <w:pStyle w:val="95"/>
              <w:spacing w:before="17" w:line="275" w:lineRule="exact"/>
              <w:ind w:right="38"/>
            </w:pPr>
            <w:r>
              <w:t xml:space="preserve">1、最高位（长宽高）≥190*55*50cm  </w:t>
            </w:r>
          </w:p>
          <w:p>
            <w:pPr>
              <w:pStyle w:val="95"/>
              <w:spacing w:before="17" w:line="275" w:lineRule="exact"/>
              <w:ind w:right="38"/>
            </w:pPr>
            <w:r>
              <w:t>2、背靠最大倾角75°</w:t>
            </w:r>
          </w:p>
          <w:p>
            <w:pPr>
              <w:pStyle w:val="95"/>
              <w:spacing w:before="17" w:line="275" w:lineRule="exact"/>
              <w:ind w:right="38"/>
            </w:pPr>
            <w:r>
              <w:t>3、承重≥159kg，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5" w:lineRule="exact"/>
              <w:ind w:left="397"/>
              <w:jc w:val="center"/>
            </w:pPr>
            <w:r>
              <w:t>口服药推车</w:t>
            </w:r>
          </w:p>
        </w:tc>
        <w:tc>
          <w:tcPr>
            <w:tcW w:w="7648" w:type="dxa"/>
          </w:tcPr>
          <w:p>
            <w:pPr>
              <w:pStyle w:val="95"/>
              <w:spacing w:before="16" w:line="275" w:lineRule="exact"/>
            </w:pPr>
            <w:r>
              <w:rPr>
                <w:rFonts w:hint="eastAsia"/>
              </w:rPr>
              <w:t>1</w:t>
            </w:r>
            <w:r>
              <w:t>、</w:t>
            </w:r>
            <w:r>
              <w:rPr>
                <w:rFonts w:hint="eastAsia"/>
              </w:rPr>
              <w:t>顶部带有托盘，车身带有盆架，桶架，配备不锈钢托盘、不锈钢盆，蓝色塑料桶。方便医护人员使用</w:t>
            </w:r>
          </w:p>
          <w:p>
            <w:pPr>
              <w:pStyle w:val="95"/>
              <w:spacing w:before="16" w:line="275" w:lineRule="exact"/>
            </w:pPr>
            <w:r>
              <w:rPr>
                <w:rFonts w:hint="eastAsia"/>
              </w:rPr>
              <w:t>2、左边带有抽屉，抽屉采用静音滑轨，抽拉轻松灵活，可存放一次性输液器、棉签、纱布等，方便实用。</w:t>
            </w:r>
          </w:p>
          <w:p>
            <w:pPr>
              <w:pStyle w:val="95"/>
              <w:spacing w:before="16" w:line="275" w:lineRule="exact"/>
            </w:pPr>
            <w:r>
              <w:rPr>
                <w:rFonts w:hint="eastAsia"/>
              </w:rPr>
              <w:t>3、不锈钢换药车由优质不锈钢管及不锈钢板经焊接组装而成，耐腐蚀。左右两边配有推手，推手管为不锈钢圆管。</w:t>
            </w:r>
          </w:p>
          <w:p>
            <w:pPr>
              <w:pStyle w:val="95"/>
              <w:spacing w:before="16" w:line="275" w:lineRule="exact"/>
            </w:pPr>
            <w:r>
              <w:rPr>
                <w:rFonts w:hint="eastAsia"/>
              </w:rPr>
              <w:t>4、面板、车身、层板、抽屉厚度</w:t>
            </w:r>
            <w:r>
              <w:t>0.8mm</w:t>
            </w:r>
          </w:p>
          <w:p>
            <w:pPr>
              <w:pStyle w:val="95"/>
              <w:spacing w:before="16" w:line="275" w:lineRule="exact"/>
            </w:pPr>
            <w:r>
              <w:rPr>
                <w:rFonts w:hint="eastAsia"/>
              </w:rPr>
              <w:t>5、采用</w:t>
            </w:r>
            <w:r>
              <w:t>3寸万向轮4只，带刹车，高耐磨，无噪音，稳定性好，承重40kg重物时，推动轻松灵活。无蛇行行走及异常噪音。</w:t>
            </w:r>
          </w:p>
          <w:p>
            <w:pPr>
              <w:pStyle w:val="95"/>
              <w:spacing w:before="16" w:line="275" w:lineRule="exact"/>
            </w:pPr>
            <w:r>
              <w:rPr>
                <w:rFonts w:hint="eastAsia"/>
              </w:rPr>
              <w:t>6、外型美观，平整、端正、四角平行，表面无锋棱、毛刺等明显缺陷，各焊接部件打磨平整光滑，抛光均匀。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ind w:left="47" w:right="38"/>
              <w:jc w:val="center"/>
            </w:pPr>
            <w:r>
              <w:t>治疗车</w:t>
            </w:r>
          </w:p>
          <w:p>
            <w:pPr>
              <w:pStyle w:val="95"/>
              <w:spacing w:before="30" w:line="276" w:lineRule="exact"/>
              <w:ind w:left="47" w:right="38"/>
              <w:jc w:val="center"/>
            </w:pPr>
          </w:p>
        </w:tc>
        <w:tc>
          <w:tcPr>
            <w:tcW w:w="7648" w:type="dxa"/>
          </w:tcPr>
          <w:p>
            <w:pPr>
              <w:pStyle w:val="95"/>
              <w:spacing w:before="30" w:line="276" w:lineRule="exact"/>
              <w:ind w:left="47" w:right="38"/>
            </w:pPr>
            <w:r>
              <w:t>1、站管采用Φ25*1.1mm优质304不锈钢管材；</w:t>
            </w:r>
          </w:p>
          <w:p>
            <w:pPr>
              <w:pStyle w:val="95"/>
              <w:spacing w:before="30" w:line="276" w:lineRule="exact"/>
              <w:ind w:left="47" w:right="38"/>
            </w:pPr>
            <w:r>
              <w:t>2、面板采用1.0mm优质304不锈钢拉丝板；</w:t>
            </w:r>
          </w:p>
          <w:p>
            <w:pPr>
              <w:pStyle w:val="95"/>
              <w:spacing w:before="30" w:line="276" w:lineRule="exact"/>
              <w:ind w:left="47" w:right="38"/>
            </w:pPr>
            <w:r>
              <w:t>3、车为两层, 三面不锈钢实芯围栏，两层台面下均有支撑管加固；</w:t>
            </w:r>
          </w:p>
          <w:p>
            <w:pPr>
              <w:pStyle w:val="95"/>
              <w:spacing w:before="30" w:line="276" w:lineRule="exact"/>
              <w:ind w:left="47" w:right="38"/>
            </w:pPr>
            <w:r>
              <w:t>4、上层为1抽，下置1污物桶；</w:t>
            </w:r>
          </w:p>
          <w:p>
            <w:pPr>
              <w:pStyle w:val="95"/>
              <w:spacing w:before="30" w:line="276" w:lineRule="exact"/>
              <w:ind w:left="47" w:right="38"/>
            </w:pPr>
            <w:r>
              <w:t>5、底部配置优质高级静音脚轮，对角刹车,方便推送；</w:t>
            </w:r>
          </w:p>
          <w:p>
            <w:pPr>
              <w:pStyle w:val="95"/>
              <w:spacing w:before="30" w:line="276" w:lineRule="exact"/>
              <w:ind w:left="47" w:right="38"/>
            </w:pPr>
            <w:r>
              <w:t>6、外型美观，平整、端正、四角平行，表面无锋棱、毛刺等明显缺陷；</w:t>
            </w:r>
          </w:p>
          <w:p>
            <w:pPr>
              <w:pStyle w:val="95"/>
              <w:spacing w:before="30" w:line="276" w:lineRule="exact"/>
              <w:ind w:left="47" w:right="38"/>
            </w:pPr>
            <w:r>
              <w:t>7、适用于手术室放置器械物品。</w:t>
            </w:r>
          </w:p>
          <w:p>
            <w:pPr>
              <w:pStyle w:val="95"/>
              <w:spacing w:before="30" w:line="276" w:lineRule="exact"/>
              <w:ind w:left="47" w:right="38"/>
              <w:rPr>
                <w:lang w:val="en-US"/>
              </w:rPr>
            </w:pPr>
            <w:r>
              <w:rPr>
                <w:rFonts w:hint="eastAsia"/>
                <w:lang w:val="en-US"/>
              </w:rPr>
              <w:t>8、</w:t>
            </w:r>
            <w:r>
              <w:t>≥600*450*850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ind w:left="397"/>
              <w:jc w:val="center"/>
            </w:pPr>
            <w:r>
              <w:t>药品阴凉柜</w:t>
            </w:r>
          </w:p>
          <w:p>
            <w:pPr>
              <w:pStyle w:val="95"/>
              <w:spacing w:before="30" w:line="276" w:lineRule="exact"/>
              <w:ind w:left="508"/>
              <w:jc w:val="center"/>
            </w:pPr>
          </w:p>
        </w:tc>
        <w:tc>
          <w:tcPr>
            <w:tcW w:w="7648" w:type="dxa"/>
          </w:tcPr>
          <w:p>
            <w:pPr>
              <w:pStyle w:val="95"/>
              <w:spacing w:before="30" w:line="276" w:lineRule="exact"/>
            </w:pPr>
            <w:r>
              <w:t>1、单门上机常规≥380L:</w:t>
            </w:r>
          </w:p>
          <w:p>
            <w:pPr>
              <w:pStyle w:val="95"/>
              <w:spacing w:before="30" w:line="276" w:lineRule="exact"/>
            </w:pPr>
            <w:r>
              <w:t xml:space="preserve">2、电压功率220v/110w </w:t>
            </w:r>
          </w:p>
          <w:p>
            <w:pPr>
              <w:pStyle w:val="95"/>
              <w:spacing w:before="30" w:line="276" w:lineRule="exact"/>
            </w:pPr>
            <w:r>
              <w:t>3、温度范围2-20℃。</w:t>
            </w:r>
          </w:p>
          <w:p>
            <w:pPr>
              <w:pStyle w:val="95"/>
              <w:spacing w:before="30" w:line="276" w:lineRule="exact"/>
            </w:pPr>
            <w:r>
              <w:t xml:space="preserve">4、智能微电脑储存控制系统，实时监测温度湿度 </w:t>
            </w:r>
          </w:p>
          <w:p>
            <w:pPr>
              <w:pStyle w:val="95"/>
              <w:spacing w:before="30" w:line="276" w:lineRule="exact"/>
            </w:pPr>
            <w:r>
              <w:t>5、加厚可调节层架，底部带刹车装置</w:t>
            </w:r>
          </w:p>
          <w:p>
            <w:pPr>
              <w:pStyle w:val="95"/>
              <w:spacing w:before="30" w:line="276" w:lineRule="exact"/>
              <w:rPr>
                <w:lang w:val="en-US"/>
              </w:rPr>
            </w:pPr>
            <w:r>
              <w:rPr>
                <w:rFonts w:hint="eastAsia"/>
                <w:lang w:val="en-US"/>
              </w:rPr>
              <w:t>6、具备国家食品药品监督管理总局认证的GMP证书。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line="275" w:lineRule="exact"/>
              <w:ind w:left="397"/>
              <w:jc w:val="center"/>
            </w:pPr>
            <w:r>
              <w:t>核酸采集车</w:t>
            </w:r>
          </w:p>
        </w:tc>
        <w:tc>
          <w:tcPr>
            <w:tcW w:w="7648" w:type="dxa"/>
          </w:tcPr>
          <w:p>
            <w:pPr>
              <w:pStyle w:val="95"/>
              <w:spacing w:before="17" w:line="275" w:lineRule="exact"/>
            </w:pPr>
            <w:r>
              <w:rPr>
                <w:rFonts w:hint="eastAsia"/>
              </w:rPr>
              <w:t>1</w:t>
            </w:r>
            <w:r>
              <w:t>、产品材质：安全医院用不锈钢</w:t>
            </w:r>
          </w:p>
          <w:p>
            <w:pPr>
              <w:pStyle w:val="95"/>
              <w:spacing w:before="17" w:line="275" w:lineRule="exact"/>
            </w:pPr>
            <w:r>
              <w:rPr>
                <w:rFonts w:hint="eastAsia"/>
              </w:rPr>
              <w:t>2</w:t>
            </w:r>
            <w:r>
              <w:t>、产品型号：双抽屉双药格</w:t>
            </w:r>
            <w:r>
              <w:rPr>
                <w:rFonts w:hint="eastAsia"/>
              </w:rPr>
              <w:t>双门</w:t>
            </w:r>
          </w:p>
          <w:p>
            <w:pPr>
              <w:pStyle w:val="95"/>
              <w:spacing w:before="17" w:line="275" w:lineRule="exact"/>
            </w:pPr>
            <w:r>
              <w:rPr>
                <w:rFonts w:hint="eastAsia"/>
              </w:rPr>
              <w:t>3</w:t>
            </w:r>
            <w:r>
              <w:t>、尺</w:t>
            </w:r>
            <w:r>
              <w:rPr>
                <w:rFonts w:hint="eastAsia"/>
              </w:rPr>
              <w:t xml:space="preserve"> </w:t>
            </w:r>
            <w:r>
              <w:t xml:space="preserve">   寸：≥</w:t>
            </w:r>
            <w:r>
              <w:rPr>
                <w:rFonts w:hint="eastAsia"/>
              </w:rPr>
              <w:t>6</w:t>
            </w:r>
            <w:r>
              <w:t>6cm*44cm*86cm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6" w:lineRule="exact"/>
              <w:ind w:left="397"/>
              <w:jc w:val="center"/>
            </w:pPr>
            <w:r>
              <w:t>药品振荡器</w:t>
            </w:r>
          </w:p>
        </w:tc>
        <w:tc>
          <w:tcPr>
            <w:tcW w:w="7648" w:type="dxa"/>
          </w:tcPr>
          <w:p>
            <w:pPr>
              <w:pStyle w:val="95"/>
              <w:spacing w:before="16" w:line="276" w:lineRule="exact"/>
            </w:pPr>
            <w:r>
              <w:rPr>
                <w:rFonts w:hint="eastAsia"/>
                <w:lang w:val="en-US"/>
              </w:rPr>
              <w:t>1</w:t>
            </w:r>
            <w:r>
              <w:rPr>
                <w:rFonts w:hint="eastAsia"/>
              </w:rPr>
              <w:t>、</w:t>
            </w:r>
            <w:r>
              <w:t>整机功率：</w:t>
            </w:r>
            <w:r>
              <w:rPr>
                <w:rFonts w:hint="eastAsia"/>
              </w:rPr>
              <w:t>3</w:t>
            </w:r>
            <w:r>
              <w:t>0W  40VA</w:t>
            </w:r>
          </w:p>
          <w:p>
            <w:pPr>
              <w:pStyle w:val="95"/>
              <w:spacing w:before="16" w:line="276" w:lineRule="exact"/>
            </w:pPr>
            <w:r>
              <w:rPr>
                <w:rFonts w:hint="eastAsia"/>
                <w:lang w:val="en-US"/>
              </w:rPr>
              <w:t>2</w:t>
            </w:r>
            <w:r>
              <w:rPr>
                <w:rFonts w:hint="eastAsia"/>
              </w:rPr>
              <w:t>、</w:t>
            </w:r>
            <w:r>
              <w:t>振荡频率：</w:t>
            </w:r>
            <w:r>
              <w:rPr>
                <w:rFonts w:hint="eastAsia"/>
              </w:rPr>
              <w:t>1</w:t>
            </w:r>
            <w:r>
              <w:t>400rpm   1400rpm</w:t>
            </w:r>
          </w:p>
          <w:p>
            <w:pPr>
              <w:pStyle w:val="95"/>
              <w:spacing w:before="16" w:line="276" w:lineRule="exact"/>
            </w:pPr>
            <w:r>
              <w:rPr>
                <w:rFonts w:hint="eastAsia"/>
                <w:lang w:val="en-US"/>
              </w:rPr>
              <w:t>3</w:t>
            </w:r>
            <w:r>
              <w:rPr>
                <w:rFonts w:hint="eastAsia"/>
              </w:rPr>
              <w:t>、</w:t>
            </w:r>
            <w:r>
              <w:t>工作方式：连续</w:t>
            </w:r>
            <w:r>
              <w:rPr>
                <w:rFonts w:hint="eastAsia"/>
              </w:rPr>
              <w:t xml:space="preserve"> </w:t>
            </w:r>
            <w:r>
              <w:t xml:space="preserve"> 连续</w:t>
            </w:r>
          </w:p>
          <w:p>
            <w:pPr>
              <w:pStyle w:val="95"/>
              <w:spacing w:before="16" w:line="276" w:lineRule="exact"/>
            </w:pPr>
            <w:r>
              <w:rPr>
                <w:rFonts w:hint="eastAsia"/>
                <w:lang w:val="en-US"/>
              </w:rPr>
              <w:t>4</w:t>
            </w:r>
            <w:r>
              <w:rPr>
                <w:rFonts w:hint="eastAsia"/>
              </w:rPr>
              <w:t>、</w:t>
            </w:r>
            <w:r>
              <w:t>工作尺寸：不锈钢板可夹外径</w:t>
            </w:r>
            <w:r>
              <w:rPr>
                <w:rFonts w:hint="eastAsia"/>
              </w:rPr>
              <w:t>1</w:t>
            </w:r>
            <w:r>
              <w:t>.5-2.9cm药瓶</w:t>
            </w:r>
            <w:r>
              <w:rPr>
                <w:rFonts w:hint="eastAsia"/>
              </w:rPr>
              <w:t xml:space="preserve"> </w:t>
            </w:r>
            <w:r>
              <w:t xml:space="preserve">    </w:t>
            </w:r>
          </w:p>
          <w:p>
            <w:pPr>
              <w:pStyle w:val="95"/>
              <w:spacing w:before="16" w:line="276" w:lineRule="exact"/>
            </w:pPr>
            <w:r>
              <w:rPr>
                <w:rFonts w:hint="eastAsia"/>
                <w:lang w:val="en-US"/>
              </w:rPr>
              <w:t>5、</w:t>
            </w:r>
            <w:r>
              <w:t>≥孔径</w:t>
            </w:r>
            <w:r>
              <w:rPr>
                <w:rFonts w:hint="eastAsia"/>
              </w:rPr>
              <w:t>3</w:t>
            </w:r>
            <w:r>
              <w:t>6mm,孔深</w:t>
            </w:r>
            <w:r>
              <w:rPr>
                <w:rFonts w:hint="eastAsia"/>
              </w:rPr>
              <w:t>5</w:t>
            </w:r>
            <w:r>
              <w:t>5mm,拆下胶圈直径</w:t>
            </w:r>
            <w:r>
              <w:rPr>
                <w:rFonts w:hint="eastAsia"/>
              </w:rPr>
              <w:t>4</w:t>
            </w:r>
            <w: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6" w:lineRule="exact"/>
              <w:ind w:left="234"/>
              <w:jc w:val="center"/>
            </w:pPr>
            <w:r>
              <w:t>氧气筒（40L）</w:t>
            </w:r>
          </w:p>
        </w:tc>
        <w:tc>
          <w:tcPr>
            <w:tcW w:w="7648" w:type="dxa"/>
          </w:tcPr>
          <w:p>
            <w:pPr>
              <w:pStyle w:val="95"/>
              <w:spacing w:before="16" w:line="276" w:lineRule="exact"/>
            </w:pPr>
            <w:r>
              <w:t xml:space="preserve">1、≥宽度22厘米 高145cm，桶壁厚5.7mm </w:t>
            </w:r>
          </w:p>
          <w:p>
            <w:pPr>
              <w:pStyle w:val="95"/>
              <w:spacing w:before="16" w:line="276" w:lineRule="exact"/>
            </w:pPr>
            <w:r>
              <w:t>2、储氧量4800L ，使用时间一个流量80小时左右  2个流量40个小时</w:t>
            </w:r>
          </w:p>
          <w:p>
            <w:pPr>
              <w:pStyle w:val="95"/>
              <w:spacing w:before="16" w:line="276" w:lineRule="exact"/>
            </w:pPr>
            <w:r>
              <w:rPr>
                <w:rFonts w:hint="eastAsia"/>
              </w:rPr>
              <w:t>3、拉伸强度</w:t>
            </w:r>
            <w:r>
              <w:t>Rm(N/m㎡)</w:t>
            </w:r>
            <w:r>
              <w:rPr>
                <w:rFonts w:hint="eastAsia"/>
              </w:rPr>
              <w:t>：</w:t>
            </w:r>
            <w:r>
              <w:t>750mpa</w:t>
            </w:r>
            <w:r>
              <w:rPr>
                <w:rFonts w:hint="eastAsia"/>
                <w:lang w:val="en-US"/>
              </w:rPr>
              <w:t xml:space="preserve"> 、</w:t>
            </w:r>
            <w:r>
              <w:rPr>
                <w:rFonts w:hint="eastAsia"/>
              </w:rPr>
              <w:t>冲击韧性</w:t>
            </w:r>
            <w:r>
              <w:t>a k(J/e</w:t>
            </w:r>
            <w:r>
              <w:rPr>
                <w:rFonts w:hint="eastAsia"/>
              </w:rPr>
              <w:t>㎡)：</w:t>
            </w:r>
            <w:r>
              <w:t>860（</w:t>
            </w:r>
            <w:r>
              <w:rPr>
                <w:rFonts w:hint="eastAsia"/>
              </w:rPr>
              <w:t>J</w:t>
            </w:r>
            <w:r>
              <w:t>)</w:t>
            </w:r>
            <w:r>
              <w:rPr>
                <w:rFonts w:hint="eastAsia"/>
                <w:lang w:val="en-US"/>
              </w:rPr>
              <w:t xml:space="preserve"> 、</w:t>
            </w:r>
            <w:r>
              <w:rPr>
                <w:rFonts w:hint="eastAsia"/>
              </w:rPr>
              <w:t>样品伸长率A</w:t>
            </w:r>
            <w:r>
              <w:t>%:20%</w:t>
            </w:r>
            <w:r>
              <w:rPr>
                <w:rFonts w:hint="eastAsia"/>
              </w:rPr>
              <w:t>、爆破压力</w:t>
            </w:r>
            <w:r>
              <w:t>Mpa：56.85mpa</w:t>
            </w:r>
            <w:r>
              <w:rPr>
                <w:rFonts w:hint="eastAsia"/>
              </w:rPr>
              <w:t>、屈服压力</w:t>
            </w:r>
            <w:r>
              <w:t>Mpa：43.95mpa</w:t>
            </w:r>
          </w:p>
          <w:p>
            <w:pPr>
              <w:pStyle w:val="95"/>
              <w:spacing w:before="16" w:line="276" w:lineRule="exact"/>
              <w:rPr>
                <w:lang w:val="en-US"/>
              </w:rPr>
            </w:pPr>
            <w:r>
              <w:rPr>
                <w:rFonts w:hint="eastAsia"/>
                <w:lang w:val="en-US"/>
              </w:rPr>
              <w:t>4、具备产品合格证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6" w:lineRule="exact"/>
              <w:ind w:left="618"/>
            </w:pPr>
            <w:r>
              <w:t>氧气枕</w:t>
            </w:r>
          </w:p>
        </w:tc>
        <w:tc>
          <w:tcPr>
            <w:tcW w:w="7648" w:type="dxa"/>
          </w:tcPr>
          <w:p>
            <w:pPr>
              <w:pStyle w:val="95"/>
              <w:numPr>
                <w:ilvl w:val="0"/>
                <w:numId w:val="9"/>
              </w:numPr>
              <w:spacing w:before="15" w:line="276" w:lineRule="exact"/>
            </w:pPr>
            <w:r>
              <w:rPr>
                <w:rFonts w:hint="eastAsia"/>
              </w:rPr>
              <w:t>爆破压力：不小于1</w:t>
            </w:r>
            <w:r>
              <w:t>6Kpa</w:t>
            </w:r>
          </w:p>
          <w:p>
            <w:pPr>
              <w:pStyle w:val="95"/>
              <w:numPr>
                <w:ilvl w:val="0"/>
                <w:numId w:val="9"/>
              </w:numPr>
              <w:spacing w:before="15" w:line="276" w:lineRule="exact"/>
              <w:rPr>
                <w:lang w:val="en-US"/>
              </w:rPr>
            </w:pPr>
            <w:r>
              <w:rPr>
                <w:rFonts w:hint="eastAsia"/>
              </w:rPr>
              <w:t>外形尺寸</w:t>
            </w:r>
            <w:r>
              <w:rPr>
                <w:rFonts w:hint="eastAsia"/>
                <w:lang w:val="en-US"/>
              </w:rPr>
              <w:t>：</w:t>
            </w:r>
            <w:r>
              <w:t>≥</w:t>
            </w:r>
            <w:r>
              <w:rPr>
                <w:lang w:val="en-US"/>
              </w:rPr>
              <w:t>650mm*400mm</w:t>
            </w:r>
          </w:p>
          <w:p>
            <w:pPr>
              <w:pStyle w:val="95"/>
              <w:numPr>
                <w:ilvl w:val="0"/>
                <w:numId w:val="9"/>
              </w:numPr>
              <w:spacing w:before="15" w:line="276" w:lineRule="exact"/>
              <w:rPr>
                <w:lang w:val="en-US"/>
              </w:rPr>
            </w:pPr>
            <w:r>
              <w:rPr>
                <w:rFonts w:hint="eastAsia"/>
                <w:lang w:val="en-US"/>
              </w:rPr>
              <w:t>氧气袋主要由气囊料、气嘴、胶管、调压阀体等部件组成。</w:t>
            </w:r>
          </w:p>
          <w:p>
            <w:pPr>
              <w:pStyle w:val="95"/>
              <w:numPr>
                <w:ilvl w:val="0"/>
                <w:numId w:val="9"/>
              </w:numPr>
              <w:spacing w:before="15" w:line="276" w:lineRule="exact"/>
              <w:rPr>
                <w:lang w:val="en-US"/>
              </w:rPr>
            </w:pPr>
            <w:r>
              <w:rPr>
                <w:rFonts w:hint="eastAsia"/>
                <w:lang w:val="en-US"/>
              </w:rPr>
              <w:t>制作氧气袋的气毒料符合</w:t>
            </w:r>
            <w:r>
              <w:rPr>
                <w:lang w:val="en-US"/>
              </w:rPr>
              <w:t>GBT3830的要求。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7" w:lineRule="exact"/>
              <w:ind w:left="107" w:right="-15"/>
              <w:jc w:val="center"/>
            </w:pPr>
            <w:r>
              <w:rPr>
                <w:spacing w:val="-18"/>
              </w:rPr>
              <w:t>转运氧气筒</w:t>
            </w:r>
            <w:r>
              <w:rPr>
                <w:spacing w:val="-5"/>
              </w:rPr>
              <w:t>（</w:t>
            </w:r>
            <w:r>
              <w:rPr>
                <w:rFonts w:hint="eastAsia"/>
                <w:spacing w:val="-5"/>
                <w:lang w:val="en-US"/>
              </w:rPr>
              <w:t>4</w:t>
            </w:r>
            <w:r>
              <w:rPr>
                <w:spacing w:val="-5"/>
              </w:rPr>
              <w:t>L）</w:t>
            </w:r>
          </w:p>
        </w:tc>
        <w:tc>
          <w:tcPr>
            <w:tcW w:w="7648" w:type="dxa"/>
          </w:tcPr>
          <w:p>
            <w:pPr>
              <w:pStyle w:val="95"/>
              <w:spacing w:before="15" w:line="276" w:lineRule="exact"/>
              <w:rPr>
                <w:lang w:val="en-US"/>
              </w:rPr>
            </w:pPr>
            <w:r>
              <w:rPr>
                <w:spacing w:val="-18"/>
              </w:rPr>
              <w:t>1、</w:t>
            </w:r>
            <w:r>
              <w:rPr>
                <w:lang w:val="en-US"/>
              </w:rPr>
              <w:t>最大储气压力: 14.7MPa。</w:t>
            </w:r>
          </w:p>
          <w:p>
            <w:pPr>
              <w:pStyle w:val="95"/>
              <w:spacing w:before="15" w:line="276" w:lineRule="exact"/>
              <w:rPr>
                <w:lang w:val="en-US"/>
              </w:rPr>
            </w:pPr>
            <w:r>
              <w:rPr>
                <w:lang w:val="en-US"/>
              </w:rPr>
              <w:t>2、氧气流量调节范围为(1 ~ 5)L/min。</w:t>
            </w:r>
          </w:p>
          <w:p>
            <w:pPr>
              <w:pStyle w:val="95"/>
              <w:spacing w:before="15" w:line="276" w:lineRule="exact"/>
              <w:rPr>
                <w:lang w:val="en-US"/>
              </w:rPr>
            </w:pPr>
            <w:r>
              <w:rPr>
                <w:lang w:val="en-US"/>
              </w:rPr>
              <w:t>3、在流量关闭的情况下，高压部分能承受15MPa压力。</w:t>
            </w:r>
          </w:p>
          <w:p>
            <w:pPr>
              <w:pStyle w:val="95"/>
              <w:spacing w:before="15" w:line="276" w:lineRule="exact"/>
              <w:rPr>
                <w:lang w:val="en-US"/>
              </w:rPr>
            </w:pPr>
            <w:r>
              <w:rPr>
                <w:lang w:val="en-US"/>
              </w:rPr>
              <w:t>4、经减压阀后，压力控制在(0.2 ~ 0.3)MPa。</w:t>
            </w:r>
          </w:p>
          <w:p>
            <w:pPr>
              <w:pStyle w:val="95"/>
              <w:spacing w:before="15" w:line="276" w:lineRule="exact"/>
              <w:rPr>
                <w:spacing w:val="-18"/>
              </w:rPr>
            </w:pPr>
            <w:r>
              <w:rPr>
                <w:lang w:val="en-US"/>
              </w:rPr>
              <w:t>5、安全阀排压力为(0.35 土0.04)MPa。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line="275" w:lineRule="exact"/>
              <w:ind w:left="289"/>
              <w:jc w:val="center"/>
            </w:pPr>
            <w:r>
              <w:t>不锈钢治疗盘</w:t>
            </w:r>
          </w:p>
        </w:tc>
        <w:tc>
          <w:tcPr>
            <w:tcW w:w="7648" w:type="dxa"/>
          </w:tcPr>
          <w:p>
            <w:pPr>
              <w:pStyle w:val="95"/>
              <w:numPr>
                <w:ilvl w:val="0"/>
                <w:numId w:val="10"/>
              </w:numPr>
              <w:spacing w:before="17" w:line="275" w:lineRule="exact"/>
              <w:rPr>
                <w:lang w:val="en-US"/>
              </w:rPr>
            </w:pPr>
            <w:r>
              <w:rPr>
                <w:rFonts w:hint="eastAsia"/>
                <w:lang w:val="en-US"/>
              </w:rPr>
              <w:t>采用不锈钢材质，底部光滑平整。</w:t>
            </w:r>
          </w:p>
          <w:p>
            <w:pPr>
              <w:pStyle w:val="95"/>
              <w:numPr>
                <w:ilvl w:val="0"/>
                <w:numId w:val="10"/>
              </w:numPr>
              <w:spacing w:before="17" w:line="275" w:lineRule="exact"/>
              <w:rPr>
                <w:lang w:val="en-US"/>
              </w:rPr>
            </w:pPr>
            <w:r>
              <w:rPr>
                <w:rFonts w:hint="eastAsia"/>
                <w:lang w:val="en-US"/>
              </w:rPr>
              <w:t>方盘光滑圆角设计，一体成型。</w:t>
            </w:r>
          </w:p>
          <w:p>
            <w:pPr>
              <w:pStyle w:val="95"/>
              <w:numPr>
                <w:ilvl w:val="0"/>
                <w:numId w:val="10"/>
              </w:numPr>
              <w:spacing w:before="17" w:line="275" w:lineRule="exact"/>
              <w:rPr>
                <w:lang w:val="en-US"/>
              </w:rPr>
            </w:pPr>
            <w:r>
              <w:rPr>
                <w:rFonts w:hint="eastAsia"/>
                <w:lang w:val="en-US"/>
              </w:rPr>
              <w:t>加厚卷边设计，机构更强，放折防变形，方便使用。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line="275" w:lineRule="exact"/>
              <w:ind w:left="508"/>
              <w:jc w:val="center"/>
            </w:pPr>
            <w:r>
              <w:t>试管架子</w:t>
            </w:r>
          </w:p>
        </w:tc>
        <w:tc>
          <w:tcPr>
            <w:tcW w:w="7648" w:type="dxa"/>
          </w:tcPr>
          <w:p>
            <w:pPr>
              <w:pStyle w:val="95"/>
              <w:spacing w:before="17" w:line="275" w:lineRule="exact"/>
            </w:pPr>
            <w:r>
              <w:t>6*10ml 孔径18mm（单架子）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6" w:lineRule="exact"/>
              <w:ind w:left="508"/>
              <w:jc w:val="center"/>
            </w:pPr>
            <w:r>
              <w:t>氧流量表</w:t>
            </w:r>
          </w:p>
        </w:tc>
        <w:tc>
          <w:tcPr>
            <w:tcW w:w="7648" w:type="dxa"/>
          </w:tcPr>
          <w:p>
            <w:pPr>
              <w:pStyle w:val="95"/>
              <w:spacing w:before="16" w:line="276" w:lineRule="exact"/>
            </w:pPr>
            <w:r>
              <w:rPr>
                <w:rFonts w:hint="eastAsia"/>
                <w:lang w:val="en-US"/>
              </w:rPr>
              <w:t>1</w:t>
            </w:r>
            <w:r>
              <w:rPr>
                <w:rFonts w:hint="eastAsia"/>
              </w:rPr>
              <w:t>、安全阀压力：</w:t>
            </w:r>
            <w:r>
              <w:t>0.35±0.05MPA</w:t>
            </w:r>
          </w:p>
          <w:p>
            <w:pPr>
              <w:pStyle w:val="95"/>
              <w:spacing w:before="16" w:line="276" w:lineRule="exact"/>
            </w:pPr>
            <w:r>
              <w:rPr>
                <w:rFonts w:hint="eastAsia"/>
                <w:lang w:val="en-US"/>
              </w:rPr>
              <w:t>2</w:t>
            </w:r>
            <w:r>
              <w:rPr>
                <w:rFonts w:hint="eastAsia"/>
              </w:rPr>
              <w:t>、输出压力：</w:t>
            </w:r>
            <w:r>
              <w:t>0.2-0.3MPA</w:t>
            </w:r>
          </w:p>
          <w:p>
            <w:pPr>
              <w:pStyle w:val="95"/>
              <w:spacing w:before="16" w:line="276" w:lineRule="exact"/>
            </w:pPr>
            <w:r>
              <w:rPr>
                <w:rFonts w:hint="eastAsia"/>
                <w:lang w:val="en-US"/>
              </w:rPr>
              <w:t>3</w:t>
            </w:r>
            <w:r>
              <w:rPr>
                <w:rFonts w:hint="eastAsia"/>
              </w:rPr>
              <w:t>、流量调节：</w:t>
            </w:r>
            <w:r>
              <w:t>1L/min-10L/min无极可调</w:t>
            </w:r>
          </w:p>
          <w:p>
            <w:pPr>
              <w:pStyle w:val="95"/>
              <w:spacing w:before="16" w:line="276" w:lineRule="exact"/>
            </w:pPr>
            <w:r>
              <w:rPr>
                <w:rFonts w:hint="eastAsia"/>
                <w:lang w:val="en-US"/>
              </w:rPr>
              <w:t>4</w:t>
            </w:r>
            <w:r>
              <w:rPr>
                <w:rFonts w:hint="eastAsia"/>
              </w:rPr>
              <w:t>、外形尺寸：</w:t>
            </w:r>
            <w:r>
              <w:t>≥140*55*285mm</w:t>
            </w:r>
          </w:p>
          <w:p>
            <w:pPr>
              <w:pStyle w:val="95"/>
              <w:spacing w:before="16" w:line="276" w:lineRule="exact"/>
            </w:pPr>
            <w:r>
              <w:rPr>
                <w:rFonts w:hint="eastAsia"/>
                <w:lang w:val="en-US"/>
              </w:rPr>
              <w:t>5</w:t>
            </w:r>
            <w:r>
              <w:rPr>
                <w:rFonts w:hint="eastAsia"/>
              </w:rPr>
              <w:t>、工作原理：将钢瓶高压气体经弹簧活塞，减压成适合人体使用的低压氧气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5" w:lineRule="exact"/>
              <w:ind w:left="107"/>
              <w:jc w:val="center"/>
            </w:pPr>
            <w:r>
              <w:t>呼吸皮囊</w:t>
            </w:r>
          </w:p>
        </w:tc>
        <w:tc>
          <w:tcPr>
            <w:tcW w:w="7648" w:type="dxa"/>
          </w:tcPr>
          <w:p>
            <w:pPr>
              <w:pStyle w:val="95"/>
              <w:spacing w:before="16" w:line="275" w:lineRule="exact"/>
            </w:pPr>
            <w:r>
              <w:t>1</w:t>
            </w:r>
            <w:r>
              <w:rPr>
                <w:rFonts w:hint="eastAsia"/>
              </w:rPr>
              <w:t>、</w:t>
            </w:r>
            <w:r>
              <w:t>主要部件 采用硅橡胶材料制作而成</w:t>
            </w:r>
            <w:r>
              <w:rPr>
                <w:rFonts w:hint="eastAsia"/>
              </w:rPr>
              <w:t>。</w:t>
            </w:r>
          </w:p>
          <w:p>
            <w:pPr>
              <w:pStyle w:val="95"/>
              <w:spacing w:before="16" w:line="275" w:lineRule="exact"/>
            </w:pPr>
            <w:r>
              <w:t>2</w:t>
            </w:r>
            <w:r>
              <w:rPr>
                <w:rFonts w:hint="eastAsia"/>
              </w:rPr>
              <w:t>、</w:t>
            </w:r>
            <w:r>
              <w:t>送气阀装有鱼嘴阀，呼气时自动关闭，不倒流</w:t>
            </w:r>
            <w:r>
              <w:rPr>
                <w:rFonts w:hint="eastAsia"/>
              </w:rPr>
              <w:t>。</w:t>
            </w:r>
          </w:p>
          <w:p>
            <w:pPr>
              <w:pStyle w:val="95"/>
              <w:spacing w:before="16" w:line="275" w:lineRule="exact"/>
            </w:pPr>
            <w:r>
              <w:t>3</w:t>
            </w:r>
            <w:r>
              <w:rPr>
                <w:rFonts w:hint="eastAsia"/>
              </w:rPr>
              <w:t>、</w:t>
            </w:r>
            <w:r>
              <w:t>装有限压阀，防止过高压力输出</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6" w:lineRule="exact"/>
              <w:ind w:left="107"/>
              <w:jc w:val="center"/>
            </w:pPr>
            <w:r>
              <w:t>听诊器</w:t>
            </w:r>
          </w:p>
        </w:tc>
        <w:tc>
          <w:tcPr>
            <w:tcW w:w="7648" w:type="dxa"/>
          </w:tcPr>
          <w:p>
            <w:pPr>
              <w:pStyle w:val="95"/>
              <w:spacing w:before="16" w:line="276" w:lineRule="exact"/>
            </w:pPr>
            <w:r>
              <w:rPr>
                <w:rFonts w:hint="eastAsia"/>
                <w:lang w:val="en-US"/>
              </w:rPr>
              <w:t>1、</w:t>
            </w:r>
            <w:r>
              <w:rPr>
                <w:rFonts w:hint="eastAsia"/>
              </w:rPr>
              <w:t>频响曲线：100-500Hz以测试声源为基准。衰减不大于12dB、在500-1000Hz不大于20dB。</w:t>
            </w:r>
          </w:p>
          <w:p>
            <w:pPr>
              <w:pStyle w:val="95"/>
              <w:spacing w:before="16" w:line="276" w:lineRule="exact"/>
            </w:pPr>
            <w:r>
              <w:rPr>
                <w:rFonts w:hint="eastAsia"/>
                <w:lang w:val="en-US"/>
              </w:rPr>
              <w:t>2、</w:t>
            </w:r>
            <w:r>
              <w:t>弹簧片硬度：HR15N82.9-88.4。</w:t>
            </w:r>
          </w:p>
          <w:p>
            <w:pPr>
              <w:pStyle w:val="95"/>
              <w:spacing w:before="16" w:line="276" w:lineRule="exact"/>
            </w:pPr>
            <w:r>
              <w:rPr>
                <w:rFonts w:hint="eastAsia"/>
                <w:lang w:val="en-US"/>
              </w:rPr>
              <w:t>3、</w:t>
            </w:r>
            <w:r>
              <w:t>耳环弹力：两耳塞拉开140mm，弹力值在1.372-1.960N。</w:t>
            </w:r>
          </w:p>
          <w:p>
            <w:pPr>
              <w:pStyle w:val="95"/>
              <w:spacing w:before="16" w:line="276" w:lineRule="exact"/>
            </w:pPr>
            <w:r>
              <w:rPr>
                <w:rFonts w:hint="eastAsia"/>
                <w:lang w:val="en-US"/>
              </w:rPr>
              <w:t>4、</w:t>
            </w:r>
            <w:r>
              <w:t>耳环弹性：两耳塞拉开300mm，1分钟后回复，变形不大于10mm。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5" w:line="277" w:lineRule="exact"/>
              <w:ind w:left="107"/>
              <w:jc w:val="center"/>
            </w:pPr>
            <w:r>
              <w:t>电子喉镜</w:t>
            </w:r>
          </w:p>
          <w:p>
            <w:pPr>
              <w:pStyle w:val="95"/>
              <w:spacing w:before="15" w:line="277" w:lineRule="exact"/>
              <w:ind w:left="107"/>
              <w:jc w:val="center"/>
            </w:pPr>
          </w:p>
        </w:tc>
        <w:tc>
          <w:tcPr>
            <w:tcW w:w="7648" w:type="dxa"/>
          </w:tcPr>
          <w:p>
            <w:pPr>
              <w:pStyle w:val="95"/>
              <w:spacing w:before="15" w:line="277" w:lineRule="exact"/>
            </w:pPr>
            <w:r>
              <w:t>1、显示屏：3.0”TFT</w:t>
            </w:r>
          </w:p>
          <w:p>
            <w:pPr>
              <w:pStyle w:val="95"/>
              <w:spacing w:before="15" w:line="277" w:lineRule="exact"/>
            </w:pPr>
            <w:r>
              <w:t>2、摄像头像素：200万</w:t>
            </w:r>
          </w:p>
          <w:p>
            <w:pPr>
              <w:pStyle w:val="95"/>
              <w:spacing w:before="15" w:line="277" w:lineRule="exact"/>
            </w:pPr>
            <w:r>
              <w:t>3、景深：5-70mm</w:t>
            </w:r>
          </w:p>
          <w:p>
            <w:pPr>
              <w:pStyle w:val="95"/>
              <w:spacing w:before="15" w:line="277" w:lineRule="exact"/>
            </w:pPr>
            <w:r>
              <w:t>4、视场角：60°±15%</w:t>
            </w:r>
          </w:p>
          <w:p>
            <w:pPr>
              <w:pStyle w:val="95"/>
              <w:spacing w:before="15" w:line="277" w:lineRule="exact"/>
            </w:pPr>
            <w:r>
              <w:t>5、光照度：≥150Lux</w:t>
            </w:r>
          </w:p>
          <w:p>
            <w:pPr>
              <w:pStyle w:val="95"/>
              <w:spacing w:before="15" w:line="277" w:lineRule="exact"/>
            </w:pPr>
            <w:r>
              <w:t>6、分辨率：空间分辨率≥7lp/mm</w:t>
            </w:r>
          </w:p>
          <w:p>
            <w:pPr>
              <w:pStyle w:val="95"/>
              <w:spacing w:before="15" w:line="277" w:lineRule="exact"/>
            </w:pPr>
            <w:r>
              <w:t>7、显示器前后旋转角度：≥80°</w:t>
            </w:r>
          </w:p>
          <w:p>
            <w:pPr>
              <w:pStyle w:val="95"/>
              <w:spacing w:before="15" w:line="277" w:lineRule="exact"/>
            </w:pPr>
            <w:r>
              <w:t>8、显示器左右旋转角度：≥180°</w:t>
            </w:r>
          </w:p>
          <w:p>
            <w:pPr>
              <w:pStyle w:val="95"/>
              <w:spacing w:before="15" w:line="277" w:lineRule="exact"/>
            </w:pPr>
            <w:r>
              <w:t>9、电池：内置可充电电池，TYPE-C接口充电，通用USB接口充电</w:t>
            </w:r>
          </w:p>
          <w:p>
            <w:pPr>
              <w:pStyle w:val="95"/>
              <w:spacing w:before="15" w:line="277" w:lineRule="exact"/>
            </w:pPr>
            <w:r>
              <w:t>10、多媒体系统：主机内置多媒体系统，可一键实现拍照、录像、存储</w:t>
            </w:r>
          </w:p>
          <w:p>
            <w:pPr>
              <w:pStyle w:val="95"/>
              <w:spacing w:before="15" w:line="277" w:lineRule="exact"/>
            </w:pPr>
            <w:r>
              <w:t>11、存储： 标配16G，可升级</w:t>
            </w:r>
          </w:p>
          <w:p>
            <w:pPr>
              <w:pStyle w:val="95"/>
              <w:spacing w:before="15" w:line="277" w:lineRule="exact"/>
            </w:pPr>
            <w:r>
              <w:t>12、防水：操作手柄整体不可拆分，消毒更彻底</w:t>
            </w:r>
          </w:p>
          <w:p>
            <w:pPr>
              <w:pStyle w:val="95"/>
              <w:spacing w:before="15" w:line="277" w:lineRule="exact"/>
            </w:pPr>
            <w:r>
              <w:t>13、显示器：显示器可上下左右旋转，进入口腔更容易</w:t>
            </w:r>
          </w:p>
          <w:p>
            <w:pPr>
              <w:pStyle w:val="95"/>
              <w:spacing w:before="15" w:line="277" w:lineRule="exact"/>
            </w:pPr>
            <w:r>
              <w:t>14、</w:t>
            </w:r>
            <w:r>
              <w:rPr>
                <w:rFonts w:hint="eastAsia"/>
              </w:rPr>
              <w:t>电子喉镜片</w:t>
            </w:r>
            <w:r>
              <w:t>：成人、儿童、</w:t>
            </w:r>
            <w:r>
              <w:rPr>
                <w:rFonts w:hint="eastAsia"/>
              </w:rPr>
              <w:t>各一片。</w:t>
            </w:r>
          </w:p>
          <w:p>
            <w:pPr>
              <w:pStyle w:val="95"/>
              <w:spacing w:before="15" w:line="277" w:lineRule="exact"/>
            </w:pPr>
            <w:r>
              <w:t>15、</w:t>
            </w:r>
            <w:r>
              <w:rPr>
                <w:rFonts w:hint="eastAsia"/>
              </w:rPr>
              <w:t>提供</w:t>
            </w:r>
            <w:r>
              <w:t>成人、儿童</w:t>
            </w:r>
            <w:r>
              <w:rPr>
                <w:rFonts w:hint="eastAsia"/>
              </w:rPr>
              <w:t>各</w:t>
            </w:r>
            <w:r>
              <w:rPr>
                <w:rFonts w:hint="eastAsia"/>
                <w:lang w:val="en-US"/>
              </w:rPr>
              <w:t>50个</w:t>
            </w:r>
            <w:r>
              <w:t>一次性窥视片</w:t>
            </w:r>
            <w:r>
              <w:rPr>
                <w:rFonts w:hint="eastAsia"/>
              </w:rPr>
              <w:t>。</w:t>
            </w:r>
          </w:p>
          <w:p>
            <w:pPr>
              <w:pStyle w:val="95"/>
              <w:spacing w:before="15" w:line="277" w:lineRule="exact"/>
            </w:pPr>
            <w:r>
              <w:t>16、生物相容性：窥视片采用高强度医用材质，无刺激，无细胞毒性</w:t>
            </w:r>
          </w:p>
          <w:p>
            <w:pPr>
              <w:pStyle w:val="95"/>
              <w:spacing w:before="15" w:line="277" w:lineRule="exact"/>
            </w:pPr>
            <w:r>
              <w:t>17、热插拔：更换操作部无需关机，即插即用</w:t>
            </w:r>
          </w:p>
          <w:p>
            <w:pPr>
              <w:pStyle w:val="95"/>
              <w:spacing w:before="15" w:line="277" w:lineRule="exact"/>
            </w:pPr>
            <w:r>
              <w:t>18、承重：操作手柄一体化，稳定坚固，能承爱50N的轴向拉力</w:t>
            </w:r>
          </w:p>
          <w:p>
            <w:pPr>
              <w:pStyle w:val="95"/>
              <w:spacing w:before="15" w:line="277" w:lineRule="exact"/>
            </w:pPr>
            <w:r>
              <w:t>19、安全性：具备耐磨、防跌落、防泼洒性能，以满足特殊抢救环境使用</w:t>
            </w:r>
          </w:p>
          <w:p>
            <w:pPr>
              <w:pStyle w:val="95"/>
              <w:spacing w:before="15" w:line="277" w:lineRule="exact"/>
            </w:pPr>
            <w:r>
              <w:t>20、便捷操作：手柄与主机之间的连接方式采用旋转插拔，利于快速插管和临床抢救</w:t>
            </w:r>
          </w:p>
          <w:p>
            <w:pPr>
              <w:pStyle w:val="95"/>
              <w:spacing w:before="15" w:line="277" w:lineRule="exact"/>
            </w:pPr>
            <w:r>
              <w:rPr>
                <w:rFonts w:hint="eastAsia"/>
              </w:rPr>
              <w:t>二、功能参数：</w:t>
            </w:r>
          </w:p>
          <w:p>
            <w:pPr>
              <w:pStyle w:val="95"/>
              <w:spacing w:before="15" w:line="277" w:lineRule="exact"/>
            </w:pPr>
            <w:r>
              <w:t>1、电量续航：低功耗设计，配备大容量电池，续航时间大于2.5小时</w:t>
            </w:r>
          </w:p>
          <w:p>
            <w:pPr>
              <w:pStyle w:val="95"/>
              <w:spacing w:before="15" w:line="277" w:lineRule="exact"/>
            </w:pPr>
            <w:r>
              <w:t>2、智能除雾：镜片前端采用智能温控系统，以实现即时防雾功能，开机即用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7" w:line="275" w:lineRule="exact"/>
              <w:ind w:left="107"/>
              <w:jc w:val="center"/>
            </w:pPr>
            <w:r>
              <w:t>血压计（水银）</w:t>
            </w:r>
          </w:p>
        </w:tc>
        <w:tc>
          <w:tcPr>
            <w:tcW w:w="7648" w:type="dxa"/>
          </w:tcPr>
          <w:p>
            <w:pPr>
              <w:pStyle w:val="95"/>
              <w:spacing w:before="16" w:line="276" w:lineRule="exact"/>
            </w:pPr>
            <w:r>
              <w:rPr>
                <w:rFonts w:hint="eastAsia"/>
              </w:rPr>
              <w:t>1</w:t>
            </w:r>
            <w:r>
              <w:t>、带</w:t>
            </w:r>
            <w:r>
              <w:rPr>
                <w:rFonts w:hint="eastAsia"/>
              </w:rPr>
              <w:t>有自动开关，无需倾斜，无需手动开关</w:t>
            </w:r>
          </w:p>
          <w:p>
            <w:pPr>
              <w:pStyle w:val="95"/>
              <w:spacing w:before="16" w:line="276" w:lineRule="exact"/>
            </w:pPr>
            <w:r>
              <w:rPr>
                <w:rFonts w:hint="eastAsia"/>
              </w:rPr>
              <w:t>2、</w:t>
            </w:r>
            <w:r>
              <w:t>主要性能指标：测量范围</w:t>
            </w:r>
            <w:r>
              <w:rPr>
                <w:rFonts w:hint="eastAsia"/>
              </w:rPr>
              <w:t>0</w:t>
            </w:r>
            <w:r>
              <w:t>-40kPa(0-300mmHg)</w:t>
            </w:r>
          </w:p>
          <w:p>
            <w:pPr>
              <w:pStyle w:val="95"/>
              <w:spacing w:before="16" w:line="276" w:lineRule="exact"/>
            </w:pPr>
            <w:r>
              <w:rPr>
                <w:rFonts w:hint="eastAsia"/>
                <w:lang w:val="en-US"/>
              </w:rPr>
              <w:t>3、</w:t>
            </w:r>
            <w:r>
              <w:t>最小分度值</w:t>
            </w:r>
            <w:r>
              <w:rPr>
                <w:rFonts w:hint="eastAsia"/>
              </w:rPr>
              <w:t>为0</w:t>
            </w:r>
            <w:r>
              <w:t>.5kPa(2mmHg)</w:t>
            </w:r>
          </w:p>
          <w:p>
            <w:pPr>
              <w:pStyle w:val="95"/>
              <w:spacing w:before="17" w:line="275" w:lineRule="exact"/>
            </w:pPr>
            <w:r>
              <w:rPr>
                <w:rFonts w:hint="eastAsia"/>
                <w:lang w:val="en-US"/>
              </w:rPr>
              <w:t>4、</w:t>
            </w:r>
            <w:r>
              <w:t>最大允许误差为±0.5kPa(±3.75mmHg)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line="276" w:lineRule="exact"/>
              <w:ind w:left="107"/>
              <w:jc w:val="center"/>
            </w:pPr>
            <w:r>
              <w:t>空气消毒机</w:t>
            </w:r>
          </w:p>
        </w:tc>
        <w:tc>
          <w:tcPr>
            <w:tcW w:w="7648" w:type="dxa"/>
          </w:tcPr>
          <w:p>
            <w:pPr>
              <w:pStyle w:val="95"/>
              <w:spacing w:before="15" w:line="277" w:lineRule="exact"/>
              <w:ind w:left="47" w:right="38"/>
              <w:rPr>
                <w:lang w:val="en-US"/>
              </w:rPr>
            </w:pPr>
            <w:r>
              <w:rPr>
                <w:lang w:val="en-US"/>
              </w:rPr>
              <w:t>1</w:t>
            </w:r>
            <w:r>
              <w:rPr>
                <w:rFonts w:hint="eastAsia"/>
                <w:lang w:val="en-US"/>
              </w:rPr>
              <w:t>、</w:t>
            </w:r>
            <w:r>
              <w:rPr>
                <w:lang w:val="en-US"/>
              </w:rPr>
              <w:t>类型：</w:t>
            </w:r>
            <w:r>
              <w:rPr>
                <w:rFonts w:hint="eastAsia"/>
                <w:lang w:val="en-US"/>
              </w:rPr>
              <w:t>壁挂</w:t>
            </w:r>
            <w:r>
              <w:rPr>
                <w:lang w:val="en-US"/>
              </w:rPr>
              <w:t>式</w:t>
            </w:r>
          </w:p>
          <w:p>
            <w:pPr>
              <w:pStyle w:val="95"/>
              <w:spacing w:before="15" w:line="277" w:lineRule="exact"/>
              <w:ind w:left="47" w:right="38"/>
              <w:rPr>
                <w:lang w:val="en-US"/>
              </w:rPr>
            </w:pPr>
            <w:r>
              <w:rPr>
                <w:lang w:val="en-US"/>
              </w:rPr>
              <w:t>2</w:t>
            </w:r>
            <w:r>
              <w:rPr>
                <w:rFonts w:hint="eastAsia"/>
                <w:lang w:val="en-US"/>
              </w:rPr>
              <w:t>、</w:t>
            </w:r>
            <w:r>
              <w:rPr>
                <w:lang w:val="en-US"/>
              </w:rPr>
              <w:t>适用环境：动态环境及静态环境</w:t>
            </w:r>
          </w:p>
          <w:p>
            <w:pPr>
              <w:pStyle w:val="95"/>
              <w:spacing w:before="15" w:line="277" w:lineRule="exact"/>
              <w:ind w:left="47" w:right="38"/>
              <w:rPr>
                <w:lang w:val="en-US"/>
              </w:rPr>
            </w:pPr>
            <w:r>
              <w:rPr>
                <w:lang w:val="en-US"/>
              </w:rPr>
              <w:t>3</w:t>
            </w:r>
            <w:r>
              <w:rPr>
                <w:rFonts w:hint="eastAsia"/>
                <w:lang w:val="en-US"/>
              </w:rPr>
              <w:t>、</w:t>
            </w:r>
            <w:r>
              <w:rPr>
                <w:lang w:val="en-US"/>
              </w:rPr>
              <w:t>适用房间体积：</w:t>
            </w:r>
            <w:r>
              <w:rPr>
                <w:rFonts w:hint="eastAsia"/>
                <w:lang w:val="en-US"/>
              </w:rPr>
              <w:t xml:space="preserve"> ≥100</w:t>
            </w:r>
            <w:r>
              <w:rPr>
                <w:rFonts w:hint="eastAsia"/>
              </w:rPr>
              <w:t>m³</w:t>
            </w:r>
            <w:r>
              <w:rPr>
                <w:rFonts w:hint="eastAsia"/>
                <w:lang w:val="en-US"/>
              </w:rPr>
              <w:t xml:space="preserve">       </w:t>
            </w:r>
          </w:p>
          <w:p>
            <w:pPr>
              <w:pStyle w:val="95"/>
              <w:spacing w:before="15" w:line="277" w:lineRule="exact"/>
              <w:ind w:left="47" w:right="38"/>
              <w:rPr>
                <w:lang w:val="en-US"/>
              </w:rPr>
            </w:pPr>
            <w:r>
              <w:rPr>
                <w:lang w:val="en-US"/>
              </w:rPr>
              <w:t>4</w:t>
            </w:r>
            <w:r>
              <w:rPr>
                <w:rFonts w:hint="eastAsia"/>
                <w:lang w:val="en-US"/>
              </w:rPr>
              <w:t>、</w:t>
            </w:r>
            <w:r>
              <w:rPr>
                <w:lang w:val="en-US"/>
              </w:rPr>
              <w:t>工作电源：220V  50HZ±1HZ</w:t>
            </w:r>
          </w:p>
          <w:p>
            <w:pPr>
              <w:pStyle w:val="95"/>
              <w:spacing w:before="15" w:line="277" w:lineRule="exact"/>
              <w:ind w:left="47" w:right="38"/>
              <w:rPr>
                <w:lang w:val="en-US"/>
              </w:rPr>
            </w:pPr>
            <w:r>
              <w:rPr>
                <w:lang w:val="en-US"/>
              </w:rPr>
              <w:t>5</w:t>
            </w:r>
            <w:r>
              <w:rPr>
                <w:rFonts w:hint="eastAsia"/>
                <w:lang w:val="en-US"/>
              </w:rPr>
              <w:t>、额定</w:t>
            </w:r>
            <w:r>
              <w:rPr>
                <w:lang w:val="en-US"/>
              </w:rPr>
              <w:t>功率：</w:t>
            </w:r>
            <w:r>
              <w:rPr>
                <w:rFonts w:hint="eastAsia"/>
                <w:lang w:val="en-US"/>
              </w:rPr>
              <w:t xml:space="preserve"> </w:t>
            </w:r>
            <w:r>
              <w:rPr>
                <w:lang w:val="en-US"/>
              </w:rPr>
              <w:t>≤</w:t>
            </w:r>
            <w:r>
              <w:rPr>
                <w:rFonts w:hint="eastAsia"/>
                <w:lang w:val="en-US"/>
              </w:rPr>
              <w:t>100</w:t>
            </w:r>
            <w:r>
              <w:rPr>
                <w:lang w:val="en-US"/>
              </w:rPr>
              <w:t>W</w:t>
            </w:r>
          </w:p>
          <w:p>
            <w:pPr>
              <w:pStyle w:val="95"/>
              <w:spacing w:before="15" w:line="277" w:lineRule="exact"/>
              <w:ind w:left="47" w:right="38"/>
              <w:rPr>
                <w:lang w:val="en-US"/>
              </w:rPr>
            </w:pPr>
            <w:r>
              <w:rPr>
                <w:lang w:val="en-US"/>
              </w:rPr>
              <w:t>6</w:t>
            </w:r>
            <w:r>
              <w:rPr>
                <w:rFonts w:hint="eastAsia"/>
                <w:lang w:val="en-US"/>
              </w:rPr>
              <w:t>、保险丝</w:t>
            </w:r>
            <w:r>
              <w:rPr>
                <w:lang w:val="en-US"/>
              </w:rPr>
              <w:t>：</w:t>
            </w:r>
            <w:r>
              <w:rPr>
                <w:rFonts w:hint="eastAsia"/>
                <w:lang w:val="en-US"/>
              </w:rPr>
              <w:t>3A</w:t>
            </w:r>
          </w:p>
          <w:p>
            <w:pPr>
              <w:pStyle w:val="95"/>
              <w:spacing w:before="15" w:line="277" w:lineRule="exact"/>
              <w:ind w:left="47" w:right="38"/>
              <w:rPr>
                <w:lang w:val="en-US"/>
              </w:rPr>
            </w:pPr>
            <w:r>
              <w:rPr>
                <w:lang w:val="en-US"/>
              </w:rPr>
              <w:t>9</w:t>
            </w:r>
            <w:r>
              <w:rPr>
                <w:rFonts w:hint="eastAsia"/>
                <w:lang w:val="en-US"/>
              </w:rPr>
              <w:t>、</w:t>
            </w:r>
            <w:r>
              <w:rPr>
                <w:lang w:val="en-US"/>
              </w:rPr>
              <w:t>操作方式：人机同在、循环消毒、程序控制。</w:t>
            </w:r>
          </w:p>
          <w:p>
            <w:pPr>
              <w:pStyle w:val="95"/>
              <w:spacing w:before="15" w:line="277" w:lineRule="exact"/>
              <w:ind w:left="47" w:right="38"/>
              <w:rPr>
                <w:lang w:val="en-US"/>
              </w:rPr>
            </w:pPr>
            <w:r>
              <w:rPr>
                <w:lang w:val="en-US"/>
              </w:rPr>
              <w:t>10</w:t>
            </w:r>
            <w:r>
              <w:rPr>
                <w:rFonts w:hint="eastAsia"/>
                <w:lang w:val="en-US"/>
              </w:rPr>
              <w:t>、</w:t>
            </w:r>
            <w:r>
              <w:rPr>
                <w:lang w:val="en-US"/>
              </w:rPr>
              <w:t>消毒器无线遥控器能对开/关机、时间调节、风速调节进行控制，其无线遥控距离应不小于5M。</w:t>
            </w:r>
          </w:p>
          <w:p>
            <w:pPr>
              <w:pStyle w:val="95"/>
              <w:spacing w:before="15" w:line="277" w:lineRule="exact"/>
              <w:ind w:left="47" w:right="38"/>
              <w:rPr>
                <w:lang w:val="en-US"/>
              </w:rPr>
            </w:pPr>
            <w:r>
              <w:rPr>
                <w:lang w:val="en-US"/>
              </w:rPr>
              <w:t>11</w:t>
            </w:r>
            <w:r>
              <w:rPr>
                <w:rFonts w:hint="eastAsia"/>
                <w:lang w:val="en-US"/>
              </w:rPr>
              <w:t>、</w:t>
            </w:r>
            <w:r>
              <w:rPr>
                <w:lang w:val="en-US"/>
              </w:rPr>
              <w:t>定时：遥控器定时键可设置1-24小时步进量，按用户需要选择消毒时间。</w:t>
            </w:r>
          </w:p>
          <w:p>
            <w:pPr>
              <w:pStyle w:val="95"/>
              <w:spacing w:before="15" w:line="277" w:lineRule="exact"/>
              <w:ind w:left="47" w:right="38"/>
              <w:rPr>
                <w:lang w:val="en-US"/>
              </w:rPr>
            </w:pPr>
            <w:r>
              <w:rPr>
                <w:lang w:val="en-US"/>
              </w:rPr>
              <w:t>1</w:t>
            </w:r>
            <w:r>
              <w:rPr>
                <w:rFonts w:hint="eastAsia"/>
                <w:lang w:val="en-US"/>
              </w:rPr>
              <w:t>2、处理</w:t>
            </w:r>
            <w:r>
              <w:rPr>
                <w:lang w:val="en-US"/>
              </w:rPr>
              <w:t>风量：</w:t>
            </w:r>
            <w:r>
              <w:rPr>
                <w:rFonts w:hint="eastAsia"/>
                <w:lang w:val="en-US"/>
              </w:rPr>
              <w:t xml:space="preserve"> </w:t>
            </w:r>
            <w:r>
              <w:rPr>
                <w:lang w:val="en-US"/>
              </w:rPr>
              <w:t>＞</w:t>
            </w:r>
            <w:r>
              <w:rPr>
                <w:rFonts w:hint="eastAsia"/>
                <w:lang w:val="en-US"/>
              </w:rPr>
              <w:t>120</w:t>
            </w:r>
            <w:r>
              <w:rPr>
                <w:lang w:val="en-US"/>
              </w:rPr>
              <w:t>0m3/h</w:t>
            </w:r>
            <w:r>
              <w:rPr>
                <w:rFonts w:hint="eastAsia"/>
                <w:lang w:val="en-US"/>
              </w:rPr>
              <w:t>·</w:t>
            </w:r>
          </w:p>
          <w:p>
            <w:pPr>
              <w:pStyle w:val="95"/>
              <w:spacing w:before="15" w:line="277" w:lineRule="exact"/>
              <w:ind w:left="47" w:right="38"/>
              <w:rPr>
                <w:lang w:val="en-US"/>
              </w:rPr>
            </w:pPr>
            <w:r>
              <w:rPr>
                <w:lang w:val="en-US"/>
              </w:rPr>
              <w:t>1</w:t>
            </w:r>
            <w:r>
              <w:rPr>
                <w:rFonts w:hint="eastAsia"/>
                <w:lang w:val="en-US"/>
              </w:rPr>
              <w:t>3、</w:t>
            </w:r>
            <w:r>
              <w:rPr>
                <w:lang w:val="en-US"/>
              </w:rPr>
              <w:t>消毒器工作的噪声≤55db(A)</w:t>
            </w:r>
          </w:p>
          <w:p>
            <w:pPr>
              <w:pStyle w:val="95"/>
              <w:spacing w:before="15" w:line="277" w:lineRule="exact"/>
              <w:ind w:left="47" w:right="38"/>
              <w:rPr>
                <w:lang w:val="en-US"/>
              </w:rPr>
            </w:pPr>
            <w:r>
              <w:rPr>
                <w:lang w:val="en-US"/>
              </w:rPr>
              <w:t>1</w:t>
            </w:r>
            <w:r>
              <w:rPr>
                <w:rFonts w:hint="eastAsia"/>
                <w:lang w:val="en-US"/>
              </w:rPr>
              <w:t>4、紫外线泄露量：＜5μW/cm2</w:t>
            </w:r>
            <w:r>
              <w:rPr>
                <w:lang w:val="en-US"/>
              </w:rPr>
              <w:t>。</w:t>
            </w:r>
          </w:p>
          <w:p>
            <w:pPr>
              <w:pStyle w:val="95"/>
              <w:spacing w:before="15" w:line="277" w:lineRule="exact"/>
              <w:ind w:left="47" w:right="38"/>
              <w:rPr>
                <w:lang w:val="en-US"/>
              </w:rPr>
            </w:pPr>
            <w:r>
              <w:rPr>
                <w:rFonts w:hint="eastAsia"/>
                <w:lang w:val="en-US"/>
              </w:rPr>
              <w:t>15、负离子发生量:≥</w:t>
            </w:r>
            <w:r>
              <w:rPr>
                <w:lang w:val="en-US"/>
              </w:rPr>
              <w:t>3×107</w:t>
            </w:r>
            <w:r>
              <w:rPr>
                <w:rFonts w:hint="eastAsia"/>
                <w:lang w:val="en-US"/>
              </w:rPr>
              <w:t>个/m³。</w:t>
            </w:r>
          </w:p>
          <w:p>
            <w:pPr>
              <w:pStyle w:val="95"/>
              <w:spacing w:before="15" w:line="277" w:lineRule="exact"/>
              <w:ind w:left="47" w:right="38"/>
              <w:rPr>
                <w:lang w:val="en-US"/>
              </w:rPr>
            </w:pPr>
            <w:r>
              <w:rPr>
                <w:rFonts w:hint="eastAsia"/>
                <w:lang w:val="en-US"/>
              </w:rPr>
              <w:t>16、钣金壳体机身，抗菌耐腐蚀不发黄，采用上进风下出风循环风消毒。</w:t>
            </w:r>
          </w:p>
          <w:p>
            <w:pPr>
              <w:pStyle w:val="95"/>
              <w:spacing w:before="15" w:line="277" w:lineRule="exact"/>
              <w:ind w:left="47" w:right="38"/>
              <w:rPr>
                <w:lang w:val="en-US"/>
              </w:rPr>
            </w:pPr>
            <w:r>
              <w:rPr>
                <w:lang w:val="en-US"/>
              </w:rPr>
              <w:t>1</w:t>
            </w:r>
            <w:r>
              <w:rPr>
                <w:rFonts w:hint="eastAsia"/>
                <w:lang w:val="en-US"/>
              </w:rPr>
              <w:t>7、▲空气消毒效果：对额定适用体积内密闭房间空气的消毒效果实验中，机器高档风量工作2h，对自然菌的消亡率≥90%。（提供检测机构出具的检测报告）</w:t>
            </w:r>
          </w:p>
          <w:p>
            <w:pPr>
              <w:pStyle w:val="95"/>
              <w:spacing w:before="15" w:line="277" w:lineRule="exact"/>
              <w:ind w:left="47" w:right="38"/>
              <w:rPr>
                <w:lang w:val="en-US"/>
              </w:rPr>
            </w:pPr>
            <w:r>
              <w:rPr>
                <w:lang w:val="en-US"/>
              </w:rPr>
              <w:t>1</w:t>
            </w:r>
            <w:r>
              <w:rPr>
                <w:rFonts w:hint="eastAsia"/>
                <w:lang w:val="en-US"/>
              </w:rPr>
              <w:t>8、</w:t>
            </w:r>
            <w:r>
              <w:rPr>
                <w:lang w:val="en-US"/>
              </w:rPr>
              <w:t>消毒时空气中的臭氧量≤0.</w:t>
            </w:r>
            <w:r>
              <w:rPr>
                <w:rFonts w:hint="eastAsia"/>
                <w:lang w:val="en-US"/>
              </w:rPr>
              <w:t>0</w:t>
            </w:r>
            <w:r>
              <w:rPr>
                <w:lang w:val="en-US"/>
              </w:rPr>
              <w:t>1mg/m³。</w:t>
            </w:r>
            <w:r>
              <w:t>（提供检测机构出具的检测报告）</w:t>
            </w:r>
          </w:p>
          <w:p>
            <w:pPr>
              <w:pStyle w:val="95"/>
              <w:spacing w:before="15" w:line="277" w:lineRule="exact"/>
              <w:ind w:left="47" w:right="38"/>
              <w:rPr>
                <w:lang w:val="en-US"/>
              </w:rPr>
            </w:pPr>
            <w:r>
              <w:rPr>
                <w:lang w:val="en-US"/>
              </w:rPr>
              <w:t>1</w:t>
            </w:r>
            <w:r>
              <w:rPr>
                <w:rFonts w:hint="eastAsia"/>
                <w:lang w:val="en-US"/>
              </w:rPr>
              <w:t>9、紫外线灯管寿命≥5000小时</w:t>
            </w:r>
            <w:r>
              <w:rPr>
                <w:lang w:val="en-US"/>
              </w:rPr>
              <w:t>。</w:t>
            </w:r>
            <w:r>
              <w:rPr>
                <w:rFonts w:hint="eastAsia"/>
                <w:lang w:val="en-US"/>
              </w:rPr>
              <w:t xml:space="preserve">                   </w:t>
            </w:r>
          </w:p>
          <w:p>
            <w:pPr>
              <w:pStyle w:val="95"/>
              <w:spacing w:before="15" w:line="277" w:lineRule="exact"/>
              <w:ind w:left="47" w:right="38"/>
              <w:rPr>
                <w:lang w:val="en-US"/>
              </w:rPr>
            </w:pPr>
            <w:r>
              <w:rPr>
                <w:rFonts w:hint="eastAsia"/>
                <w:lang w:val="en-US"/>
              </w:rPr>
              <w:t>20、</w:t>
            </w:r>
            <w:r>
              <w:rPr>
                <w:lang w:val="en-US"/>
              </w:rPr>
              <w:t>有程控定时功能</w:t>
            </w:r>
            <w:r>
              <w:rPr>
                <w:rFonts w:hint="eastAsia"/>
                <w:lang w:val="en-US"/>
              </w:rPr>
              <w:t>，三时段定时，</w:t>
            </w:r>
            <w:r>
              <w:rPr>
                <w:lang w:val="en-US"/>
              </w:rPr>
              <w:t>可以预先设置好消毒器的关机时间</w:t>
            </w:r>
            <w:r>
              <w:rPr>
                <w:rFonts w:hint="eastAsia"/>
                <w:lang w:val="en-US"/>
              </w:rPr>
              <w:t>，</w:t>
            </w:r>
            <w:r>
              <w:rPr>
                <w:lang w:val="en-US"/>
              </w:rPr>
              <w:t>。</w:t>
            </w:r>
          </w:p>
          <w:p>
            <w:pPr>
              <w:pStyle w:val="95"/>
              <w:spacing w:before="15" w:line="277" w:lineRule="exact"/>
              <w:ind w:left="47" w:right="38"/>
              <w:rPr>
                <w:lang w:val="en-US"/>
              </w:rPr>
            </w:pPr>
            <w:r>
              <w:rPr>
                <w:rFonts w:hint="eastAsia"/>
                <w:lang w:val="en-US"/>
              </w:rPr>
              <w:t>21、</w:t>
            </w:r>
            <w:r>
              <w:rPr>
                <w:lang w:val="en-US"/>
              </w:rPr>
              <w:t>显示屏采用LED点阵背显功能，使亚克力面板和显示屏融为一体，应用多种图标变化，更能体现科技含量。</w:t>
            </w:r>
          </w:p>
          <w:p>
            <w:pPr>
              <w:pStyle w:val="95"/>
              <w:spacing w:before="15" w:line="277" w:lineRule="exact"/>
              <w:ind w:left="47" w:right="38"/>
              <w:rPr>
                <w:lang w:val="en-US"/>
              </w:rPr>
            </w:pPr>
            <w:r>
              <w:rPr>
                <w:lang w:val="en-US"/>
              </w:rPr>
              <w:t>2</w:t>
            </w:r>
            <w:r>
              <w:rPr>
                <w:rFonts w:hint="eastAsia"/>
                <w:lang w:val="en-US"/>
              </w:rPr>
              <w:t>2、</w:t>
            </w:r>
            <w:r>
              <w:rPr>
                <w:lang w:val="en-US"/>
              </w:rPr>
              <w:t>采用三挡风速：低、中、高。</w:t>
            </w:r>
          </w:p>
          <w:p>
            <w:pPr>
              <w:pStyle w:val="95"/>
              <w:spacing w:before="15"/>
              <w:rPr>
                <w:lang w:val="en-US"/>
              </w:rPr>
            </w:pPr>
            <w:r>
              <w:rPr>
                <w:lang w:val="en-US"/>
              </w:rPr>
              <w:t>2</w:t>
            </w:r>
            <w:r>
              <w:rPr>
                <w:rFonts w:hint="eastAsia"/>
                <w:lang w:val="en-US"/>
              </w:rPr>
              <w:t>3、采用循环风紫外线杀菌原理，集多种空气消毒净化方法（初效空气过滤除尘、中效空气过滤除尘除菌、活性碳过滤网、负离子净化空气）于一体排除洁净的新鲜空气，可以人机共处动态消毒</w:t>
            </w:r>
            <w:r>
              <w:rPr>
                <w:lang w:val="en-US"/>
              </w:rPr>
              <w:t>。</w:t>
            </w:r>
          </w:p>
          <w:p>
            <w:pPr>
              <w:pStyle w:val="95"/>
              <w:spacing w:before="15"/>
              <w:rPr>
                <w:lang w:val="en-US"/>
              </w:rPr>
            </w:pPr>
            <w:r>
              <w:rPr>
                <w:rFonts w:hint="eastAsia"/>
                <w:lang w:val="en-US"/>
              </w:rPr>
              <w:t>24、</w:t>
            </w:r>
            <w:r>
              <w:rPr>
                <w:rFonts w:hint="eastAsia"/>
              </w:rPr>
              <w:t>▲</w:t>
            </w:r>
            <w:r>
              <w:rPr>
                <w:rFonts w:hint="eastAsia"/>
                <w:lang w:val="en-US"/>
              </w:rPr>
              <w:t>具备消毒产品生产企业卫生许可证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95"/>
              <w:spacing w:before="16"/>
              <w:ind w:left="107"/>
              <w:jc w:val="center"/>
            </w:pPr>
            <w:r>
              <w:rPr>
                <w:spacing w:val="-3"/>
              </w:rPr>
              <w:t>便携式超低容量</w:t>
            </w:r>
          </w:p>
          <w:p>
            <w:pPr>
              <w:pStyle w:val="95"/>
              <w:spacing w:before="15"/>
              <w:ind w:left="107"/>
              <w:jc w:val="center"/>
            </w:pPr>
            <w:r>
              <w:rPr>
                <w:spacing w:val="-3"/>
              </w:rPr>
              <w:t>自动喷雾消毒器</w:t>
            </w:r>
          </w:p>
        </w:tc>
        <w:tc>
          <w:tcPr>
            <w:tcW w:w="7648" w:type="dxa"/>
          </w:tcPr>
          <w:p>
            <w:pPr>
              <w:pStyle w:val="95"/>
              <w:spacing w:before="31" w:line="275" w:lineRule="exact"/>
              <w:rPr>
                <w:spacing w:val="-3"/>
              </w:rPr>
            </w:pPr>
            <w:r>
              <w:rPr>
                <w:spacing w:val="-3"/>
              </w:rPr>
              <w:t xml:space="preserve">1、12A锂电高压泵+8代风筒(共用电） </w:t>
            </w:r>
          </w:p>
          <w:p>
            <w:pPr>
              <w:pStyle w:val="95"/>
              <w:spacing w:before="31" w:line="275" w:lineRule="exact"/>
              <w:rPr>
                <w:spacing w:val="-3"/>
              </w:rPr>
            </w:pPr>
            <w:r>
              <w:rPr>
                <w:spacing w:val="-3"/>
              </w:rPr>
              <w:t xml:space="preserve">2、纯铜电机 均匀雾化 </w:t>
            </w:r>
          </w:p>
          <w:p>
            <w:pPr>
              <w:pStyle w:val="95"/>
              <w:spacing w:before="31" w:line="275" w:lineRule="exact"/>
              <w:rPr>
                <w:spacing w:val="-3"/>
              </w:rPr>
            </w:pPr>
            <w:r>
              <w:rPr>
                <w:spacing w:val="-3"/>
              </w:rPr>
              <w:t xml:space="preserve">3、6孔雾化喷头 增压涡扇 可更换电池 </w:t>
            </w:r>
          </w:p>
          <w:p>
            <w:pPr>
              <w:pStyle w:val="95"/>
              <w:spacing w:before="31" w:line="275" w:lineRule="exact"/>
              <w:rPr>
                <w:spacing w:val="-3"/>
              </w:rPr>
            </w:pPr>
            <w:r>
              <w:rPr>
                <w:spacing w:val="-3"/>
              </w:rPr>
              <w:t xml:space="preserve">4、可喷射6-8米 </w:t>
            </w:r>
          </w:p>
          <w:p>
            <w:pPr>
              <w:pStyle w:val="95"/>
              <w:spacing w:before="15"/>
            </w:pPr>
            <w:r>
              <w:rPr>
                <w:spacing w:val="-3"/>
              </w:rPr>
              <w:t>5、加厚加密PP材质 抗压耐摔 不易老化</w:t>
            </w:r>
          </w:p>
        </w:tc>
      </w:tr>
    </w:tbl>
    <w:p>
      <w:pPr>
        <w:pStyle w:val="13"/>
      </w:pPr>
    </w:p>
    <w:p>
      <w:pPr>
        <w:numPr>
          <w:ilvl w:val="0"/>
          <w:numId w:val="11"/>
        </w:numPr>
        <w:spacing w:line="360" w:lineRule="auto"/>
        <w:ind w:firstLine="442" w:firstLineChars="200"/>
        <w:rPr>
          <w:rFonts w:ascii="宋体" w:hAnsi="宋体" w:eastAsia="宋体" w:cs="宋体"/>
          <w:b/>
          <w:bCs/>
          <w:sz w:val="22"/>
          <w:szCs w:val="22"/>
        </w:rPr>
      </w:pPr>
      <w:r>
        <w:rPr>
          <w:rFonts w:hint="eastAsia" w:ascii="宋体" w:hAnsi="宋体" w:eastAsia="宋体" w:cs="宋体"/>
          <w:b/>
          <w:bCs/>
          <w:sz w:val="22"/>
          <w:szCs w:val="22"/>
        </w:rPr>
        <w:t>▲招标文件中所列的参数、描述，是为了对拟投标的产品的技术指标和功能要求更好的说明，供应商所投产品必须符合国家医疗标准、行业标准，行政主管部门对产品销售的强制性规定等，否则做无效投标处理，欢迎能满足本项目技术需求、性能的产品参加。</w:t>
      </w:r>
    </w:p>
    <w:p>
      <w:pPr>
        <w:spacing w:line="360" w:lineRule="auto"/>
        <w:rPr>
          <w:rFonts w:ascii="宋体" w:hAnsi="宋体" w:eastAsia="宋体" w:cs="宋体"/>
          <w:b/>
          <w:bCs/>
          <w:sz w:val="22"/>
          <w:szCs w:val="22"/>
        </w:rPr>
      </w:pPr>
      <w:r>
        <w:rPr>
          <w:rFonts w:hint="eastAsia" w:ascii="宋体" w:hAnsi="宋体" w:eastAsia="宋体" w:cs="宋体"/>
          <w:b/>
          <w:bCs/>
          <w:sz w:val="22"/>
          <w:szCs w:val="22"/>
        </w:rPr>
        <w:t>四、商务条款</w:t>
      </w:r>
    </w:p>
    <w:p>
      <w:pPr>
        <w:spacing w:before="103" w:line="222" w:lineRule="auto"/>
        <w:ind w:left="249"/>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1</w:t>
      </w:r>
      <w:r>
        <w:rPr>
          <w:rFonts w:ascii="宋体" w:hAnsi="宋体" w:eastAsia="宋体" w:cs="宋体"/>
          <w:spacing w:val="-1"/>
          <w:sz w:val="22"/>
          <w:szCs w:val="22"/>
          <w14:textOutline w14:w="4013" w14:cap="sq" w14:cmpd="sng" w14:algn="ctr">
            <w14:solidFill>
              <w14:srgbClr w14:val="000000"/>
            </w14:solidFill>
            <w14:prstDash w14:val="solid"/>
            <w14:bevel/>
          </w14:textOutline>
        </w:rPr>
        <w:t>.</w:t>
      </w:r>
      <w:r>
        <w:rPr>
          <w:rFonts w:ascii="宋体" w:hAnsi="宋体" w:eastAsia="宋体" w:cs="宋体"/>
          <w:spacing w:val="-1"/>
          <w:sz w:val="22"/>
          <w:szCs w:val="22"/>
        </w:rPr>
        <w:t xml:space="preserve"> </w:t>
      </w:r>
      <w:r>
        <w:rPr>
          <w:rFonts w:ascii="宋体" w:hAnsi="宋体" w:eastAsia="宋体" w:cs="宋体"/>
          <w:spacing w:val="-1"/>
          <w:sz w:val="22"/>
          <w:szCs w:val="22"/>
          <w14:textOutline w14:w="4013" w14:cap="sq" w14:cmpd="sng" w14:algn="ctr">
            <w14:solidFill>
              <w14:srgbClr w14:val="000000"/>
            </w14:solidFill>
            <w14:prstDash w14:val="solid"/>
            <w14:bevel/>
          </w14:textOutline>
        </w:rPr>
        <w:t>质保期</w:t>
      </w:r>
    </w:p>
    <w:p>
      <w:pPr>
        <w:spacing w:before="118" w:line="318" w:lineRule="auto"/>
        <w:ind w:left="20" w:right="3" w:firstLine="228"/>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
          <w:sz w:val="22"/>
          <w:szCs w:val="22"/>
        </w:rPr>
        <w:t>.</w:t>
      </w:r>
      <w:r>
        <w:rPr>
          <w:rFonts w:ascii="宋体" w:hAnsi="宋体" w:eastAsia="宋体" w:cs="宋体"/>
          <w:spacing w:val="3"/>
          <w:sz w:val="22"/>
          <w:szCs w:val="22"/>
        </w:rPr>
        <w:t>1 本项目质保</w:t>
      </w:r>
      <w:r>
        <w:rPr>
          <w:rFonts w:hint="eastAsia" w:ascii="宋体" w:hAnsi="宋体" w:eastAsia="宋体" w:cs="宋体"/>
          <w:spacing w:val="3"/>
          <w:sz w:val="22"/>
          <w:szCs w:val="22"/>
        </w:rPr>
        <w:t>至少二</w:t>
      </w:r>
      <w:r>
        <w:rPr>
          <w:rFonts w:ascii="宋体" w:hAnsi="宋体" w:eastAsia="宋体" w:cs="宋体"/>
          <w:spacing w:val="3"/>
          <w:sz w:val="22"/>
          <w:szCs w:val="22"/>
        </w:rPr>
        <w:t>年，质量保证期内因产品本身缺陷 (非人为因素) 造成各种故</w:t>
      </w:r>
      <w:r>
        <w:rPr>
          <w:rFonts w:ascii="宋体" w:hAnsi="宋体" w:eastAsia="宋体" w:cs="宋体"/>
          <w:spacing w:val="4"/>
          <w:sz w:val="22"/>
          <w:szCs w:val="22"/>
        </w:rPr>
        <w:t>障应由</w:t>
      </w:r>
      <w:r>
        <w:rPr>
          <w:rFonts w:ascii="宋体" w:hAnsi="宋体" w:eastAsia="宋体" w:cs="宋体"/>
          <w:spacing w:val="3"/>
          <w:sz w:val="22"/>
          <w:szCs w:val="22"/>
        </w:rPr>
        <w:t>中</w:t>
      </w:r>
      <w:r>
        <w:rPr>
          <w:rFonts w:ascii="宋体" w:hAnsi="宋体" w:eastAsia="宋体" w:cs="宋体"/>
          <w:spacing w:val="2"/>
          <w:sz w:val="22"/>
          <w:szCs w:val="22"/>
        </w:rPr>
        <w:t>标(成交)方免费技术服务和维修。</w:t>
      </w:r>
    </w:p>
    <w:p>
      <w:pPr>
        <w:spacing w:line="220" w:lineRule="auto"/>
        <w:ind w:left="249"/>
        <w:rPr>
          <w:rFonts w:ascii="宋体" w:hAnsi="宋体" w:eastAsia="宋体" w:cs="宋体"/>
          <w:sz w:val="22"/>
          <w:szCs w:val="22"/>
        </w:rPr>
      </w:pPr>
      <w:r>
        <w:rPr>
          <w:rFonts w:ascii="宋体" w:hAnsi="宋体" w:eastAsia="宋体" w:cs="宋体"/>
          <w:spacing w:val="4"/>
          <w:sz w:val="22"/>
          <w:szCs w:val="22"/>
        </w:rPr>
        <w:t xml:space="preserve">1.2 </w:t>
      </w:r>
      <w:r>
        <w:rPr>
          <w:rFonts w:ascii="宋体" w:hAnsi="宋体" w:eastAsia="宋体" w:cs="宋体"/>
          <w:spacing w:val="3"/>
          <w:sz w:val="22"/>
          <w:szCs w:val="22"/>
        </w:rPr>
        <w:t>供</w:t>
      </w:r>
      <w:r>
        <w:rPr>
          <w:rFonts w:ascii="宋体" w:hAnsi="宋体" w:eastAsia="宋体" w:cs="宋体"/>
          <w:spacing w:val="2"/>
          <w:sz w:val="22"/>
          <w:szCs w:val="22"/>
        </w:rPr>
        <w:t>应商在响应文件中说明保质期内提供的服务计划。</w:t>
      </w:r>
    </w:p>
    <w:p>
      <w:pPr>
        <w:spacing w:before="120" w:line="318" w:lineRule="auto"/>
        <w:ind w:left="13" w:right="2" w:firstLine="235"/>
        <w:rPr>
          <w:rFonts w:ascii="宋体" w:hAnsi="宋体" w:eastAsia="宋体" w:cs="宋体"/>
          <w:sz w:val="22"/>
          <w:szCs w:val="22"/>
        </w:rPr>
      </w:pPr>
      <w:r>
        <w:rPr>
          <w:rFonts w:ascii="宋体" w:hAnsi="宋体" w:eastAsia="宋体" w:cs="宋体"/>
          <w:spacing w:val="1"/>
          <w:sz w:val="22"/>
          <w:szCs w:val="22"/>
        </w:rPr>
        <w:t>1.3 质量保修期内，要求供应商7×24小时电话响应技术咨询</w:t>
      </w:r>
      <w:r>
        <w:rPr>
          <w:rFonts w:ascii="宋体" w:hAnsi="宋体" w:eastAsia="宋体" w:cs="宋体"/>
          <w:sz w:val="22"/>
          <w:szCs w:val="22"/>
        </w:rPr>
        <w:t>；除非招标文件另有规定，供应商</w:t>
      </w:r>
      <w:r>
        <w:rPr>
          <w:rFonts w:ascii="宋体" w:hAnsi="宋体" w:eastAsia="宋体" w:cs="宋体"/>
          <w:spacing w:val="6"/>
          <w:sz w:val="22"/>
          <w:szCs w:val="22"/>
        </w:rPr>
        <w:t>须</w:t>
      </w:r>
      <w:r>
        <w:rPr>
          <w:rFonts w:ascii="宋体" w:hAnsi="宋体" w:eastAsia="宋体" w:cs="宋体"/>
          <w:spacing w:val="4"/>
          <w:sz w:val="22"/>
          <w:szCs w:val="22"/>
        </w:rPr>
        <w:t>在</w:t>
      </w:r>
      <w:r>
        <w:rPr>
          <w:rFonts w:ascii="宋体" w:hAnsi="宋体" w:eastAsia="宋体" w:cs="宋体"/>
          <w:spacing w:val="3"/>
          <w:sz w:val="22"/>
          <w:szCs w:val="22"/>
        </w:rPr>
        <w:t>接到采购人维修要求电话后，12小时内派技术人员到现场维修。</w:t>
      </w:r>
    </w:p>
    <w:p>
      <w:pPr>
        <w:spacing w:line="220" w:lineRule="auto"/>
        <w:ind w:left="249"/>
        <w:rPr>
          <w:rFonts w:ascii="宋体" w:hAnsi="宋体" w:eastAsia="宋体" w:cs="宋体"/>
          <w:sz w:val="22"/>
          <w:szCs w:val="22"/>
        </w:rPr>
      </w:pPr>
      <w:r>
        <w:rPr>
          <w:rFonts w:ascii="宋体" w:hAnsi="宋体" w:eastAsia="宋体" w:cs="宋体"/>
          <w:spacing w:val="4"/>
          <w:sz w:val="22"/>
          <w:szCs w:val="22"/>
        </w:rPr>
        <w:t>1.4 中</w:t>
      </w:r>
      <w:r>
        <w:rPr>
          <w:rFonts w:ascii="宋体" w:hAnsi="宋体" w:eastAsia="宋体" w:cs="宋体"/>
          <w:spacing w:val="3"/>
          <w:sz w:val="22"/>
          <w:szCs w:val="22"/>
        </w:rPr>
        <w:t>标</w:t>
      </w:r>
      <w:r>
        <w:rPr>
          <w:rFonts w:ascii="宋体" w:hAnsi="宋体" w:eastAsia="宋体" w:cs="宋体"/>
          <w:spacing w:val="2"/>
          <w:sz w:val="22"/>
          <w:szCs w:val="22"/>
        </w:rPr>
        <w:t xml:space="preserve"> (成交) 供应商在免费质保期内提供免费的维护工作。</w:t>
      </w:r>
    </w:p>
    <w:p>
      <w:pPr>
        <w:spacing w:before="119" w:line="222" w:lineRule="auto"/>
        <w:ind w:left="235"/>
        <w:rPr>
          <w:rFonts w:ascii="宋体" w:hAnsi="宋体" w:eastAsia="宋体" w:cs="宋体"/>
          <w:sz w:val="22"/>
          <w:szCs w:val="22"/>
        </w:rPr>
      </w:pPr>
      <w:r>
        <w:rPr>
          <w:rFonts w:ascii="宋体" w:hAnsi="宋体" w:eastAsia="宋体" w:cs="宋体"/>
          <w:spacing w:val="2"/>
          <w:sz w:val="22"/>
          <w:szCs w:val="22"/>
          <w14:textOutline w14:w="4013" w14:cap="sq" w14:cmpd="sng" w14:algn="ctr">
            <w14:solidFill>
              <w14:srgbClr w14:val="000000"/>
            </w14:solidFill>
            <w14:prstDash w14:val="solid"/>
            <w14:bevel/>
          </w14:textOutline>
        </w:rPr>
        <w:t>2.</w:t>
      </w:r>
      <w:r>
        <w:rPr>
          <w:rFonts w:ascii="宋体" w:hAnsi="宋体" w:eastAsia="宋体" w:cs="宋体"/>
          <w:spacing w:val="2"/>
          <w:sz w:val="22"/>
          <w:szCs w:val="22"/>
        </w:rPr>
        <w:t xml:space="preserve"> </w:t>
      </w:r>
      <w:r>
        <w:rPr>
          <w:rFonts w:ascii="宋体" w:hAnsi="宋体" w:eastAsia="宋体" w:cs="宋体"/>
          <w:spacing w:val="2"/>
          <w:sz w:val="22"/>
          <w:szCs w:val="22"/>
          <w14:textOutline w14:w="4013" w14:cap="sq" w14:cmpd="sng" w14:algn="ctr">
            <w14:solidFill>
              <w14:srgbClr w14:val="000000"/>
            </w14:solidFill>
            <w14:prstDash w14:val="solid"/>
            <w14:bevel/>
          </w14:textOutline>
        </w:rPr>
        <w:t>培训</w:t>
      </w:r>
      <w:r>
        <w:rPr>
          <w:rFonts w:ascii="宋体" w:hAnsi="宋体" w:eastAsia="宋体" w:cs="宋体"/>
          <w:spacing w:val="1"/>
          <w:sz w:val="22"/>
          <w:szCs w:val="22"/>
          <w14:textOutline w14:w="4013" w14:cap="sq" w14:cmpd="sng" w14:algn="ctr">
            <w14:solidFill>
              <w14:srgbClr w14:val="000000"/>
            </w14:solidFill>
            <w14:prstDash w14:val="solid"/>
            <w14:bevel/>
          </w14:textOutline>
        </w:rPr>
        <w:t>计划</w:t>
      </w:r>
    </w:p>
    <w:p>
      <w:pPr>
        <w:spacing w:before="115" w:line="220" w:lineRule="auto"/>
        <w:ind w:left="235"/>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.1 中标 (成交) 供应商有义务对采购人采购设备的正常使用和维护提供必要的培训。</w:t>
      </w:r>
    </w:p>
    <w:p>
      <w:pPr>
        <w:spacing w:before="117" w:line="219" w:lineRule="auto"/>
        <w:ind w:left="235"/>
      </w:pPr>
      <w:r>
        <w:rPr>
          <w:rFonts w:ascii="宋体" w:hAnsi="宋体" w:eastAsia="宋体" w:cs="宋体"/>
          <w:spacing w:val="4"/>
          <w:sz w:val="22"/>
          <w:szCs w:val="22"/>
        </w:rPr>
        <w:t xml:space="preserve">2.2 </w:t>
      </w:r>
      <w:r>
        <w:rPr>
          <w:rFonts w:ascii="宋体" w:hAnsi="宋体" w:eastAsia="宋体" w:cs="宋体"/>
          <w:spacing w:val="2"/>
          <w:sz w:val="22"/>
          <w:szCs w:val="22"/>
        </w:rPr>
        <w:t>旨在提供更好的其他方式培训。</w:t>
      </w:r>
    </w:p>
    <w:p>
      <w:pPr>
        <w:autoSpaceDE w:val="0"/>
        <w:autoSpaceDN w:val="0"/>
        <w:adjustRightInd w:val="0"/>
        <w:snapToGrid w:val="0"/>
        <w:spacing w:line="360" w:lineRule="auto"/>
        <w:ind w:firstLine="440" w:firstLineChars="200"/>
        <w:textAlignment w:val="bottom"/>
        <w:rPr>
          <w:sz w:val="22"/>
          <w:szCs w:val="22"/>
        </w:rPr>
      </w:pPr>
      <w:r>
        <w:rPr>
          <w:rFonts w:hint="eastAsia" w:eastAsia="宋体"/>
          <w:sz w:val="22"/>
          <w:szCs w:val="22"/>
        </w:rPr>
        <w:t>3</w:t>
      </w:r>
      <w:r>
        <w:rPr>
          <w:rFonts w:hint="eastAsia"/>
          <w:sz w:val="22"/>
          <w:szCs w:val="22"/>
        </w:rPr>
        <w:t>．▲付款方式</w:t>
      </w:r>
      <w:r>
        <w:rPr>
          <w:rFonts w:hint="eastAsia" w:ascii="宋体" w:hAnsi="宋体" w:cs="宋体"/>
          <w:bCs/>
          <w:sz w:val="22"/>
        </w:rPr>
        <w:t>（由代建单位支付货款）</w:t>
      </w:r>
    </w:p>
    <w:p>
      <w:pPr>
        <w:autoSpaceDE w:val="0"/>
        <w:autoSpaceDN w:val="0"/>
        <w:adjustRightInd w:val="0"/>
        <w:snapToGrid w:val="0"/>
        <w:spacing w:line="360" w:lineRule="auto"/>
        <w:ind w:firstLine="440" w:firstLineChars="200"/>
        <w:textAlignment w:val="bottom"/>
        <w:rPr>
          <w:rFonts w:ascii="宋体" w:hAnsi="宋体" w:cs="宋体"/>
          <w:bCs/>
          <w:sz w:val="22"/>
        </w:rPr>
      </w:pPr>
      <w:r>
        <w:rPr>
          <w:rFonts w:hint="eastAsia"/>
          <w:sz w:val="22"/>
          <w:szCs w:val="22"/>
        </w:rPr>
        <w:t>1）</w:t>
      </w:r>
      <w:r>
        <w:rPr>
          <w:rFonts w:hint="eastAsia"/>
          <w:color w:val="000000"/>
          <w:sz w:val="22"/>
          <w:szCs w:val="22"/>
        </w:rPr>
        <w:t>供应商货物供应完毕并</w:t>
      </w:r>
      <w:r>
        <w:rPr>
          <w:rFonts w:hint="eastAsia" w:ascii="宋体" w:hAnsi="宋体" w:cs="宋体"/>
          <w:bCs/>
          <w:sz w:val="22"/>
        </w:rPr>
        <w:t>安装调试合格</w:t>
      </w:r>
      <w:r>
        <w:rPr>
          <w:rFonts w:hint="eastAsia"/>
          <w:color w:val="000000"/>
          <w:sz w:val="22"/>
          <w:szCs w:val="22"/>
        </w:rPr>
        <w:t>，经</w:t>
      </w:r>
      <w:r>
        <w:rPr>
          <w:rFonts w:hint="eastAsia" w:ascii="宋体" w:hAnsi="宋体" w:cs="宋体"/>
          <w:bCs/>
          <w:sz w:val="22"/>
        </w:rPr>
        <w:t>采购单位验收合格后15个工作日内支付全部货物总价金额的90％，履约验收合格后满</w:t>
      </w:r>
      <w:r>
        <w:rPr>
          <w:rFonts w:hint="eastAsia" w:ascii="宋体" w:hAnsi="宋体" w:cs="宋体"/>
          <w:bCs/>
          <w:sz w:val="22"/>
          <w:lang w:val="en-US" w:eastAsia="zh-CN"/>
        </w:rPr>
        <w:t>12</w:t>
      </w:r>
      <w:r>
        <w:rPr>
          <w:rFonts w:hint="eastAsia" w:ascii="宋体" w:hAnsi="宋体" w:cs="宋体"/>
          <w:bCs/>
          <w:sz w:val="22"/>
        </w:rPr>
        <w:t>个月支付全部货物总价金额剩余10％的尾款。</w:t>
      </w:r>
    </w:p>
    <w:p>
      <w:pPr>
        <w:autoSpaceDE w:val="0"/>
        <w:autoSpaceDN w:val="0"/>
        <w:adjustRightInd w:val="0"/>
        <w:snapToGrid w:val="0"/>
        <w:spacing w:line="360" w:lineRule="auto"/>
        <w:ind w:firstLine="440" w:firstLineChars="200"/>
        <w:textAlignment w:val="bottom"/>
        <w:rPr>
          <w:rFonts w:ascii="Calibri" w:hAnsi="Calibri"/>
          <w:sz w:val="22"/>
          <w:szCs w:val="22"/>
        </w:rPr>
      </w:pPr>
      <w:r>
        <w:rPr>
          <w:rFonts w:hint="eastAsia"/>
          <w:sz w:val="22"/>
          <w:szCs w:val="22"/>
        </w:rPr>
        <w:t>2）合同签订时供应商须提交合同总价1</w:t>
      </w:r>
      <w:r>
        <w:rPr>
          <w:rFonts w:hint="eastAsia" w:ascii="Calibri" w:hAnsi="Calibri"/>
          <w:sz w:val="22"/>
          <w:szCs w:val="22"/>
        </w:rPr>
        <w:t>%至代建单位账户（履约保证金或银行、保险公司出具的等额保函。）</w:t>
      </w:r>
    </w:p>
    <w:p>
      <w:pPr>
        <w:widowControl/>
        <w:autoSpaceDE w:val="0"/>
        <w:autoSpaceDN w:val="0"/>
        <w:adjustRightInd w:val="0"/>
        <w:snapToGrid w:val="0"/>
        <w:spacing w:line="360" w:lineRule="auto"/>
        <w:ind w:left="420"/>
        <w:textAlignment w:val="bottom"/>
        <w:rPr>
          <w:rFonts w:eastAsia="宋体"/>
          <w:color w:val="000000"/>
          <w:sz w:val="22"/>
          <w:szCs w:val="22"/>
        </w:rPr>
      </w:pPr>
      <w:r>
        <w:rPr>
          <w:rFonts w:hint="eastAsia" w:eastAsia="宋体"/>
          <w:sz w:val="22"/>
          <w:szCs w:val="22"/>
        </w:rPr>
        <w:t>2</w:t>
      </w:r>
      <w:r>
        <w:rPr>
          <w:rFonts w:hint="eastAsia"/>
          <w:sz w:val="22"/>
          <w:szCs w:val="22"/>
        </w:rPr>
        <w:t>．</w:t>
      </w:r>
      <w:r>
        <w:rPr>
          <w:rFonts w:hint="eastAsia" w:eastAsia="宋体"/>
          <w:color w:val="000000"/>
          <w:sz w:val="22"/>
          <w:szCs w:val="22"/>
        </w:rPr>
        <w:t>货物运输</w:t>
      </w:r>
    </w:p>
    <w:p>
      <w:pPr>
        <w:widowControl/>
        <w:autoSpaceDE w:val="0"/>
        <w:autoSpaceDN w:val="0"/>
        <w:adjustRightInd w:val="0"/>
        <w:snapToGrid w:val="0"/>
        <w:spacing w:line="360" w:lineRule="auto"/>
        <w:ind w:firstLine="440" w:firstLineChars="200"/>
        <w:textAlignment w:val="bottom"/>
        <w:rPr>
          <w:color w:val="000000"/>
          <w:sz w:val="22"/>
          <w:szCs w:val="22"/>
        </w:rPr>
      </w:pPr>
      <w:r>
        <w:rPr>
          <w:rFonts w:hint="eastAsia"/>
          <w:color w:val="000000"/>
          <w:sz w:val="22"/>
          <w:szCs w:val="22"/>
        </w:rPr>
        <w:t>2.1．供货地点：按采购人要求运输到指定地点由中标供应商负责卸货及搬运。</w:t>
      </w:r>
    </w:p>
    <w:p>
      <w:pPr>
        <w:widowControl/>
        <w:autoSpaceDE w:val="0"/>
        <w:autoSpaceDN w:val="0"/>
        <w:adjustRightInd w:val="0"/>
        <w:snapToGrid w:val="0"/>
        <w:spacing w:line="360" w:lineRule="auto"/>
        <w:ind w:firstLine="420" w:firstLineChars="191"/>
        <w:textAlignment w:val="bottom"/>
        <w:rPr>
          <w:color w:val="000000"/>
          <w:sz w:val="22"/>
          <w:szCs w:val="22"/>
        </w:rPr>
      </w:pPr>
      <w:r>
        <w:rPr>
          <w:rFonts w:hint="eastAsia"/>
          <w:color w:val="000000"/>
          <w:sz w:val="22"/>
          <w:szCs w:val="22"/>
        </w:rPr>
        <w:t>2.2．安装标准：符合我国国家有关技术规范要求和技术标准。</w:t>
      </w:r>
    </w:p>
    <w:p>
      <w:pPr>
        <w:widowControl/>
        <w:autoSpaceDE w:val="0"/>
        <w:autoSpaceDN w:val="0"/>
        <w:adjustRightInd w:val="0"/>
        <w:snapToGrid w:val="0"/>
        <w:spacing w:line="360" w:lineRule="auto"/>
        <w:ind w:firstLine="420" w:firstLineChars="191"/>
        <w:textAlignment w:val="bottom"/>
        <w:rPr>
          <w:color w:val="000000"/>
          <w:sz w:val="22"/>
          <w:szCs w:val="22"/>
        </w:rPr>
      </w:pPr>
      <w:r>
        <w:rPr>
          <w:rFonts w:hint="eastAsia"/>
          <w:color w:val="000000"/>
          <w:sz w:val="22"/>
          <w:szCs w:val="22"/>
        </w:rPr>
        <w:t>2.3．</w:t>
      </w:r>
      <w:r>
        <w:rPr>
          <w:rFonts w:hint="eastAsia" w:eastAsia="宋体"/>
          <w:color w:val="000000"/>
          <w:sz w:val="22"/>
          <w:szCs w:val="22"/>
        </w:rPr>
        <w:t>运输</w:t>
      </w:r>
      <w:r>
        <w:rPr>
          <w:rFonts w:hint="eastAsia"/>
          <w:color w:val="000000"/>
          <w:sz w:val="22"/>
          <w:szCs w:val="22"/>
        </w:rPr>
        <w:t>过程中发生的费用由中标供应商负责。</w:t>
      </w:r>
    </w:p>
    <w:p>
      <w:pPr>
        <w:widowControl/>
        <w:autoSpaceDE w:val="0"/>
        <w:autoSpaceDN w:val="0"/>
        <w:adjustRightInd w:val="0"/>
        <w:snapToGrid w:val="0"/>
        <w:spacing w:line="360" w:lineRule="auto"/>
        <w:ind w:firstLine="420" w:firstLineChars="191"/>
        <w:textAlignment w:val="bottom"/>
        <w:rPr>
          <w:color w:val="000000"/>
          <w:sz w:val="22"/>
          <w:szCs w:val="22"/>
        </w:rPr>
      </w:pPr>
      <w:r>
        <w:rPr>
          <w:rFonts w:hint="eastAsia"/>
          <w:color w:val="000000"/>
          <w:sz w:val="22"/>
          <w:szCs w:val="22"/>
        </w:rPr>
        <w:t>2.4．供应商应在投标文件中提出其</w:t>
      </w:r>
      <w:r>
        <w:rPr>
          <w:rFonts w:hint="eastAsia" w:eastAsia="宋体"/>
          <w:color w:val="000000"/>
          <w:sz w:val="22"/>
          <w:szCs w:val="22"/>
        </w:rPr>
        <w:t>供货</w:t>
      </w:r>
      <w:r>
        <w:rPr>
          <w:rFonts w:hint="eastAsia"/>
          <w:color w:val="000000"/>
          <w:sz w:val="22"/>
          <w:szCs w:val="22"/>
        </w:rPr>
        <w:t>过程中使用单位需配合的内容。</w:t>
      </w:r>
    </w:p>
    <w:p>
      <w:pPr>
        <w:widowControl/>
        <w:autoSpaceDE w:val="0"/>
        <w:autoSpaceDN w:val="0"/>
        <w:adjustRightInd w:val="0"/>
        <w:snapToGrid w:val="0"/>
        <w:spacing w:line="360" w:lineRule="auto"/>
        <w:ind w:firstLine="420" w:firstLineChars="191"/>
        <w:textAlignment w:val="bottom"/>
        <w:rPr>
          <w:color w:val="000000"/>
          <w:sz w:val="22"/>
          <w:szCs w:val="22"/>
        </w:rPr>
      </w:pPr>
      <w:r>
        <w:rPr>
          <w:rFonts w:hint="eastAsia"/>
          <w:color w:val="000000"/>
          <w:sz w:val="22"/>
          <w:szCs w:val="22"/>
        </w:rPr>
        <w:t>4．▲交货期</w:t>
      </w:r>
    </w:p>
    <w:p>
      <w:pPr>
        <w:pStyle w:val="15"/>
        <w:snapToGrid w:val="0"/>
        <w:spacing w:line="440" w:lineRule="atLeast"/>
        <w:ind w:firstLine="482"/>
        <w:rPr>
          <w:color w:val="000000"/>
          <w:sz w:val="22"/>
          <w:szCs w:val="22"/>
        </w:rPr>
      </w:pPr>
      <w:r>
        <w:rPr>
          <w:rFonts w:hint="eastAsia"/>
          <w:color w:val="000000"/>
          <w:sz w:val="22"/>
          <w:szCs w:val="22"/>
        </w:rPr>
        <w:t>4.1.</w:t>
      </w:r>
      <w:r>
        <w:rPr>
          <w:rFonts w:hint="eastAsia" w:hAnsi="宋体" w:cs="仿宋_GB2312"/>
          <w:sz w:val="22"/>
          <w:szCs w:val="22"/>
        </w:rPr>
        <w:t>合同签订后7日内全部到货。</w:t>
      </w:r>
    </w:p>
    <w:p>
      <w:pPr>
        <w:adjustRightInd w:val="0"/>
        <w:snapToGrid w:val="0"/>
        <w:spacing w:line="360" w:lineRule="auto"/>
        <w:outlineLvl w:val="1"/>
        <w:rPr>
          <w:b/>
          <w:bCs/>
          <w:color w:val="000000"/>
          <w:sz w:val="22"/>
          <w:szCs w:val="22"/>
        </w:rPr>
      </w:pPr>
      <w:r>
        <w:rPr>
          <w:rFonts w:hint="eastAsia"/>
          <w:b/>
          <w:bCs/>
          <w:color w:val="000000"/>
          <w:sz w:val="22"/>
          <w:szCs w:val="22"/>
        </w:rPr>
        <w:t>3. 验收</w:t>
      </w:r>
    </w:p>
    <w:p>
      <w:pPr>
        <w:adjustRightInd w:val="0"/>
        <w:snapToGrid w:val="0"/>
        <w:spacing w:line="360" w:lineRule="auto"/>
        <w:outlineLvl w:val="1"/>
      </w:pPr>
      <w:r>
        <w:rPr>
          <w:rFonts w:ascii="宋体" w:hAnsi="宋体" w:eastAsia="宋体" w:cs="宋体"/>
          <w:spacing w:val="6"/>
          <w:sz w:val="22"/>
          <w:szCs w:val="22"/>
        </w:rPr>
        <w:t>中</w:t>
      </w:r>
      <w:r>
        <w:rPr>
          <w:rFonts w:ascii="宋体" w:hAnsi="宋体" w:eastAsia="宋体" w:cs="宋体"/>
          <w:spacing w:val="4"/>
          <w:sz w:val="22"/>
          <w:szCs w:val="22"/>
        </w:rPr>
        <w:t>标</w:t>
      </w:r>
      <w:r>
        <w:rPr>
          <w:rFonts w:ascii="宋体" w:hAnsi="宋体" w:eastAsia="宋体" w:cs="宋体"/>
          <w:spacing w:val="3"/>
          <w:sz w:val="22"/>
          <w:szCs w:val="22"/>
        </w:rPr>
        <w:t xml:space="preserve"> (成交) 供应商已按合同规定提供了符合招标文件规定的要求的货物，并经使用单位及质检</w:t>
      </w:r>
      <w:r>
        <w:rPr>
          <w:rFonts w:ascii="宋体" w:hAnsi="宋体" w:eastAsia="宋体" w:cs="宋体"/>
          <w:sz w:val="22"/>
          <w:szCs w:val="22"/>
        </w:rPr>
        <w:t xml:space="preserve"> </w:t>
      </w:r>
      <w:r>
        <w:rPr>
          <w:rFonts w:ascii="宋体" w:hAnsi="宋体" w:eastAsia="宋体" w:cs="宋体"/>
          <w:spacing w:val="-2"/>
          <w:sz w:val="22"/>
          <w:szCs w:val="22"/>
        </w:rPr>
        <w:t>部门检验合格，所有的技术资料和清单已向</w:t>
      </w:r>
      <w:r>
        <w:rPr>
          <w:rFonts w:ascii="宋体" w:hAnsi="宋体" w:eastAsia="宋体" w:cs="宋体"/>
          <w:spacing w:val="-1"/>
          <w:sz w:val="22"/>
          <w:szCs w:val="22"/>
        </w:rPr>
        <w:t>采购人提交并被接受，验收视为合格，  若因中标 (成</w:t>
      </w:r>
      <w:r>
        <w:rPr>
          <w:rFonts w:ascii="宋体" w:hAnsi="宋体" w:eastAsia="宋体" w:cs="宋体"/>
          <w:sz w:val="22"/>
          <w:szCs w:val="22"/>
        </w:rPr>
        <w:t xml:space="preserve"> </w:t>
      </w:r>
      <w:r>
        <w:rPr>
          <w:rFonts w:ascii="宋体" w:hAnsi="宋体" w:eastAsia="宋体" w:cs="宋体"/>
          <w:spacing w:val="4"/>
          <w:sz w:val="22"/>
          <w:szCs w:val="22"/>
        </w:rPr>
        <w:t>交) 供应商质量问题等导致验收不合格，中标 (成交) 供应商应及时予以处理，直至验收合格</w:t>
      </w:r>
      <w:r>
        <w:rPr>
          <w:rFonts w:ascii="宋体" w:hAnsi="宋体" w:eastAsia="宋体" w:cs="宋体"/>
          <w:spacing w:val="3"/>
          <w:sz w:val="22"/>
          <w:szCs w:val="22"/>
        </w:rPr>
        <w:t>，</w:t>
      </w:r>
      <w:r>
        <w:rPr>
          <w:rFonts w:ascii="宋体" w:hAnsi="宋体" w:eastAsia="宋体" w:cs="宋体"/>
          <w:sz w:val="22"/>
          <w:szCs w:val="22"/>
        </w:rPr>
        <w:t xml:space="preserve"> </w:t>
      </w:r>
      <w:r>
        <w:rPr>
          <w:rFonts w:ascii="宋体" w:hAnsi="宋体" w:eastAsia="宋体" w:cs="宋体"/>
          <w:spacing w:val="1"/>
          <w:sz w:val="22"/>
          <w:szCs w:val="22"/>
        </w:rPr>
        <w:t>期间发生的一切费用由中标 (成</w:t>
      </w:r>
      <w:r>
        <w:rPr>
          <w:rFonts w:ascii="宋体" w:hAnsi="宋体" w:eastAsia="宋体" w:cs="宋体"/>
          <w:sz w:val="22"/>
          <w:szCs w:val="22"/>
        </w:rPr>
        <w:t>交) 供应商承担，采购人保留向中标 (成交) 供应商索赔的权利</w:t>
      </w:r>
      <w:r>
        <w:rPr>
          <w:rFonts w:ascii="宋体" w:hAnsi="宋体" w:eastAsia="宋体" w:cs="宋体"/>
          <w:sz w:val="22"/>
          <w:szCs w:val="22"/>
          <w14:textOutline w14:w="4013" w14:cap="sq" w14:cmpd="sng" w14:algn="ctr">
            <w14:solidFill>
              <w14:srgbClr w14:val="000000"/>
            </w14:solidFill>
            <w14:prstDash w14:val="solid"/>
            <w14:bevel/>
          </w14:textOutline>
        </w:rPr>
        <w:t>。</w:t>
      </w:r>
    </w:p>
    <w:p>
      <w:pPr>
        <w:adjustRightInd w:val="0"/>
        <w:snapToGrid w:val="0"/>
        <w:spacing w:line="360" w:lineRule="auto"/>
        <w:outlineLvl w:val="1"/>
        <w:rPr>
          <w:b/>
          <w:bCs/>
          <w:color w:val="000000"/>
          <w:sz w:val="22"/>
          <w:szCs w:val="22"/>
        </w:rPr>
      </w:pPr>
      <w:r>
        <w:rPr>
          <w:rFonts w:hint="eastAsia"/>
          <w:b/>
          <w:bCs/>
          <w:color w:val="000000"/>
          <w:sz w:val="22"/>
          <w:szCs w:val="22"/>
        </w:rPr>
        <w:t>4.工作范围</w:t>
      </w:r>
    </w:p>
    <w:p>
      <w:pPr>
        <w:spacing w:before="93" w:line="221" w:lineRule="auto"/>
        <w:ind w:left="456"/>
        <w:rPr>
          <w:rFonts w:ascii="宋体" w:hAnsi="宋体" w:eastAsia="宋体" w:cs="宋体"/>
          <w:sz w:val="22"/>
          <w:szCs w:val="22"/>
        </w:rPr>
      </w:pPr>
      <w:r>
        <w:rPr>
          <w:rFonts w:ascii="宋体" w:hAnsi="宋体" w:eastAsia="宋体" w:cs="宋体"/>
          <w:spacing w:val="6"/>
          <w:sz w:val="22"/>
          <w:szCs w:val="22"/>
        </w:rPr>
        <w:t>根据招</w:t>
      </w:r>
      <w:r>
        <w:rPr>
          <w:rFonts w:ascii="宋体" w:hAnsi="宋体" w:eastAsia="宋体" w:cs="宋体"/>
          <w:spacing w:val="4"/>
          <w:sz w:val="22"/>
          <w:szCs w:val="22"/>
        </w:rPr>
        <w:t>标</w:t>
      </w:r>
      <w:r>
        <w:rPr>
          <w:rFonts w:ascii="宋体" w:hAnsi="宋体" w:eastAsia="宋体" w:cs="宋体"/>
          <w:spacing w:val="3"/>
          <w:sz w:val="22"/>
          <w:szCs w:val="22"/>
        </w:rPr>
        <w:t>文件，各供应商须按国家有关标准及规范完成下列工作：</w:t>
      </w:r>
    </w:p>
    <w:p>
      <w:pPr>
        <w:spacing w:before="116" w:line="219" w:lineRule="auto"/>
        <w:ind w:left="234"/>
        <w:rPr>
          <w:rFonts w:ascii="宋体" w:hAnsi="宋体" w:eastAsia="宋体" w:cs="宋体"/>
          <w:sz w:val="22"/>
          <w:szCs w:val="22"/>
        </w:rPr>
      </w:pPr>
      <w:r>
        <w:rPr>
          <w:rFonts w:hint="eastAsia" w:ascii="宋体" w:hAnsi="宋体" w:eastAsia="宋体" w:cs="宋体"/>
          <w:spacing w:val="2"/>
          <w:sz w:val="22"/>
          <w:szCs w:val="22"/>
        </w:rPr>
        <w:t>4</w:t>
      </w:r>
      <w:r>
        <w:rPr>
          <w:rFonts w:ascii="宋体" w:hAnsi="宋体" w:eastAsia="宋体" w:cs="宋体"/>
          <w:spacing w:val="2"/>
          <w:sz w:val="22"/>
          <w:szCs w:val="22"/>
        </w:rPr>
        <w:t>.1 提供完整成套的货物</w:t>
      </w:r>
      <w:r>
        <w:rPr>
          <w:rFonts w:ascii="宋体" w:hAnsi="宋体" w:eastAsia="宋体" w:cs="宋体"/>
          <w:spacing w:val="1"/>
          <w:sz w:val="22"/>
          <w:szCs w:val="22"/>
        </w:rPr>
        <w:t>；</w:t>
      </w:r>
    </w:p>
    <w:p>
      <w:pPr>
        <w:spacing w:before="118" w:line="219" w:lineRule="auto"/>
        <w:ind w:left="234"/>
        <w:rPr>
          <w:rFonts w:ascii="宋体" w:hAnsi="宋体" w:eastAsia="宋体" w:cs="宋体"/>
          <w:sz w:val="22"/>
          <w:szCs w:val="22"/>
        </w:rPr>
      </w:pPr>
      <w:r>
        <w:rPr>
          <w:rFonts w:hint="eastAsia" w:ascii="宋体" w:hAnsi="宋体" w:eastAsia="宋体" w:cs="宋体"/>
          <w:spacing w:val="6"/>
          <w:sz w:val="22"/>
          <w:szCs w:val="22"/>
        </w:rPr>
        <w:t>4</w:t>
      </w:r>
      <w:r>
        <w:rPr>
          <w:rFonts w:ascii="宋体" w:hAnsi="宋体" w:eastAsia="宋体" w:cs="宋体"/>
          <w:spacing w:val="6"/>
          <w:sz w:val="22"/>
          <w:szCs w:val="22"/>
        </w:rPr>
        <w:t>.</w:t>
      </w:r>
      <w:r>
        <w:rPr>
          <w:rFonts w:ascii="宋体" w:hAnsi="宋体" w:eastAsia="宋体" w:cs="宋体"/>
          <w:spacing w:val="3"/>
          <w:sz w:val="22"/>
          <w:szCs w:val="22"/>
        </w:rPr>
        <w:t>2 货物及相关附件的提供、运输、装卸、就位、检验、测试、通过验收；</w:t>
      </w:r>
    </w:p>
    <w:p>
      <w:pPr>
        <w:spacing w:before="121" w:line="318" w:lineRule="auto"/>
        <w:ind w:left="8" w:right="79" w:firstLine="228"/>
        <w:rPr>
          <w:rFonts w:ascii="宋体" w:hAnsi="宋体" w:eastAsia="宋体" w:cs="宋体"/>
          <w:sz w:val="22"/>
          <w:szCs w:val="22"/>
        </w:rPr>
      </w:pPr>
      <w:r>
        <w:rPr>
          <w:rFonts w:hint="eastAsia" w:ascii="宋体" w:hAnsi="宋体" w:eastAsia="宋体" w:cs="宋体"/>
          <w:spacing w:val="6"/>
          <w:sz w:val="22"/>
          <w:szCs w:val="22"/>
        </w:rPr>
        <w:t>4</w:t>
      </w:r>
      <w:r>
        <w:rPr>
          <w:rFonts w:ascii="宋体" w:hAnsi="宋体" w:eastAsia="宋体" w:cs="宋体"/>
          <w:spacing w:val="6"/>
          <w:sz w:val="22"/>
          <w:szCs w:val="22"/>
        </w:rPr>
        <w:t>.3 完成各</w:t>
      </w:r>
      <w:r>
        <w:rPr>
          <w:rFonts w:ascii="宋体" w:hAnsi="宋体" w:eastAsia="宋体" w:cs="宋体"/>
          <w:spacing w:val="4"/>
          <w:sz w:val="22"/>
          <w:szCs w:val="22"/>
        </w:rPr>
        <w:t>检</w:t>
      </w:r>
      <w:r>
        <w:rPr>
          <w:rFonts w:ascii="宋体" w:hAnsi="宋体" w:eastAsia="宋体" w:cs="宋体"/>
          <w:spacing w:val="3"/>
          <w:sz w:val="22"/>
          <w:szCs w:val="22"/>
        </w:rPr>
        <w:t>验、测试工作，并在采购人的配合下通过的验收；提供各种数据资料；直至通过</w:t>
      </w:r>
      <w:r>
        <w:rPr>
          <w:rFonts w:ascii="宋体" w:hAnsi="宋体" w:eastAsia="宋体" w:cs="宋体"/>
          <w:spacing w:val="-2"/>
          <w:sz w:val="22"/>
          <w:szCs w:val="22"/>
        </w:rPr>
        <w:t>验</w:t>
      </w:r>
      <w:r>
        <w:rPr>
          <w:rFonts w:ascii="宋体" w:hAnsi="宋体" w:eastAsia="宋体" w:cs="宋体"/>
          <w:spacing w:val="-1"/>
          <w:sz w:val="22"/>
          <w:szCs w:val="22"/>
        </w:rPr>
        <w:t>收。</w:t>
      </w:r>
    </w:p>
    <w:p>
      <w:pPr>
        <w:spacing w:before="1" w:line="220" w:lineRule="auto"/>
        <w:ind w:left="234"/>
        <w:rPr>
          <w:rFonts w:ascii="宋体" w:hAnsi="宋体" w:eastAsia="宋体" w:cs="宋体"/>
          <w:sz w:val="22"/>
          <w:szCs w:val="22"/>
        </w:rPr>
      </w:pPr>
      <w:r>
        <w:rPr>
          <w:rFonts w:hint="eastAsia" w:ascii="宋体" w:hAnsi="宋体" w:eastAsia="宋体" w:cs="宋体"/>
          <w:spacing w:val="3"/>
          <w:sz w:val="22"/>
          <w:szCs w:val="22"/>
        </w:rPr>
        <w:t>4</w:t>
      </w:r>
      <w:r>
        <w:rPr>
          <w:rFonts w:ascii="宋体" w:hAnsi="宋体" w:eastAsia="宋体" w:cs="宋体"/>
          <w:spacing w:val="3"/>
          <w:sz w:val="22"/>
          <w:szCs w:val="22"/>
        </w:rPr>
        <w:t>.4 对最终使用单位的操作人员及维修人员进行技术培训</w:t>
      </w:r>
      <w:r>
        <w:rPr>
          <w:rFonts w:ascii="宋体" w:hAnsi="宋体" w:eastAsia="宋体" w:cs="宋体"/>
          <w:sz w:val="22"/>
          <w:szCs w:val="22"/>
        </w:rPr>
        <w:t>；</w:t>
      </w:r>
    </w:p>
    <w:p>
      <w:pPr>
        <w:spacing w:before="119" w:line="221" w:lineRule="auto"/>
        <w:ind w:left="234"/>
        <w:rPr>
          <w:rFonts w:ascii="宋体" w:hAnsi="宋体" w:eastAsia="宋体" w:cs="宋体"/>
          <w:sz w:val="22"/>
          <w:szCs w:val="22"/>
        </w:rPr>
      </w:pPr>
      <w:r>
        <w:rPr>
          <w:rFonts w:hint="eastAsia" w:ascii="宋体" w:hAnsi="宋体" w:eastAsia="宋体" w:cs="宋体"/>
          <w:spacing w:val="4"/>
          <w:sz w:val="22"/>
          <w:szCs w:val="22"/>
        </w:rPr>
        <w:t>4</w:t>
      </w:r>
      <w:r>
        <w:rPr>
          <w:rFonts w:ascii="宋体" w:hAnsi="宋体" w:eastAsia="宋体" w:cs="宋体"/>
          <w:spacing w:val="2"/>
          <w:sz w:val="22"/>
          <w:szCs w:val="22"/>
        </w:rPr>
        <w:t>.5 质保期内的维保及维修；</w:t>
      </w:r>
    </w:p>
    <w:p>
      <w:pPr>
        <w:spacing w:before="115" w:line="221" w:lineRule="auto"/>
        <w:ind w:left="234"/>
        <w:rPr>
          <w:rFonts w:ascii="宋体" w:hAnsi="宋体" w:eastAsia="宋体" w:cs="宋体"/>
          <w:spacing w:val="2"/>
          <w:sz w:val="22"/>
          <w:szCs w:val="22"/>
        </w:rPr>
      </w:pPr>
      <w:r>
        <w:rPr>
          <w:rFonts w:hint="eastAsia" w:ascii="宋体" w:hAnsi="宋体" w:eastAsia="宋体" w:cs="宋体"/>
          <w:spacing w:val="4"/>
          <w:sz w:val="22"/>
          <w:szCs w:val="22"/>
        </w:rPr>
        <w:t>4</w:t>
      </w:r>
      <w:r>
        <w:rPr>
          <w:rFonts w:ascii="宋体" w:hAnsi="宋体" w:eastAsia="宋体" w:cs="宋体"/>
          <w:spacing w:val="2"/>
          <w:sz w:val="22"/>
          <w:szCs w:val="22"/>
        </w:rPr>
        <w:t>.6 售后服务的措施及承诺。</w:t>
      </w:r>
    </w:p>
    <w:p>
      <w:pPr>
        <w:spacing w:before="141" w:line="219" w:lineRule="auto"/>
        <w:rPr>
          <w:rFonts w:ascii="宋体" w:hAnsi="宋体" w:eastAsia="宋体" w:cs="宋体"/>
          <w:sz w:val="22"/>
          <w:szCs w:val="22"/>
        </w:rPr>
      </w:pPr>
      <w:r>
        <w:rPr>
          <w:rFonts w:ascii="宋体" w:hAnsi="宋体" w:eastAsia="宋体" w:cs="宋体"/>
          <w:spacing w:val="4"/>
          <w:sz w:val="22"/>
          <w:szCs w:val="22"/>
          <w14:textOutline w14:w="4013" w14:cap="sq" w14:cmpd="sng" w14:algn="ctr">
            <w14:solidFill>
              <w14:srgbClr w14:val="000000"/>
            </w14:solidFill>
            <w14:prstDash w14:val="solid"/>
            <w14:bevel/>
          </w14:textOutline>
        </w:rPr>
        <w:t>以上工作内</w:t>
      </w:r>
      <w:r>
        <w:rPr>
          <w:rFonts w:ascii="宋体" w:hAnsi="宋体" w:eastAsia="宋体" w:cs="宋体"/>
          <w:spacing w:val="2"/>
          <w:sz w:val="22"/>
          <w:szCs w:val="22"/>
          <w14:textOutline w14:w="4013" w14:cap="sq" w14:cmpd="sng" w14:algn="ctr">
            <w14:solidFill>
              <w14:srgbClr w14:val="000000"/>
            </w14:solidFill>
            <w14:prstDash w14:val="solid"/>
            <w14:bevel/>
          </w14:textOutline>
        </w:rPr>
        <w:t>容的费用均包含在投标总价中。</w:t>
      </w:r>
    </w:p>
    <w:p>
      <w:pPr>
        <w:pStyle w:val="44"/>
      </w:pPr>
    </w:p>
    <w:p>
      <w:pPr>
        <w:adjustRightInd w:val="0"/>
        <w:snapToGrid w:val="0"/>
        <w:spacing w:line="360" w:lineRule="auto"/>
        <w:ind w:firstLine="708" w:firstLineChars="196"/>
        <w:rPr>
          <w:rFonts w:ascii="宋体"/>
          <w:b/>
          <w:bCs/>
          <w:sz w:val="36"/>
          <w:szCs w:val="36"/>
          <w:lang w:val="zh-CN"/>
        </w:rPr>
      </w:pPr>
      <w:r>
        <w:rPr>
          <w:rFonts w:hint="eastAsia" w:ascii="宋体"/>
          <w:b/>
          <w:bCs/>
          <w:sz w:val="36"/>
          <w:szCs w:val="36"/>
          <w:lang w:val="zh-CN"/>
        </w:rPr>
        <w:br w:type="page"/>
      </w:r>
    </w:p>
    <w:p>
      <w:pPr>
        <w:adjustRightInd w:val="0"/>
        <w:spacing w:line="400" w:lineRule="atLeast"/>
        <w:ind w:firstLine="708" w:firstLineChars="196"/>
        <w:jc w:val="center"/>
        <w:rPr>
          <w:rFonts w:ascii="宋体" w:cs="??_GB2312"/>
          <w:b/>
          <w:sz w:val="32"/>
          <w:szCs w:val="32"/>
          <w:lang w:val="zh-CN"/>
        </w:rPr>
      </w:pPr>
      <w:r>
        <w:rPr>
          <w:rFonts w:hint="eastAsia" w:ascii="宋体"/>
          <w:b/>
          <w:bCs/>
          <w:sz w:val="36"/>
          <w:szCs w:val="36"/>
          <w:lang w:val="zh-CN"/>
        </w:rPr>
        <w:t>第三部分  供应商须知</w:t>
      </w:r>
    </w:p>
    <w:p>
      <w:pPr>
        <w:autoSpaceDE w:val="0"/>
        <w:autoSpaceDN w:val="0"/>
        <w:adjustRightInd w:val="0"/>
        <w:spacing w:line="450" w:lineRule="atLeast"/>
        <w:rPr>
          <w:rFonts w:ascii="宋体" w:cs="??_GB2312"/>
          <w:b/>
          <w:sz w:val="22"/>
          <w:lang w:val="zh-CN"/>
        </w:rPr>
      </w:pPr>
      <w:r>
        <w:rPr>
          <w:rFonts w:hint="eastAsia" w:ascii="宋体" w:hAnsi="宋体" w:cs="??_GB2312"/>
          <w:b/>
          <w:sz w:val="22"/>
          <w:lang w:val="zh-CN"/>
        </w:rPr>
        <w:t>一、说明</w:t>
      </w:r>
    </w:p>
    <w:p>
      <w:pPr>
        <w:adjustRightInd w:val="0"/>
        <w:spacing w:line="400" w:lineRule="atLeast"/>
        <w:ind w:firstLine="431" w:firstLineChars="196"/>
        <w:rPr>
          <w:rFonts w:ascii="宋体"/>
          <w:sz w:val="22"/>
        </w:rPr>
      </w:pPr>
      <w:r>
        <w:rPr>
          <w:rFonts w:hint="eastAsia" w:ascii="宋体"/>
          <w:sz w:val="22"/>
        </w:rPr>
        <w:t>1、</w:t>
      </w:r>
      <w:r>
        <w:rPr>
          <w:rFonts w:hint="eastAsia" w:ascii="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sz w:val="22"/>
          <w:lang w:val="zh-CN"/>
        </w:rPr>
        <w:t>2015</w:t>
      </w:r>
      <w:r>
        <w:rPr>
          <w:rFonts w:hint="eastAsia" w:ascii="宋体"/>
          <w:sz w:val="22"/>
          <w:lang w:val="zh-CN"/>
        </w:rPr>
        <w:t>〕</w:t>
      </w:r>
      <w:r>
        <w:rPr>
          <w:rFonts w:ascii="宋体"/>
          <w:sz w:val="22"/>
          <w:lang w:val="zh-CN"/>
        </w:rPr>
        <w:t>124</w:t>
      </w:r>
      <w:r>
        <w:rPr>
          <w:rFonts w:hint="eastAsia" w:ascii="宋体"/>
          <w:sz w:val="22"/>
          <w:lang w:val="zh-CN"/>
        </w:rPr>
        <w:t>号）及相关法律规章组织和实施。</w:t>
      </w:r>
    </w:p>
    <w:p>
      <w:pPr>
        <w:adjustRightInd w:val="0"/>
        <w:spacing w:line="400" w:lineRule="atLeast"/>
        <w:ind w:firstLine="431" w:firstLineChars="196"/>
        <w:rPr>
          <w:rFonts w:ascii="宋体"/>
          <w:sz w:val="22"/>
        </w:rPr>
      </w:pPr>
      <w:r>
        <w:rPr>
          <w:rFonts w:hint="eastAsia" w:ascii="宋体"/>
          <w:sz w:val="22"/>
        </w:rPr>
        <w:t>2、供应商必须对全部内容进行投标报价，只对部分内容进行报价的供应商将按无效投标处理。</w:t>
      </w:r>
    </w:p>
    <w:p>
      <w:pPr>
        <w:adjustRightInd w:val="0"/>
        <w:spacing w:line="400" w:lineRule="atLeast"/>
        <w:ind w:firstLine="431" w:firstLineChars="196"/>
        <w:rPr>
          <w:rFonts w:ascii="宋体"/>
          <w:sz w:val="22"/>
        </w:rPr>
      </w:pPr>
      <w:r>
        <w:rPr>
          <w:rFonts w:hint="eastAsia" w:ascii="宋体"/>
          <w:sz w:val="22"/>
        </w:rPr>
        <w:t>3、无论投标过程中的作法和结果如何，供应商自行承担投标活动中所发生的全部费用；采购单位有权选择供应商的供货和服务范围。</w:t>
      </w:r>
    </w:p>
    <w:p>
      <w:pPr>
        <w:adjustRightInd w:val="0"/>
        <w:spacing w:line="400" w:lineRule="atLeast"/>
        <w:ind w:firstLine="431" w:firstLineChars="196"/>
        <w:rPr>
          <w:rFonts w:ascii="宋体"/>
          <w:color w:val="000000" w:themeColor="text1"/>
          <w:sz w:val="22"/>
          <w:szCs w:val="22"/>
          <w14:textFill>
            <w14:solidFill>
              <w14:schemeClr w14:val="tx1"/>
            </w14:solidFill>
          </w14:textFill>
        </w:rPr>
      </w:pPr>
      <w:r>
        <w:rPr>
          <w:rFonts w:ascii="宋体"/>
          <w:color w:val="000000" w:themeColor="text1"/>
          <w:sz w:val="22"/>
          <w:szCs w:val="22"/>
          <w14:textFill>
            <w14:solidFill>
              <w14:schemeClr w14:val="tx1"/>
            </w14:solidFill>
          </w14:textFill>
        </w:rPr>
        <w:t>4</w:t>
      </w:r>
      <w:r>
        <w:rPr>
          <w:rFonts w:hint="eastAsia" w:ascii="宋体"/>
          <w:color w:val="000000" w:themeColor="text1"/>
          <w:sz w:val="22"/>
          <w:szCs w:val="22"/>
          <w14:textFill>
            <w14:solidFill>
              <w14:schemeClr w14:val="tx1"/>
            </w14:solidFill>
          </w14:textFill>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1" w:firstLineChars="196"/>
        <w:rPr>
          <w:rFonts w:ascii="宋体"/>
          <w:color w:val="000000" w:themeColor="text1"/>
          <w:sz w:val="22"/>
          <w14:textFill>
            <w14:solidFill>
              <w14:schemeClr w14:val="tx1"/>
            </w14:solidFill>
          </w14:textFill>
        </w:rPr>
      </w:pPr>
      <w:r>
        <w:rPr>
          <w:rFonts w:hint="eastAsia" w:ascii="宋体"/>
          <w:sz w:val="22"/>
        </w:rPr>
        <w:t>5、</w:t>
      </w:r>
      <w:r>
        <w:rPr>
          <w:rFonts w:hint="eastAsia" w:ascii="宋体"/>
          <w:color w:val="000000" w:themeColor="text1"/>
          <w:sz w:val="22"/>
          <w14:textFill>
            <w14:solidFill>
              <w14:schemeClr w14:val="tx1"/>
            </w14:solidFill>
          </w14:textFill>
        </w:rPr>
        <w:t>知识产权</w:t>
      </w:r>
    </w:p>
    <w:p>
      <w:pPr>
        <w:adjustRightInd w:val="0"/>
        <w:spacing w:line="400" w:lineRule="atLeast"/>
        <w:ind w:firstLine="431" w:firstLineChars="196"/>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5.1</w:t>
      </w:r>
      <w:r>
        <w:rPr>
          <w:rFonts w:hint="eastAsia" w:ascii="宋体"/>
          <w:color w:val="000000" w:themeColor="text1"/>
          <w:sz w:val="22"/>
          <w14:textFill>
            <w14:solidFill>
              <w14:schemeClr w14:val="tx1"/>
            </w14:solidFill>
          </w14:textFill>
        </w:rPr>
        <w:t>供应商应保证，采购单位在中华人民共和国使用货物和服务的任何一部分时，免受第三方提出侵犯其专利权、商标权或其它知识产权的起诉。</w:t>
      </w:r>
    </w:p>
    <w:p>
      <w:pPr>
        <w:adjustRightInd w:val="0"/>
        <w:spacing w:line="400" w:lineRule="atLeast"/>
        <w:ind w:firstLine="431" w:firstLineChars="196"/>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5.2</w:t>
      </w:r>
      <w:r>
        <w:rPr>
          <w:rFonts w:hint="eastAsia" w:ascii="宋体"/>
          <w:color w:val="000000" w:themeColor="text1"/>
          <w:sz w:val="22"/>
          <w14:textFill>
            <w14:solidFill>
              <w14:schemeClr w14:val="tx1"/>
            </w14:solidFill>
          </w14:textFill>
        </w:rPr>
        <w:t>投标供应商应对采购单位在使用该产品时所涉及到的专利权负责，不损害采购单位的利益。</w:t>
      </w:r>
    </w:p>
    <w:p>
      <w:pPr>
        <w:adjustRightInd w:val="0"/>
        <w:spacing w:line="400" w:lineRule="atLeast"/>
        <w:ind w:firstLine="431" w:firstLineChars="196"/>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5.3</w:t>
      </w:r>
      <w:r>
        <w:rPr>
          <w:rFonts w:hint="eastAsia" w:ascii="宋体"/>
          <w:color w:val="000000" w:themeColor="text1"/>
          <w:sz w:val="22"/>
          <w14:textFill>
            <w14:solidFill>
              <w14:schemeClr w14:val="tx1"/>
            </w14:solidFill>
          </w14:textFill>
        </w:rPr>
        <w:t>报价应包括所有应支付的对专利权和版权、设计或其他知识产权而需要向其他方支付的版税。</w:t>
      </w:r>
    </w:p>
    <w:p>
      <w:pPr>
        <w:adjustRightInd w:val="0"/>
        <w:spacing w:line="400" w:lineRule="atLeast"/>
        <w:ind w:firstLine="431" w:firstLineChars="196"/>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5.4</w:t>
      </w:r>
      <w:r>
        <w:rPr>
          <w:rFonts w:hint="eastAsia" w:ascii="宋体"/>
          <w:color w:val="000000" w:themeColor="text1"/>
          <w:sz w:val="22"/>
          <w14:textFill>
            <w14:solidFill>
              <w14:schemeClr w14:val="tx1"/>
            </w14:solidFill>
          </w14:textFill>
        </w:rPr>
        <w:t>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1" w:firstLineChars="196"/>
        <w:rPr>
          <w:rFonts w:ascii="宋体" w:cs="??_GB2312"/>
          <w:sz w:val="22"/>
          <w:lang w:val="zh-CN"/>
        </w:rPr>
      </w:pPr>
      <w:r>
        <w:rPr>
          <w:rFonts w:hint="eastAsia" w:ascii="宋体" w:hAnsi="宋体" w:cs="??_GB2312"/>
          <w:sz w:val="22"/>
        </w:rPr>
        <w:t>6、</w:t>
      </w:r>
      <w:r>
        <w:rPr>
          <w:rFonts w:hint="eastAsia" w:ascii="宋体" w:hAnsi="宋体" w:cs="??_GB2312"/>
          <w:sz w:val="22"/>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pPr>
        <w:adjustRightInd w:val="0"/>
        <w:spacing w:line="400" w:lineRule="atLeast"/>
        <w:ind w:firstLine="431" w:firstLineChars="196"/>
        <w:rPr>
          <w:rFonts w:ascii="宋体" w:cs="仿宋_GB2312"/>
          <w:color w:val="000000" w:themeColor="text1"/>
          <w:sz w:val="22"/>
          <w:szCs w:val="22"/>
          <w:lang w:val="zh-CN"/>
          <w14:textFill>
            <w14:solidFill>
              <w14:schemeClr w14:val="tx1"/>
            </w14:solidFill>
          </w14:textFill>
        </w:rPr>
      </w:pPr>
      <w:r>
        <w:rPr>
          <w:rFonts w:hint="eastAsia" w:ascii="宋体" w:hAnsi="宋体" w:cs="??_GB2312"/>
          <w:sz w:val="22"/>
        </w:rPr>
        <w:t>7、</w:t>
      </w:r>
      <w:r>
        <w:rPr>
          <w:rFonts w:hint="eastAsia" w:ascii="宋体" w:hAnsi="宋体" w:cs="仿宋_GB2312"/>
          <w:color w:val="000000" w:themeColor="text1"/>
          <w:sz w:val="22"/>
          <w:szCs w:val="22"/>
          <w:lang w:val="zh-CN"/>
          <w14:textFill>
            <w14:solidFill>
              <w14:schemeClr w14:val="tx1"/>
            </w14:solidFill>
          </w14:textFill>
        </w:rPr>
        <w:t>本项目投标文件签章须采用供应商正式公章，不得以投标专用章或业务章、合同章等代替。</w:t>
      </w:r>
    </w:p>
    <w:p>
      <w:pPr>
        <w:adjustRightInd w:val="0"/>
        <w:spacing w:line="400" w:lineRule="atLeast"/>
        <w:ind w:firstLine="431" w:firstLineChars="196"/>
        <w:rPr>
          <w:rFonts w:ascii="宋体" w:cs="仿宋_GB2312"/>
          <w:color w:val="000000" w:themeColor="text1"/>
          <w:sz w:val="22"/>
          <w:szCs w:val="22"/>
          <w:lang w:val="zh-CN"/>
          <w14:textFill>
            <w14:solidFill>
              <w14:schemeClr w14:val="tx1"/>
            </w14:solidFill>
          </w14:textFill>
        </w:rPr>
      </w:pPr>
      <w:r>
        <w:rPr>
          <w:rFonts w:hint="eastAsia" w:ascii="宋体" w:hAnsi="宋体" w:cs="??_GB2312"/>
          <w:sz w:val="22"/>
        </w:rPr>
        <w:t>8</w:t>
      </w:r>
      <w:r>
        <w:rPr>
          <w:rFonts w:hint="eastAsia" w:ascii="宋体" w:hAnsi="宋体" w:cs="??_GB2312"/>
          <w:sz w:val="22"/>
          <w:lang w:val="zh-CN"/>
        </w:rPr>
        <w:t>、</w:t>
      </w:r>
      <w:r>
        <w:rPr>
          <w:rFonts w:hint="eastAsia" w:ascii="宋体" w:hAnsi="宋体" w:cs="仿宋_GB2312"/>
          <w:color w:val="000000" w:themeColor="text1"/>
          <w:sz w:val="22"/>
          <w:szCs w:val="22"/>
          <w:lang w:val="zh-CN"/>
          <w14:textFill>
            <w14:solidFill>
              <w14:schemeClr w14:val="tx1"/>
            </w14:solidFill>
          </w14:textFill>
        </w:rPr>
        <w:t>为采购项目提供整体设计、规范编制或者项目管理、监理、检测等服务的供应商，不得再参加该采购项目的其他采购活动。</w:t>
      </w:r>
    </w:p>
    <w:p>
      <w:pPr>
        <w:autoSpaceDE w:val="0"/>
        <w:autoSpaceDN w:val="0"/>
        <w:adjustRightInd w:val="0"/>
        <w:spacing w:line="400" w:lineRule="atLeast"/>
        <w:ind w:firstLine="442" w:firstLineChars="200"/>
        <w:textAlignment w:val="bottom"/>
        <w:rPr>
          <w:rFonts w:ascii="宋体"/>
          <w:b/>
          <w:sz w:val="22"/>
          <w:u w:val="single"/>
        </w:rPr>
      </w:pPr>
      <w:r>
        <w:rPr>
          <w:rFonts w:hint="eastAsia" w:ascii="宋体" w:hAnsi="宋体"/>
          <w:b/>
          <w:sz w:val="22"/>
          <w:u w:val="single"/>
        </w:rPr>
        <w:t>▲9、供应商须具有良好的商业信誉：</w:t>
      </w:r>
    </w:p>
    <w:p>
      <w:pPr>
        <w:autoSpaceDE w:val="0"/>
        <w:autoSpaceDN w:val="0"/>
        <w:adjustRightInd w:val="0"/>
        <w:spacing w:line="400" w:lineRule="atLeast"/>
        <w:ind w:firstLine="442" w:firstLineChars="200"/>
        <w:textAlignment w:val="bottom"/>
        <w:rPr>
          <w:rFonts w:ascii="宋体"/>
          <w:b/>
          <w:sz w:val="22"/>
          <w:u w:val="single"/>
        </w:rPr>
      </w:pPr>
      <w:r>
        <w:rPr>
          <w:rFonts w:hint="eastAsia" w:ascii="宋体" w:hAnsi="宋体"/>
          <w:b/>
          <w:sz w:val="22"/>
          <w:u w:val="single"/>
        </w:rPr>
        <w:t>9.1供应商在全国企业信用信息公示系统网：（</w:t>
      </w:r>
      <w:r>
        <w:rPr>
          <w:rFonts w:ascii="宋体" w:hAnsi="宋体"/>
          <w:b/>
          <w:sz w:val="22"/>
          <w:u w:val="single"/>
        </w:rPr>
        <w:t>http://gsxt.saic.gov.cn/</w:t>
      </w:r>
      <w:r>
        <w:rPr>
          <w:rFonts w:hint="eastAsia" w:ascii="宋体" w:hAnsi="宋体"/>
          <w:b/>
          <w:sz w:val="22"/>
          <w:u w:val="single"/>
        </w:rPr>
        <w:t>）无严重违法企业记录。</w:t>
      </w:r>
    </w:p>
    <w:p>
      <w:pPr>
        <w:autoSpaceDE w:val="0"/>
        <w:autoSpaceDN w:val="0"/>
        <w:adjustRightInd w:val="0"/>
        <w:spacing w:line="400" w:lineRule="atLeast"/>
        <w:ind w:firstLine="442" w:firstLineChars="200"/>
        <w:textAlignment w:val="bottom"/>
        <w:rPr>
          <w:rFonts w:ascii="宋体"/>
          <w:b/>
          <w:sz w:val="22"/>
          <w:u w:val="single"/>
        </w:rPr>
      </w:pPr>
      <w:r>
        <w:rPr>
          <w:rFonts w:hint="eastAsia" w:ascii="宋体" w:hAnsi="宋体"/>
          <w:b/>
          <w:sz w:val="22"/>
          <w:u w:val="single"/>
        </w:rPr>
        <w:t>9.2供应商在中国执行信息公开网（</w:t>
      </w:r>
      <w:r>
        <w:rPr>
          <w:rFonts w:ascii="宋体" w:hAnsi="宋体"/>
          <w:b/>
          <w:sz w:val="22"/>
          <w:u w:val="single"/>
        </w:rPr>
        <w:t>http://shixin.court.gov.cn/</w:t>
      </w:r>
      <w:r>
        <w:rPr>
          <w:rFonts w:hint="eastAsia" w:ascii="宋体" w:hAnsi="宋体"/>
          <w:b/>
          <w:sz w:val="22"/>
          <w:u w:val="single"/>
        </w:rPr>
        <w:t>）无失信信息记录。</w:t>
      </w:r>
    </w:p>
    <w:p>
      <w:pPr>
        <w:autoSpaceDE w:val="0"/>
        <w:autoSpaceDN w:val="0"/>
        <w:adjustRightInd w:val="0"/>
        <w:spacing w:line="400" w:lineRule="atLeast"/>
        <w:ind w:firstLine="442" w:firstLineChars="200"/>
        <w:textAlignment w:val="bottom"/>
        <w:rPr>
          <w:rFonts w:ascii="宋体"/>
          <w:b/>
          <w:sz w:val="22"/>
          <w:u w:val="single"/>
        </w:rPr>
      </w:pPr>
      <w:r>
        <w:rPr>
          <w:rFonts w:hint="eastAsia" w:ascii="宋体" w:hAnsi="宋体"/>
          <w:b/>
          <w:sz w:val="22"/>
          <w:u w:val="single"/>
        </w:rPr>
        <w:t>9.3供应商在中国政府采购网（</w:t>
      </w:r>
      <w:r>
        <w:rPr>
          <w:rFonts w:ascii="宋体" w:hAnsi="宋体"/>
          <w:b/>
          <w:sz w:val="22"/>
          <w:u w:val="single"/>
        </w:rPr>
        <w:t>http://www.ccgp.gov.cn/cr/list</w:t>
      </w:r>
      <w:r>
        <w:rPr>
          <w:rFonts w:hint="eastAsia" w:ascii="宋体" w:hAnsi="宋体"/>
          <w:b/>
          <w:sz w:val="22"/>
          <w:u w:val="single"/>
        </w:rPr>
        <w:t>）无严重违法行为记录。</w:t>
      </w:r>
    </w:p>
    <w:p>
      <w:pPr>
        <w:widowControl/>
        <w:snapToGrid w:val="0"/>
        <w:spacing w:line="400" w:lineRule="atLeast"/>
        <w:ind w:firstLine="442" w:firstLineChars="200"/>
        <w:jc w:val="left"/>
        <w:rPr>
          <w:rFonts w:ascii="宋体"/>
          <w:b/>
          <w:sz w:val="22"/>
          <w:u w:val="single"/>
        </w:rPr>
      </w:pPr>
      <w:r>
        <w:rPr>
          <w:rFonts w:hint="eastAsia" w:ascii="宋体" w:hAnsi="宋体"/>
          <w:b/>
          <w:sz w:val="22"/>
          <w:u w:val="single"/>
        </w:rPr>
        <w:t>9.4未被各级财政部门列入政府采购黑名单或被各级财政部门禁止参加政府采购项目投标。如供应商有上述情形并参与本项目投标的，一经查实，其投标做无效投标处理。</w:t>
      </w:r>
    </w:p>
    <w:p>
      <w:pPr>
        <w:widowControl/>
        <w:snapToGrid w:val="0"/>
        <w:spacing w:line="400" w:lineRule="atLeast"/>
        <w:ind w:firstLine="442" w:firstLineChars="200"/>
        <w:jc w:val="left"/>
        <w:rPr>
          <w:rFonts w:ascii="宋体"/>
          <w:b/>
          <w:sz w:val="22"/>
          <w:u w:val="single"/>
        </w:rPr>
      </w:pPr>
      <w:r>
        <w:rPr>
          <w:rFonts w:hint="eastAsia" w:ascii="宋体" w:hAnsi="宋体" w:eastAsia="宋体" w:cs="宋体"/>
          <w:b/>
          <w:sz w:val="22"/>
          <w:u w:val="single"/>
        </w:rPr>
        <w:t>▲</w:t>
      </w:r>
      <w:r>
        <w:rPr>
          <w:rFonts w:hint="eastAsia" w:ascii="宋体" w:hAnsi="宋体"/>
          <w:b/>
          <w:sz w:val="22"/>
          <w:u w:val="single"/>
        </w:rPr>
        <w:t>10、中标/成交供应商必须通过浙江政府采购网（</w:t>
      </w:r>
      <w:r>
        <w:fldChar w:fldCharType="begin"/>
      </w:r>
      <w:r>
        <w:instrText xml:space="preserve"> HYPERLINK "http://www.zjzfcg.gov.cn" </w:instrText>
      </w:r>
      <w:r>
        <w:fldChar w:fldCharType="separate"/>
      </w:r>
      <w:r>
        <w:rPr>
          <w:rFonts w:ascii="宋体" w:hAnsi="宋体"/>
          <w:b/>
          <w:sz w:val="22"/>
          <w:u w:val="single"/>
        </w:rPr>
        <w:t>www.zjzfcg.gov.cn</w:t>
      </w:r>
      <w:r>
        <w:rPr>
          <w:rFonts w:ascii="宋体" w:hAnsi="宋体"/>
          <w:b/>
          <w:sz w:val="22"/>
          <w:u w:val="single"/>
        </w:rPr>
        <w:fldChar w:fldCharType="end"/>
      </w:r>
      <w:r>
        <w:rPr>
          <w:rFonts w:hint="eastAsia" w:ascii="宋体" w:hAnsi="宋体"/>
          <w:b/>
          <w:sz w:val="22"/>
          <w:u w:val="single"/>
        </w:rPr>
        <w:t>）或各地分网站，向注册所在地或组织采购活动的采购代理机构（包括集中采购机构和社会中介采购代理机构）、采购单位等进行注册申请，按规定审核后，登记加入</w:t>
      </w:r>
      <w:r>
        <w:rPr>
          <w:rFonts w:hint="eastAsia" w:ascii="宋体"/>
          <w:b/>
          <w:sz w:val="22"/>
          <w:u w:val="single"/>
        </w:rPr>
        <w:t>“</w:t>
      </w:r>
      <w:r>
        <w:rPr>
          <w:rFonts w:hint="eastAsia" w:ascii="宋体" w:hAnsi="宋体"/>
          <w:b/>
          <w:sz w:val="22"/>
          <w:u w:val="single"/>
        </w:rPr>
        <w:t>浙江省政府采购供应商库</w:t>
      </w:r>
      <w:r>
        <w:rPr>
          <w:rFonts w:hint="eastAsia" w:ascii="宋体"/>
          <w:b/>
          <w:sz w:val="22"/>
          <w:u w:val="single"/>
        </w:rPr>
        <w:t>”</w:t>
      </w:r>
      <w:r>
        <w:rPr>
          <w:rFonts w:hint="eastAsia" w:ascii="宋体" w:hAnsi="宋体"/>
          <w:b/>
          <w:sz w:val="22"/>
          <w:u w:val="single"/>
        </w:rPr>
        <w:t>。</w:t>
      </w:r>
    </w:p>
    <w:p>
      <w:pPr>
        <w:widowControl/>
        <w:snapToGrid w:val="0"/>
        <w:spacing w:line="380" w:lineRule="exact"/>
        <w:ind w:firstLine="442" w:firstLineChars="200"/>
        <w:rPr>
          <w:rFonts w:ascii="宋体" w:hAnsi="宋体"/>
          <w:sz w:val="22"/>
          <w:u w:val="single"/>
        </w:rPr>
      </w:pPr>
      <w:r>
        <w:rPr>
          <w:rFonts w:hint="eastAsia" w:ascii="宋体" w:hAnsi="宋体"/>
          <w:b/>
          <w:sz w:val="22"/>
          <w:u w:val="single"/>
        </w:rPr>
        <w:t>▲</w:t>
      </w:r>
      <w:r>
        <w:rPr>
          <w:rFonts w:hint="eastAsia" w:ascii="宋体" w:hAnsi="宋体"/>
          <w:b/>
          <w:bCs/>
          <w:sz w:val="22"/>
          <w:u w:val="single"/>
        </w:rPr>
        <w:t>11、本项目采用资格后审，符合资格要求的供应商均可在本公告附件下载竞争性磋商文件，并按竞争性磋商文件规定的时间、地点递交响应文件（竞争性磋商文件下载网址：</w:t>
      </w:r>
      <w:r>
        <w:rPr>
          <w:rFonts w:hint="eastAsia" w:hAnsi="宋体"/>
          <w:b/>
          <w:bCs/>
          <w:sz w:val="22"/>
          <w:u w:val="single"/>
        </w:rPr>
        <w:t>浙江政府采购网（</w:t>
      </w:r>
      <w:r>
        <w:rPr>
          <w:rFonts w:hint="eastAsia"/>
          <w:b/>
          <w:bCs/>
          <w:u w:val="single"/>
        </w:rPr>
        <w:t>http://www.zcygov.cn/</w:t>
      </w:r>
      <w:r>
        <w:rPr>
          <w:rFonts w:hint="eastAsia" w:hAnsi="宋体"/>
          <w:b/>
          <w:bCs/>
          <w:sz w:val="22"/>
          <w:u w:val="single"/>
        </w:rPr>
        <w:t>）或</w:t>
      </w:r>
      <w:r>
        <w:rPr>
          <w:rFonts w:hint="eastAsia" w:ascii="宋体" w:hAnsi="宋体"/>
          <w:b/>
          <w:bCs/>
          <w:sz w:val="22"/>
          <w:u w:val="single"/>
        </w:rPr>
        <w:t>泰顺县人民政府网 县公共资源交易中心（http://www.ts.gov.cn/col/col1383420/index.html）</w:t>
      </w:r>
      <w:r>
        <w:rPr>
          <w:rFonts w:ascii="宋体" w:hAnsi="宋体"/>
          <w:b/>
          <w:bCs/>
          <w:sz w:val="22"/>
          <w:u w:val="single"/>
        </w:rPr>
        <w:t>,</w:t>
      </w:r>
      <w:r>
        <w:rPr>
          <w:rFonts w:hint="eastAsia" w:ascii="宋体" w:hAnsi="宋体"/>
          <w:b/>
          <w:bCs/>
          <w:sz w:val="22"/>
          <w:u w:val="single"/>
        </w:rPr>
        <w:t>竞争性磋商文件如有补充更正均见</w:t>
      </w:r>
      <w:r>
        <w:rPr>
          <w:rFonts w:hint="eastAsia" w:hAnsi="宋体"/>
          <w:b/>
          <w:bCs/>
          <w:sz w:val="22"/>
          <w:u w:val="single"/>
        </w:rPr>
        <w:t>浙江政府采购网（</w:t>
      </w:r>
      <w:r>
        <w:rPr>
          <w:rFonts w:hint="eastAsia"/>
          <w:b/>
          <w:bCs/>
          <w:u w:val="single"/>
        </w:rPr>
        <w:t>http://www.zcygov.cn/</w:t>
      </w:r>
      <w:r>
        <w:rPr>
          <w:rFonts w:hint="eastAsia" w:ascii="宋体" w:hAnsi="宋体"/>
          <w:b/>
          <w:bCs/>
          <w:sz w:val="22"/>
          <w:u w:val="single"/>
        </w:rPr>
        <w:t>）</w:t>
      </w:r>
      <w:r>
        <w:rPr>
          <w:rFonts w:hint="eastAsia" w:hAnsi="宋体"/>
          <w:b/>
          <w:bCs/>
          <w:sz w:val="22"/>
          <w:u w:val="single"/>
        </w:rPr>
        <w:t>或</w:t>
      </w:r>
      <w:bookmarkStart w:id="0" w:name="_Hlk518910530"/>
      <w:r>
        <w:rPr>
          <w:rFonts w:hint="eastAsia" w:ascii="宋体" w:hAnsi="宋体"/>
          <w:b/>
          <w:bCs/>
          <w:sz w:val="22"/>
          <w:u w:val="single"/>
        </w:rPr>
        <w:t>泰顺县人民政府网 县公共资源交易中心（http://www.ts.gov.cn/col/col1383420/index.html）。</w:t>
      </w:r>
      <w:bookmarkEnd w:id="0"/>
      <w:r>
        <w:rPr>
          <w:rFonts w:hint="eastAsia" w:ascii="宋体" w:hAnsi="宋体"/>
          <w:b/>
          <w:bCs/>
          <w:sz w:val="22"/>
          <w:u w:val="single"/>
        </w:rPr>
        <w:t>供应商须在投标截止前自行查看是否有补充、更正文件，并按补充、更正文件要求投标，否则责任自负。</w:t>
      </w:r>
    </w:p>
    <w:p>
      <w:pPr>
        <w:autoSpaceDE w:val="0"/>
        <w:autoSpaceDN w:val="0"/>
        <w:adjustRightInd w:val="0"/>
        <w:spacing w:line="400" w:lineRule="atLeast"/>
        <w:ind w:firstLine="440" w:firstLineChars="200"/>
        <w:rPr>
          <w:rFonts w:ascii="宋体" w:hAnsi="宋体" w:cs="??_GB2312"/>
          <w:sz w:val="22"/>
          <w:lang w:val="zh-CN"/>
        </w:rPr>
      </w:pPr>
      <w:r>
        <w:rPr>
          <w:rFonts w:hint="eastAsia" w:ascii="宋体" w:hAnsi="宋体" w:cs="??_GB2312"/>
          <w:sz w:val="22"/>
        </w:rPr>
        <w:t>12</w:t>
      </w:r>
      <w:r>
        <w:rPr>
          <w:rFonts w:hint="eastAsia" w:ascii="宋体" w:hAnsi="宋体" w:cs="??_GB2312"/>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pPr>
        <w:autoSpaceDE w:val="0"/>
        <w:autoSpaceDN w:val="0"/>
        <w:adjustRightInd w:val="0"/>
        <w:spacing w:line="400" w:lineRule="atLeast"/>
        <w:rPr>
          <w:rFonts w:ascii="宋体" w:cs="??_GB2312"/>
          <w:b/>
          <w:sz w:val="22"/>
          <w:lang w:val="zh-CN"/>
        </w:rPr>
      </w:pPr>
      <w:r>
        <w:rPr>
          <w:rFonts w:hint="eastAsia" w:ascii="宋体" w:hAnsi="宋体" w:cs="??_GB2312"/>
          <w:b/>
          <w:sz w:val="22"/>
          <w:lang w:val="zh-CN"/>
        </w:rPr>
        <w:t>二、竞争性磋商文件</w:t>
      </w:r>
    </w:p>
    <w:p>
      <w:pPr>
        <w:spacing w:line="400" w:lineRule="atLeast"/>
        <w:ind w:firstLine="420"/>
        <w:rPr>
          <w:rFonts w:ascii="宋体"/>
          <w:sz w:val="22"/>
        </w:rPr>
      </w:pPr>
      <w:r>
        <w:rPr>
          <w:rFonts w:ascii="宋体" w:hAnsi="宋体" w:cs="??_GB2312"/>
          <w:sz w:val="22"/>
          <w:lang w:val="zh-CN"/>
        </w:rPr>
        <w:t>1</w:t>
      </w:r>
      <w:r>
        <w:rPr>
          <w:rFonts w:hint="eastAsia" w:ascii="宋体" w:hAnsi="宋体" w:cs="??_GB2312"/>
          <w:sz w:val="22"/>
          <w:lang w:val="zh-CN"/>
        </w:rPr>
        <w:t>、竞争性磋商文件</w:t>
      </w:r>
    </w:p>
    <w:p>
      <w:pPr>
        <w:autoSpaceDE w:val="0"/>
        <w:autoSpaceDN w:val="0"/>
        <w:adjustRightInd w:val="0"/>
        <w:spacing w:line="400" w:lineRule="atLeast"/>
        <w:ind w:firstLine="420"/>
        <w:rPr>
          <w:rFonts w:ascii="宋体" w:cs="??_GB2312"/>
          <w:sz w:val="22"/>
          <w:lang w:val="zh-CN"/>
        </w:rPr>
      </w:pPr>
      <w:r>
        <w:rPr>
          <w:rFonts w:ascii="宋体" w:hAnsi="宋体" w:cs="??_GB2312"/>
          <w:sz w:val="22"/>
          <w:lang w:val="zh-CN"/>
        </w:rPr>
        <w:t>1.1</w:t>
      </w:r>
      <w:r>
        <w:rPr>
          <w:rFonts w:hint="eastAsia" w:ascii="宋体" w:hAnsi="宋体" w:cs="??_GB2312"/>
          <w:sz w:val="22"/>
          <w:lang w:val="zh-CN"/>
        </w:rPr>
        <w:t>竞争性磋商文件的发放</w:t>
      </w:r>
    </w:p>
    <w:p>
      <w:pPr>
        <w:autoSpaceDE w:val="0"/>
        <w:autoSpaceDN w:val="0"/>
        <w:adjustRightInd w:val="0"/>
        <w:spacing w:line="400" w:lineRule="atLeast"/>
        <w:ind w:firstLine="770" w:firstLineChars="350"/>
        <w:rPr>
          <w:rFonts w:ascii="宋体" w:cs="??_GB2312"/>
          <w:sz w:val="22"/>
          <w:lang w:val="zh-CN"/>
        </w:rPr>
      </w:pPr>
      <w:r>
        <w:rPr>
          <w:rFonts w:hint="eastAsia" w:ascii="宋体" w:hAnsi="宋体" w:cs="??_GB2312"/>
          <w:sz w:val="22"/>
          <w:lang w:val="zh-CN"/>
        </w:rPr>
        <w:t>本项目直接</w:t>
      </w:r>
      <w:r>
        <w:rPr>
          <w:rFonts w:ascii="宋体" w:hAnsi="宋体" w:cs="??_GB2312"/>
          <w:sz w:val="22"/>
          <w:lang w:val="zh-CN"/>
        </w:rPr>
        <w:t>在</w:t>
      </w:r>
      <w:r>
        <w:rPr>
          <w:rFonts w:hint="eastAsia" w:ascii="宋体" w:hAnsi="宋体" w:cs="??_GB2312"/>
          <w:sz w:val="22"/>
          <w:lang w:val="zh-CN"/>
        </w:rPr>
        <w:t>上</w:t>
      </w:r>
      <w:r>
        <w:rPr>
          <w:rFonts w:hint="eastAsia" w:ascii="宋体" w:hAnsi="宋体" w:cs="??_GB2312"/>
          <w:sz w:val="22"/>
        </w:rPr>
        <w:t>下载</w:t>
      </w:r>
      <w:r>
        <w:rPr>
          <w:rFonts w:hint="eastAsia" w:ascii="宋体" w:hAnsi="宋体" w:cs="??_GB2312"/>
          <w:sz w:val="22"/>
          <w:lang w:val="zh-CN"/>
        </w:rPr>
        <w:t>竞争性磋商文件。</w:t>
      </w:r>
    </w:p>
    <w:p>
      <w:pPr>
        <w:autoSpaceDE w:val="0"/>
        <w:autoSpaceDN w:val="0"/>
        <w:adjustRightInd w:val="0"/>
        <w:spacing w:line="400" w:lineRule="atLeast"/>
        <w:ind w:firstLine="431" w:firstLineChars="196"/>
        <w:textAlignment w:val="bottom"/>
        <w:outlineLvl w:val="1"/>
        <w:rPr>
          <w:rFonts w:ascii="宋体"/>
          <w:sz w:val="22"/>
        </w:rPr>
      </w:pPr>
      <w:r>
        <w:rPr>
          <w:rFonts w:ascii="宋体" w:hAnsi="宋体" w:cs="??_GB2312"/>
          <w:sz w:val="22"/>
          <w:lang w:val="zh-CN"/>
        </w:rPr>
        <w:t>1.2</w:t>
      </w:r>
      <w:r>
        <w:rPr>
          <w:rFonts w:hint="eastAsia" w:ascii="宋体" w:hAnsi="宋体"/>
          <w:sz w:val="22"/>
        </w:rPr>
        <w:t>竞争性磋商文件约束力</w:t>
      </w:r>
    </w:p>
    <w:p>
      <w:pPr>
        <w:autoSpaceDE w:val="0"/>
        <w:autoSpaceDN w:val="0"/>
        <w:adjustRightInd w:val="0"/>
        <w:spacing w:line="400" w:lineRule="atLeast"/>
        <w:ind w:firstLine="442" w:firstLineChars="200"/>
        <w:rPr>
          <w:rFonts w:ascii="宋体" w:cs="??_GB2312"/>
          <w:b/>
          <w:sz w:val="22"/>
          <w:u w:val="single"/>
          <w:lang w:val="zh-CN"/>
        </w:rPr>
      </w:pPr>
      <w:r>
        <w:rPr>
          <w:rFonts w:hint="eastAsia" w:ascii="宋体" w:hAnsi="宋体" w:cs="??_GB2312"/>
          <w:b/>
          <w:sz w:val="22"/>
          <w:u w:val="single"/>
          <w:lang w:val="zh-CN"/>
        </w:rPr>
        <w:t>供应商</w:t>
      </w:r>
      <w:r>
        <w:rPr>
          <w:rFonts w:hint="eastAsia" w:ascii="宋体" w:hAnsi="宋体"/>
          <w:b/>
          <w:sz w:val="22"/>
          <w:u w:val="single"/>
        </w:rPr>
        <w:t>一旦网上成功报名和下载了本项目竞争性磋商文件，在质疑期内未提出质疑，并参加投标，即被认为接受了本竞争性磋商文件中所有条款和规定。</w:t>
      </w:r>
    </w:p>
    <w:p>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2</w:t>
      </w:r>
      <w:r>
        <w:rPr>
          <w:rFonts w:hint="eastAsia" w:ascii="宋体" w:hAnsi="宋体" w:cs="??_GB2312"/>
          <w:sz w:val="22"/>
          <w:lang w:val="zh-CN"/>
        </w:rPr>
        <w:t>、竞争性磋商文件的澄清</w:t>
      </w:r>
    </w:p>
    <w:p>
      <w:pPr>
        <w:autoSpaceDE w:val="0"/>
        <w:autoSpaceDN w:val="0"/>
        <w:adjustRightInd w:val="0"/>
        <w:spacing w:line="400" w:lineRule="atLeast"/>
        <w:ind w:firstLine="440" w:firstLineChars="200"/>
        <w:rPr>
          <w:rFonts w:ascii="宋体" w:cs="??_GB2312"/>
          <w:sz w:val="22"/>
          <w:lang w:val="zh-CN"/>
        </w:rPr>
      </w:pPr>
      <w:r>
        <w:rPr>
          <w:rFonts w:hint="eastAsia" w:ascii="宋体" w:hAnsi="宋体" w:cs="??_GB2312"/>
          <w:sz w:val="22"/>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w:t>
      </w:r>
      <w:r>
        <w:rPr>
          <w:rFonts w:hint="eastAsia" w:ascii="宋体" w:hAnsi="宋体" w:cs="??_GB2312"/>
          <w:sz w:val="22"/>
          <w:lang w:val="zh-CN"/>
        </w:rPr>
        <w:t>、竞争性磋商文件的修改</w:t>
      </w:r>
    </w:p>
    <w:p>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3.1</w:t>
      </w:r>
      <w:r>
        <w:rPr>
          <w:rFonts w:hint="eastAsia" w:ascii="宋体" w:hAnsi="宋体" w:cs="??_GB2312"/>
          <w:sz w:val="22"/>
          <w:lang w:val="zh-CN"/>
        </w:rPr>
        <w:t>在投标截止时间前，采购单位或采购机构有权修改竞争性磋商文件，并以书面形式通知供应商。补充文件作为竞争性磋商文件的补充和组成部分，对所有供应商均有约束力。</w:t>
      </w:r>
    </w:p>
    <w:p>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3.2</w:t>
      </w:r>
      <w:r>
        <w:rPr>
          <w:rFonts w:hint="eastAsia" w:ascii="宋体" w:hAnsi="宋体" w:cs="??_GB2312"/>
          <w:sz w:val="22"/>
          <w:lang w:val="zh-CN"/>
        </w:rPr>
        <w:t>为使供应商有足够的时间按竞争性磋商文件要求修正响应文件，采购单位按相关规定推迟投标截止时间和开标时间，并将此变更通知放至相关网站公示。</w:t>
      </w:r>
    </w:p>
    <w:p>
      <w:pPr>
        <w:autoSpaceDE w:val="0"/>
        <w:autoSpaceDN w:val="0"/>
        <w:adjustRightInd w:val="0"/>
        <w:spacing w:line="400" w:lineRule="atLeast"/>
        <w:rPr>
          <w:rFonts w:ascii="宋体" w:cs="??_GB2312"/>
          <w:b/>
          <w:sz w:val="22"/>
          <w:lang w:val="zh-CN"/>
        </w:rPr>
      </w:pPr>
      <w:r>
        <w:rPr>
          <w:rFonts w:hint="eastAsia" w:ascii="宋体" w:hAnsi="宋体" w:cs="??_GB2312"/>
          <w:b/>
          <w:sz w:val="22"/>
        </w:rPr>
        <w:t>三</w:t>
      </w:r>
      <w:r>
        <w:rPr>
          <w:rFonts w:hint="eastAsia" w:ascii="宋体" w:hAnsi="宋体" w:cs="??_GB2312"/>
          <w:b/>
          <w:sz w:val="22"/>
          <w:lang w:val="zh-CN"/>
        </w:rPr>
        <w:t>、响应文件</w:t>
      </w:r>
    </w:p>
    <w:p>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1</w:t>
      </w:r>
      <w:r>
        <w:rPr>
          <w:rFonts w:hint="eastAsia" w:ascii="宋体" w:hAnsi="宋体" w:cs="??_GB2312"/>
          <w:sz w:val="22"/>
          <w:lang w:val="zh-CN"/>
        </w:rPr>
        <w:t>、响应文件</w:t>
      </w:r>
    </w:p>
    <w:p>
      <w:pPr>
        <w:autoSpaceDE w:val="0"/>
        <w:autoSpaceDN w:val="0"/>
        <w:adjustRightInd w:val="0"/>
        <w:snapToGrid w:val="0"/>
        <w:spacing w:line="400" w:lineRule="atLeast"/>
        <w:ind w:firstLine="480" w:firstLineChars="200"/>
        <w:textAlignment w:val="bottom"/>
        <w:rPr>
          <w:rFonts w:ascii="宋体" w:cs="Arial"/>
          <w:color w:val="000000" w:themeColor="text1"/>
          <w:sz w:val="22"/>
          <w:szCs w:val="22"/>
          <w14:textFill>
            <w14:solidFill>
              <w14:schemeClr w14:val="tx1"/>
            </w14:solidFill>
          </w14:textFill>
        </w:rPr>
      </w:pPr>
      <w:r>
        <w:rPr>
          <w:rFonts w:ascii="宋体"/>
          <w:color w:val="000000" w:themeColor="text1"/>
          <w:sz w:val="24"/>
          <w14:textFill>
            <w14:solidFill>
              <w14:schemeClr w14:val="tx1"/>
            </w14:solidFill>
          </w14:textFill>
        </w:rPr>
        <w:t>1</w:t>
      </w:r>
      <w:r>
        <w:rPr>
          <w:rFonts w:ascii="宋体" w:cs="Arial"/>
          <w:color w:val="000000" w:themeColor="text1"/>
          <w:sz w:val="22"/>
          <w:szCs w:val="22"/>
          <w14:textFill>
            <w14:solidFill>
              <w14:schemeClr w14:val="tx1"/>
            </w14:solidFill>
          </w14:textFill>
        </w:rPr>
        <w:t xml:space="preserve">.1 </w:t>
      </w:r>
      <w:r>
        <w:rPr>
          <w:rFonts w:hint="eastAsia" w:ascii="宋体" w:cs="Arial"/>
          <w:color w:val="000000" w:themeColor="text1"/>
          <w:sz w:val="22"/>
          <w:szCs w:val="22"/>
          <w14:textFill>
            <w14:solidFill>
              <w14:schemeClr w14:val="tx1"/>
            </w14:solidFill>
          </w14:textFill>
        </w:rPr>
        <w:t>供应商提交的投标文件以及供应商与采购单位就有关投标的所有来往函电均应使用中文。供应商可以提交用其它语言印制的资料，但必须译成中文，在有差异和矛盾时以中文为准。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0" w:firstLineChars="200"/>
        <w:textAlignment w:val="bottom"/>
        <w:rPr>
          <w:rFonts w:ascii="宋体" w:cs="Arial"/>
          <w:color w:val="000000" w:themeColor="text1"/>
          <w:sz w:val="22"/>
          <w:szCs w:val="22"/>
          <w14:textFill>
            <w14:solidFill>
              <w14:schemeClr w14:val="tx1"/>
            </w14:solidFill>
          </w14:textFill>
        </w:rPr>
      </w:pPr>
      <w:r>
        <w:rPr>
          <w:rFonts w:ascii="宋体" w:cs="Arial"/>
          <w:color w:val="000000" w:themeColor="text1"/>
          <w:sz w:val="22"/>
          <w:szCs w:val="22"/>
          <w:lang w:val="zh-CN"/>
          <w14:textFill>
            <w14:solidFill>
              <w14:schemeClr w14:val="tx1"/>
            </w14:solidFill>
          </w14:textFill>
        </w:rPr>
        <w:t>1.</w:t>
      </w:r>
      <w:r>
        <w:rPr>
          <w:rFonts w:ascii="宋体" w:cs="Arial"/>
          <w:color w:val="000000" w:themeColor="text1"/>
          <w:sz w:val="22"/>
          <w:szCs w:val="22"/>
          <w14:textFill>
            <w14:solidFill>
              <w14:schemeClr w14:val="tx1"/>
            </w14:solidFill>
          </w14:textFill>
        </w:rPr>
        <w:t xml:space="preserve">2 </w:t>
      </w:r>
      <w:r>
        <w:rPr>
          <w:rFonts w:hint="eastAsia" w:ascii="宋体" w:cs="Arial"/>
          <w:color w:val="000000" w:themeColor="text1"/>
          <w:sz w:val="22"/>
          <w:szCs w:val="22"/>
          <w14:textFill>
            <w14:solidFill>
              <w14:schemeClr w14:val="tx1"/>
            </w14:solidFill>
          </w14:textFill>
        </w:rPr>
        <w:t>供应商提交的投标文件报价均采用人民币报价。</w:t>
      </w:r>
    </w:p>
    <w:p>
      <w:pPr>
        <w:autoSpaceDE w:val="0"/>
        <w:autoSpaceDN w:val="0"/>
        <w:adjustRightInd w:val="0"/>
        <w:snapToGrid w:val="0"/>
        <w:spacing w:line="400" w:lineRule="atLeast"/>
        <w:ind w:firstLine="440" w:firstLineChars="200"/>
        <w:textAlignment w:val="bottom"/>
        <w:rPr>
          <w:rFonts w:ascii="宋体" w:cs="Arial"/>
          <w:color w:val="000000" w:themeColor="text1"/>
          <w:sz w:val="22"/>
          <w:szCs w:val="22"/>
          <w14:textFill>
            <w14:solidFill>
              <w14:schemeClr w14:val="tx1"/>
            </w14:solidFill>
          </w14:textFill>
        </w:rPr>
      </w:pPr>
      <w:r>
        <w:rPr>
          <w:rFonts w:ascii="宋体" w:cs="Arial"/>
          <w:color w:val="000000" w:themeColor="text1"/>
          <w:sz w:val="22"/>
          <w:szCs w:val="22"/>
          <w:lang w:val="zh-CN"/>
          <w14:textFill>
            <w14:solidFill>
              <w14:schemeClr w14:val="tx1"/>
            </w14:solidFill>
          </w14:textFill>
        </w:rPr>
        <w:t>1.</w:t>
      </w:r>
      <w:r>
        <w:rPr>
          <w:rFonts w:ascii="宋体" w:cs="Arial"/>
          <w:color w:val="000000" w:themeColor="text1"/>
          <w:sz w:val="22"/>
          <w:szCs w:val="22"/>
          <w14:textFill>
            <w14:solidFill>
              <w14:schemeClr w14:val="tx1"/>
            </w14:solidFill>
          </w14:textFill>
        </w:rPr>
        <w:t xml:space="preserve">3 </w:t>
      </w:r>
      <w:r>
        <w:rPr>
          <w:rFonts w:hint="eastAsia" w:ascii="宋体" w:cs="Arial"/>
          <w:color w:val="000000" w:themeColor="text1"/>
          <w:sz w:val="22"/>
          <w:szCs w:val="22"/>
          <w14:textFill>
            <w14:solidFill>
              <w14:schemeClr w14:val="tx1"/>
            </w14:solidFill>
          </w14:textFill>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0" w:firstLineChars="200"/>
        <w:textAlignment w:val="bottom"/>
        <w:rPr>
          <w:rFonts w:ascii="宋体" w:cs="Arial"/>
          <w:color w:val="000000" w:themeColor="text1"/>
          <w:sz w:val="22"/>
          <w:szCs w:val="22"/>
          <w14:textFill>
            <w14:solidFill>
              <w14:schemeClr w14:val="tx1"/>
            </w14:solidFill>
          </w14:textFill>
        </w:rPr>
      </w:pPr>
      <w:r>
        <w:rPr>
          <w:rFonts w:ascii="宋体" w:cs="Arial"/>
          <w:color w:val="000000" w:themeColor="text1"/>
          <w:sz w:val="22"/>
          <w:szCs w:val="22"/>
          <w:lang w:val="zh-CN"/>
          <w14:textFill>
            <w14:solidFill>
              <w14:schemeClr w14:val="tx1"/>
            </w14:solidFill>
          </w14:textFill>
        </w:rPr>
        <w:t>1.</w:t>
      </w:r>
      <w:r>
        <w:rPr>
          <w:rFonts w:ascii="宋体" w:cs="Arial"/>
          <w:color w:val="000000" w:themeColor="text1"/>
          <w:sz w:val="22"/>
          <w:szCs w:val="22"/>
          <w14:textFill>
            <w14:solidFill>
              <w14:schemeClr w14:val="tx1"/>
            </w14:solidFill>
          </w14:textFill>
        </w:rPr>
        <w:t xml:space="preserve">4 </w:t>
      </w:r>
      <w:r>
        <w:rPr>
          <w:rFonts w:hint="eastAsia" w:ascii="宋体" w:cs="Arial"/>
          <w:color w:val="000000" w:themeColor="text1"/>
          <w:sz w:val="22"/>
          <w:szCs w:val="22"/>
          <w14:textFill>
            <w14:solidFill>
              <w14:schemeClr w14:val="tx1"/>
            </w14:solidFill>
          </w14:textFill>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ascii="宋体"/>
          <w:color w:val="000000" w:themeColor="text1"/>
          <w:sz w:val="22"/>
          <w:lang w:val="zh-CN"/>
          <w14:textFill>
            <w14:solidFill>
              <w14:schemeClr w14:val="tx1"/>
            </w14:solidFill>
          </w14:textFill>
        </w:rPr>
      </w:pPr>
      <w:r>
        <w:rPr>
          <w:rFonts w:ascii="宋体" w:cs="仿宋_GB2312"/>
          <w:color w:val="000000" w:themeColor="text1"/>
          <w:sz w:val="22"/>
          <w:szCs w:val="22"/>
          <w:lang w:val="zh-CN"/>
          <w14:textFill>
            <w14:solidFill>
              <w14:schemeClr w14:val="tx1"/>
            </w14:solidFill>
          </w14:textFill>
        </w:rPr>
        <w:t>1.</w:t>
      </w:r>
      <w:r>
        <w:rPr>
          <w:rFonts w:ascii="宋体" w:cs="仿宋_GB2312"/>
          <w:color w:val="000000" w:themeColor="text1"/>
          <w:sz w:val="22"/>
          <w:szCs w:val="22"/>
          <w14:textFill>
            <w14:solidFill>
              <w14:schemeClr w14:val="tx1"/>
            </w14:solidFill>
          </w14:textFill>
        </w:rPr>
        <w:t xml:space="preserve">5 </w:t>
      </w:r>
      <w:r>
        <w:rPr>
          <w:rFonts w:hint="eastAsia" w:ascii="宋体" w:cs="仿宋_GB2312"/>
          <w:color w:val="000000" w:themeColor="text1"/>
          <w:sz w:val="22"/>
          <w:szCs w:val="22"/>
          <w:lang w:val="zh-CN"/>
          <w14:textFill>
            <w14:solidFill>
              <w14:schemeClr w14:val="tx1"/>
            </w14:solidFill>
          </w14:textFill>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2</w:t>
      </w:r>
      <w:r>
        <w:rPr>
          <w:rFonts w:hint="eastAsia" w:ascii="宋体" w:hAnsi="宋体" w:cs="??_GB2312"/>
          <w:sz w:val="22"/>
          <w:lang w:val="zh-CN"/>
        </w:rPr>
        <w:t>、响应文件的组成</w:t>
      </w:r>
    </w:p>
    <w:p>
      <w:pPr>
        <w:autoSpaceDE w:val="0"/>
        <w:autoSpaceDN w:val="0"/>
        <w:adjustRightInd w:val="0"/>
        <w:snapToGrid w:val="0"/>
        <w:spacing w:line="400" w:lineRule="atLeast"/>
        <w:ind w:firstLine="442" w:firstLineChars="200"/>
        <w:rPr>
          <w:rFonts w:ascii="宋体"/>
          <w:b/>
          <w:bCs/>
          <w:color w:val="000000" w:themeColor="text1"/>
          <w:sz w:val="22"/>
          <w:u w:val="single"/>
          <w:lang w:val="zh-CN"/>
          <w14:textFill>
            <w14:solidFill>
              <w14:schemeClr w14:val="tx1"/>
            </w14:solidFill>
          </w14:textFill>
        </w:rPr>
      </w:pPr>
      <w:bookmarkStart w:id="1" w:name="_Toc132122418"/>
      <w:bookmarkStart w:id="2" w:name="_Toc132125039"/>
      <w:bookmarkStart w:id="3" w:name="_Toc493530208"/>
      <w:bookmarkStart w:id="4" w:name="_Toc132655778"/>
      <w:bookmarkStart w:id="5" w:name="_Toc132125985"/>
      <w:bookmarkStart w:id="6" w:name="_Toc132123441"/>
      <w:bookmarkStart w:id="7" w:name="_Toc132123883"/>
      <w:bookmarkStart w:id="8" w:name="_Toc132125097"/>
      <w:bookmarkStart w:id="9" w:name="_Toc132122121"/>
      <w:bookmarkStart w:id="10" w:name="_Toc132123636"/>
      <w:bookmarkStart w:id="11" w:name="_Toc132123549"/>
      <w:bookmarkStart w:id="12" w:name="_Toc132125576"/>
      <w:bookmarkStart w:id="13" w:name="_Toc132126156"/>
      <w:bookmarkStart w:id="14" w:name="_Toc132123840"/>
      <w:bookmarkStart w:id="15" w:name="_Toc132124596"/>
      <w:bookmarkStart w:id="16" w:name="_Toc132125153"/>
      <w:r>
        <w:rPr>
          <w:rFonts w:hint="eastAsia" w:ascii="宋体" w:hAnsi="宋体" w:cs="Arial"/>
          <w:b/>
          <w:sz w:val="22"/>
          <w:u w:val="single"/>
        </w:rPr>
        <w:t>▲</w:t>
      </w:r>
      <w:r>
        <w:rPr>
          <w:rFonts w:hint="eastAsia" w:ascii="宋体"/>
          <w:b/>
          <w:bCs/>
          <w:color w:val="000000" w:themeColor="text1"/>
          <w:sz w:val="22"/>
          <w:u w:val="single"/>
          <w14:textFill>
            <w14:solidFill>
              <w14:schemeClr w14:val="tx1"/>
            </w14:solidFill>
          </w14:textFill>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0" w:firstLineChars="200"/>
        <w:rPr>
          <w:rFonts w:ascii="宋体" w:hAnsi="宋体" w:eastAsia="宋体" w:cs="宋体"/>
          <w:b/>
          <w:bCs/>
          <w:color w:val="000000" w:themeColor="text1"/>
          <w:sz w:val="22"/>
          <w:szCs w:val="22"/>
          <w:lang w:val="zh-CN"/>
          <w14:textFill>
            <w14:solidFill>
              <w14:schemeClr w14:val="tx1"/>
            </w14:solidFill>
          </w14:textFill>
        </w:rPr>
      </w:pPr>
      <w:bookmarkStart w:id="17" w:name="_Hlk519085152"/>
      <w:r>
        <w:rPr>
          <w:rFonts w:hint="eastAsia" w:ascii="宋体" w:hAnsi="宋体" w:eastAsia="宋体" w:cs="宋体"/>
          <w:sz w:val="22"/>
          <w:szCs w:val="22"/>
          <w:lang w:val="zh-CN"/>
        </w:rPr>
        <w:t>2.1</w:t>
      </w:r>
      <w:r>
        <w:rPr>
          <w:rFonts w:hint="eastAsia" w:ascii="宋体" w:hAnsi="宋体" w:eastAsia="宋体" w:cs="宋体"/>
          <w:b/>
          <w:bCs/>
          <w:color w:val="000000" w:themeColor="text1"/>
          <w:sz w:val="22"/>
          <w:szCs w:val="22"/>
          <w14:textFill>
            <w14:solidFill>
              <w14:schemeClr w14:val="tx1"/>
            </w14:solidFill>
          </w14:textFill>
        </w:rPr>
        <w:t>《报价文件》</w:t>
      </w:r>
      <w:r>
        <w:rPr>
          <w:rFonts w:hint="eastAsia" w:ascii="宋体" w:hAnsi="宋体" w:eastAsia="宋体" w:cs="宋体"/>
          <w:b/>
          <w:bCs/>
          <w:color w:val="000000" w:themeColor="text1"/>
          <w:sz w:val="22"/>
          <w:szCs w:val="22"/>
          <w:lang w:val="zh-CN"/>
          <w14:textFill>
            <w14:solidFill>
              <w14:schemeClr w14:val="tx1"/>
            </w14:solidFill>
          </w14:textFill>
        </w:rPr>
        <w:t>组成</w:t>
      </w:r>
    </w:p>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lang w:val="zh-CN"/>
              </w:rPr>
            </w:pPr>
            <w:r>
              <w:rPr>
                <w:rFonts w:hint="eastAsia" w:ascii="宋体" w:hAnsi="宋体" w:eastAsia="宋体" w:cs="宋体"/>
                <w:sz w:val="22"/>
                <w:szCs w:val="22"/>
                <w:lang w:val="zh-CN"/>
              </w:rPr>
              <w:t>序号</w:t>
            </w:r>
          </w:p>
        </w:tc>
        <w:tc>
          <w:tcPr>
            <w:tcW w:w="8386" w:type="dxa"/>
          </w:tcPr>
          <w:p>
            <w:pPr>
              <w:autoSpaceDE w:val="0"/>
              <w:autoSpaceDN w:val="0"/>
              <w:adjustRightInd w:val="0"/>
              <w:snapToGrid w:val="0"/>
              <w:spacing w:line="400" w:lineRule="atLeast"/>
              <w:rPr>
                <w:rFonts w:ascii="宋体" w:hAnsi="宋体" w:eastAsia="宋体" w:cs="宋体"/>
                <w:sz w:val="22"/>
                <w:szCs w:val="22"/>
                <w:lang w:val="zh-CN"/>
              </w:rPr>
            </w:pPr>
            <w:r>
              <w:rPr>
                <w:rFonts w:hint="eastAsia" w:ascii="宋体" w:hAnsi="宋体" w:eastAsia="宋体" w:cs="宋体"/>
                <w:sz w:val="22"/>
                <w:szCs w:val="22"/>
              </w:rPr>
              <w:t>内容（</w:t>
            </w:r>
            <w:r>
              <w:rPr>
                <w:rFonts w:hint="eastAsia" w:ascii="宋体" w:hAnsi="宋体" w:eastAsia="宋体" w:cs="宋体"/>
                <w:b/>
                <w:bCs/>
                <w:sz w:val="22"/>
                <w:szCs w:val="22"/>
                <w:u w:val="single"/>
              </w:rPr>
              <w:t>▲序号1-2项供应商必须提供，否则不能通过符合性审查的，责任自负</w:t>
            </w: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1.</w:t>
            </w:r>
          </w:p>
        </w:tc>
        <w:tc>
          <w:tcPr>
            <w:tcW w:w="8386" w:type="dxa"/>
          </w:tcPr>
          <w:p>
            <w:pPr>
              <w:autoSpaceDE w:val="0"/>
              <w:autoSpaceDN w:val="0"/>
              <w:adjustRightInd w:val="0"/>
              <w:spacing w:line="400" w:lineRule="atLeast"/>
              <w:textAlignment w:val="bottom"/>
              <w:rPr>
                <w:rFonts w:ascii="宋体" w:hAnsi="宋体" w:eastAsia="宋体" w:cs="宋体"/>
                <w:sz w:val="22"/>
                <w:szCs w:val="22"/>
              </w:rPr>
            </w:pPr>
            <w:r>
              <w:rPr>
                <w:rFonts w:hint="eastAsia" w:ascii="宋体" w:hAnsi="宋体" w:eastAsia="宋体" w:cs="宋体"/>
                <w:sz w:val="22"/>
                <w:szCs w:val="22"/>
              </w:rPr>
              <w:t>投标报价一览表（见附件一（一））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2.</w:t>
            </w:r>
          </w:p>
        </w:tc>
        <w:tc>
          <w:tcPr>
            <w:tcW w:w="8386" w:type="dxa"/>
          </w:tcPr>
          <w:p>
            <w:pPr>
              <w:autoSpaceDE w:val="0"/>
              <w:autoSpaceDN w:val="0"/>
              <w:adjustRightInd w:val="0"/>
              <w:spacing w:line="400" w:lineRule="atLeast"/>
              <w:textAlignment w:val="bottom"/>
              <w:rPr>
                <w:rFonts w:ascii="宋体" w:hAnsi="宋体" w:eastAsia="宋体" w:cs="宋体"/>
                <w:sz w:val="22"/>
                <w:szCs w:val="22"/>
              </w:rPr>
            </w:pPr>
            <w:r>
              <w:rPr>
                <w:rFonts w:hint="eastAsia" w:ascii="宋体" w:hAnsi="宋体" w:eastAsia="宋体" w:cs="宋体"/>
                <w:sz w:val="22"/>
                <w:szCs w:val="22"/>
              </w:rPr>
              <w:t>投标分项报价表（见附件一（二））</w:t>
            </w:r>
          </w:p>
        </w:tc>
      </w:tr>
    </w:tbl>
    <w:p>
      <w:pPr>
        <w:autoSpaceDE w:val="0"/>
        <w:autoSpaceDN w:val="0"/>
        <w:adjustRightInd w:val="0"/>
        <w:snapToGrid w:val="0"/>
        <w:spacing w:line="400" w:lineRule="atLeast"/>
        <w:ind w:firstLine="440" w:firstLineChars="200"/>
        <w:textAlignment w:val="bottom"/>
        <w:rPr>
          <w:rFonts w:ascii="宋体" w:hAnsi="宋体" w:eastAsia="宋体" w:cs="宋体"/>
          <w:sz w:val="22"/>
          <w:szCs w:val="22"/>
        </w:rPr>
      </w:pPr>
      <w:r>
        <w:rPr>
          <w:rFonts w:hint="eastAsia" w:ascii="宋体" w:hAnsi="宋体" w:eastAsia="宋体" w:cs="宋体"/>
          <w:sz w:val="22"/>
          <w:szCs w:val="22"/>
        </w:rPr>
        <w:t>2.2</w:t>
      </w:r>
      <w:r>
        <w:rPr>
          <w:rFonts w:hint="eastAsia" w:ascii="宋体" w:hAnsi="宋体" w:eastAsia="宋体" w:cs="宋体"/>
          <w:b/>
          <w:bCs/>
          <w:color w:val="000000" w:themeColor="text1"/>
          <w:sz w:val="22"/>
          <w:szCs w:val="22"/>
          <w14:textFill>
            <w14:solidFill>
              <w14:schemeClr w14:val="tx1"/>
            </w14:solidFill>
          </w14:textFill>
        </w:rPr>
        <w:t>《资格文件》组成</w:t>
      </w:r>
    </w:p>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序号</w:t>
            </w: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资信部分</w:t>
            </w:r>
            <w:r>
              <w:rPr>
                <w:rFonts w:hint="eastAsia" w:ascii="宋体" w:hAnsi="宋体" w:eastAsia="宋体" w:cs="宋体"/>
                <w:b/>
                <w:bCs/>
                <w:sz w:val="22"/>
                <w:szCs w:val="22"/>
                <w:u w:val="single"/>
              </w:rPr>
              <w:t>（▲序号1-9项供应商必须提供，否则不能通过资格审查的，责任自负）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供应商特定资格条件证明（如有）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sz w:val="22"/>
              </w:rPr>
              <w:t>落实政府采购政策需满足的资格要求</w:t>
            </w:r>
            <w:r>
              <w:rPr>
                <w:rFonts w:hint="eastAsia" w:ascii="宋体" w:hAnsi="宋体" w:eastAsia="宋体" w:cs="宋体"/>
                <w:sz w:val="22"/>
                <w:szCs w:val="22"/>
              </w:rPr>
              <w:t>（《中小企业声明函》）（见附件二）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近一年供应商财务报表（新成立单位，应提供情况说明）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具有履行合同所必需的设备和专业技术能力的承诺函（见附件三）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依法缴纳税收和社会保障资金的承诺函（见附件四）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参加政府采购活动前3年内在经营活动中没有重大违法记录的声明函（见附件五）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供应商“信用中国”(www.creditchina.gov.cn)；“中国政府采购网”（http://www.ccgp.gov.cn/）信用记录网页截图（招标公告发布之日至投标截止时间前均可）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12"/>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法定代表人身份证明书（见附件六（一））或法定代表人授权书（见附件六（二））</w:t>
            </w:r>
          </w:p>
        </w:tc>
      </w:tr>
    </w:tbl>
    <w:p>
      <w:pPr>
        <w:autoSpaceDE w:val="0"/>
        <w:autoSpaceDN w:val="0"/>
        <w:adjustRightInd w:val="0"/>
        <w:snapToGrid w:val="0"/>
        <w:spacing w:line="400" w:lineRule="atLeast"/>
        <w:ind w:firstLine="440" w:firstLineChars="200"/>
        <w:textAlignment w:val="bottom"/>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2.3</w:t>
      </w:r>
      <w:r>
        <w:rPr>
          <w:rFonts w:hint="eastAsia" w:ascii="宋体" w:hAnsi="宋体" w:eastAsia="宋体" w:cs="宋体"/>
          <w:b/>
          <w:bCs/>
          <w:color w:val="000000" w:themeColor="text1"/>
          <w:sz w:val="22"/>
          <w:szCs w:val="22"/>
          <w14:textFill>
            <w14:solidFill>
              <w14:schemeClr w14:val="tx1"/>
            </w14:solidFill>
          </w14:textFill>
        </w:rPr>
        <w:t>《商务技术文件》组成</w:t>
      </w:r>
    </w:p>
    <w:bookmarkEnd w:id="17"/>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技术部分</w:t>
            </w:r>
            <w:r>
              <w:rPr>
                <w:rFonts w:hint="eastAsia" w:ascii="宋体" w:hAnsi="宋体" w:eastAsia="宋体" w:cs="宋体"/>
                <w:b/>
                <w:bCs/>
                <w:sz w:val="22"/>
                <w:szCs w:val="22"/>
                <w:u w:val="single"/>
              </w:rPr>
              <w:t>（▲序号1-5项供应商必须提供，否则不能通过符合性审查的，责任自负）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投标函（见附件七）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供应商参与政府采购活动投标资格声明（见附件八）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法定代表人诚信投标承诺书（见附件九）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商务偏离表（见附件十（一））、技术偏离表（见附件十（二））（如有偏离须明确列出，如不存在偏离则填写无）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投标产品配置清单（见附件十一）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距离采购单位最近的服务机构的详细介绍（如负责人，电话，地址，技术力量配备等）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其它供应商须说明的资料（如有则提供）</w:t>
            </w:r>
          </w:p>
        </w:tc>
      </w:tr>
    </w:tbl>
    <w:p>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w:t>
      </w:r>
      <w:r>
        <w:rPr>
          <w:rFonts w:hint="eastAsia" w:ascii="宋体" w:hAnsi="宋体" w:cs="Arial"/>
          <w:sz w:val="22"/>
        </w:rPr>
        <w:t>、投标内容填写说明</w:t>
      </w:r>
    </w:p>
    <w:p>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3.1</w:t>
      </w:r>
      <w:r>
        <w:rPr>
          <w:rFonts w:hint="eastAsia" w:ascii="宋体" w:hAnsi="宋体" w:cs="Arial"/>
          <w:sz w:val="22"/>
        </w:rPr>
        <w:t>响应文件格式</w:t>
      </w:r>
    </w:p>
    <w:p>
      <w:pPr>
        <w:autoSpaceDE w:val="0"/>
        <w:autoSpaceDN w:val="0"/>
        <w:adjustRightInd w:val="0"/>
        <w:spacing w:line="400" w:lineRule="exact"/>
        <w:ind w:firstLine="440" w:firstLineChars="200"/>
        <w:textAlignment w:val="bottom"/>
        <w:rPr>
          <w:rFonts w:ascii="宋体" w:cs="Arial"/>
          <w:sz w:val="22"/>
        </w:rPr>
      </w:pPr>
      <w:r>
        <w:rPr>
          <w:rFonts w:hint="eastAsia" w:ascii="宋体" w:hAnsi="宋体" w:cs="Arial"/>
          <w:sz w:val="22"/>
        </w:rPr>
        <w:t>供应商应按照第</w:t>
      </w:r>
      <w:r>
        <w:rPr>
          <w:rFonts w:ascii="宋体" w:hAnsi="宋体" w:cs="Arial"/>
          <w:sz w:val="22"/>
        </w:rPr>
        <w:t>2</w:t>
      </w:r>
      <w:r>
        <w:rPr>
          <w:rFonts w:hint="eastAsia" w:ascii="宋体" w:hAnsi="宋体" w:cs="Arial"/>
          <w:sz w:val="22"/>
        </w:rPr>
        <w:t>条所列出的内容及格式逐一按顺序组成响应文件</w:t>
      </w:r>
    </w:p>
    <w:p>
      <w:pPr>
        <w:autoSpaceDE w:val="0"/>
        <w:autoSpaceDN w:val="0"/>
        <w:adjustRightInd w:val="0"/>
        <w:snapToGrid w:val="0"/>
        <w:spacing w:line="400" w:lineRule="exact"/>
        <w:textAlignment w:val="bottom"/>
        <w:rPr>
          <w:rFonts w:ascii="宋体"/>
          <w:sz w:val="22"/>
        </w:rPr>
      </w:pPr>
      <w:r>
        <w:rPr>
          <w:rFonts w:ascii="宋体" w:hAnsi="宋体"/>
          <w:sz w:val="22"/>
        </w:rPr>
        <w:t>4</w:t>
      </w:r>
      <w:r>
        <w:rPr>
          <w:rFonts w:hint="eastAsia" w:ascii="宋体" w:hAnsi="宋体"/>
          <w:sz w:val="22"/>
        </w:rPr>
        <w:t>、投标报价</w:t>
      </w:r>
    </w:p>
    <w:p>
      <w:pPr>
        <w:autoSpaceDE w:val="0"/>
        <w:autoSpaceDN w:val="0"/>
        <w:adjustRightInd w:val="0"/>
        <w:spacing w:line="400" w:lineRule="exact"/>
        <w:ind w:firstLine="440" w:firstLineChars="200"/>
        <w:textAlignment w:val="bottom"/>
        <w:rPr>
          <w:rFonts w:ascii="宋体"/>
          <w:sz w:val="22"/>
        </w:rPr>
      </w:pPr>
      <w:r>
        <w:rPr>
          <w:rFonts w:ascii="宋体" w:hAnsi="宋体"/>
          <w:sz w:val="22"/>
        </w:rPr>
        <w:t>4.1</w:t>
      </w:r>
      <w:r>
        <w:rPr>
          <w:rFonts w:hint="eastAsia" w:ascii="宋体" w:hAnsi="宋体"/>
          <w:sz w:val="22"/>
        </w:rPr>
        <w:t>供应商应按竞争性磋商文件中《投标报价一览表》填写报价总价。</w:t>
      </w:r>
    </w:p>
    <w:p>
      <w:pPr>
        <w:autoSpaceDE w:val="0"/>
        <w:autoSpaceDN w:val="0"/>
        <w:adjustRightInd w:val="0"/>
        <w:snapToGrid w:val="0"/>
        <w:spacing w:line="400" w:lineRule="atLeast"/>
        <w:ind w:firstLine="450"/>
        <w:textAlignment w:val="bottom"/>
        <w:rPr>
          <w:rFonts w:ascii="宋体" w:cs="Arial"/>
          <w:sz w:val="22"/>
          <w:u w:val="single"/>
        </w:rPr>
      </w:pPr>
      <w:r>
        <w:rPr>
          <w:rFonts w:ascii="宋体" w:hAnsi="宋体"/>
          <w:sz w:val="22"/>
        </w:rPr>
        <w:t>4.2</w:t>
      </w:r>
      <w:r>
        <w:rPr>
          <w:rFonts w:hint="eastAsia" w:ascii="宋体" w:cs="Arial"/>
          <w:color w:val="000000" w:themeColor="text1"/>
          <w:sz w:val="22"/>
          <w:szCs w:val="22"/>
          <w14:textFill>
            <w14:solidFill>
              <w14:schemeClr w14:val="tx1"/>
            </w14:solidFill>
          </w14:textFill>
        </w:rPr>
        <w:t>本次招标只允许有一个报价，有选择的报价将不予接受。</w:t>
      </w:r>
      <w:r>
        <w:rPr>
          <w:rFonts w:hint="eastAsia" w:ascii="宋体" w:hAnsi="宋体"/>
          <w:sz w:val="22"/>
        </w:rPr>
        <w:t>报价为合同约定的全部费用。供应商应在各自技术和商务占优势的基础上并充分考虑本项目的重要性，提供对采购单位最优惠的报价。</w:t>
      </w:r>
    </w:p>
    <w:p>
      <w:pPr>
        <w:autoSpaceDE w:val="0"/>
        <w:autoSpaceDN w:val="0"/>
        <w:adjustRightInd w:val="0"/>
        <w:spacing w:line="400" w:lineRule="exact"/>
        <w:ind w:firstLine="440" w:firstLineChars="200"/>
        <w:textAlignment w:val="bottom"/>
        <w:rPr>
          <w:rFonts w:ascii="宋体"/>
          <w:sz w:val="22"/>
        </w:rPr>
      </w:pPr>
      <w:r>
        <w:rPr>
          <w:rFonts w:ascii="宋体" w:hAnsi="宋体"/>
          <w:sz w:val="22"/>
        </w:rPr>
        <w:t>5</w:t>
      </w:r>
      <w:r>
        <w:rPr>
          <w:rFonts w:hint="eastAsia" w:ascii="宋体" w:hAnsi="宋体"/>
          <w:sz w:val="22"/>
        </w:rPr>
        <w:t>、采购单位要求分类报价是为了方便评标，但在任何情况下不限制采购单位以其认为最合适的条款签订合同的权利。</w:t>
      </w:r>
    </w:p>
    <w:p>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6、响应文件的有效期</w:t>
      </w:r>
    </w:p>
    <w:p>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.1</w:t>
      </w:r>
      <w:r>
        <w:rPr>
          <w:rFonts w:hint="eastAsia" w:ascii="宋体" w:hAnsi="宋体"/>
          <w:sz w:val="22"/>
        </w:rPr>
        <w:t>自报价截止时间起</w:t>
      </w:r>
      <w:r>
        <w:rPr>
          <w:rFonts w:ascii="宋体" w:hAnsi="宋体"/>
          <w:sz w:val="22"/>
        </w:rPr>
        <w:t>90</w:t>
      </w:r>
      <w:r>
        <w:rPr>
          <w:rFonts w:hint="eastAsia" w:ascii="宋体" w:hAnsi="宋体"/>
          <w:sz w:val="22"/>
        </w:rPr>
        <w:t>天内，响应文件应保持有效。有效期短于这个规定期限的报价将被拒绝。</w:t>
      </w:r>
    </w:p>
    <w:p>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.2</w:t>
      </w:r>
      <w:r>
        <w:rPr>
          <w:rFonts w:hint="eastAsia" w:ascii="宋体" w:hAnsi="宋体"/>
          <w:sz w:val="22"/>
        </w:rPr>
        <w:t>在特殊情况下，采购单位可与供应商协商延长响应文件的有效期，这种要求和答复均应以书面形式进行。</w:t>
      </w:r>
    </w:p>
    <w:p>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.3</w:t>
      </w:r>
      <w:r>
        <w:rPr>
          <w:rFonts w:hint="eastAsia" w:ascii="宋体" w:hAnsi="宋体"/>
          <w:sz w:val="22"/>
        </w:rPr>
        <w:t>供应商可拒绝接受延期要求。同意延长有效期的供应商不能修改响应文件。</w:t>
      </w:r>
    </w:p>
    <w:p>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7、响应文件的签署和份数</w:t>
      </w:r>
    </w:p>
    <w:p>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响应文件须由供应商盖章并由法定代表人或法定代表人授权代表签署，供应商应写全称。</w:t>
      </w:r>
    </w:p>
    <w:p>
      <w:pPr>
        <w:autoSpaceDE w:val="0"/>
        <w:autoSpaceDN w:val="0"/>
        <w:adjustRightInd w:val="0"/>
        <w:spacing w:line="400" w:lineRule="exact"/>
        <w:ind w:firstLine="440" w:firstLineChars="200"/>
        <w:textAlignment w:val="bottom"/>
        <w:rPr>
          <w:rFonts w:hAnsi="宋体"/>
          <w:b/>
          <w:bCs/>
          <w:sz w:val="22"/>
          <w:u w:val="single"/>
        </w:rPr>
      </w:pPr>
      <w:r>
        <w:rPr>
          <w:rFonts w:hint="eastAsia" w:hAnsi="宋体"/>
          <w:sz w:val="22"/>
        </w:rPr>
        <w:t>7.1响应文件的份数：“电子加密投标文件”：在线上传递交。</w:t>
      </w:r>
    </w:p>
    <w:p>
      <w:pPr>
        <w:autoSpaceDE w:val="0"/>
        <w:autoSpaceDN w:val="0"/>
        <w:adjustRightInd w:val="0"/>
        <w:spacing w:line="400" w:lineRule="exact"/>
        <w:ind w:firstLine="442" w:firstLineChars="200"/>
        <w:textAlignment w:val="bottom"/>
        <w:rPr>
          <w:rFonts w:hAnsi="宋体"/>
          <w:b/>
          <w:bCs/>
          <w:sz w:val="22"/>
        </w:rPr>
      </w:pPr>
      <w:bookmarkStart w:id="18" w:name="_Toc493530206"/>
      <w:r>
        <w:rPr>
          <w:rFonts w:hint="eastAsia" w:hAnsi="宋体"/>
          <w:b/>
          <w:bCs/>
          <w:sz w:val="22"/>
        </w:rPr>
        <w:t>四、响应文件的密封与递交</w:t>
      </w:r>
      <w:bookmarkEnd w:id="18"/>
    </w:p>
    <w:p>
      <w:pPr>
        <w:pStyle w:val="64"/>
        <w:adjustRightInd w:val="0"/>
        <w:snapToGrid w:val="0"/>
        <w:spacing w:line="400" w:lineRule="atLeast"/>
        <w:outlineLvl w:val="0"/>
        <w:rPr>
          <w:rFonts w:hAnsi="宋体" w:cs="Arial"/>
          <w:b/>
          <w:bCs/>
          <w:color w:val="000000" w:themeColor="text1"/>
          <w:sz w:val="22"/>
          <w:szCs w:val="22"/>
          <w14:textFill>
            <w14:solidFill>
              <w14:schemeClr w14:val="tx1"/>
            </w14:solidFill>
          </w14:textFill>
        </w:rPr>
      </w:pPr>
      <w:bookmarkStart w:id="19" w:name="_Toc132125096"/>
      <w:bookmarkStart w:id="20" w:name="_Toc132124595"/>
      <w:bookmarkStart w:id="21" w:name="_Toc132123839"/>
      <w:bookmarkStart w:id="22" w:name="_Toc132122120"/>
      <w:bookmarkStart w:id="23" w:name="_Toc132123440"/>
      <w:bookmarkStart w:id="24" w:name="_Toc132125984"/>
      <w:bookmarkStart w:id="25" w:name="_Toc132125038"/>
      <w:bookmarkStart w:id="26" w:name="_Toc132126155"/>
      <w:bookmarkStart w:id="27" w:name="_Toc132123635"/>
      <w:bookmarkStart w:id="28" w:name="_Toc132123882"/>
      <w:bookmarkStart w:id="29" w:name="_Toc132125575"/>
      <w:bookmarkStart w:id="30" w:name="_Toc132125152"/>
      <w:bookmarkStart w:id="31" w:name="_Toc493530207"/>
      <w:bookmarkStart w:id="32" w:name="_Toc132655777"/>
      <w:bookmarkStart w:id="33" w:name="_Toc132122417"/>
      <w:bookmarkStart w:id="34" w:name="_Toc132123548"/>
      <w:r>
        <w:rPr>
          <w:rFonts w:hint="eastAsia" w:hAnsi="宋体" w:cs="Arial"/>
          <w:b/>
          <w:bCs/>
          <w:color w:val="000000" w:themeColor="text1"/>
          <w:sz w:val="22"/>
          <w:szCs w:val="22"/>
          <w14:textFill>
            <w14:solidFill>
              <w14:schemeClr w14:val="tx1"/>
            </w14:solidFill>
          </w14:textFill>
        </w:rPr>
        <w:t>投标文件的递交</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1、投标文件的上传、递交：见《前附表》。</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2、“电子加密投标文件”解密和异常情况处理：见《前附表》。</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3、投标文件的补充、修改或撤回</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3.2投标截止时间后，供应商不得撤回、修改《投标文件》。</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4、投标文件的备选方案</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4.1供应商不得递交任何的投标备选（替代）方案，否则其投标文件将作无效标处理。</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5、投标截止期</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5.1供应商应按前附表中规定的时间、地点将投标文件递交给采购单位，采购单位将拒绝接受逾期送达的投标文件。</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5.2采购单位可以按本须知规定以补充通知的方式，酌情延长递交投标文件的截止日期。在上述情况下，采购单位与供应商以前在投标截止期方面的全部权利、责任和义务，将适用于延长至新的投标截止期。</w:t>
      </w:r>
    </w:p>
    <w:p>
      <w:pPr>
        <w:pStyle w:val="15"/>
        <w:adjustRightInd w:val="0"/>
        <w:snapToGrid w:val="0"/>
        <w:spacing w:line="400" w:lineRule="exact"/>
        <w:outlineLvl w:val="0"/>
        <w:rPr>
          <w:rFonts w:hAnsi="宋体"/>
          <w:b/>
          <w:sz w:val="22"/>
        </w:rPr>
      </w:pPr>
      <w:r>
        <w:rPr>
          <w:rFonts w:hint="eastAsia" w:hAnsi="宋体"/>
          <w:b/>
          <w:sz w:val="22"/>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1、开标</w:t>
      </w:r>
    </w:p>
    <w:p>
      <w:pPr>
        <w:pStyle w:val="64"/>
        <w:adjustRightInd w:val="0"/>
        <w:snapToGrid w:val="0"/>
        <w:spacing w:line="400" w:lineRule="atLeast"/>
        <w:ind w:firstLine="433" w:firstLineChars="196"/>
        <w:rPr>
          <w:rFonts w:hAnsi="宋体"/>
          <w:b/>
          <w:bCs/>
          <w:color w:val="000000" w:themeColor="text1"/>
          <w:sz w:val="22"/>
          <w:szCs w:val="22"/>
          <w14:textFill>
            <w14:solidFill>
              <w14:schemeClr w14:val="tx1"/>
            </w14:solidFill>
          </w14:textFill>
        </w:rPr>
      </w:pPr>
      <w:r>
        <w:rPr>
          <w:rFonts w:hint="eastAsia" w:hAnsi="宋体"/>
          <w:b/>
          <w:bCs/>
          <w:color w:val="000000" w:themeColor="text1"/>
          <w:sz w:val="22"/>
          <w:szCs w:val="22"/>
          <w14:textFill>
            <w14:solidFill>
              <w14:schemeClr w14:val="tx1"/>
            </w14:solidFill>
          </w14:textFill>
        </w:rPr>
        <w:t>（一）开标形式</w:t>
      </w:r>
    </w:p>
    <w:p>
      <w:pPr>
        <w:snapToGrid w:val="0"/>
        <w:spacing w:line="440" w:lineRule="exact"/>
        <w:ind w:firstLine="440" w:firstLineChars="200"/>
        <w:jc w:val="left"/>
        <w:rPr>
          <w:rFonts w:ascii="宋体" w:hAnsi="宋体" w:cs="Arial"/>
          <w:b/>
          <w:kern w:val="0"/>
          <w:sz w:val="22"/>
        </w:rPr>
      </w:pPr>
      <w:r>
        <w:rPr>
          <w:rFonts w:hint="eastAsia" w:ascii="宋体" w:hAnsi="宋体"/>
          <w:color w:val="000000" w:themeColor="text1"/>
          <w:sz w:val="22"/>
          <w:szCs w:val="22"/>
          <w14:textFill>
            <w14:solidFill>
              <w14:schemeClr w14:val="tx1"/>
            </w14:solidFill>
          </w14:textFill>
        </w:rPr>
        <w:t>1.1采</w:t>
      </w:r>
      <w:r>
        <w:rPr>
          <w:rFonts w:hint="eastAsia" w:hAnsi="宋体"/>
          <w:color w:val="000000" w:themeColor="text1"/>
          <w:sz w:val="22"/>
          <w:szCs w:val="22"/>
          <w14:textFill>
            <w14:solidFill>
              <w14:schemeClr w14:val="tx1"/>
            </w14:solidFill>
          </w14:textFill>
        </w:rPr>
        <w:t>购组织机构将按照采购文件规定的时间通过“政府采购云平台”组织开标、开启投标文件、磋商，所有供应商均应当准时在线参加。</w:t>
      </w:r>
    </w:p>
    <w:p>
      <w:pPr>
        <w:pStyle w:val="64"/>
        <w:adjustRightInd w:val="0"/>
        <w:snapToGrid w:val="0"/>
        <w:spacing w:line="400" w:lineRule="atLeast"/>
        <w:ind w:firstLine="433" w:firstLineChars="196"/>
        <w:rPr>
          <w:rFonts w:hAnsi="宋体"/>
          <w:b/>
          <w:bCs/>
          <w:color w:val="000000" w:themeColor="text1"/>
          <w:sz w:val="22"/>
          <w:szCs w:val="22"/>
          <w14:textFill>
            <w14:solidFill>
              <w14:schemeClr w14:val="tx1"/>
            </w14:solidFill>
          </w14:textFill>
        </w:rPr>
      </w:pPr>
      <w:r>
        <w:rPr>
          <w:rFonts w:hint="eastAsia" w:hAnsi="宋体"/>
          <w:b/>
          <w:bCs/>
          <w:color w:val="000000" w:themeColor="text1"/>
          <w:sz w:val="22"/>
          <w:szCs w:val="22"/>
          <w14:textFill>
            <w14:solidFill>
              <w14:schemeClr w14:val="tx1"/>
            </w14:solidFill>
          </w14:textFill>
        </w:rPr>
        <w:t>（二）开标准备</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2.1开标的准备工作由采购组织机构负责落实；</w:t>
      </w:r>
    </w:p>
    <w:p>
      <w:pPr>
        <w:widowControl/>
        <w:snapToGrid w:val="0"/>
        <w:spacing w:line="420" w:lineRule="exact"/>
        <w:ind w:firstLine="440" w:firstLineChars="200"/>
        <w:jc w:val="left"/>
        <w:rPr>
          <w:color w:val="000000"/>
          <w:sz w:val="22"/>
        </w:rPr>
      </w:pPr>
      <w:r>
        <w:rPr>
          <w:rFonts w:hint="eastAsia" w:ascii="宋体" w:hAnsi="宋体"/>
          <w:color w:val="000000" w:themeColor="text1"/>
          <w:sz w:val="22"/>
          <w:szCs w:val="22"/>
          <w14:textFill>
            <w14:solidFill>
              <w14:schemeClr w14:val="tx1"/>
            </w14:solidFill>
          </w14:textFill>
        </w:rPr>
        <w:t>2.2</w:t>
      </w:r>
      <w:r>
        <w:rPr>
          <w:rFonts w:hint="eastAsia" w:hAnsi="宋体"/>
          <w:color w:val="000000" w:themeColor="text1"/>
          <w:sz w:val="22"/>
          <w:szCs w:val="22"/>
          <w14:textFill>
            <w14:solidFill>
              <w14:schemeClr w14:val="tx1"/>
            </w14:solidFill>
          </w14:textFill>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color w:val="000000"/>
          <w:sz w:val="22"/>
        </w:rPr>
        <w:t>如有需要，采购代理机构将邀请各磋商供应商代表现场出席磋商会议。磋商会议现场谢绝无关人员进入。</w:t>
      </w:r>
    </w:p>
    <w:p>
      <w:pPr>
        <w:pStyle w:val="64"/>
        <w:adjustRightInd w:val="0"/>
        <w:snapToGrid w:val="0"/>
        <w:spacing w:line="400" w:lineRule="atLeas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2.3所有二次报价询标流程，均在线上完成，请各供应商务必不要离开电脑太久，并留意手机短信。（请提前检查“政采云”内，关于‘项目采购’的岗位权限是否已勾选上。如有问题，请致电400-881-7190）</w:t>
      </w:r>
    </w:p>
    <w:p>
      <w:pPr>
        <w:snapToGrid w:val="0"/>
        <w:spacing w:line="440" w:lineRule="exact"/>
        <w:ind w:firstLine="440" w:firstLineChars="200"/>
        <w:jc w:val="left"/>
        <w:rPr>
          <w:rFonts w:ascii="宋体" w:hAnsi="宋体"/>
          <w:bCs/>
          <w:sz w:val="22"/>
        </w:rPr>
      </w:pPr>
      <w:r>
        <w:rPr>
          <w:rFonts w:hint="eastAsia" w:ascii="宋体" w:hAnsi="宋体"/>
          <w:bCs/>
          <w:sz w:val="22"/>
        </w:rPr>
        <w:t>（三）电子招投标开标及评审程序</w:t>
      </w:r>
    </w:p>
    <w:p>
      <w:pPr>
        <w:spacing w:line="440" w:lineRule="exact"/>
        <w:ind w:firstLine="440" w:firstLineChars="200"/>
        <w:rPr>
          <w:rFonts w:ascii="宋体" w:hAnsi="宋体" w:cs="宋体"/>
          <w:sz w:val="22"/>
        </w:rPr>
      </w:pPr>
      <w:r>
        <w:rPr>
          <w:rFonts w:hint="eastAsia" w:ascii="宋体" w:hAnsi="宋体"/>
          <w:bCs/>
          <w:sz w:val="22"/>
        </w:rPr>
        <w:t>3.1磋商会由采购代理机构主持，磋商响应截止时间后，供应商登录政采云平台，用“项目采购-开标评标”功能对电子响应文件进行在线解密，</w:t>
      </w:r>
      <w:r>
        <w:rPr>
          <w:rFonts w:hint="eastAsia" w:ascii="宋体" w:hAnsi="宋体" w:cs="宋体"/>
          <w:sz w:val="22"/>
        </w:rPr>
        <w:t>各供应商代表在收到解密通知后30分钟内自行完成“电子加密投标文件”的在线解密。</w:t>
      </w:r>
    </w:p>
    <w:p>
      <w:pPr>
        <w:spacing w:line="440" w:lineRule="exact"/>
        <w:ind w:firstLine="440" w:firstLineChars="200"/>
        <w:jc w:val="left"/>
        <w:rPr>
          <w:rFonts w:ascii="宋体" w:hAnsi="宋体"/>
          <w:bCs/>
          <w:sz w:val="22"/>
        </w:rPr>
      </w:pPr>
      <w:r>
        <w:rPr>
          <w:rFonts w:hint="eastAsia" w:ascii="宋体" w:hAnsi="宋体" w:cs="Arial"/>
          <w:kern w:val="0"/>
          <w:sz w:val="22"/>
        </w:rPr>
        <w:t>3.2投标文件解密结束，</w:t>
      </w:r>
      <w:r>
        <w:rPr>
          <w:rFonts w:hint="eastAsia" w:ascii="宋体" w:hAnsi="宋体"/>
          <w:bCs/>
          <w:sz w:val="22"/>
        </w:rPr>
        <w:t>开启响应文件，磋商小组对资格和商务技术响应文件进行评审；</w:t>
      </w:r>
    </w:p>
    <w:p>
      <w:pPr>
        <w:spacing w:line="440" w:lineRule="exact"/>
        <w:ind w:firstLine="440" w:firstLineChars="200"/>
        <w:rPr>
          <w:rFonts w:ascii="宋体" w:hAnsi="宋体"/>
          <w:bCs/>
          <w:sz w:val="22"/>
        </w:rPr>
      </w:pPr>
      <w:r>
        <w:rPr>
          <w:rFonts w:hint="eastAsia" w:ascii="宋体" w:hAnsi="宋体"/>
          <w:bCs/>
          <w:sz w:val="22"/>
        </w:rPr>
        <w:t>3.3供应商按签到的前后顺序决定磋商的顺序，就价格、服务等认为需要磋商的内容进行磋商，</w:t>
      </w:r>
      <w:r>
        <w:rPr>
          <w:rFonts w:hint="eastAsia" w:ascii="宋体" w:hAnsi="宋体" w:cs="宋体"/>
          <w:sz w:val="22"/>
        </w:rPr>
        <w:t>供应商逐家回答磋商小组的提问，</w:t>
      </w:r>
      <w:r>
        <w:rPr>
          <w:rFonts w:hint="eastAsia" w:ascii="宋体" w:hAnsi="宋体"/>
          <w:bCs/>
          <w:sz w:val="22"/>
        </w:rPr>
        <w:t>响应人作出最终承诺和最终报价。</w:t>
      </w:r>
    </w:p>
    <w:p>
      <w:pPr>
        <w:snapToGrid w:val="0"/>
        <w:spacing w:line="440" w:lineRule="exact"/>
        <w:ind w:firstLine="440" w:firstLineChars="200"/>
        <w:jc w:val="left"/>
        <w:rPr>
          <w:rFonts w:ascii="宋体" w:hAnsi="宋体"/>
          <w:bCs/>
          <w:sz w:val="22"/>
        </w:rPr>
      </w:pPr>
      <w:r>
        <w:rPr>
          <w:rFonts w:hint="eastAsia" w:ascii="宋体" w:hAnsi="宋体"/>
          <w:bCs/>
          <w:sz w:val="22"/>
        </w:rPr>
        <w:t>3.4在系统上公开资格和商务技术评审结果；</w:t>
      </w:r>
    </w:p>
    <w:p>
      <w:pPr>
        <w:snapToGrid w:val="0"/>
        <w:spacing w:line="440" w:lineRule="exact"/>
        <w:ind w:firstLine="440" w:firstLineChars="200"/>
        <w:jc w:val="left"/>
        <w:rPr>
          <w:rFonts w:ascii="宋体" w:hAnsi="宋体"/>
          <w:bCs/>
          <w:sz w:val="22"/>
        </w:rPr>
      </w:pPr>
      <w:r>
        <w:rPr>
          <w:rFonts w:hint="eastAsia" w:ascii="宋体" w:hAnsi="宋体"/>
          <w:bCs/>
          <w:sz w:val="22"/>
        </w:rPr>
        <w:t>3.5在系统上录入最终报价情况；</w:t>
      </w:r>
    </w:p>
    <w:p>
      <w:pPr>
        <w:snapToGrid w:val="0"/>
        <w:spacing w:line="440" w:lineRule="exact"/>
        <w:ind w:firstLine="440" w:firstLineChars="200"/>
        <w:jc w:val="left"/>
        <w:rPr>
          <w:rFonts w:ascii="宋体" w:hAnsi="宋体"/>
          <w:bCs/>
          <w:sz w:val="22"/>
        </w:rPr>
      </w:pPr>
      <w:r>
        <w:rPr>
          <w:rFonts w:hint="eastAsia" w:ascii="宋体" w:hAnsi="宋体"/>
          <w:bCs/>
          <w:sz w:val="22"/>
        </w:rPr>
        <w:t>3.6磋商小组对报价情况进行评审；</w:t>
      </w:r>
    </w:p>
    <w:p>
      <w:pPr>
        <w:snapToGrid w:val="0"/>
        <w:spacing w:line="440" w:lineRule="exact"/>
        <w:ind w:firstLine="440" w:firstLineChars="200"/>
        <w:jc w:val="left"/>
        <w:rPr>
          <w:sz w:val="22"/>
        </w:rPr>
      </w:pPr>
      <w:r>
        <w:rPr>
          <w:rFonts w:hint="eastAsia" w:ascii="宋体" w:hAnsi="宋体"/>
          <w:bCs/>
          <w:sz w:val="22"/>
        </w:rPr>
        <w:t>3.7在系统上公布评审结果。</w:t>
      </w:r>
    </w:p>
    <w:p>
      <w:pPr>
        <w:pStyle w:val="15"/>
        <w:adjustRightInd w:val="0"/>
        <w:spacing w:line="400" w:lineRule="exact"/>
        <w:ind w:firstLine="442" w:firstLineChars="200"/>
        <w:rPr>
          <w:rFonts w:hAnsi="宋体" w:cs="宋体"/>
          <w:b/>
          <w:bCs/>
          <w:sz w:val="22"/>
          <w:szCs w:val="22"/>
        </w:rPr>
      </w:pPr>
      <w:r>
        <w:rPr>
          <w:rFonts w:hint="eastAsia" w:hAnsi="宋体" w:cs="宋体"/>
          <w:b/>
          <w:bCs/>
          <w:sz w:val="22"/>
          <w:szCs w:val="22"/>
        </w:rPr>
        <w:t>特别说明：政采云公司如对电子化开标及评审程序有调整的，按调整后的程序操作。</w:t>
      </w:r>
    </w:p>
    <w:p>
      <w:pPr>
        <w:pStyle w:val="15"/>
        <w:adjustRightInd w:val="0"/>
        <w:spacing w:line="400" w:lineRule="exact"/>
        <w:ind w:firstLine="440" w:firstLineChars="200"/>
        <w:rPr>
          <w:rFonts w:hAnsi="宋体" w:cs="Arial"/>
          <w:b/>
          <w:bCs/>
          <w:sz w:val="22"/>
        </w:rPr>
      </w:pPr>
      <w:r>
        <w:rPr>
          <w:rFonts w:hAnsi="宋体" w:cs="Arial"/>
          <w:sz w:val="22"/>
        </w:rPr>
        <w:t>2</w:t>
      </w:r>
      <w:r>
        <w:rPr>
          <w:rFonts w:hint="eastAsia" w:hAnsi="宋体" w:cs="Arial"/>
          <w:sz w:val="22"/>
        </w:rPr>
        <w:t>、评标</w:t>
      </w:r>
    </w:p>
    <w:p>
      <w:pPr>
        <w:pStyle w:val="15"/>
        <w:adjustRightInd w:val="0"/>
        <w:spacing w:line="400" w:lineRule="exact"/>
        <w:ind w:firstLine="440" w:firstLineChars="200"/>
        <w:rPr>
          <w:rFonts w:hAnsi="宋体" w:cs="Arial"/>
          <w:b/>
          <w:bCs/>
          <w:sz w:val="22"/>
        </w:rPr>
      </w:pPr>
      <w:r>
        <w:rPr>
          <w:rFonts w:hAnsi="宋体" w:cs="Arial"/>
          <w:sz w:val="22"/>
        </w:rPr>
        <w:t>2.1</w:t>
      </w:r>
      <w:r>
        <w:rPr>
          <w:rFonts w:hint="eastAsia" w:hAnsi="宋体" w:cs="Arial"/>
          <w:sz w:val="22"/>
        </w:rPr>
        <w:t xml:space="preserve"> 评标由采购单位依法组建的竞争性磋商小组负责</w:t>
      </w:r>
      <w:r>
        <w:rPr>
          <w:rFonts w:hint="eastAsia" w:hAnsi="宋体"/>
          <w:sz w:val="22"/>
        </w:rPr>
        <w:t>，并独立履行下列职责：</w:t>
      </w:r>
    </w:p>
    <w:p>
      <w:pPr>
        <w:spacing w:line="400" w:lineRule="exact"/>
        <w:ind w:firstLine="431" w:firstLineChars="196"/>
        <w:rPr>
          <w:rFonts w:ascii="宋体"/>
          <w:sz w:val="22"/>
        </w:rPr>
      </w:pPr>
      <w:bookmarkStart w:id="35" w:name="_Toc2500_WPSOffice_Level3"/>
      <w:r>
        <w:rPr>
          <w:rFonts w:ascii="宋体" w:hAnsi="宋体"/>
          <w:sz w:val="22"/>
        </w:rPr>
        <w:t>1</w:t>
      </w:r>
      <w:r>
        <w:rPr>
          <w:rFonts w:hint="eastAsia" w:ascii="宋体" w:hAnsi="宋体"/>
          <w:sz w:val="22"/>
        </w:rPr>
        <w:t>）审查投标（响应）文件是否符合竞争性磋商文件要求，并作出评价；</w:t>
      </w:r>
      <w:bookmarkEnd w:id="35"/>
    </w:p>
    <w:p>
      <w:pPr>
        <w:spacing w:line="400" w:lineRule="exact"/>
        <w:ind w:firstLine="440" w:firstLineChars="200"/>
        <w:rPr>
          <w:rFonts w:ascii="宋体"/>
          <w:sz w:val="22"/>
        </w:rPr>
      </w:pPr>
      <w:bookmarkStart w:id="36" w:name="_Toc20806_WPSOffice_Level3"/>
      <w:r>
        <w:rPr>
          <w:rFonts w:ascii="宋体" w:hAnsi="宋体"/>
          <w:sz w:val="22"/>
        </w:rPr>
        <w:t>2</w:t>
      </w:r>
      <w:r>
        <w:rPr>
          <w:rFonts w:hint="eastAsia" w:ascii="宋体" w:hAnsi="宋体"/>
          <w:sz w:val="22"/>
        </w:rPr>
        <w:t>）要求供应商对投标（响应）文件有关事项作出解释或者澄清；</w:t>
      </w:r>
      <w:bookmarkEnd w:id="36"/>
    </w:p>
    <w:p>
      <w:pPr>
        <w:spacing w:line="400" w:lineRule="exact"/>
        <w:ind w:firstLine="440" w:firstLineChars="200"/>
        <w:rPr>
          <w:rFonts w:ascii="宋体"/>
          <w:sz w:val="22"/>
        </w:rPr>
      </w:pPr>
      <w:bookmarkStart w:id="37" w:name="_Toc12689_WPSOffice_Level3"/>
      <w:r>
        <w:rPr>
          <w:rFonts w:ascii="宋体" w:hAnsi="宋体"/>
          <w:sz w:val="22"/>
        </w:rPr>
        <w:t>3</w:t>
      </w:r>
      <w:r>
        <w:rPr>
          <w:rFonts w:hint="eastAsia" w:ascii="宋体" w:hAnsi="宋体"/>
          <w:sz w:val="22"/>
        </w:rPr>
        <w:t>）按照竞争性磋商文件确定的评标办法直接确定中标（成交）供应商；</w:t>
      </w:r>
      <w:bookmarkEnd w:id="37"/>
    </w:p>
    <w:p>
      <w:pPr>
        <w:pStyle w:val="15"/>
        <w:adjustRightInd w:val="0"/>
        <w:spacing w:line="400" w:lineRule="exact"/>
        <w:ind w:firstLine="431" w:firstLineChars="196"/>
        <w:rPr>
          <w:rFonts w:hAnsi="宋体"/>
          <w:b/>
          <w:bCs/>
          <w:sz w:val="22"/>
        </w:rPr>
      </w:pPr>
      <w:bookmarkStart w:id="38" w:name="_Toc20017_WPSOffice_Level3"/>
      <w:r>
        <w:rPr>
          <w:rFonts w:hAnsi="宋体"/>
          <w:sz w:val="22"/>
        </w:rPr>
        <w:t>4</w:t>
      </w:r>
      <w:r>
        <w:rPr>
          <w:rFonts w:hint="eastAsia" w:hAnsi="宋体"/>
          <w:sz w:val="22"/>
        </w:rPr>
        <w:t>）向采购单位或者有关部门报告非法干预评标工作的行为。</w:t>
      </w:r>
      <w:bookmarkEnd w:id="38"/>
    </w:p>
    <w:p>
      <w:pPr>
        <w:spacing w:line="400" w:lineRule="exact"/>
        <w:ind w:firstLine="431" w:firstLineChars="196"/>
        <w:rPr>
          <w:rFonts w:ascii="宋体" w:hAnsi="宋体"/>
          <w:sz w:val="22"/>
        </w:rPr>
      </w:pPr>
      <w:r>
        <w:rPr>
          <w:rFonts w:ascii="宋体" w:hAnsi="宋体"/>
          <w:sz w:val="22"/>
        </w:rPr>
        <w:t>2.2</w:t>
      </w:r>
      <w:r>
        <w:rPr>
          <w:rFonts w:hint="eastAsia" w:ascii="宋体" w:hAnsi="宋体"/>
          <w:sz w:val="22"/>
        </w:rPr>
        <w:t xml:space="preserve"> 评标应当遵循下列工作程序：</w:t>
      </w:r>
    </w:p>
    <w:p>
      <w:pPr>
        <w:spacing w:line="400" w:lineRule="exact"/>
        <w:ind w:firstLine="431" w:firstLineChars="196"/>
        <w:rPr>
          <w:rFonts w:ascii="宋体"/>
          <w:sz w:val="22"/>
        </w:rPr>
      </w:pPr>
      <w:r>
        <w:rPr>
          <w:rFonts w:ascii="宋体" w:hAnsi="宋体"/>
          <w:sz w:val="22"/>
        </w:rPr>
        <w:t>1</w:t>
      </w:r>
      <w:r>
        <w:rPr>
          <w:rFonts w:hint="eastAsia" w:ascii="宋体" w:hAnsi="宋体"/>
          <w:sz w:val="22"/>
        </w:rPr>
        <w:t>）投标（响应）文件初审。初审分为资格性检查和符合性检查。</w:t>
      </w:r>
    </w:p>
    <w:p>
      <w:pPr>
        <w:spacing w:line="400" w:lineRule="exact"/>
        <w:ind w:firstLine="440" w:firstLineChars="200"/>
        <w:rPr>
          <w:rFonts w:ascii="宋体"/>
          <w:sz w:val="22"/>
        </w:rPr>
      </w:pPr>
      <w:r>
        <w:rPr>
          <w:rFonts w:hint="eastAsia" w:ascii="宋体" w:hAnsi="宋体"/>
          <w:sz w:val="22"/>
        </w:rPr>
        <w:t>（</w:t>
      </w:r>
      <w:r>
        <w:rPr>
          <w:rFonts w:ascii="宋体" w:hAnsi="宋体"/>
          <w:sz w:val="22"/>
        </w:rPr>
        <w:t>1)</w:t>
      </w:r>
      <w:r>
        <w:rPr>
          <w:rFonts w:hint="eastAsia" w:ascii="宋体" w:hAnsi="宋体"/>
          <w:sz w:val="22"/>
        </w:rPr>
        <w:t>资格性检查。由采购单位代表或招标代理机构对供应商资格进行审查。依据法律法规和竞争性磋商文件的规定，对投标（响应）文件中的资格证明文件等进行审查，以确定供应商是否具备投标资格。</w:t>
      </w:r>
    </w:p>
    <w:p>
      <w:pPr>
        <w:spacing w:line="400" w:lineRule="exact"/>
        <w:ind w:firstLine="440" w:firstLineChars="200"/>
        <w:rPr>
          <w:rFonts w:ascii="宋体"/>
          <w:sz w:val="22"/>
        </w:rPr>
      </w:pPr>
      <w:r>
        <w:rPr>
          <w:rFonts w:hint="eastAsia" w:ascii="宋体" w:hAnsi="宋体"/>
          <w:sz w:val="22"/>
        </w:rPr>
        <w:t>（</w:t>
      </w:r>
      <w:r>
        <w:rPr>
          <w:rFonts w:ascii="宋体" w:hAnsi="宋体"/>
          <w:sz w:val="22"/>
        </w:rPr>
        <w:t>2)</w:t>
      </w:r>
      <w:r>
        <w:rPr>
          <w:rFonts w:hint="eastAsia" w:ascii="宋体" w:hAnsi="宋体"/>
          <w:sz w:val="22"/>
        </w:rPr>
        <w:t>符合性检查。竞争性磋商小组依据竞争性磋商文件的规定，从投标（响应）文件的有效性、完整性和对竞争性磋商文件的响应程度进行审查，以确定是否对竞争性磋商文件的实质性要求作出响应。</w:t>
      </w:r>
    </w:p>
    <w:p>
      <w:pPr>
        <w:spacing w:line="400" w:lineRule="exact"/>
        <w:ind w:firstLine="440"/>
        <w:rPr>
          <w:rFonts w:ascii="宋体"/>
          <w:sz w:val="22"/>
        </w:rPr>
      </w:pPr>
      <w:r>
        <w:rPr>
          <w:rFonts w:ascii="宋体" w:hAnsi="宋体"/>
          <w:sz w:val="22"/>
        </w:rPr>
        <w:t>2</w:t>
      </w:r>
      <w:r>
        <w:rPr>
          <w:rFonts w:hint="eastAsia" w:ascii="宋体" w:hAnsi="宋体"/>
          <w:sz w:val="22"/>
        </w:rPr>
        <w:t>）</w:t>
      </w:r>
      <w:r>
        <w:rPr>
          <w:rFonts w:hint="eastAsia" w:ascii="宋体" w:hAnsi="宋体" w:cs="Arial"/>
          <w:sz w:val="22"/>
        </w:rPr>
        <w:t>竞争性磋商小组可以根据供应商投标（响应）文件情况，经采购单位确认，调整竞争性磋商文件及采购方案，在统一采购要求的基础上，要求所有有效供应商重新修正投标（响应）文件及进行多轮次报价。</w:t>
      </w:r>
    </w:p>
    <w:p>
      <w:pPr>
        <w:spacing w:line="400" w:lineRule="exact"/>
        <w:ind w:firstLine="440"/>
        <w:rPr>
          <w:rFonts w:ascii="宋体"/>
          <w:sz w:val="22"/>
        </w:rPr>
      </w:pPr>
      <w:r>
        <w:rPr>
          <w:rFonts w:ascii="宋体" w:hAnsi="宋体"/>
          <w:sz w:val="22"/>
        </w:rPr>
        <w:t>3</w:t>
      </w:r>
      <w:r>
        <w:rPr>
          <w:rFonts w:hint="eastAsia" w:ascii="宋体" w:hAnsi="宋体"/>
          <w:sz w:val="22"/>
        </w:rPr>
        <w:t>）比较与评价。按竞争性磋商文件中规定的评标方法和标准，对资格性检查和符合性检查合格的投标（响应）文件进行商务和技术评估，综合比较与评价。</w:t>
      </w:r>
    </w:p>
    <w:p>
      <w:pPr>
        <w:spacing w:line="400" w:lineRule="exact"/>
        <w:ind w:firstLine="440"/>
        <w:rPr>
          <w:rFonts w:ascii="宋体"/>
          <w:sz w:val="22"/>
        </w:rPr>
      </w:pPr>
      <w:r>
        <w:rPr>
          <w:rFonts w:ascii="宋体" w:hAnsi="宋体"/>
          <w:sz w:val="22"/>
        </w:rPr>
        <w:t>4</w:t>
      </w:r>
      <w:r>
        <w:rPr>
          <w:rFonts w:hint="eastAsia" w:ascii="宋体" w:hAnsi="宋体"/>
          <w:sz w:val="22"/>
        </w:rPr>
        <w:t>）推荐中标（成交）供应商候选人名单，并根据采购单位的授权确定中标（成交）供应商。</w:t>
      </w:r>
    </w:p>
    <w:p>
      <w:pPr>
        <w:pStyle w:val="15"/>
        <w:adjustRightInd w:val="0"/>
        <w:snapToGrid w:val="0"/>
        <w:spacing w:line="400" w:lineRule="exact"/>
        <w:ind w:firstLine="435" w:firstLineChars="197"/>
        <w:rPr>
          <w:rFonts w:hAnsi="宋体" w:cs="Arial"/>
          <w:b/>
          <w:bCs/>
          <w:sz w:val="22"/>
          <w:u w:val="single"/>
        </w:rPr>
      </w:pPr>
      <w:r>
        <w:rPr>
          <w:rFonts w:hint="eastAsia" w:hAnsi="宋体"/>
          <w:b/>
          <w:bCs/>
          <w:sz w:val="22"/>
          <w:u w:val="single"/>
        </w:rPr>
        <w:t>▲</w:t>
      </w:r>
      <w:r>
        <w:rPr>
          <w:rFonts w:hAnsi="宋体"/>
          <w:b/>
          <w:bCs/>
          <w:sz w:val="22"/>
          <w:u w:val="single"/>
        </w:rPr>
        <w:t xml:space="preserve">2.3 </w:t>
      </w:r>
      <w:r>
        <w:rPr>
          <w:rFonts w:hint="eastAsia" w:hAnsi="宋体" w:cs="Arial"/>
          <w:b/>
          <w:bCs/>
          <w:sz w:val="22"/>
          <w:u w:val="single"/>
        </w:rPr>
        <w:t>供应商存在下列情况之一的，报价无效</w:t>
      </w:r>
      <w:r>
        <w:rPr>
          <w:rFonts w:hAnsi="宋体" w:cs="Arial"/>
          <w:b/>
          <w:bCs/>
          <w:sz w:val="22"/>
          <w:u w:val="single"/>
        </w:rPr>
        <w:t>:</w:t>
      </w:r>
    </w:p>
    <w:p>
      <w:pPr>
        <w:pStyle w:val="15"/>
        <w:adjustRightInd w:val="0"/>
        <w:snapToGrid w:val="0"/>
        <w:spacing w:line="400" w:lineRule="exact"/>
        <w:ind w:firstLine="435" w:firstLineChars="197"/>
        <w:rPr>
          <w:rFonts w:hAnsi="宋体" w:cs="Arial"/>
          <w:b/>
          <w:bCs/>
          <w:sz w:val="22"/>
          <w:u w:val="single"/>
        </w:rPr>
      </w:pPr>
      <w:r>
        <w:rPr>
          <w:rFonts w:hAnsi="宋体" w:cs="Arial"/>
          <w:b/>
          <w:bCs/>
          <w:sz w:val="22"/>
          <w:u w:val="single"/>
        </w:rPr>
        <w:t>1</w:t>
      </w:r>
      <w:r>
        <w:rPr>
          <w:rFonts w:hint="eastAsia" w:hAnsi="宋体" w:cs="Arial"/>
          <w:b/>
          <w:bCs/>
          <w:sz w:val="22"/>
          <w:u w:val="single"/>
        </w:rPr>
        <w:t>）响应文件未按竞争性磋商文件要求签署、盖章的；</w:t>
      </w:r>
    </w:p>
    <w:p>
      <w:pPr>
        <w:pStyle w:val="15"/>
        <w:adjustRightInd w:val="0"/>
        <w:snapToGrid w:val="0"/>
        <w:spacing w:line="400" w:lineRule="exact"/>
        <w:ind w:firstLine="435" w:firstLineChars="197"/>
        <w:rPr>
          <w:rFonts w:hAnsi="宋体" w:cs="Arial"/>
          <w:b/>
          <w:bCs/>
          <w:sz w:val="22"/>
          <w:u w:val="single"/>
        </w:rPr>
      </w:pPr>
      <w:r>
        <w:rPr>
          <w:rFonts w:hint="eastAsia" w:hAnsi="宋体" w:cs="Arial"/>
          <w:b/>
          <w:bCs/>
          <w:sz w:val="22"/>
          <w:u w:val="single"/>
        </w:rPr>
        <w:t>2）不具备竞争性磋商文件中规定的资格要求的；</w:t>
      </w:r>
    </w:p>
    <w:p>
      <w:pPr>
        <w:pStyle w:val="15"/>
        <w:adjustRightInd w:val="0"/>
        <w:snapToGrid w:val="0"/>
        <w:spacing w:line="400" w:lineRule="exact"/>
        <w:ind w:firstLine="435" w:firstLineChars="197"/>
        <w:rPr>
          <w:rFonts w:hAnsi="宋体" w:cs="Arial"/>
          <w:b/>
          <w:bCs/>
          <w:sz w:val="22"/>
          <w:u w:val="single"/>
        </w:rPr>
      </w:pPr>
      <w:r>
        <w:rPr>
          <w:rFonts w:hint="eastAsia" w:hAnsi="宋体" w:cs="Arial"/>
          <w:b/>
          <w:bCs/>
          <w:sz w:val="22"/>
          <w:u w:val="single"/>
        </w:rPr>
        <w:t>3）最终报价超过竞争性磋商文件中规定的预算金额或者最高限价的；</w:t>
      </w:r>
    </w:p>
    <w:p>
      <w:pPr>
        <w:pStyle w:val="15"/>
        <w:adjustRightInd w:val="0"/>
        <w:snapToGrid w:val="0"/>
        <w:spacing w:line="400" w:lineRule="exact"/>
        <w:ind w:firstLine="435" w:firstLineChars="197"/>
        <w:rPr>
          <w:rFonts w:hAnsi="宋体" w:cs="Arial"/>
          <w:b/>
          <w:bCs/>
          <w:sz w:val="22"/>
          <w:u w:val="single"/>
        </w:rPr>
      </w:pPr>
      <w:r>
        <w:rPr>
          <w:rFonts w:hint="eastAsia" w:hAnsi="宋体" w:cs="Arial"/>
          <w:b/>
          <w:bCs/>
          <w:sz w:val="22"/>
          <w:u w:val="single"/>
        </w:rPr>
        <w:t>4）响应文件含有采购单位不能接受的附加条件的（包括竞争性磋商文件中明确要求不得偏离的招标要求，存在负偏离的）</w:t>
      </w:r>
      <w:r>
        <w:rPr>
          <w:rFonts w:hAnsi="宋体" w:cs="Arial"/>
          <w:b/>
          <w:bCs/>
          <w:sz w:val="22"/>
          <w:u w:val="single"/>
        </w:rPr>
        <w:t>;</w:t>
      </w:r>
    </w:p>
    <w:p>
      <w:pPr>
        <w:pStyle w:val="15"/>
        <w:adjustRightInd w:val="0"/>
        <w:snapToGrid w:val="0"/>
        <w:spacing w:line="400" w:lineRule="exact"/>
        <w:ind w:firstLine="435" w:firstLineChars="197"/>
        <w:rPr>
          <w:rFonts w:hAnsi="宋体" w:cs="Arial"/>
          <w:b/>
          <w:bCs/>
          <w:sz w:val="22"/>
          <w:u w:val="single"/>
        </w:rPr>
      </w:pPr>
      <w:r>
        <w:rPr>
          <w:rFonts w:hint="eastAsia" w:hAnsi="宋体" w:cs="Arial"/>
          <w:b/>
          <w:bCs/>
          <w:sz w:val="22"/>
          <w:u w:val="single"/>
        </w:rPr>
        <w:t>5）对关键条文的偏离、保留或反对，例如关于付款方式、完工期（服务期）、免费质保期、适用法律法规、标准、税费等其他内容；</w:t>
      </w:r>
    </w:p>
    <w:p>
      <w:pPr>
        <w:pStyle w:val="15"/>
        <w:adjustRightInd w:val="0"/>
        <w:snapToGrid w:val="0"/>
        <w:spacing w:line="400" w:lineRule="exact"/>
        <w:ind w:firstLine="435" w:firstLineChars="197"/>
        <w:rPr>
          <w:rFonts w:hAnsi="宋体" w:cs="Arial"/>
          <w:b/>
          <w:bCs/>
          <w:sz w:val="22"/>
          <w:u w:val="single"/>
        </w:rPr>
      </w:pPr>
      <w:r>
        <w:rPr>
          <w:rFonts w:hint="eastAsia" w:hAnsi="宋体" w:cs="Arial"/>
          <w:b/>
          <w:bCs/>
          <w:sz w:val="22"/>
          <w:u w:val="single"/>
        </w:rPr>
        <w:t>6）存在串标、抬标或弄虚作假情况的；</w:t>
      </w:r>
    </w:p>
    <w:p>
      <w:pPr>
        <w:pStyle w:val="15"/>
        <w:adjustRightInd w:val="0"/>
        <w:snapToGrid w:val="0"/>
        <w:spacing w:line="400" w:lineRule="exact"/>
        <w:ind w:firstLine="435" w:firstLineChars="197"/>
        <w:rPr>
          <w:rFonts w:hAnsi="宋体" w:cs="Arial"/>
          <w:b/>
          <w:bCs/>
          <w:sz w:val="22"/>
          <w:u w:val="single"/>
        </w:rPr>
      </w:pPr>
      <w:r>
        <w:rPr>
          <w:rFonts w:hint="eastAsia" w:hAnsi="宋体" w:cs="Arial"/>
          <w:b/>
          <w:bCs/>
          <w:sz w:val="22"/>
          <w:u w:val="single"/>
        </w:rPr>
        <w:t>7）法律、法规和竞争性磋商文件规定的其他无效情形（或出现重大偏差）。</w:t>
      </w:r>
    </w:p>
    <w:p>
      <w:pPr>
        <w:pStyle w:val="15"/>
        <w:adjustRightInd w:val="0"/>
        <w:snapToGrid w:val="0"/>
        <w:spacing w:line="400" w:lineRule="exact"/>
        <w:ind w:firstLine="435" w:firstLineChars="197"/>
        <w:rPr>
          <w:rFonts w:hAnsi="宋体" w:cs="Arial"/>
          <w:b/>
          <w:bCs/>
          <w:sz w:val="22"/>
          <w:u w:val="single"/>
        </w:rPr>
      </w:pPr>
      <w:r>
        <w:rPr>
          <w:rFonts w:hint="eastAsia" w:hAnsi="宋体"/>
          <w:b/>
          <w:bCs/>
          <w:sz w:val="22"/>
          <w:u w:val="single"/>
        </w:rPr>
        <w:t>▲</w:t>
      </w:r>
      <w:r>
        <w:rPr>
          <w:rFonts w:hAnsi="宋体"/>
          <w:b/>
          <w:bCs/>
          <w:sz w:val="22"/>
          <w:u w:val="single"/>
        </w:rPr>
        <w:t xml:space="preserve">2.4 </w:t>
      </w:r>
      <w:r>
        <w:rPr>
          <w:rFonts w:hint="eastAsia" w:hAnsi="宋体" w:cs="Arial"/>
          <w:b/>
          <w:bCs/>
          <w:sz w:val="22"/>
          <w:u w:val="single"/>
        </w:rPr>
        <w:t>竞争性磋商评审小组发现响应文件有下列情形之一的属于重大偏差</w:t>
      </w:r>
      <w:r>
        <w:rPr>
          <w:rFonts w:hAnsi="宋体" w:cs="Arial"/>
          <w:b/>
          <w:bCs/>
          <w:sz w:val="22"/>
          <w:u w:val="single"/>
        </w:rPr>
        <w:t>(</w:t>
      </w:r>
      <w:r>
        <w:rPr>
          <w:rFonts w:hint="eastAsia" w:hAnsi="宋体" w:cs="Arial"/>
          <w:b/>
          <w:bCs/>
          <w:sz w:val="22"/>
          <w:u w:val="single"/>
        </w:rPr>
        <w:t>竞争性磋商评审小组按少数服从多数原则认定</w:t>
      </w:r>
      <w:r>
        <w:rPr>
          <w:rFonts w:hAnsi="宋体" w:cs="Arial"/>
          <w:b/>
          <w:bCs/>
          <w:sz w:val="22"/>
          <w:u w:val="single"/>
        </w:rPr>
        <w:t>),</w:t>
      </w:r>
      <w:r>
        <w:rPr>
          <w:rFonts w:hint="eastAsia" w:hAnsi="宋体" w:cs="Arial"/>
          <w:b/>
          <w:bCs/>
          <w:sz w:val="22"/>
          <w:u w:val="single"/>
        </w:rPr>
        <w:t>按照无效投标处理：</w:t>
      </w:r>
    </w:p>
    <w:p>
      <w:pPr>
        <w:pStyle w:val="15"/>
        <w:adjustRightInd w:val="0"/>
        <w:snapToGrid w:val="0"/>
        <w:spacing w:line="400" w:lineRule="exact"/>
        <w:ind w:firstLine="435" w:firstLineChars="197"/>
        <w:rPr>
          <w:rFonts w:hAnsi="宋体" w:cs="Arial"/>
          <w:b/>
          <w:bCs/>
          <w:sz w:val="22"/>
          <w:u w:val="single"/>
        </w:rPr>
      </w:pPr>
      <w:r>
        <w:rPr>
          <w:rFonts w:hAnsi="宋体" w:cs="Arial"/>
          <w:b/>
          <w:bCs/>
          <w:sz w:val="22"/>
          <w:u w:val="single"/>
        </w:rPr>
        <w:t>1</w:t>
      </w:r>
      <w:r>
        <w:rPr>
          <w:rFonts w:hint="eastAsia" w:hAnsi="宋体" w:cs="Arial"/>
          <w:b/>
          <w:bCs/>
          <w:sz w:val="22"/>
          <w:u w:val="single"/>
        </w:rPr>
        <w:t>）未按竞争性磋商文件要求编制或字迹模糊、辨认不清的响应文件；</w:t>
      </w:r>
    </w:p>
    <w:p>
      <w:pPr>
        <w:pStyle w:val="15"/>
        <w:adjustRightInd w:val="0"/>
        <w:snapToGrid w:val="0"/>
        <w:spacing w:line="400" w:lineRule="exact"/>
        <w:ind w:firstLine="435" w:firstLineChars="197"/>
        <w:rPr>
          <w:rFonts w:hAnsi="宋体" w:cs="Arial"/>
          <w:b/>
          <w:bCs/>
          <w:sz w:val="22"/>
          <w:u w:val="single"/>
        </w:rPr>
      </w:pPr>
      <w:r>
        <w:rPr>
          <w:rFonts w:hAnsi="宋体" w:cs="Arial"/>
          <w:b/>
          <w:bCs/>
          <w:sz w:val="22"/>
          <w:u w:val="single"/>
        </w:rPr>
        <w:t>2</w:t>
      </w:r>
      <w:r>
        <w:rPr>
          <w:rFonts w:hint="eastAsia" w:hAnsi="宋体" w:cs="Arial"/>
          <w:b/>
          <w:bCs/>
          <w:sz w:val="22"/>
          <w:u w:val="single"/>
        </w:rPr>
        <w:t>）除</w:t>
      </w:r>
      <w:r>
        <w:rPr>
          <w:rFonts w:hAnsi="宋体" w:cs="Arial"/>
          <w:b/>
          <w:bCs/>
          <w:sz w:val="22"/>
          <w:u w:val="single"/>
        </w:rPr>
        <w:t>2.3</w:t>
      </w:r>
      <w:r>
        <w:rPr>
          <w:rFonts w:hint="eastAsia" w:hAnsi="宋体" w:cs="Arial"/>
          <w:b/>
          <w:bCs/>
          <w:sz w:val="22"/>
          <w:u w:val="single"/>
        </w:rPr>
        <w:t>条款以外，出现其它明显不符合采购要求的响应文件；</w:t>
      </w:r>
    </w:p>
    <w:p>
      <w:pPr>
        <w:pStyle w:val="15"/>
        <w:adjustRightInd w:val="0"/>
        <w:snapToGrid w:val="0"/>
        <w:spacing w:line="400" w:lineRule="exact"/>
        <w:ind w:firstLine="435" w:firstLineChars="197"/>
        <w:rPr>
          <w:rFonts w:hAnsi="宋体" w:cs="Arial"/>
          <w:b/>
          <w:bCs/>
          <w:sz w:val="22"/>
          <w:u w:val="single"/>
        </w:rPr>
      </w:pPr>
      <w:r>
        <w:rPr>
          <w:rFonts w:hAnsi="宋体" w:cs="Arial"/>
          <w:b/>
          <w:bCs/>
          <w:sz w:val="22"/>
          <w:u w:val="single"/>
        </w:rPr>
        <w:t>3</w:t>
      </w:r>
      <w:r>
        <w:rPr>
          <w:rFonts w:hint="eastAsia" w:hAnsi="宋体" w:cs="Arial"/>
          <w:b/>
          <w:bCs/>
          <w:sz w:val="22"/>
          <w:u w:val="single"/>
        </w:rPr>
        <w:t>）除</w:t>
      </w:r>
      <w:r>
        <w:rPr>
          <w:rFonts w:hAnsi="宋体" w:cs="Arial"/>
          <w:b/>
          <w:bCs/>
          <w:sz w:val="22"/>
          <w:u w:val="single"/>
        </w:rPr>
        <w:t>2.3</w:t>
      </w:r>
      <w:r>
        <w:rPr>
          <w:rFonts w:hint="eastAsia" w:hAnsi="宋体" w:cs="Arial"/>
          <w:b/>
          <w:bCs/>
          <w:sz w:val="22"/>
          <w:u w:val="single"/>
        </w:rPr>
        <w:t>条款以外，出现其它不符合竞争性磋商文件中规定的实质性要求的响应文件，是否为偏离实质性要求由竞争性磋商评审小组认定。</w:t>
      </w:r>
    </w:p>
    <w:p>
      <w:pPr>
        <w:pStyle w:val="15"/>
        <w:adjustRightInd w:val="0"/>
        <w:snapToGrid w:val="0"/>
        <w:spacing w:line="400" w:lineRule="exact"/>
        <w:ind w:firstLine="435" w:firstLineChars="197"/>
        <w:rPr>
          <w:rFonts w:hAnsi="宋体"/>
          <w:b/>
          <w:bCs/>
          <w:sz w:val="22"/>
          <w:u w:val="single"/>
        </w:rPr>
      </w:pPr>
      <w:r>
        <w:rPr>
          <w:rFonts w:hint="eastAsia" w:hAnsi="宋体"/>
          <w:b/>
          <w:bCs/>
          <w:sz w:val="22"/>
          <w:u w:val="single"/>
        </w:rPr>
        <w:t>▲</w:t>
      </w:r>
      <w:r>
        <w:rPr>
          <w:rFonts w:hAnsi="宋体" w:cs="Arial"/>
          <w:b/>
          <w:bCs/>
          <w:sz w:val="22"/>
          <w:u w:val="single"/>
        </w:rPr>
        <w:t>2.5</w:t>
      </w:r>
      <w:r>
        <w:rPr>
          <w:rFonts w:hAnsi="宋体"/>
          <w:b/>
          <w:bCs/>
          <w:sz w:val="22"/>
          <w:u w:val="single"/>
        </w:rPr>
        <w:t xml:space="preserve"> </w:t>
      </w:r>
      <w:r>
        <w:rPr>
          <w:rFonts w:hint="eastAsia" w:hAnsi="宋体"/>
          <w:b/>
          <w:bCs/>
          <w:sz w:val="22"/>
          <w:u w:val="singl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pPr>
        <w:pStyle w:val="15"/>
        <w:adjustRightInd w:val="0"/>
        <w:snapToGrid w:val="0"/>
        <w:spacing w:line="400" w:lineRule="exact"/>
        <w:ind w:firstLine="433" w:firstLineChars="197"/>
        <w:rPr>
          <w:rFonts w:hAnsi="宋体"/>
          <w:bCs/>
          <w:sz w:val="22"/>
        </w:rPr>
      </w:pPr>
      <w:r>
        <w:rPr>
          <w:rFonts w:hAnsi="宋体" w:cs="Arial"/>
          <w:bCs/>
          <w:sz w:val="22"/>
        </w:rPr>
        <w:t xml:space="preserve">2.6 </w:t>
      </w:r>
      <w:r>
        <w:rPr>
          <w:rFonts w:hint="eastAsia" w:hAnsi="宋体" w:cs="Arial"/>
          <w:bCs/>
          <w:sz w:val="22"/>
        </w:rPr>
        <w:t>竞争性磋商评审小组</w:t>
      </w:r>
      <w:r>
        <w:rPr>
          <w:rFonts w:hint="eastAsia" w:hAnsi="宋体"/>
          <w:bCs/>
          <w:sz w:val="22"/>
        </w:rPr>
        <w:t>在评标中，不得改变竞争性磋商文件中规定的评标标准、方法和成交条件。</w:t>
      </w:r>
    </w:p>
    <w:p>
      <w:pPr>
        <w:pStyle w:val="15"/>
        <w:adjustRightInd w:val="0"/>
        <w:snapToGrid w:val="0"/>
        <w:spacing w:line="400" w:lineRule="exact"/>
        <w:ind w:firstLine="433" w:firstLineChars="197"/>
        <w:rPr>
          <w:rFonts w:hAnsi="宋体"/>
          <w:bCs/>
          <w:sz w:val="22"/>
        </w:rPr>
      </w:pPr>
      <w:r>
        <w:rPr>
          <w:rFonts w:hAnsi="宋体"/>
          <w:bCs/>
          <w:sz w:val="22"/>
        </w:rPr>
        <w:t xml:space="preserve">2.7 </w:t>
      </w:r>
      <w:r>
        <w:rPr>
          <w:rFonts w:hint="eastAsia" w:hAnsi="宋体"/>
          <w:bCs/>
          <w:sz w:val="22"/>
        </w:rPr>
        <w:t>评标时如遇到竞争性磋商文件未规定的特殊情况，由竞争性磋商评审小组按少数服从多数原则集体决定处理。</w:t>
      </w:r>
    </w:p>
    <w:p>
      <w:pPr>
        <w:pStyle w:val="15"/>
        <w:adjustRightInd w:val="0"/>
        <w:snapToGrid w:val="0"/>
        <w:spacing w:line="400" w:lineRule="exact"/>
        <w:ind w:firstLine="433" w:firstLineChars="197"/>
        <w:rPr>
          <w:rFonts w:hAnsi="宋体"/>
          <w:bCs/>
          <w:sz w:val="22"/>
        </w:rPr>
      </w:pPr>
      <w:r>
        <w:rPr>
          <w:rFonts w:hAnsi="宋体"/>
          <w:bCs/>
          <w:sz w:val="22"/>
        </w:rPr>
        <w:t>2.8</w:t>
      </w:r>
      <w:r>
        <w:rPr>
          <w:rFonts w:hint="eastAsia" w:hAnsi="宋体"/>
          <w:bCs/>
          <w:sz w:val="22"/>
        </w:rPr>
        <w:t>竞争性磋商评审小组对未成交的供应商不作解释。同时根据政府采购法实施条例第四十条规定，本项目不对供应商公布详细的评审情况，不公布具体评标细则中小项得分。</w:t>
      </w:r>
    </w:p>
    <w:p>
      <w:pPr>
        <w:pStyle w:val="15"/>
        <w:adjustRightInd w:val="0"/>
        <w:spacing w:line="380" w:lineRule="exact"/>
        <w:ind w:firstLine="442" w:firstLineChars="200"/>
        <w:rPr>
          <w:rFonts w:hAnsi="宋体"/>
          <w:b/>
          <w:bCs/>
          <w:sz w:val="22"/>
          <w:u w:val="single"/>
        </w:rPr>
      </w:pPr>
      <w:r>
        <w:rPr>
          <w:rFonts w:hint="eastAsia" w:hAnsi="宋体" w:eastAsia="宋体" w:cs="宋体"/>
          <w:b/>
          <w:bCs/>
          <w:sz w:val="22"/>
          <w:u w:val="single"/>
        </w:rPr>
        <w:t>▲</w:t>
      </w:r>
      <w:r>
        <w:rPr>
          <w:rFonts w:hAnsi="宋体"/>
          <w:b/>
          <w:bCs/>
          <w:sz w:val="22"/>
          <w:u w:val="single"/>
        </w:rPr>
        <w:t>2.9</w:t>
      </w:r>
      <w:r>
        <w:rPr>
          <w:rFonts w:hint="eastAsia" w:hAnsi="宋体"/>
          <w:b/>
          <w:bCs/>
          <w:sz w:val="22"/>
          <w:u w:val="single"/>
        </w:rPr>
        <w:t>、</w:t>
      </w:r>
      <w:r>
        <w:rPr>
          <w:rFonts w:hint="eastAsia" w:hAnsi="宋体" w:cs="Arial"/>
          <w:b/>
          <w:sz w:val="22"/>
          <w:u w:val="single"/>
        </w:rPr>
        <w:t>投标截止时有效投标供应商不足三家的，不予开标或评标；评审过程中有效投标供应商不足三家，可以按财政部《关于政府采购竞争性磋商采购方式管理暂行办法有关问题的补充通知【财库〔</w:t>
      </w:r>
      <w:r>
        <w:rPr>
          <w:rFonts w:hAnsi="宋体" w:cs="Arial"/>
          <w:b/>
          <w:sz w:val="22"/>
          <w:u w:val="single"/>
        </w:rPr>
        <w:t>2015</w:t>
      </w:r>
      <w:r>
        <w:rPr>
          <w:rFonts w:hint="eastAsia" w:hAnsi="宋体" w:cs="Arial"/>
          <w:b/>
          <w:sz w:val="22"/>
          <w:u w:val="single"/>
        </w:rPr>
        <w:t>〕</w:t>
      </w:r>
      <w:r>
        <w:rPr>
          <w:rFonts w:hAnsi="宋体" w:cs="Arial"/>
          <w:b/>
          <w:sz w:val="22"/>
          <w:u w:val="single"/>
        </w:rPr>
        <w:t>124</w:t>
      </w:r>
      <w:r>
        <w:rPr>
          <w:rFonts w:hint="eastAsia" w:hAnsi="宋体" w:cs="Arial"/>
          <w:b/>
          <w:sz w:val="22"/>
          <w:u w:val="single"/>
        </w:rPr>
        <w:t>号】》文件规定执行。</w:t>
      </w:r>
    </w:p>
    <w:p>
      <w:pPr>
        <w:pStyle w:val="15"/>
        <w:adjustRightInd w:val="0"/>
        <w:snapToGrid w:val="0"/>
        <w:spacing w:line="400" w:lineRule="exact"/>
        <w:ind w:firstLine="433" w:firstLineChars="197"/>
        <w:rPr>
          <w:rFonts w:hAnsi="宋体" w:cs="Arial"/>
          <w:sz w:val="22"/>
        </w:rPr>
      </w:pPr>
      <w:r>
        <w:rPr>
          <w:rFonts w:hAnsi="宋体" w:cs="Arial"/>
          <w:sz w:val="22"/>
        </w:rPr>
        <w:t>3</w:t>
      </w:r>
      <w:r>
        <w:rPr>
          <w:rFonts w:hint="eastAsia" w:hAnsi="宋体" w:cs="Arial"/>
          <w:sz w:val="22"/>
        </w:rPr>
        <w:t>、响应文件的澄清</w:t>
      </w:r>
    </w:p>
    <w:p>
      <w:pPr>
        <w:adjustRightInd w:val="0"/>
        <w:snapToGrid w:val="0"/>
        <w:spacing w:line="400" w:lineRule="exact"/>
        <w:ind w:firstLine="433" w:firstLineChars="197"/>
        <w:rPr>
          <w:rFonts w:ascii="宋体" w:cs="Arial"/>
          <w:sz w:val="22"/>
        </w:rPr>
      </w:pPr>
      <w:r>
        <w:rPr>
          <w:rFonts w:hint="eastAsia" w:ascii="宋体" w:hAnsi="宋体" w:cs="Arial"/>
          <w:sz w:val="22"/>
        </w:rPr>
        <w:t>为有利于对响应文件的比较和评议，必要时采购单位及竞争性磋商评审小组可要求供应商对响应文件及合同条款进行澄清，并做出书面答复。书面答复须有授权代表签字并作为报价内容的一部分。</w:t>
      </w:r>
    </w:p>
    <w:p>
      <w:pPr>
        <w:adjustRightInd w:val="0"/>
        <w:snapToGrid w:val="0"/>
        <w:spacing w:line="400" w:lineRule="exact"/>
        <w:ind w:left="414" w:leftChars="197"/>
        <w:rPr>
          <w:rFonts w:ascii="宋体" w:hAnsi="宋体" w:cs="Arial"/>
          <w:b/>
          <w:bCs/>
          <w:sz w:val="22"/>
          <w:u w:val="single"/>
        </w:rPr>
      </w:pPr>
      <w:r>
        <w:rPr>
          <w:rFonts w:hint="eastAsia" w:ascii="宋体" w:hAnsi="宋体" w:eastAsia="宋体" w:cs="宋体"/>
          <w:b/>
          <w:bCs/>
          <w:sz w:val="22"/>
          <w:u w:val="single"/>
        </w:rPr>
        <w:t>▲</w:t>
      </w:r>
      <w:r>
        <w:rPr>
          <w:rFonts w:ascii="宋体" w:hAnsi="宋体" w:cs="Arial"/>
          <w:b/>
          <w:bCs/>
          <w:sz w:val="22"/>
          <w:u w:val="single"/>
        </w:rPr>
        <w:t>4</w:t>
      </w:r>
      <w:r>
        <w:rPr>
          <w:rFonts w:hint="eastAsia" w:ascii="宋体" w:hAnsi="宋体" w:cs="Arial"/>
          <w:b/>
          <w:bCs/>
          <w:sz w:val="22"/>
          <w:u w:val="single"/>
        </w:rPr>
        <w:t>、有下列情形之一的，视为供应商相互串通投标：</w:t>
      </w:r>
    </w:p>
    <w:p>
      <w:pPr>
        <w:adjustRightInd w:val="0"/>
        <w:snapToGrid w:val="0"/>
        <w:spacing w:line="400" w:lineRule="exact"/>
        <w:ind w:left="414" w:leftChars="197"/>
        <w:rPr>
          <w:rFonts w:ascii="宋体" w:hAnsi="宋体" w:cs="Arial"/>
          <w:b/>
          <w:bCs/>
          <w:sz w:val="22"/>
          <w:u w:val="single"/>
        </w:rPr>
      </w:pPr>
      <w:r>
        <w:rPr>
          <w:rFonts w:ascii="宋体" w:hAnsi="宋体" w:cs="Arial"/>
          <w:b/>
          <w:bCs/>
          <w:sz w:val="22"/>
          <w:u w:val="single"/>
        </w:rPr>
        <w:t>4.1</w:t>
      </w:r>
      <w:r>
        <w:rPr>
          <w:rFonts w:hint="eastAsia" w:ascii="宋体" w:hAnsi="宋体" w:cs="Arial"/>
          <w:b/>
          <w:bCs/>
          <w:sz w:val="22"/>
          <w:u w:val="single"/>
        </w:rPr>
        <w:t>不同供应商的响应文件由同一单位或者个人编制；</w:t>
      </w:r>
    </w:p>
    <w:p>
      <w:pPr>
        <w:adjustRightInd w:val="0"/>
        <w:snapToGrid w:val="0"/>
        <w:spacing w:line="400" w:lineRule="exact"/>
        <w:ind w:left="414" w:leftChars="197"/>
        <w:rPr>
          <w:rFonts w:ascii="宋体" w:hAnsi="宋体" w:cs="Arial"/>
          <w:b/>
          <w:bCs/>
          <w:sz w:val="22"/>
          <w:u w:val="single"/>
        </w:rPr>
      </w:pPr>
      <w:r>
        <w:rPr>
          <w:rFonts w:ascii="宋体" w:hAnsi="宋体" w:cs="Arial"/>
          <w:b/>
          <w:bCs/>
          <w:sz w:val="22"/>
          <w:u w:val="single"/>
        </w:rPr>
        <w:t>4.2</w:t>
      </w:r>
      <w:r>
        <w:rPr>
          <w:rFonts w:hint="eastAsia" w:ascii="宋体" w:hAnsi="宋体" w:cs="Arial"/>
          <w:b/>
          <w:bCs/>
          <w:sz w:val="22"/>
          <w:u w:val="single"/>
        </w:rPr>
        <w:t>不同供应商委托同一单位或者个人办理投标事宜；</w:t>
      </w:r>
    </w:p>
    <w:p>
      <w:pPr>
        <w:adjustRightInd w:val="0"/>
        <w:snapToGrid w:val="0"/>
        <w:spacing w:line="400" w:lineRule="exact"/>
        <w:ind w:left="414" w:leftChars="197"/>
        <w:rPr>
          <w:rFonts w:ascii="宋体" w:hAnsi="宋体" w:cs="Arial"/>
          <w:b/>
          <w:bCs/>
          <w:sz w:val="22"/>
          <w:u w:val="single"/>
        </w:rPr>
      </w:pPr>
      <w:r>
        <w:rPr>
          <w:rFonts w:ascii="宋体" w:hAnsi="宋体" w:cs="Arial"/>
          <w:b/>
          <w:bCs/>
          <w:sz w:val="22"/>
          <w:u w:val="single"/>
        </w:rPr>
        <w:t>4.3</w:t>
      </w:r>
      <w:r>
        <w:rPr>
          <w:rFonts w:hint="eastAsia" w:ascii="宋体" w:hAnsi="宋体" w:cs="Arial"/>
          <w:b/>
          <w:bCs/>
          <w:sz w:val="22"/>
          <w:u w:val="single"/>
        </w:rPr>
        <w:t>不同供应商的响应文件载明的项目管理成员为同一人；</w:t>
      </w:r>
    </w:p>
    <w:p>
      <w:pPr>
        <w:adjustRightInd w:val="0"/>
        <w:snapToGrid w:val="0"/>
        <w:spacing w:line="400" w:lineRule="exact"/>
        <w:ind w:left="414" w:leftChars="197"/>
        <w:rPr>
          <w:rFonts w:ascii="宋体" w:hAnsi="宋体" w:cs="Arial"/>
          <w:b/>
          <w:bCs/>
          <w:sz w:val="22"/>
          <w:u w:val="single"/>
        </w:rPr>
      </w:pPr>
      <w:r>
        <w:rPr>
          <w:rFonts w:ascii="宋体" w:hAnsi="宋体" w:cs="Arial"/>
          <w:b/>
          <w:bCs/>
          <w:sz w:val="22"/>
          <w:u w:val="single"/>
        </w:rPr>
        <w:t>4.4</w:t>
      </w:r>
      <w:r>
        <w:rPr>
          <w:rFonts w:hint="eastAsia" w:ascii="宋体" w:hAnsi="宋体" w:cs="Arial"/>
          <w:b/>
          <w:bCs/>
          <w:sz w:val="22"/>
          <w:u w:val="single"/>
        </w:rPr>
        <w:t>不同供应商的响应文件异常一致或者投标报价呈规律性差异；</w:t>
      </w:r>
    </w:p>
    <w:p>
      <w:pPr>
        <w:adjustRightInd w:val="0"/>
        <w:snapToGrid w:val="0"/>
        <w:spacing w:line="400" w:lineRule="exact"/>
        <w:ind w:left="414" w:leftChars="197"/>
        <w:rPr>
          <w:rFonts w:ascii="宋体" w:hAnsi="宋体" w:cs="Arial"/>
          <w:b/>
          <w:bCs/>
          <w:sz w:val="22"/>
          <w:u w:val="single"/>
        </w:rPr>
      </w:pPr>
      <w:r>
        <w:rPr>
          <w:rFonts w:ascii="宋体" w:hAnsi="宋体" w:cs="Arial"/>
          <w:b/>
          <w:bCs/>
          <w:sz w:val="22"/>
          <w:u w:val="single"/>
        </w:rPr>
        <w:t>4.5</w:t>
      </w:r>
      <w:r>
        <w:rPr>
          <w:rFonts w:hint="eastAsia" w:ascii="宋体" w:hAnsi="宋体" w:cs="Arial"/>
          <w:b/>
          <w:bCs/>
          <w:sz w:val="22"/>
          <w:u w:val="single"/>
        </w:rPr>
        <w:t>不同供应商的响应文件相互混装；</w:t>
      </w:r>
    </w:p>
    <w:p>
      <w:pPr>
        <w:adjustRightInd w:val="0"/>
        <w:snapToGrid w:val="0"/>
        <w:spacing w:line="400" w:lineRule="exact"/>
        <w:ind w:left="13" w:leftChars="6" w:firstLine="400" w:firstLineChars="181"/>
        <w:rPr>
          <w:rFonts w:ascii="宋体" w:hAnsi="宋体" w:cs="Arial"/>
          <w:b/>
          <w:bCs/>
          <w:sz w:val="22"/>
          <w:u w:val="single"/>
        </w:rPr>
      </w:pPr>
      <w:r>
        <w:rPr>
          <w:rFonts w:ascii="宋体" w:hAnsi="宋体" w:cs="Arial"/>
          <w:b/>
          <w:bCs/>
          <w:sz w:val="22"/>
          <w:u w:val="single"/>
        </w:rPr>
        <w:t>4.</w:t>
      </w:r>
      <w:r>
        <w:rPr>
          <w:rFonts w:hint="eastAsia" w:ascii="宋体" w:hAnsi="宋体" w:cs="Arial"/>
          <w:b/>
          <w:bCs/>
          <w:sz w:val="22"/>
          <w:u w:val="single"/>
        </w:rPr>
        <w:t>6经竞争性磋商评审小组认定供应商进行串通投标的，竞争性磋商评审小组可以对相关供应商做出无效报价处理，并上报政府采购管理部门进行进一步处理。</w:t>
      </w:r>
    </w:p>
    <w:p>
      <w:pPr>
        <w:pStyle w:val="15"/>
        <w:adjustRightInd w:val="0"/>
        <w:snapToGrid w:val="0"/>
        <w:spacing w:line="400" w:lineRule="exact"/>
        <w:ind w:firstLine="433" w:firstLineChars="197"/>
        <w:rPr>
          <w:rFonts w:hAnsi="宋体" w:cs="Arial"/>
          <w:bCs/>
          <w:sz w:val="22"/>
        </w:rPr>
      </w:pPr>
      <w:r>
        <w:rPr>
          <w:rFonts w:hAnsi="宋体" w:cs="Arial"/>
          <w:bCs/>
          <w:sz w:val="22"/>
        </w:rPr>
        <w:t>5</w:t>
      </w:r>
      <w:r>
        <w:rPr>
          <w:rFonts w:hint="eastAsia" w:hAnsi="宋体" w:cs="Arial"/>
          <w:bCs/>
          <w:sz w:val="22"/>
        </w:rPr>
        <w:t>、评标原则</w:t>
      </w:r>
    </w:p>
    <w:p>
      <w:pPr>
        <w:pStyle w:val="15"/>
        <w:adjustRightInd w:val="0"/>
        <w:spacing w:line="400" w:lineRule="exact"/>
        <w:ind w:firstLine="440" w:firstLineChars="200"/>
        <w:rPr>
          <w:rFonts w:hAnsi="宋体" w:cs="Arial"/>
          <w:bCs/>
          <w:sz w:val="22"/>
        </w:rPr>
      </w:pPr>
      <w:r>
        <w:rPr>
          <w:rFonts w:hint="eastAsia" w:hAnsi="宋体" w:cs="Arial"/>
          <w:bCs/>
          <w:sz w:val="22"/>
        </w:rPr>
        <w:t>评标办法具体见本竞争性磋商文件第七部分。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15"/>
        <w:adjustRightInd w:val="0"/>
        <w:snapToGrid w:val="0"/>
        <w:spacing w:line="400" w:lineRule="exact"/>
        <w:outlineLvl w:val="0"/>
        <w:rPr>
          <w:rFonts w:hAnsi="宋体"/>
          <w:b/>
          <w:sz w:val="22"/>
        </w:rPr>
      </w:pPr>
      <w:r>
        <w:rPr>
          <w:rFonts w:hint="eastAsia" w:hAnsi="宋体"/>
          <w:b/>
          <w:sz w:val="22"/>
        </w:rPr>
        <w:t>六、授予合同</w:t>
      </w:r>
    </w:p>
    <w:p>
      <w:pPr>
        <w:pStyle w:val="15"/>
        <w:adjustRightInd w:val="0"/>
        <w:snapToGrid w:val="0"/>
        <w:spacing w:line="400" w:lineRule="exact"/>
        <w:ind w:firstLine="433" w:firstLineChars="197"/>
        <w:rPr>
          <w:rFonts w:hAnsi="宋体"/>
          <w:bCs/>
          <w:sz w:val="22"/>
        </w:rPr>
      </w:pPr>
      <w:r>
        <w:rPr>
          <w:rFonts w:hAnsi="宋体"/>
          <w:bCs/>
          <w:sz w:val="22"/>
        </w:rPr>
        <w:t>1</w:t>
      </w:r>
      <w:r>
        <w:rPr>
          <w:rFonts w:hint="eastAsia" w:hAnsi="宋体"/>
          <w:bCs/>
          <w:sz w:val="22"/>
        </w:rPr>
        <w:t>、决标</w:t>
      </w:r>
    </w:p>
    <w:p>
      <w:pPr>
        <w:pStyle w:val="15"/>
        <w:adjustRightInd w:val="0"/>
        <w:snapToGrid w:val="0"/>
        <w:spacing w:line="400" w:lineRule="exact"/>
        <w:ind w:firstLine="433" w:firstLineChars="197"/>
        <w:rPr>
          <w:rFonts w:hAnsi="宋体"/>
          <w:bCs/>
          <w:sz w:val="22"/>
        </w:rPr>
      </w:pPr>
      <w:r>
        <w:rPr>
          <w:rFonts w:hint="eastAsia" w:hAnsi="宋体"/>
          <w:bCs/>
          <w:sz w:val="22"/>
        </w:rPr>
        <w:t>评标结束后，竞争性磋商评审小组按照竞争性磋商文件确定的评标办法推荐成交供应商。</w:t>
      </w:r>
    </w:p>
    <w:p>
      <w:pPr>
        <w:pStyle w:val="15"/>
        <w:adjustRightInd w:val="0"/>
        <w:snapToGrid w:val="0"/>
        <w:spacing w:line="400" w:lineRule="exact"/>
        <w:ind w:firstLine="433" w:firstLineChars="197"/>
        <w:rPr>
          <w:rFonts w:hAnsi="宋体"/>
          <w:bCs/>
          <w:sz w:val="22"/>
        </w:rPr>
      </w:pPr>
      <w:r>
        <w:rPr>
          <w:rFonts w:hAnsi="宋体"/>
          <w:bCs/>
          <w:sz w:val="22"/>
        </w:rPr>
        <w:t>2</w:t>
      </w:r>
      <w:r>
        <w:rPr>
          <w:rFonts w:hint="eastAsia" w:hAnsi="宋体"/>
          <w:bCs/>
          <w:sz w:val="22"/>
        </w:rPr>
        <w:t>、成交通知书</w:t>
      </w:r>
    </w:p>
    <w:p>
      <w:pPr>
        <w:pStyle w:val="15"/>
        <w:adjustRightInd w:val="0"/>
        <w:snapToGrid w:val="0"/>
        <w:spacing w:line="400" w:lineRule="exact"/>
        <w:ind w:firstLine="433" w:firstLineChars="197"/>
        <w:rPr>
          <w:rFonts w:hAnsi="宋体"/>
          <w:b/>
          <w:bCs/>
          <w:sz w:val="22"/>
        </w:rPr>
      </w:pPr>
      <w:bookmarkStart w:id="39" w:name="_Toc764_WPSOffice_Level3"/>
      <w:r>
        <w:rPr>
          <w:rFonts w:hAnsi="宋体"/>
          <w:sz w:val="22"/>
        </w:rPr>
        <w:t>2</w:t>
      </w:r>
      <w:r>
        <w:rPr>
          <w:rFonts w:hint="eastAsia" w:hAnsi="宋体"/>
          <w:sz w:val="22"/>
        </w:rPr>
        <w:t>.</w:t>
      </w:r>
      <w:bookmarkEnd w:id="39"/>
      <w:r>
        <w:rPr>
          <w:rFonts w:hint="eastAsia" w:hAnsi="宋体"/>
          <w:sz w:val="22"/>
        </w:rPr>
        <w:t>中标（成交）通知书</w:t>
      </w:r>
    </w:p>
    <w:p>
      <w:pPr>
        <w:spacing w:line="400" w:lineRule="exact"/>
        <w:ind w:firstLine="433" w:firstLineChars="197"/>
        <w:rPr>
          <w:rFonts w:ascii="宋体"/>
          <w:sz w:val="22"/>
        </w:rPr>
      </w:pPr>
      <w:r>
        <w:rPr>
          <w:rFonts w:ascii="宋体" w:hAnsi="宋体"/>
          <w:sz w:val="22"/>
        </w:rPr>
        <w:t>2.1</w:t>
      </w:r>
      <w:r>
        <w:rPr>
          <w:rFonts w:hint="eastAsia" w:ascii="宋体" w:hAnsi="宋体"/>
          <w:sz w:val="22"/>
        </w:rPr>
        <w:t>采购单位依法确认中标（成交）供应商后，代理机构在浙江省政府采购网上公示中标（成交）供应商名单，公示期限为</w:t>
      </w:r>
      <w:r>
        <w:rPr>
          <w:rFonts w:ascii="宋体" w:hAnsi="宋体"/>
          <w:sz w:val="22"/>
        </w:rPr>
        <w:t>1</w:t>
      </w:r>
      <w:r>
        <w:rPr>
          <w:rFonts w:hint="eastAsia" w:ascii="宋体" w:hAnsi="宋体"/>
          <w:sz w:val="22"/>
        </w:rPr>
        <w:t>个工作日。同时向中标（成交）供应商发出中标（成交）通知书。</w:t>
      </w:r>
    </w:p>
    <w:p>
      <w:pPr>
        <w:adjustRightInd w:val="0"/>
        <w:snapToGrid w:val="0"/>
        <w:spacing w:line="400" w:lineRule="exact"/>
        <w:ind w:firstLine="433" w:firstLineChars="197"/>
        <w:rPr>
          <w:rFonts w:ascii="宋体"/>
          <w:sz w:val="22"/>
        </w:rPr>
      </w:pPr>
      <w:r>
        <w:rPr>
          <w:rFonts w:ascii="宋体" w:hAnsi="宋体"/>
          <w:sz w:val="22"/>
        </w:rPr>
        <w:t>2.2</w:t>
      </w:r>
      <w:r>
        <w:rPr>
          <w:rFonts w:hint="eastAsia" w:ascii="宋体" w:hAnsi="宋体"/>
          <w:sz w:val="22"/>
        </w:rPr>
        <w:t>中标（成交）通知书对采购单位和中标（成交）供应商具有法律约束力。中标（成交）通知书发出后，采购单位改变中标结果或者中标（成交）供应商放弃中标的，应当承担法律责任。</w:t>
      </w:r>
    </w:p>
    <w:p>
      <w:pPr>
        <w:adjustRightInd w:val="0"/>
        <w:snapToGrid w:val="0"/>
        <w:spacing w:line="400" w:lineRule="exact"/>
        <w:ind w:firstLine="433" w:firstLineChars="197"/>
        <w:rPr>
          <w:rFonts w:ascii="宋体"/>
          <w:sz w:val="22"/>
        </w:rPr>
      </w:pPr>
      <w:r>
        <w:rPr>
          <w:rFonts w:hint="eastAsia" w:ascii="宋体" w:hAnsi="宋体"/>
          <w:sz w:val="22"/>
        </w:rPr>
        <w:t>3、成交无效</w:t>
      </w:r>
    </w:p>
    <w:p>
      <w:pPr>
        <w:adjustRightInd w:val="0"/>
        <w:snapToGrid w:val="0"/>
        <w:spacing w:line="400" w:lineRule="exact"/>
        <w:ind w:firstLine="433" w:firstLineChars="197"/>
        <w:rPr>
          <w:rFonts w:ascii="宋体" w:hAnsi="宋体"/>
          <w:sz w:val="22"/>
        </w:rPr>
      </w:pPr>
      <w:r>
        <w:rPr>
          <w:rFonts w:hint="eastAsia" w:ascii="宋体" w:hAnsi="宋体"/>
          <w:sz w:val="22"/>
        </w:rPr>
        <w:t>3.1发现中标（成交）供应商资格无效或中标（成交）供应商放弃成交或拒绝与采购单位签订合同的,按相关法律进行处理，原则上重新开展政府采购活动。</w:t>
      </w:r>
    </w:p>
    <w:p>
      <w:pPr>
        <w:adjustRightInd w:val="0"/>
        <w:snapToGrid w:val="0"/>
        <w:spacing w:line="400" w:lineRule="exact"/>
        <w:ind w:firstLine="433" w:firstLineChars="197"/>
        <w:rPr>
          <w:rFonts w:ascii="宋体"/>
          <w:sz w:val="22"/>
        </w:rPr>
      </w:pPr>
      <w:r>
        <w:rPr>
          <w:rFonts w:hint="eastAsia" w:ascii="宋体" w:hAnsi="宋体"/>
          <w:sz w:val="22"/>
        </w:rPr>
        <w:t>3.2有《中华人民共和国政府采购法实施条例》第七十一条、第七十二条、第七十三条、第七十四条规定的违法行为之一，由政府采购监管部门依法处理。</w:t>
      </w:r>
    </w:p>
    <w:p>
      <w:pPr>
        <w:pStyle w:val="15"/>
        <w:adjustRightInd w:val="0"/>
        <w:snapToGrid w:val="0"/>
        <w:spacing w:line="400" w:lineRule="exact"/>
        <w:ind w:firstLine="433" w:firstLineChars="197"/>
        <w:rPr>
          <w:rFonts w:hAnsi="宋体"/>
          <w:bCs/>
          <w:sz w:val="22"/>
        </w:rPr>
      </w:pPr>
      <w:r>
        <w:rPr>
          <w:rFonts w:hAnsi="宋体"/>
          <w:bCs/>
          <w:sz w:val="22"/>
        </w:rPr>
        <w:t>4</w:t>
      </w:r>
      <w:r>
        <w:rPr>
          <w:rFonts w:hint="eastAsia" w:hAnsi="宋体"/>
          <w:bCs/>
          <w:sz w:val="22"/>
        </w:rPr>
        <w:t>、签订合同</w:t>
      </w:r>
    </w:p>
    <w:p>
      <w:pPr>
        <w:adjustRightInd w:val="0"/>
        <w:snapToGrid w:val="0"/>
        <w:spacing w:line="400" w:lineRule="exact"/>
        <w:ind w:firstLine="433" w:firstLineChars="197"/>
        <w:rPr>
          <w:rFonts w:ascii="宋体"/>
          <w:sz w:val="22"/>
        </w:rPr>
      </w:pPr>
      <w:r>
        <w:rPr>
          <w:rFonts w:ascii="宋体" w:hAnsi="宋体"/>
          <w:sz w:val="22"/>
        </w:rPr>
        <w:t xml:space="preserve">4.1 </w:t>
      </w:r>
      <w:r>
        <w:rPr>
          <w:rFonts w:hint="eastAsia" w:ascii="宋体" w:hAnsi="宋体"/>
          <w:sz w:val="22"/>
        </w:rPr>
        <w:t>成交供应商须主动联系采购单位或采购机构领取成交通知书。成交供应商应当在成交通知书发出之日起3日内与采购单位签订合同。成交供应商未经采购单位许可，在规定时间内未到采购单位处与采购单位签订合同，则视为拒签合同。</w:t>
      </w:r>
    </w:p>
    <w:p>
      <w:pPr>
        <w:adjustRightInd w:val="0"/>
        <w:snapToGrid w:val="0"/>
        <w:spacing w:line="400" w:lineRule="exact"/>
        <w:ind w:firstLine="433" w:firstLineChars="197"/>
        <w:rPr>
          <w:rFonts w:ascii="宋体"/>
          <w:sz w:val="22"/>
        </w:rPr>
      </w:pPr>
      <w:r>
        <w:rPr>
          <w:rFonts w:ascii="宋体" w:hAnsi="宋体"/>
          <w:sz w:val="22"/>
        </w:rPr>
        <w:t xml:space="preserve">4.2 </w:t>
      </w:r>
      <w:r>
        <w:rPr>
          <w:rFonts w:hint="eastAsia" w:ascii="宋体" w:hAnsi="宋体"/>
          <w:sz w:val="22"/>
        </w:rPr>
        <w:t>竞争性磋商文件、成交供应商的响应文件及投标修改文件、评标过程中有关澄清文件及经双方签字的询标纪要（承诺）和成交通知书均作为合同附件。</w:t>
      </w:r>
    </w:p>
    <w:p>
      <w:pPr>
        <w:adjustRightInd w:val="0"/>
        <w:snapToGrid w:val="0"/>
        <w:spacing w:line="400" w:lineRule="exact"/>
        <w:ind w:firstLine="433" w:firstLineChars="197"/>
        <w:rPr>
          <w:rFonts w:ascii="宋体"/>
          <w:sz w:val="22"/>
        </w:rPr>
      </w:pPr>
      <w:r>
        <w:rPr>
          <w:rFonts w:ascii="宋体" w:hAnsi="宋体"/>
          <w:sz w:val="22"/>
        </w:rPr>
        <w:t xml:space="preserve">4.3 </w:t>
      </w:r>
      <w:r>
        <w:rPr>
          <w:rFonts w:hint="eastAsia" w:ascii="宋体" w:hAnsi="宋体"/>
          <w:sz w:val="22"/>
        </w:rPr>
        <w:t>拒签合同的责任</w:t>
      </w:r>
    </w:p>
    <w:p>
      <w:pPr>
        <w:pStyle w:val="15"/>
        <w:adjustRightInd w:val="0"/>
        <w:snapToGrid w:val="0"/>
        <w:spacing w:line="400" w:lineRule="exact"/>
        <w:ind w:firstLine="433" w:firstLineChars="197"/>
        <w:rPr>
          <w:rFonts w:hAnsi="宋体"/>
          <w:bCs/>
          <w:sz w:val="22"/>
        </w:rPr>
      </w:pPr>
      <w:r>
        <w:rPr>
          <w:rFonts w:hint="eastAsia" w:hAnsi="宋体"/>
          <w:bCs/>
          <w:sz w:val="22"/>
        </w:rPr>
        <w:t>成交供应商在规定时间内（2日历天）借故否认已经承诺的条件、拒签合同，以违约处理，并赔偿采购单位由此造成的直接经济损失；采购单位重新组织采购的，所需费用由原成交供应商承担。</w:t>
      </w:r>
    </w:p>
    <w:p>
      <w:pPr>
        <w:pStyle w:val="15"/>
        <w:adjustRightInd w:val="0"/>
        <w:snapToGrid w:val="0"/>
        <w:spacing w:line="400" w:lineRule="exact"/>
        <w:ind w:firstLine="433" w:firstLineChars="197"/>
        <w:rPr>
          <w:rFonts w:hAnsi="宋体"/>
          <w:bCs/>
          <w:sz w:val="22"/>
        </w:rPr>
      </w:pPr>
      <w:r>
        <w:rPr>
          <w:rFonts w:hAnsi="宋体"/>
          <w:bCs/>
          <w:sz w:val="22"/>
        </w:rPr>
        <w:t>5</w:t>
      </w:r>
      <w:r>
        <w:rPr>
          <w:rFonts w:hint="eastAsia" w:hAnsi="宋体"/>
          <w:bCs/>
          <w:sz w:val="22"/>
        </w:rPr>
        <w:t>、履约保证金</w:t>
      </w:r>
    </w:p>
    <w:p>
      <w:pPr>
        <w:pStyle w:val="15"/>
        <w:adjustRightInd w:val="0"/>
        <w:spacing w:line="400" w:lineRule="exact"/>
        <w:ind w:firstLine="450"/>
        <w:rPr>
          <w:rFonts w:ascii="Calibri" w:hAnsi="Calibri"/>
          <w:sz w:val="22"/>
          <w:szCs w:val="22"/>
        </w:rPr>
      </w:pPr>
      <w:r>
        <w:rPr>
          <w:rFonts w:hint="eastAsia"/>
          <w:sz w:val="22"/>
          <w:szCs w:val="22"/>
        </w:rPr>
        <w:t>合同签订时供应商须提交合同总价1</w:t>
      </w:r>
      <w:r>
        <w:rPr>
          <w:rFonts w:hint="eastAsia" w:ascii="Calibri" w:hAnsi="Calibri"/>
          <w:sz w:val="22"/>
          <w:szCs w:val="22"/>
        </w:rPr>
        <w:t>%至代建单位账户（履约保证金或银行、保险公司出具的等额保函。）</w:t>
      </w:r>
    </w:p>
    <w:p>
      <w:pPr>
        <w:pStyle w:val="15"/>
        <w:adjustRightInd w:val="0"/>
        <w:spacing w:line="400" w:lineRule="exact"/>
        <w:ind w:firstLine="450"/>
        <w:rPr>
          <w:rFonts w:hAnsi="宋体" w:cs="Arial"/>
          <w:bCs/>
          <w:sz w:val="22"/>
        </w:rPr>
      </w:pPr>
      <w:r>
        <w:rPr>
          <w:rFonts w:hAnsi="宋体" w:cs="Arial"/>
          <w:bCs/>
          <w:sz w:val="22"/>
        </w:rPr>
        <w:t>6</w:t>
      </w:r>
      <w:r>
        <w:rPr>
          <w:rFonts w:hint="eastAsia" w:hAnsi="宋体" w:cs="Arial"/>
          <w:bCs/>
          <w:sz w:val="22"/>
        </w:rPr>
        <w:t>、招标代理服务咨询费</w:t>
      </w:r>
    </w:p>
    <w:p>
      <w:pPr>
        <w:autoSpaceDE w:val="0"/>
        <w:autoSpaceDN w:val="0"/>
        <w:adjustRightInd w:val="0"/>
        <w:snapToGrid w:val="0"/>
        <w:spacing w:line="400" w:lineRule="atLeast"/>
        <w:ind w:firstLine="462" w:firstLineChars="210"/>
        <w:textAlignment w:val="bottom"/>
        <w:rPr>
          <w:rFonts w:ascii="宋体" w:hAnsi="宋体"/>
          <w:sz w:val="22"/>
        </w:rPr>
      </w:pPr>
      <w:r>
        <w:rPr>
          <w:rFonts w:hint="eastAsia" w:ascii="宋体" w:hAnsi="宋体"/>
          <w:sz w:val="22"/>
        </w:rPr>
        <w:t>成交供应商在领取成交通知书同时向代理机构支付招标代理服务费24700元整。以上费用包含在投标总价中。</w:t>
      </w:r>
    </w:p>
    <w:p>
      <w:pPr>
        <w:autoSpaceDE w:val="0"/>
        <w:autoSpaceDN w:val="0"/>
        <w:adjustRightInd w:val="0"/>
        <w:snapToGrid w:val="0"/>
        <w:spacing w:line="400" w:lineRule="atLeast"/>
        <w:ind w:firstLine="462" w:firstLineChars="210"/>
        <w:textAlignment w:val="bottom"/>
        <w:rPr>
          <w:rFonts w:ascii="宋体"/>
          <w:sz w:val="22"/>
        </w:rPr>
      </w:pPr>
      <w:r>
        <w:rPr>
          <w:rFonts w:hint="eastAsia" w:ascii="宋体" w:hAnsi="宋体"/>
          <w:sz w:val="22"/>
        </w:rPr>
        <w:t>招标代理服务咨询费汇入以下帐号：</w:t>
      </w:r>
    </w:p>
    <w:p>
      <w:pPr>
        <w:autoSpaceDE w:val="0"/>
        <w:autoSpaceDN w:val="0"/>
        <w:adjustRightInd w:val="0"/>
        <w:snapToGrid w:val="0"/>
        <w:spacing w:line="400" w:lineRule="atLeast"/>
        <w:ind w:firstLine="462" w:firstLineChars="210"/>
        <w:textAlignment w:val="bottom"/>
        <w:rPr>
          <w:rFonts w:ascii="宋体" w:eastAsia="宋体"/>
          <w:sz w:val="22"/>
        </w:rPr>
      </w:pPr>
      <w:r>
        <w:rPr>
          <w:rFonts w:hint="eastAsia" w:ascii="宋体" w:hAnsi="宋体"/>
          <w:sz w:val="22"/>
        </w:rPr>
        <w:t>开户银行：浙江泰顺农村商业银行股份有限公司关山支行</w:t>
      </w:r>
    </w:p>
    <w:p>
      <w:pPr>
        <w:autoSpaceDE w:val="0"/>
        <w:autoSpaceDN w:val="0"/>
        <w:adjustRightInd w:val="0"/>
        <w:snapToGrid w:val="0"/>
        <w:spacing w:line="400" w:lineRule="atLeast"/>
        <w:ind w:firstLine="462" w:firstLineChars="210"/>
        <w:textAlignment w:val="bottom"/>
        <w:rPr>
          <w:rFonts w:ascii="宋体" w:hAnsi="宋体" w:eastAsia="宋体"/>
          <w:sz w:val="22"/>
        </w:rPr>
      </w:pPr>
      <w:r>
        <w:rPr>
          <w:rFonts w:hint="eastAsia" w:ascii="宋体" w:hAnsi="宋体"/>
          <w:sz w:val="22"/>
        </w:rPr>
        <w:t>开户名称：浙江华域高宇项目有限公司泰顺分公司</w:t>
      </w:r>
    </w:p>
    <w:p>
      <w:pPr>
        <w:autoSpaceDE w:val="0"/>
        <w:autoSpaceDN w:val="0"/>
        <w:adjustRightInd w:val="0"/>
        <w:snapToGrid w:val="0"/>
        <w:spacing w:line="400" w:lineRule="atLeast"/>
        <w:ind w:firstLine="462" w:firstLineChars="210"/>
        <w:textAlignment w:val="bottom"/>
        <w:rPr>
          <w:rFonts w:ascii="宋体" w:eastAsia="宋体"/>
          <w:sz w:val="22"/>
        </w:rPr>
      </w:pPr>
      <w:r>
        <w:rPr>
          <w:rFonts w:hint="eastAsia" w:ascii="宋体" w:hAnsi="宋体"/>
          <w:sz w:val="22"/>
        </w:rPr>
        <w:t>开户帐号：201000196274538</w:t>
      </w:r>
    </w:p>
    <w:p>
      <w:pPr>
        <w:adjustRightInd w:val="0"/>
        <w:snapToGrid w:val="0"/>
        <w:spacing w:line="400" w:lineRule="exact"/>
        <w:jc w:val="left"/>
        <w:rPr>
          <w:rFonts w:ascii="宋体" w:hAnsi="宋体" w:cs="宋体"/>
          <w:b/>
          <w:bCs/>
          <w:sz w:val="22"/>
        </w:rPr>
      </w:pPr>
      <w:r>
        <w:rPr>
          <w:rFonts w:hint="eastAsia" w:ascii="宋体" w:hAnsi="宋体" w:cs="宋体"/>
          <w:b/>
          <w:bCs/>
          <w:sz w:val="22"/>
        </w:rPr>
        <w:t>七、投诉质疑</w:t>
      </w:r>
    </w:p>
    <w:p>
      <w:pPr>
        <w:pStyle w:val="65"/>
        <w:snapToGrid w:val="0"/>
        <w:spacing w:before="0" w:line="400" w:lineRule="exact"/>
        <w:ind w:firstLine="440"/>
        <w:rPr>
          <w:rFonts w:ascii="宋体" w:hAnsi="宋体" w:cs="宋体"/>
          <w:sz w:val="22"/>
          <w:szCs w:val="22"/>
        </w:rPr>
      </w:pPr>
      <w:r>
        <w:rPr>
          <w:rFonts w:hint="eastAsia" w:ascii="宋体" w:hAns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65"/>
        <w:spacing w:before="0" w:line="400" w:lineRule="exact"/>
        <w:ind w:firstLine="442"/>
        <w:rPr>
          <w:rFonts w:ascii="宋体" w:hAnsi="宋体" w:cs="宋体"/>
          <w:b/>
          <w:sz w:val="22"/>
          <w:szCs w:val="22"/>
        </w:rPr>
      </w:pPr>
      <w:r>
        <w:rPr>
          <w:rFonts w:hint="eastAsia" w:ascii="宋体" w:hAnsi="宋体" w:cs="宋体"/>
          <w:b/>
          <w:sz w:val="22"/>
          <w:szCs w:val="22"/>
        </w:rPr>
        <w:t>1、供应商询问</w:t>
      </w:r>
    </w:p>
    <w:p>
      <w:pPr>
        <w:pStyle w:val="15"/>
        <w:spacing w:line="400" w:lineRule="exact"/>
        <w:ind w:firstLine="495" w:firstLineChars="225"/>
        <w:rPr>
          <w:rFonts w:hAnsi="宋体" w:cs="宋体"/>
          <w:sz w:val="22"/>
          <w:szCs w:val="22"/>
        </w:rPr>
      </w:pPr>
      <w:r>
        <w:rPr>
          <w:rFonts w:hint="eastAsia" w:hAnsi="宋体" w:cs="宋体"/>
          <w:sz w:val="22"/>
          <w:szCs w:val="22"/>
          <w:lang w:val="zh-CN"/>
        </w:rPr>
        <w:t>供应商对政府采购活动事项有疑问的，可以向招标代理机构提出询问，招标代理机构将对供应商依法提出的询问作出答复，但答复的内容不得涉及商业秘密。</w:t>
      </w:r>
    </w:p>
    <w:p>
      <w:pPr>
        <w:pStyle w:val="65"/>
        <w:spacing w:before="0" w:line="400" w:lineRule="exact"/>
        <w:ind w:firstLine="442"/>
        <w:rPr>
          <w:rFonts w:ascii="宋体" w:hAnsi="宋体" w:cs="宋体"/>
          <w:b/>
          <w:sz w:val="22"/>
          <w:szCs w:val="22"/>
        </w:rPr>
      </w:pPr>
      <w:r>
        <w:rPr>
          <w:rFonts w:hint="eastAsia" w:ascii="宋体" w:hAnsi="宋体" w:cs="宋体"/>
          <w:b/>
          <w:sz w:val="22"/>
          <w:szCs w:val="22"/>
        </w:rPr>
        <w:t>2、供应商质疑</w:t>
      </w:r>
    </w:p>
    <w:p>
      <w:pPr>
        <w:pStyle w:val="15"/>
        <w:spacing w:line="400" w:lineRule="exact"/>
        <w:ind w:firstLine="420"/>
        <w:rPr>
          <w:rFonts w:hAnsi="宋体" w:cs="宋体"/>
          <w:sz w:val="22"/>
          <w:szCs w:val="22"/>
          <w:lang w:val="zh-CN"/>
        </w:rPr>
      </w:pPr>
      <w:r>
        <w:rPr>
          <w:rFonts w:hint="eastAsia" w:hAnsi="宋体" w:cs="宋体"/>
          <w:sz w:val="22"/>
          <w:szCs w:val="22"/>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lang w:val="zh-CN"/>
        </w:rPr>
        <w:t>否则，不予受理：</w:t>
      </w:r>
    </w:p>
    <w:p>
      <w:pPr>
        <w:pStyle w:val="15"/>
        <w:spacing w:line="400" w:lineRule="exact"/>
        <w:ind w:firstLine="420"/>
        <w:rPr>
          <w:rFonts w:hAnsi="宋体" w:cs="宋体"/>
          <w:sz w:val="22"/>
          <w:szCs w:val="22"/>
        </w:rPr>
      </w:pPr>
      <w:r>
        <w:rPr>
          <w:rFonts w:hint="eastAsia" w:hAnsi="宋体" w:cs="宋体"/>
          <w:sz w:val="22"/>
          <w:szCs w:val="22"/>
        </w:rPr>
        <w:t>（1）供应商如认为招标公告信息使自身的合法权益受到损害的，应于自招标公告发布之日起七个工作内以书面形式向招标代理机构提出质疑；</w:t>
      </w:r>
    </w:p>
    <w:p>
      <w:pPr>
        <w:pStyle w:val="15"/>
        <w:spacing w:line="400" w:lineRule="exact"/>
        <w:rPr>
          <w:rFonts w:hAnsi="宋体" w:cs="宋体"/>
          <w:sz w:val="22"/>
          <w:szCs w:val="22"/>
        </w:rPr>
      </w:pPr>
      <w:r>
        <w:rPr>
          <w:rFonts w:hint="eastAsia" w:hAnsi="宋体" w:cs="宋体"/>
          <w:sz w:val="22"/>
          <w:szCs w:val="22"/>
        </w:rPr>
        <w:t xml:space="preserve">   （2）</w:t>
      </w:r>
      <w:r>
        <w:rPr>
          <w:rFonts w:hint="eastAsia" w:hAnsi="宋体" w:cs="宋体"/>
          <w:sz w:val="22"/>
          <w:szCs w:val="22"/>
          <w:lang w:val="zh-CN"/>
        </w:rPr>
        <w:t>对竞争性磋商文件提出质疑的，质疑期限为供应商获得竞争性磋商文件之日或者竞争性磋商文件公告期限届满之日起计算。</w:t>
      </w:r>
    </w:p>
    <w:p>
      <w:pPr>
        <w:autoSpaceDE w:val="0"/>
        <w:autoSpaceDN w:val="0"/>
        <w:spacing w:line="400" w:lineRule="exact"/>
        <w:jc w:val="left"/>
        <w:rPr>
          <w:rFonts w:ascii="宋体" w:hAnsi="宋体" w:cs="宋体"/>
          <w:kern w:val="0"/>
          <w:sz w:val="22"/>
          <w:lang w:val="zh-CN"/>
        </w:rPr>
      </w:pPr>
      <w:r>
        <w:rPr>
          <w:rFonts w:hint="eastAsia" w:ascii="宋体" w:hAnsi="宋体" w:cs="宋体"/>
          <w:sz w:val="22"/>
        </w:rPr>
        <w:t xml:space="preserve">   （3）</w:t>
      </w:r>
      <w:r>
        <w:rPr>
          <w:rFonts w:hint="eastAsia" w:ascii="宋体" w:hAnsi="宋体" w:cs="宋体"/>
          <w:kern w:val="0"/>
          <w:sz w:val="22"/>
          <w:lang w:val="zh-CN"/>
        </w:rPr>
        <w:t>对采购过程提出质疑的，质疑期限为各采购程序环节结束之日起计算。</w:t>
      </w:r>
    </w:p>
    <w:p>
      <w:pPr>
        <w:pStyle w:val="15"/>
        <w:spacing w:line="400" w:lineRule="exact"/>
        <w:rPr>
          <w:rFonts w:hAnsi="宋体" w:cs="宋体"/>
          <w:sz w:val="22"/>
          <w:szCs w:val="22"/>
        </w:rPr>
      </w:pPr>
      <w:r>
        <w:rPr>
          <w:rFonts w:hint="eastAsia" w:hAnsi="宋体" w:cs="宋体"/>
          <w:sz w:val="22"/>
          <w:szCs w:val="22"/>
          <w:lang w:val="zh-CN"/>
        </w:rPr>
        <w:t xml:space="preserve">   （4）对采购结果提出质疑的，质疑期限自采购结果公告（包括公示、预公告、结果变更公告等）期限届满之日起计算。</w:t>
      </w:r>
    </w:p>
    <w:p>
      <w:pPr>
        <w:pStyle w:val="15"/>
        <w:spacing w:line="400" w:lineRule="exact"/>
        <w:ind w:firstLine="495" w:firstLineChars="225"/>
        <w:rPr>
          <w:rFonts w:hAnsi="宋体" w:cs="宋体"/>
          <w:sz w:val="22"/>
          <w:szCs w:val="22"/>
        </w:rPr>
      </w:pPr>
      <w:r>
        <w:rPr>
          <w:rFonts w:hint="eastAsia" w:hAnsi="宋体" w:cs="宋体"/>
          <w:sz w:val="22"/>
          <w:szCs w:val="22"/>
        </w:rPr>
        <w:t>2.2供应商提交的质疑书需一式三份，由法定代表人签字（或盖章）并加盖单位公章。质疑书至少应包括下列主要内容：</w:t>
      </w:r>
    </w:p>
    <w:p>
      <w:pPr>
        <w:pStyle w:val="15"/>
        <w:spacing w:line="400" w:lineRule="exact"/>
        <w:ind w:firstLine="495" w:firstLineChars="225"/>
        <w:rPr>
          <w:rFonts w:hAnsi="宋体" w:cs="宋体"/>
          <w:sz w:val="22"/>
          <w:szCs w:val="22"/>
        </w:rPr>
      </w:pPr>
      <w:r>
        <w:rPr>
          <w:rFonts w:hint="eastAsia" w:hAnsi="宋体" w:cs="宋体"/>
          <w:sz w:val="22"/>
          <w:szCs w:val="22"/>
        </w:rPr>
        <w:t>（1）供应商的名称、地址、邮政编码、联系人、联系电话；</w:t>
      </w:r>
    </w:p>
    <w:p>
      <w:pPr>
        <w:pStyle w:val="15"/>
        <w:spacing w:line="400" w:lineRule="exact"/>
        <w:ind w:firstLine="495" w:firstLineChars="225"/>
        <w:rPr>
          <w:rFonts w:hAnsi="宋体" w:cs="宋体"/>
          <w:sz w:val="22"/>
          <w:szCs w:val="22"/>
        </w:rPr>
      </w:pPr>
      <w:r>
        <w:rPr>
          <w:rFonts w:hint="eastAsia" w:hAnsi="宋体" w:cs="宋体"/>
          <w:sz w:val="22"/>
          <w:szCs w:val="22"/>
        </w:rPr>
        <w:t>（2）质疑项目的名称、编号；</w:t>
      </w:r>
    </w:p>
    <w:p>
      <w:pPr>
        <w:pStyle w:val="15"/>
        <w:spacing w:line="400" w:lineRule="exact"/>
        <w:ind w:firstLine="495" w:firstLineChars="225"/>
        <w:rPr>
          <w:rFonts w:hAnsi="宋体" w:cs="宋体"/>
          <w:sz w:val="22"/>
          <w:szCs w:val="22"/>
        </w:rPr>
      </w:pPr>
      <w:r>
        <w:rPr>
          <w:rFonts w:hint="eastAsia" w:hAnsi="宋体" w:cs="宋体"/>
          <w:sz w:val="22"/>
          <w:szCs w:val="22"/>
        </w:rPr>
        <w:t>（3）具体、明确的质疑事项和与质疑事项相关的请求；</w:t>
      </w:r>
    </w:p>
    <w:p>
      <w:pPr>
        <w:pStyle w:val="15"/>
        <w:spacing w:line="400" w:lineRule="exact"/>
        <w:ind w:firstLine="495" w:firstLineChars="225"/>
        <w:rPr>
          <w:rFonts w:hAnsi="宋体" w:cs="宋体"/>
          <w:sz w:val="22"/>
          <w:szCs w:val="22"/>
        </w:rPr>
      </w:pPr>
      <w:r>
        <w:rPr>
          <w:rFonts w:hint="eastAsia" w:hAnsi="宋体" w:cs="宋体"/>
          <w:sz w:val="22"/>
          <w:szCs w:val="22"/>
        </w:rPr>
        <w:t>（4）事实依据；</w:t>
      </w:r>
    </w:p>
    <w:p>
      <w:pPr>
        <w:pStyle w:val="15"/>
        <w:spacing w:line="400" w:lineRule="exact"/>
        <w:ind w:firstLine="495" w:firstLineChars="225"/>
        <w:rPr>
          <w:rFonts w:hAnsi="宋体" w:cs="宋体"/>
          <w:sz w:val="22"/>
          <w:szCs w:val="22"/>
        </w:rPr>
      </w:pPr>
      <w:r>
        <w:rPr>
          <w:rFonts w:hint="eastAsia" w:hAnsi="宋体" w:cs="宋体"/>
          <w:sz w:val="22"/>
          <w:szCs w:val="22"/>
        </w:rPr>
        <w:t>（5）必要的法律依据；</w:t>
      </w:r>
    </w:p>
    <w:p>
      <w:pPr>
        <w:pStyle w:val="15"/>
        <w:spacing w:line="400" w:lineRule="exact"/>
        <w:ind w:firstLine="495" w:firstLineChars="225"/>
        <w:rPr>
          <w:rFonts w:hAnsi="宋体" w:cs="宋体"/>
          <w:sz w:val="22"/>
          <w:szCs w:val="22"/>
        </w:rPr>
      </w:pPr>
      <w:r>
        <w:rPr>
          <w:rFonts w:hint="eastAsia" w:hAnsi="宋体" w:cs="宋体"/>
          <w:sz w:val="22"/>
          <w:szCs w:val="22"/>
        </w:rPr>
        <w:t>（6）提出质疑的日期。</w:t>
      </w:r>
    </w:p>
    <w:p>
      <w:pPr>
        <w:pStyle w:val="15"/>
        <w:spacing w:line="400" w:lineRule="exact"/>
        <w:ind w:firstLine="495" w:firstLineChars="225"/>
        <w:rPr>
          <w:rFonts w:hAnsi="宋体" w:cs="宋体"/>
          <w:sz w:val="22"/>
          <w:szCs w:val="22"/>
        </w:rPr>
      </w:pPr>
      <w:r>
        <w:rPr>
          <w:rFonts w:hint="eastAsia" w:hAnsi="宋体" w:cs="宋体"/>
          <w:sz w:val="22"/>
          <w:szCs w:val="22"/>
        </w:rPr>
        <w:t>供应商为自然人的，应当由本人签字；供应商为法人或其他组织的，应当由法定代表人、主要负责人，或者其授权代表签字或者盖章，并加盖公章。</w:t>
      </w:r>
    </w:p>
    <w:p>
      <w:pPr>
        <w:pStyle w:val="15"/>
        <w:spacing w:line="400" w:lineRule="exact"/>
        <w:ind w:firstLine="495" w:firstLineChars="225"/>
        <w:rPr>
          <w:rFonts w:hAnsi="宋体" w:cs="宋体"/>
          <w:sz w:val="22"/>
          <w:szCs w:val="22"/>
        </w:rPr>
      </w:pPr>
      <w:r>
        <w:rPr>
          <w:rFonts w:hint="eastAsia" w:hAnsi="宋体" w:cs="宋体"/>
          <w:sz w:val="22"/>
          <w:szCs w:val="22"/>
        </w:rPr>
        <w:t>2.3采购单位、采购代理机构应当在收到供应商的书面质疑后七个工作日内作出答复，并以书面形式通知质疑供应商和其他有关供应商，但答复的内容不得涉及商业秘密。</w:t>
      </w:r>
    </w:p>
    <w:p>
      <w:pPr>
        <w:pStyle w:val="65"/>
        <w:spacing w:before="0" w:line="400" w:lineRule="exact"/>
        <w:ind w:firstLine="0" w:firstLineChars="0"/>
        <w:rPr>
          <w:rFonts w:ascii="宋体" w:hAnsi="宋体" w:cs="宋体"/>
          <w:b/>
          <w:sz w:val="22"/>
          <w:szCs w:val="22"/>
        </w:rPr>
      </w:pPr>
      <w:r>
        <w:rPr>
          <w:rFonts w:hint="eastAsia" w:ascii="宋体" w:hAnsi="宋体" w:cs="宋体"/>
          <w:b/>
          <w:sz w:val="22"/>
          <w:szCs w:val="22"/>
        </w:rPr>
        <w:t>3、供应商投诉</w:t>
      </w:r>
    </w:p>
    <w:p>
      <w:pPr>
        <w:pStyle w:val="15"/>
        <w:spacing w:line="400" w:lineRule="exact"/>
        <w:ind w:firstLine="495" w:firstLineChars="225"/>
        <w:rPr>
          <w:rFonts w:hAnsi="宋体" w:cs="宋体"/>
          <w:sz w:val="22"/>
          <w:szCs w:val="22"/>
        </w:rPr>
      </w:pPr>
      <w:r>
        <w:rPr>
          <w:rFonts w:hint="eastAsia" w:hAnsi="宋体" w:cs="宋体"/>
          <w:sz w:val="22"/>
          <w:szCs w:val="22"/>
        </w:rPr>
        <w:t>3.1供应商投诉应当提交投诉书和必要的证明材料。供应商投诉的事项不得超出已质疑事项的范围（基于质疑答复内容提出的投诉事项除外）。</w:t>
      </w:r>
    </w:p>
    <w:p>
      <w:pPr>
        <w:pStyle w:val="15"/>
        <w:spacing w:line="400" w:lineRule="exact"/>
        <w:ind w:firstLine="495" w:firstLineChars="225"/>
        <w:rPr>
          <w:rFonts w:hAnsi="宋体" w:cs="宋体"/>
          <w:sz w:val="22"/>
          <w:szCs w:val="22"/>
        </w:rPr>
      </w:pPr>
      <w:r>
        <w:rPr>
          <w:rFonts w:hint="eastAsia" w:hAnsi="宋体" w:cs="宋体"/>
          <w:sz w:val="22"/>
          <w:szCs w:val="22"/>
        </w:rPr>
        <w:t>3.2质疑供应商对采购单位、采购代理机构的答复不满意或者采购单位、采购代理机构未在规定的时间内作出答复的，可以在答复期满后十五个工作日内向同级财政部门提出投诉。</w:t>
      </w:r>
    </w:p>
    <w:p>
      <w:pPr>
        <w:pStyle w:val="26"/>
        <w:ind w:firstLine="400"/>
      </w:pPr>
    </w:p>
    <w:p>
      <w:pPr>
        <w:pStyle w:val="26"/>
        <w:ind w:firstLine="400"/>
      </w:pPr>
      <w:r>
        <w:rPr>
          <w:rFonts w:hint="eastAsia"/>
        </w:rPr>
        <w:t>质疑函范本：   投诉书范本：</w:t>
      </w:r>
    </w:p>
    <w:p>
      <w:pPr>
        <w:pStyle w:val="26"/>
        <w:ind w:firstLine="400"/>
      </w:pPr>
      <w: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a:stretch>
                      <a:fillRect/>
                    </a:stretch>
                  </pic:blipFill>
                  <pic:spPr>
                    <a:xfrm>
                      <a:off x="0" y="0"/>
                      <a:ext cx="922020" cy="826770"/>
                    </a:xfrm>
                    <a:prstGeom prst="rect">
                      <a:avLst/>
                    </a:prstGeom>
                    <a:noFill/>
                    <a:ln>
                      <a:noFill/>
                    </a:ln>
                  </pic:spPr>
                </pic:pic>
              </a:graphicData>
            </a:graphic>
          </wp:inline>
        </w:drawing>
      </w:r>
      <w:r>
        <w:rPr>
          <w:rFonts w:hint="eastAsia"/>
        </w:rPr>
        <w:object>
          <v:shape id="_x0000_i1025" o:spt="75" type="#_x0000_t75" style="height:65.25pt;width:72.75pt;" o:ole="t" filled="f" o:preferrelative="t" stroked="f" coordsize="21600,21600">
            <v:path/>
            <v:fill on="f" focussize="0,0"/>
            <v:stroke on="f" joinstyle="miter"/>
            <v:imagedata r:id="rId21" o:title=""/>
            <o:lock v:ext="edit" aspectratio="t"/>
            <w10:wrap type="none"/>
            <w10:anchorlock/>
          </v:shape>
          <o:OLEObject Type="Embed" ProgID="Word.Document.8" ShapeID="_x0000_i1025" DrawAspect="Icon" ObjectID="_1468075725" r:id="rId20">
            <o:LockedField>false</o:LockedField>
          </o:OLEObject>
        </w:object>
      </w:r>
    </w:p>
    <w:p>
      <w:pPr>
        <w:pStyle w:val="26"/>
        <w:ind w:firstLine="723"/>
        <w:rPr>
          <w:rFonts w:ascii="宋体"/>
          <w:b/>
          <w:bCs/>
          <w:sz w:val="36"/>
          <w:szCs w:val="36"/>
          <w:lang w:val="zh-CN"/>
        </w:rPr>
      </w:pPr>
    </w:p>
    <w:p>
      <w:pPr>
        <w:pStyle w:val="26"/>
        <w:ind w:firstLine="723"/>
        <w:rPr>
          <w:rFonts w:ascii="宋体"/>
          <w:b/>
          <w:bCs/>
          <w:sz w:val="36"/>
          <w:szCs w:val="36"/>
          <w:lang w:val="zh-CN"/>
        </w:rPr>
      </w:pPr>
    </w:p>
    <w:p>
      <w:pPr>
        <w:pStyle w:val="58"/>
        <w:snapToGrid w:val="0"/>
        <w:spacing w:line="360" w:lineRule="auto"/>
        <w:ind w:firstLine="0" w:firstLineChars="0"/>
        <w:rPr>
          <w:rFonts w:cs="宋体"/>
          <w:b/>
          <w:bCs/>
          <w:sz w:val="22"/>
        </w:rPr>
      </w:pPr>
      <w:bookmarkStart w:id="40" w:name="_Toc246261268"/>
      <w:bookmarkStart w:id="41" w:name="_Toc221374629"/>
      <w:bookmarkStart w:id="42" w:name="_Toc249758867"/>
      <w:bookmarkStart w:id="43" w:name="_Toc245722284"/>
      <w:bookmarkStart w:id="44" w:name="_Toc239145357"/>
      <w:bookmarkStart w:id="45" w:name="_Toc262049421"/>
      <w:bookmarkStart w:id="46" w:name="_Toc241404205"/>
      <w:bookmarkStart w:id="47" w:name="_Toc221356890"/>
      <w:bookmarkStart w:id="48" w:name="_Toc221356954"/>
      <w:bookmarkStart w:id="49" w:name="_Toc434501364"/>
      <w:bookmarkStart w:id="50" w:name="_Toc249758715"/>
      <w:bookmarkStart w:id="51" w:name="_Toc245191317"/>
      <w:bookmarkStart w:id="52" w:name="_Toc223716001"/>
      <w:bookmarkStart w:id="53" w:name="_Toc262105506"/>
      <w:bookmarkStart w:id="54" w:name="_Toc222114882"/>
      <w:bookmarkStart w:id="55" w:name="_Toc221423622"/>
      <w:r>
        <w:rPr>
          <w:rFonts w:hint="eastAsia" w:cs="宋体"/>
          <w:b/>
          <w:bCs/>
          <w:sz w:val="22"/>
        </w:rPr>
        <w:t>八、信贷政策</w:t>
      </w:r>
    </w:p>
    <w:p>
      <w:pPr>
        <w:keepNext/>
        <w:spacing w:line="360" w:lineRule="auto"/>
        <w:jc w:val="left"/>
        <w:outlineLvl w:val="0"/>
        <w:rPr>
          <w:rFonts w:ascii="宋体" w:hAnsi="宋体" w:eastAsia="宋体" w:cs="微软雅黑"/>
          <w:sz w:val="22"/>
          <w:szCs w:val="22"/>
        </w:rPr>
      </w:pPr>
      <w:r>
        <w:rPr>
          <w:rFonts w:hint="eastAsia" w:ascii="宋体" w:hAnsi="宋体" w:eastAsia="宋体" w:cs="微软雅黑"/>
          <w:sz w:val="22"/>
          <w:szCs w:val="22"/>
        </w:rPr>
        <w:t>1、温州市财政局关于温州市政府采购支持中小企业信用融资的通知（温财采〔2020〕3号）</w:t>
      </w:r>
    </w:p>
    <w:p>
      <w:pPr>
        <w:keepNext/>
        <w:spacing w:line="360" w:lineRule="auto"/>
        <w:jc w:val="left"/>
        <w:outlineLvl w:val="0"/>
        <w:rPr>
          <w:rFonts w:ascii="宋体" w:hAnsi="宋体" w:eastAsia="宋体" w:cs="微软雅黑"/>
          <w:sz w:val="22"/>
          <w:szCs w:val="22"/>
        </w:rPr>
      </w:pPr>
      <w:r>
        <w:rPr>
          <w:rFonts w:hint="eastAsia" w:ascii="宋体" w:hAnsi="宋体" w:eastAsia="宋体" w:cs="微软雅黑"/>
          <w:sz w:val="22"/>
          <w:szCs w:val="22"/>
        </w:rPr>
        <w:t>2、融资合作银行名单及意向银行选择表：</w:t>
      </w:r>
    </w:p>
    <w:tbl>
      <w:tblPr>
        <w:tblStyle w:val="27"/>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pPr>
              <w:jc w:val="center"/>
              <w:rPr>
                <w:rFonts w:ascii="宋体" w:hAnsi="宋体" w:eastAsia="宋体"/>
                <w:bCs/>
                <w:sz w:val="22"/>
                <w:szCs w:val="22"/>
              </w:rPr>
            </w:pPr>
            <w:r>
              <w:rPr>
                <w:rFonts w:hint="eastAsia" w:ascii="宋体" w:hAnsi="宋体" w:eastAsia="宋体"/>
                <w:bCs/>
                <w:sz w:val="22"/>
                <w:szCs w:val="2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484" w:type="dxa"/>
            <w:vAlign w:val="center"/>
          </w:tcPr>
          <w:p>
            <w:pPr>
              <w:jc w:val="center"/>
              <w:rPr>
                <w:rFonts w:ascii="宋体" w:hAnsi="宋体" w:eastAsia="宋体" w:cs="宋体"/>
                <w:bCs/>
                <w:sz w:val="22"/>
                <w:szCs w:val="22"/>
              </w:rPr>
            </w:pPr>
            <w:r>
              <w:rPr>
                <w:rFonts w:hint="eastAsia" w:ascii="宋体" w:hAnsi="宋体" w:eastAsia="宋体" w:cs="宋体"/>
                <w:bCs/>
                <w:sz w:val="22"/>
                <w:szCs w:val="22"/>
              </w:rPr>
              <w:t>银行名称</w:t>
            </w:r>
          </w:p>
        </w:tc>
        <w:tc>
          <w:tcPr>
            <w:tcW w:w="4712" w:type="dxa"/>
            <w:vAlign w:val="center"/>
          </w:tcPr>
          <w:p>
            <w:pPr>
              <w:jc w:val="center"/>
              <w:rPr>
                <w:rFonts w:ascii="宋体" w:hAnsi="宋体" w:eastAsia="宋体" w:cs="宋体"/>
                <w:bCs/>
                <w:sz w:val="22"/>
                <w:szCs w:val="22"/>
              </w:rPr>
            </w:pPr>
            <w:r>
              <w:rPr>
                <w:rFonts w:hint="eastAsia" w:ascii="宋体" w:hAnsi="宋体" w:eastAsia="宋体" w:cs="宋体"/>
                <w:bCs/>
                <w:sz w:val="22"/>
                <w:szCs w:val="22"/>
              </w:rPr>
              <w:t>产品特点（不超过120字）</w:t>
            </w:r>
          </w:p>
        </w:tc>
        <w:tc>
          <w:tcPr>
            <w:tcW w:w="1019" w:type="dxa"/>
            <w:vAlign w:val="center"/>
          </w:tcPr>
          <w:p>
            <w:pPr>
              <w:jc w:val="center"/>
              <w:rPr>
                <w:rFonts w:ascii="宋体" w:hAnsi="宋体" w:eastAsia="宋体" w:cs="宋体"/>
                <w:bCs/>
                <w:sz w:val="22"/>
                <w:szCs w:val="22"/>
              </w:rPr>
            </w:pPr>
            <w:r>
              <w:rPr>
                <w:rFonts w:hint="eastAsia" w:ascii="宋体" w:hAnsi="宋体" w:eastAsia="宋体" w:cs="宋体"/>
                <w:bCs/>
                <w:sz w:val="22"/>
                <w:szCs w:val="22"/>
              </w:rPr>
              <w:t>经办人</w:t>
            </w:r>
          </w:p>
        </w:tc>
        <w:tc>
          <w:tcPr>
            <w:tcW w:w="1725" w:type="dxa"/>
            <w:vAlign w:val="center"/>
          </w:tcPr>
          <w:p>
            <w:pPr>
              <w:jc w:val="center"/>
              <w:rPr>
                <w:rFonts w:ascii="宋体" w:hAnsi="宋体" w:eastAsia="宋体" w:cs="宋体"/>
                <w:bCs/>
                <w:sz w:val="22"/>
                <w:szCs w:val="22"/>
              </w:rPr>
            </w:pPr>
            <w:r>
              <w:rPr>
                <w:rFonts w:hint="eastAsia" w:ascii="宋体" w:hAnsi="宋体" w:eastAsia="宋体" w:cs="宋体"/>
                <w:bCs/>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4"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中国工商银行股份有限公司温州分行</w:t>
            </w:r>
          </w:p>
        </w:tc>
        <w:tc>
          <w:tcPr>
            <w:tcW w:w="4712" w:type="dxa"/>
          </w:tcPr>
          <w:p>
            <w:pPr>
              <w:rPr>
                <w:rFonts w:ascii="宋体" w:hAnsi="宋体" w:eastAsia="宋体"/>
                <w:bCs/>
                <w:sz w:val="22"/>
                <w:szCs w:val="22"/>
              </w:rPr>
            </w:pPr>
            <w:r>
              <w:rPr>
                <w:rFonts w:hint="eastAsia" w:ascii="宋体" w:hAnsi="宋体" w:eastAsia="宋体"/>
                <w:bCs/>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王经理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pPr>
              <w:rPr>
                <w:rFonts w:ascii="宋体" w:hAnsi="宋体" w:eastAsia="宋体"/>
                <w:bCs/>
                <w:sz w:val="22"/>
                <w:szCs w:val="22"/>
              </w:rPr>
            </w:pPr>
            <w:r>
              <w:rPr>
                <w:rFonts w:hint="eastAsia" w:ascii="宋体" w:hAnsi="宋体" w:eastAsia="宋体" w:cs="宋体"/>
                <w:bCs/>
                <w:sz w:val="22"/>
                <w:szCs w:val="22"/>
              </w:rPr>
              <w:t>中国建设银行股份有限公司温州分行</w:t>
            </w:r>
          </w:p>
        </w:tc>
        <w:tc>
          <w:tcPr>
            <w:tcW w:w="4712" w:type="dxa"/>
          </w:tcPr>
          <w:p>
            <w:pPr>
              <w:rPr>
                <w:rFonts w:ascii="宋体" w:hAnsi="宋体" w:eastAsia="宋体"/>
                <w:bCs/>
                <w:sz w:val="22"/>
                <w:szCs w:val="22"/>
              </w:rPr>
            </w:pPr>
            <w:r>
              <w:rPr>
                <w:rFonts w:hint="eastAsia" w:ascii="宋体" w:hAnsi="宋体" w:eastAsia="宋体"/>
                <w:bCs/>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pPr>
              <w:rPr>
                <w:rFonts w:ascii="宋体" w:hAnsi="宋体" w:eastAsia="宋体" w:cs="宋体"/>
                <w:bCs/>
                <w:sz w:val="22"/>
                <w:szCs w:val="22"/>
              </w:rPr>
            </w:pPr>
            <w:r>
              <w:rPr>
                <w:rFonts w:hint="eastAsia" w:ascii="宋体" w:hAnsi="宋体" w:eastAsia="宋体" w:cs="宋体"/>
                <w:bCs/>
                <w:sz w:val="22"/>
                <w:szCs w:val="22"/>
              </w:rPr>
              <w:t>张经理</w:t>
            </w:r>
          </w:p>
        </w:tc>
        <w:tc>
          <w:tcPr>
            <w:tcW w:w="1725" w:type="dxa"/>
            <w:vAlign w:val="center"/>
          </w:tcPr>
          <w:p>
            <w:pPr>
              <w:rPr>
                <w:rFonts w:ascii="宋体" w:hAnsi="宋体" w:eastAsia="宋体" w:cs="宋体"/>
                <w:bCs/>
                <w:sz w:val="22"/>
                <w:szCs w:val="22"/>
              </w:rPr>
            </w:pPr>
            <w:r>
              <w:rPr>
                <w:rFonts w:hint="eastAsia" w:ascii="宋体" w:hAnsi="宋体" w:eastAsia="宋体" w:cs="宋体"/>
                <w:bCs/>
                <w:sz w:val="22"/>
                <w:szCs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中国邮政储蓄银行股份有限公司温州市分行</w:t>
            </w:r>
          </w:p>
        </w:tc>
        <w:tc>
          <w:tcPr>
            <w:tcW w:w="4712" w:type="dxa"/>
            <w:vAlign w:val="center"/>
          </w:tcPr>
          <w:p>
            <w:pPr>
              <w:rPr>
                <w:rFonts w:ascii="宋体" w:hAnsi="宋体" w:eastAsia="宋体"/>
                <w:bCs/>
                <w:sz w:val="22"/>
                <w:szCs w:val="22"/>
              </w:rPr>
            </w:pPr>
            <w:r>
              <w:rPr>
                <w:rFonts w:hint="eastAsia" w:ascii="宋体" w:hAnsi="宋体" w:eastAsia="宋体"/>
                <w:bCs/>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pPr>
              <w:rPr>
                <w:rFonts w:ascii="宋体" w:hAnsi="宋体" w:eastAsia="宋体"/>
                <w:bCs/>
                <w:sz w:val="22"/>
                <w:szCs w:val="22"/>
              </w:rPr>
            </w:pPr>
            <w:r>
              <w:rPr>
                <w:rFonts w:hint="eastAsia" w:ascii="宋体" w:hAnsi="宋体" w:eastAsia="宋体"/>
                <w:bCs/>
                <w:sz w:val="22"/>
                <w:szCs w:val="22"/>
              </w:rPr>
              <w:t>郑经理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中国民生银行股份有限公司温州分行</w:t>
            </w:r>
          </w:p>
        </w:tc>
        <w:tc>
          <w:tcPr>
            <w:tcW w:w="4712" w:type="dxa"/>
          </w:tcPr>
          <w:p>
            <w:pPr>
              <w:jc w:val="left"/>
              <w:rPr>
                <w:rFonts w:ascii="宋体" w:hAnsi="宋体" w:eastAsia="宋体"/>
                <w:bCs/>
                <w:sz w:val="22"/>
                <w:szCs w:val="22"/>
              </w:rPr>
            </w:pPr>
            <w:r>
              <w:rPr>
                <w:rFonts w:hint="eastAsia" w:ascii="宋体" w:hAnsi="宋体" w:eastAsia="宋体" w:cs="宋体"/>
                <w:bCs/>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pPr>
              <w:rPr>
                <w:rFonts w:ascii="宋体" w:hAnsi="宋体" w:eastAsia="宋体"/>
                <w:bCs/>
                <w:sz w:val="22"/>
                <w:szCs w:val="22"/>
              </w:rPr>
            </w:pPr>
            <w:r>
              <w:rPr>
                <w:rFonts w:hint="eastAsia" w:ascii="宋体" w:hAnsi="宋体" w:eastAsia="宋体"/>
                <w:bCs/>
                <w:sz w:val="22"/>
                <w:szCs w:val="22"/>
              </w:rPr>
              <w:t>项经理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宁波银行股份有限公司温州分行</w:t>
            </w:r>
          </w:p>
        </w:tc>
        <w:tc>
          <w:tcPr>
            <w:tcW w:w="4712" w:type="dxa"/>
          </w:tcPr>
          <w:p>
            <w:pPr>
              <w:rPr>
                <w:rFonts w:ascii="宋体" w:hAnsi="宋体" w:eastAsia="宋体"/>
                <w:bCs/>
                <w:sz w:val="22"/>
                <w:szCs w:val="22"/>
              </w:rPr>
            </w:pPr>
            <w:r>
              <w:rPr>
                <w:rFonts w:ascii="宋体" w:hAnsi="宋体" w:eastAsia="宋体" w:cs="宋体"/>
                <w:bCs/>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eastAsia="宋体" w:cs="宋体"/>
                <w:bCs/>
                <w:sz w:val="22"/>
                <w:szCs w:val="22"/>
              </w:rPr>
              <w:t>，最大金额不超过</w:t>
            </w:r>
            <w:r>
              <w:rPr>
                <w:rFonts w:ascii="宋体" w:hAnsi="宋体" w:eastAsia="宋体" w:cs="宋体"/>
                <w:bCs/>
                <w:sz w:val="22"/>
                <w:szCs w:val="22"/>
              </w:rPr>
              <w:t>2000</w:t>
            </w:r>
            <w:r>
              <w:rPr>
                <w:rFonts w:hint="eastAsia" w:ascii="宋体" w:hAnsi="宋体" w:eastAsia="宋体" w:cs="宋体"/>
                <w:bCs/>
                <w:sz w:val="22"/>
                <w:szCs w:val="22"/>
              </w:rPr>
              <w:t>万元。</w:t>
            </w:r>
          </w:p>
        </w:tc>
        <w:tc>
          <w:tcPr>
            <w:tcW w:w="1019" w:type="dxa"/>
            <w:vAlign w:val="center"/>
          </w:tcPr>
          <w:p>
            <w:pPr>
              <w:rPr>
                <w:rFonts w:ascii="宋体" w:hAnsi="宋体" w:eastAsia="宋体"/>
                <w:bCs/>
                <w:sz w:val="22"/>
                <w:szCs w:val="22"/>
              </w:rPr>
            </w:pPr>
            <w:r>
              <w:rPr>
                <w:rFonts w:hint="eastAsia" w:ascii="宋体" w:hAnsi="宋体" w:eastAsia="宋体"/>
                <w:bCs/>
                <w:sz w:val="22"/>
                <w:szCs w:val="22"/>
              </w:rPr>
              <w:t>陈经理</w:t>
            </w:r>
          </w:p>
        </w:tc>
        <w:tc>
          <w:tcPr>
            <w:tcW w:w="1725" w:type="dxa"/>
            <w:vAlign w:val="center"/>
          </w:tcPr>
          <w:p>
            <w:pPr>
              <w:rPr>
                <w:rFonts w:ascii="宋体" w:hAnsi="宋体" w:eastAsia="宋体"/>
                <w:bCs/>
                <w:sz w:val="22"/>
                <w:szCs w:val="22"/>
              </w:rPr>
            </w:pPr>
            <w:r>
              <w:rPr>
                <w:rFonts w:ascii="宋体" w:hAnsi="宋体" w:eastAsia="宋体"/>
                <w:bCs/>
                <w:sz w:val="22"/>
                <w:szCs w:val="22"/>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杭州银行股份有限公司温州分行</w:t>
            </w:r>
          </w:p>
        </w:tc>
        <w:tc>
          <w:tcPr>
            <w:tcW w:w="4712" w:type="dxa"/>
          </w:tcPr>
          <w:p>
            <w:pPr>
              <w:rPr>
                <w:rFonts w:ascii="宋体" w:hAnsi="宋体" w:eastAsia="宋体"/>
                <w:bCs/>
                <w:sz w:val="22"/>
                <w:szCs w:val="22"/>
              </w:rPr>
            </w:pPr>
            <w:r>
              <w:rPr>
                <w:rFonts w:ascii="宋体" w:hAnsi="宋体" w:eastAsia="宋体"/>
                <w:bCs/>
                <w:sz w:val="22"/>
                <w:szCs w:val="22"/>
              </w:rPr>
              <w:t>门槛低：</w:t>
            </w:r>
            <w:r>
              <w:rPr>
                <w:rFonts w:hint="eastAsia" w:ascii="宋体" w:hAnsi="宋体" w:eastAsia="宋体"/>
                <w:bCs/>
                <w:sz w:val="22"/>
                <w:szCs w:val="22"/>
              </w:rPr>
              <w:t>纯</w:t>
            </w:r>
            <w:r>
              <w:rPr>
                <w:rFonts w:ascii="宋体" w:hAnsi="宋体" w:eastAsia="宋体"/>
                <w:bCs/>
                <w:sz w:val="22"/>
                <w:szCs w:val="22"/>
              </w:rPr>
              <w:t>信用，</w:t>
            </w:r>
            <w:r>
              <w:rPr>
                <w:rFonts w:hint="eastAsia" w:ascii="宋体" w:hAnsi="宋体" w:eastAsia="宋体"/>
                <w:bCs/>
                <w:sz w:val="22"/>
                <w:szCs w:val="22"/>
              </w:rPr>
              <w:t>平台</w:t>
            </w:r>
            <w:r>
              <w:rPr>
                <w:rFonts w:ascii="宋体" w:hAnsi="宋体" w:eastAsia="宋体"/>
                <w:bCs/>
                <w:sz w:val="22"/>
                <w:szCs w:val="22"/>
              </w:rPr>
              <w:t>注册入库并取得采购合同即可申请</w:t>
            </w:r>
          </w:p>
          <w:p>
            <w:pPr>
              <w:rPr>
                <w:rFonts w:ascii="宋体" w:hAnsi="宋体" w:eastAsia="宋体"/>
                <w:bCs/>
                <w:sz w:val="22"/>
                <w:szCs w:val="22"/>
              </w:rPr>
            </w:pPr>
            <w:r>
              <w:rPr>
                <w:rFonts w:hint="eastAsia" w:ascii="宋体" w:hAnsi="宋体" w:eastAsia="宋体"/>
                <w:bCs/>
                <w:sz w:val="22"/>
                <w:szCs w:val="22"/>
              </w:rPr>
              <w:t>手续简</w:t>
            </w:r>
            <w:r>
              <w:rPr>
                <w:rFonts w:ascii="宋体" w:hAnsi="宋体" w:eastAsia="宋体"/>
                <w:bCs/>
                <w:sz w:val="22"/>
                <w:szCs w:val="22"/>
              </w:rPr>
              <w:t>：</w:t>
            </w:r>
            <w:r>
              <w:rPr>
                <w:rFonts w:hint="eastAsia" w:ascii="宋体" w:hAnsi="宋体" w:eastAsia="宋体"/>
                <w:bCs/>
                <w:sz w:val="22"/>
                <w:szCs w:val="22"/>
              </w:rPr>
              <w:t>线上申请</w:t>
            </w:r>
            <w:r>
              <w:rPr>
                <w:rFonts w:ascii="宋体" w:hAnsi="宋体" w:eastAsia="宋体"/>
                <w:bCs/>
                <w:sz w:val="22"/>
                <w:szCs w:val="22"/>
              </w:rPr>
              <w:t>+</w:t>
            </w:r>
            <w:r>
              <w:rPr>
                <w:rFonts w:hint="eastAsia" w:ascii="宋体" w:hAnsi="宋体" w:eastAsia="宋体"/>
                <w:bCs/>
                <w:sz w:val="22"/>
                <w:szCs w:val="22"/>
              </w:rPr>
              <w:t>线上</w:t>
            </w:r>
            <w:r>
              <w:rPr>
                <w:rFonts w:ascii="宋体" w:hAnsi="宋体" w:eastAsia="宋体"/>
                <w:bCs/>
                <w:sz w:val="22"/>
                <w:szCs w:val="22"/>
              </w:rPr>
              <w:t>签约，</w:t>
            </w:r>
            <w:r>
              <w:rPr>
                <w:rFonts w:hint="eastAsia" w:ascii="宋体" w:hAnsi="宋体" w:eastAsia="宋体"/>
                <w:bCs/>
                <w:sz w:val="22"/>
                <w:szCs w:val="22"/>
              </w:rPr>
              <w:t>足不</w:t>
            </w:r>
            <w:r>
              <w:rPr>
                <w:rFonts w:ascii="宋体" w:hAnsi="宋体" w:eastAsia="宋体"/>
                <w:bCs/>
                <w:sz w:val="22"/>
                <w:szCs w:val="22"/>
              </w:rPr>
              <w:t>出</w:t>
            </w:r>
            <w:r>
              <w:rPr>
                <w:rFonts w:hint="eastAsia" w:ascii="宋体" w:hAnsi="宋体" w:eastAsia="宋体"/>
                <w:bCs/>
                <w:sz w:val="22"/>
                <w:szCs w:val="22"/>
              </w:rPr>
              <w:t>户</w:t>
            </w:r>
          </w:p>
          <w:p>
            <w:pPr>
              <w:rPr>
                <w:rFonts w:ascii="宋体" w:hAnsi="宋体" w:eastAsia="宋体"/>
                <w:bCs/>
                <w:sz w:val="22"/>
                <w:szCs w:val="22"/>
              </w:rPr>
            </w:pPr>
            <w:r>
              <w:rPr>
                <w:rFonts w:hint="eastAsia" w:ascii="宋体" w:hAnsi="宋体" w:eastAsia="宋体"/>
                <w:bCs/>
                <w:sz w:val="22"/>
                <w:szCs w:val="22"/>
              </w:rPr>
              <w:t>利率</w:t>
            </w:r>
            <w:r>
              <w:rPr>
                <w:rFonts w:ascii="宋体" w:hAnsi="宋体" w:eastAsia="宋体"/>
                <w:bCs/>
                <w:sz w:val="22"/>
                <w:szCs w:val="22"/>
              </w:rPr>
              <w:t>优：</w:t>
            </w:r>
            <w:r>
              <w:rPr>
                <w:rFonts w:hint="eastAsia" w:ascii="宋体" w:hAnsi="宋体" w:eastAsia="宋体"/>
                <w:bCs/>
                <w:sz w:val="22"/>
                <w:szCs w:val="22"/>
              </w:rPr>
              <w:t>按</w:t>
            </w:r>
            <w:r>
              <w:rPr>
                <w:rFonts w:ascii="宋体" w:hAnsi="宋体" w:eastAsia="宋体"/>
                <w:bCs/>
                <w:sz w:val="22"/>
                <w:szCs w:val="22"/>
              </w:rPr>
              <w:t>优于一般中小企业</w:t>
            </w:r>
            <w:r>
              <w:rPr>
                <w:rFonts w:hint="eastAsia" w:ascii="宋体" w:hAnsi="宋体" w:eastAsia="宋体"/>
                <w:bCs/>
                <w:sz w:val="22"/>
                <w:szCs w:val="22"/>
              </w:rPr>
              <w:t>贷款</w:t>
            </w:r>
            <w:r>
              <w:rPr>
                <w:rFonts w:ascii="宋体" w:hAnsi="宋体" w:eastAsia="宋体"/>
                <w:bCs/>
                <w:sz w:val="22"/>
                <w:szCs w:val="22"/>
              </w:rPr>
              <w:t>利率执行</w:t>
            </w:r>
          </w:p>
          <w:p>
            <w:pPr>
              <w:rPr>
                <w:rFonts w:ascii="宋体" w:hAnsi="宋体" w:eastAsia="宋体"/>
                <w:bCs/>
                <w:sz w:val="22"/>
                <w:szCs w:val="22"/>
              </w:rPr>
            </w:pPr>
            <w:r>
              <w:rPr>
                <w:rFonts w:hint="eastAsia" w:ascii="宋体" w:hAnsi="宋体" w:eastAsia="宋体"/>
                <w:bCs/>
                <w:sz w:val="22"/>
                <w:szCs w:val="22"/>
              </w:rPr>
              <w:t>额度高</w:t>
            </w:r>
            <w:r>
              <w:rPr>
                <w:rFonts w:ascii="宋体" w:hAnsi="宋体" w:eastAsia="宋体"/>
                <w:bCs/>
                <w:sz w:val="22"/>
                <w:szCs w:val="22"/>
              </w:rPr>
              <w:t>：</w:t>
            </w:r>
            <w:r>
              <w:rPr>
                <w:rFonts w:hint="eastAsia" w:ascii="宋体" w:hAnsi="宋体" w:eastAsia="宋体"/>
                <w:bCs/>
                <w:sz w:val="22"/>
                <w:szCs w:val="22"/>
              </w:rPr>
              <w:t>最高为</w:t>
            </w:r>
            <w:r>
              <w:rPr>
                <w:rFonts w:ascii="宋体" w:hAnsi="宋体" w:eastAsia="宋体"/>
                <w:bCs/>
                <w:sz w:val="22"/>
                <w:szCs w:val="22"/>
              </w:rPr>
              <w:t>合同金额的80%</w:t>
            </w:r>
          </w:p>
        </w:tc>
        <w:tc>
          <w:tcPr>
            <w:tcW w:w="1019" w:type="dxa"/>
            <w:vAlign w:val="center"/>
          </w:tcPr>
          <w:p>
            <w:pPr>
              <w:rPr>
                <w:rFonts w:ascii="宋体" w:hAnsi="宋体" w:eastAsia="宋体"/>
                <w:bCs/>
                <w:sz w:val="22"/>
                <w:szCs w:val="22"/>
              </w:rPr>
            </w:pPr>
            <w:r>
              <w:rPr>
                <w:rFonts w:ascii="宋体" w:hAnsi="宋体" w:eastAsia="宋体"/>
                <w:bCs/>
                <w:sz w:val="22"/>
                <w:szCs w:val="22"/>
              </w:rPr>
              <w:t>叶</w:t>
            </w:r>
            <w:r>
              <w:rPr>
                <w:rFonts w:hint="eastAsia" w:ascii="宋体" w:hAnsi="宋体" w:eastAsia="宋体"/>
                <w:bCs/>
                <w:sz w:val="22"/>
                <w:szCs w:val="22"/>
              </w:rPr>
              <w:t>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0577-</w:t>
            </w:r>
            <w:r>
              <w:rPr>
                <w:rFonts w:ascii="宋体" w:hAnsi="宋体" w:eastAsia="宋体"/>
                <w:bCs/>
                <w:sz w:val="22"/>
                <w:szCs w:val="22"/>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招商银行股份有限公司温州分行</w:t>
            </w:r>
          </w:p>
        </w:tc>
        <w:tc>
          <w:tcPr>
            <w:tcW w:w="4712" w:type="dxa"/>
          </w:tcPr>
          <w:p>
            <w:pPr>
              <w:rPr>
                <w:rFonts w:ascii="宋体" w:hAnsi="宋体" w:eastAsia="宋体"/>
                <w:bCs/>
                <w:sz w:val="22"/>
                <w:szCs w:val="22"/>
              </w:rPr>
            </w:pPr>
            <w:r>
              <w:rPr>
                <w:rFonts w:hint="eastAsia" w:ascii="宋体" w:hAnsi="宋体" w:eastAsia="宋体"/>
                <w:bCs/>
                <w:sz w:val="22"/>
                <w:szCs w:val="22"/>
              </w:rPr>
              <w:t>政采贷是招商银行针对政府采购招投标中标供应商，以政府采购合同项下未来应收账款为第一还款来源的融资业务，无需抵质押物。额度最高可达2</w:t>
            </w:r>
            <w:r>
              <w:rPr>
                <w:rFonts w:ascii="宋体" w:hAnsi="宋体" w:eastAsia="宋体"/>
                <w:bCs/>
                <w:sz w:val="22"/>
                <w:szCs w:val="22"/>
              </w:rPr>
              <w:t>000</w:t>
            </w:r>
            <w:r>
              <w:rPr>
                <w:rFonts w:hint="eastAsia" w:ascii="宋体" w:hAnsi="宋体" w:eastAsia="宋体"/>
                <w:bCs/>
                <w:sz w:val="22"/>
                <w:szCs w:val="22"/>
              </w:rPr>
              <w:t>万，同时可开通自助贷款直通功能，自助贷款额度最高可达1</w:t>
            </w:r>
            <w:r>
              <w:rPr>
                <w:rFonts w:ascii="宋体" w:hAnsi="宋体" w:eastAsia="宋体"/>
                <w:bCs/>
                <w:sz w:val="22"/>
                <w:szCs w:val="22"/>
              </w:rPr>
              <w:t>000</w:t>
            </w:r>
            <w:r>
              <w:rPr>
                <w:rFonts w:hint="eastAsia" w:ascii="宋体" w:hAnsi="宋体" w:eastAsia="宋体"/>
                <w:bCs/>
                <w:sz w:val="22"/>
                <w:szCs w:val="22"/>
              </w:rPr>
              <w:t>万，支持线上申请、随借随还。</w:t>
            </w:r>
          </w:p>
        </w:tc>
        <w:tc>
          <w:tcPr>
            <w:tcW w:w="1019" w:type="dxa"/>
            <w:vAlign w:val="center"/>
          </w:tcPr>
          <w:p>
            <w:pPr>
              <w:rPr>
                <w:rFonts w:ascii="宋体" w:hAnsi="宋体" w:eastAsia="宋体"/>
                <w:bCs/>
                <w:sz w:val="22"/>
                <w:szCs w:val="22"/>
              </w:rPr>
            </w:pPr>
            <w:r>
              <w:rPr>
                <w:rFonts w:hint="eastAsia" w:ascii="宋体" w:hAnsi="宋体" w:eastAsia="宋体"/>
                <w:bCs/>
                <w:sz w:val="22"/>
                <w:szCs w:val="22"/>
              </w:rPr>
              <w:t>陈经理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0577-8</w:t>
            </w:r>
            <w:r>
              <w:rPr>
                <w:rFonts w:ascii="宋体" w:hAnsi="宋体" w:eastAsia="宋体"/>
                <w:bCs/>
                <w:sz w:val="22"/>
                <w:szCs w:val="22"/>
              </w:rPr>
              <w:t>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兴业银行股份有限公司温州分行</w:t>
            </w:r>
          </w:p>
        </w:tc>
        <w:tc>
          <w:tcPr>
            <w:tcW w:w="4712" w:type="dxa"/>
            <w:vAlign w:val="center"/>
          </w:tcPr>
          <w:p>
            <w:pPr>
              <w:rPr>
                <w:rFonts w:ascii="宋体" w:hAnsi="宋体" w:eastAsia="宋体" w:cs="宋体"/>
                <w:bCs/>
                <w:sz w:val="22"/>
                <w:szCs w:val="22"/>
              </w:rPr>
            </w:pPr>
            <w:r>
              <w:rPr>
                <w:rFonts w:hint="eastAsia" w:ascii="宋体" w:hAnsi="宋体" w:eastAsia="宋体" w:cs="宋体"/>
                <w:bCs/>
                <w:sz w:val="22"/>
                <w:szCs w:val="22"/>
              </w:rPr>
              <w:t>融资担保方式及融资金额：</w:t>
            </w:r>
          </w:p>
          <w:p>
            <w:pPr>
              <w:numPr>
                <w:ilvl w:val="0"/>
                <w:numId w:val="14"/>
              </w:numPr>
              <w:rPr>
                <w:rFonts w:ascii="宋体" w:hAnsi="宋体" w:eastAsia="宋体" w:cs="宋体"/>
                <w:bCs/>
                <w:sz w:val="22"/>
                <w:szCs w:val="22"/>
              </w:rPr>
            </w:pPr>
            <w:r>
              <w:rPr>
                <w:rFonts w:hint="eastAsia" w:ascii="宋体" w:hAnsi="宋体" w:eastAsia="宋体" w:cs="宋体"/>
                <w:bCs/>
                <w:sz w:val="22"/>
                <w:szCs w:val="22"/>
              </w:rPr>
              <w:t>采取信用免抵押的企业，最高融资金额200万元；</w:t>
            </w:r>
          </w:p>
          <w:p>
            <w:pPr>
              <w:rPr>
                <w:rFonts w:ascii="宋体" w:hAnsi="宋体" w:eastAsia="宋体" w:cs="宋体"/>
                <w:bCs/>
                <w:sz w:val="22"/>
                <w:szCs w:val="22"/>
              </w:rPr>
            </w:pPr>
            <w:r>
              <w:rPr>
                <w:rFonts w:hint="eastAsia" w:ascii="宋体" w:hAnsi="宋体" w:eastAsia="宋体" w:cs="宋体"/>
                <w:bCs/>
                <w:sz w:val="22"/>
                <w:szCs w:val="22"/>
              </w:rPr>
              <w:t>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pPr>
              <w:rPr>
                <w:rFonts w:ascii="宋体" w:hAnsi="宋体" w:eastAsia="宋体"/>
                <w:bCs/>
                <w:sz w:val="22"/>
                <w:szCs w:val="22"/>
              </w:rPr>
            </w:pPr>
            <w:r>
              <w:rPr>
                <w:rFonts w:hint="eastAsia" w:ascii="宋体" w:hAnsi="宋体" w:eastAsia="宋体"/>
                <w:bCs/>
                <w:sz w:val="22"/>
                <w:szCs w:val="22"/>
              </w:rPr>
              <w:t>张经理</w:t>
            </w:r>
          </w:p>
          <w:p>
            <w:pPr>
              <w:rPr>
                <w:rFonts w:ascii="宋体" w:hAnsi="宋体" w:eastAsia="宋体"/>
                <w:bCs/>
                <w:sz w:val="22"/>
                <w:szCs w:val="22"/>
              </w:rPr>
            </w:pPr>
            <w:r>
              <w:rPr>
                <w:rFonts w:hint="eastAsia" w:ascii="宋体" w:hAnsi="宋体" w:eastAsia="宋体"/>
                <w:bCs/>
                <w:sz w:val="22"/>
                <w:szCs w:val="22"/>
              </w:rPr>
              <w:t>陈经理</w:t>
            </w:r>
          </w:p>
        </w:tc>
        <w:tc>
          <w:tcPr>
            <w:tcW w:w="1725" w:type="dxa"/>
            <w:vAlign w:val="center"/>
          </w:tcPr>
          <w:p>
            <w:pPr>
              <w:spacing w:line="360" w:lineRule="auto"/>
              <w:rPr>
                <w:rFonts w:ascii="宋体" w:hAnsi="宋体" w:eastAsia="宋体"/>
                <w:bCs/>
                <w:sz w:val="22"/>
                <w:szCs w:val="22"/>
              </w:rPr>
            </w:pPr>
            <w:r>
              <w:rPr>
                <w:rFonts w:hint="eastAsia" w:ascii="宋体" w:hAnsi="宋体" w:eastAsia="宋体"/>
                <w:bCs/>
                <w:sz w:val="22"/>
                <w:szCs w:val="22"/>
              </w:rPr>
              <w:t>0577-</w:t>
            </w:r>
            <w:r>
              <w:rPr>
                <w:rFonts w:ascii="宋体" w:hAnsi="宋体" w:eastAsia="宋体"/>
                <w:bCs/>
                <w:sz w:val="22"/>
                <w:szCs w:val="22"/>
              </w:rPr>
              <w:t>88369368</w:t>
            </w:r>
            <w:r>
              <w:rPr>
                <w:rFonts w:hint="eastAsia" w:ascii="宋体" w:hAnsi="宋体" w:eastAsia="宋体"/>
                <w:bCs/>
                <w:sz w:val="22"/>
                <w:szCs w:val="22"/>
              </w:rPr>
              <w:t>/13857713118</w:t>
            </w:r>
          </w:p>
          <w:p>
            <w:pPr>
              <w:spacing w:line="360" w:lineRule="auto"/>
              <w:rPr>
                <w:rFonts w:ascii="宋体" w:hAnsi="宋体" w:eastAsia="宋体"/>
                <w:bCs/>
                <w:sz w:val="22"/>
                <w:szCs w:val="22"/>
              </w:rPr>
            </w:pPr>
            <w:r>
              <w:rPr>
                <w:rFonts w:hint="eastAsia" w:ascii="宋体" w:hAnsi="宋体" w:eastAsia="宋体"/>
                <w:bCs/>
                <w:sz w:val="22"/>
                <w:szCs w:val="22"/>
              </w:rPr>
              <w:t>0577-56969696-1146506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温州银行股份有限公司温州分行</w:t>
            </w:r>
          </w:p>
        </w:tc>
        <w:tc>
          <w:tcPr>
            <w:tcW w:w="4712" w:type="dxa"/>
          </w:tcPr>
          <w:p>
            <w:pPr>
              <w:rPr>
                <w:rFonts w:ascii="宋体" w:hAnsi="宋体" w:eastAsia="宋体" w:cs="宋体"/>
                <w:bCs/>
                <w:sz w:val="22"/>
                <w:szCs w:val="22"/>
              </w:rPr>
            </w:pPr>
            <w:r>
              <w:rPr>
                <w:rFonts w:hint="eastAsia" w:ascii="宋体" w:hAnsi="宋体" w:eastAsia="宋体" w:cs="宋体"/>
                <w:bCs/>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pPr>
              <w:rPr>
                <w:rFonts w:ascii="宋体" w:hAnsi="宋体" w:eastAsia="宋体" w:cs="宋体"/>
                <w:bCs/>
                <w:sz w:val="22"/>
                <w:szCs w:val="22"/>
              </w:rPr>
            </w:pPr>
            <w:r>
              <w:rPr>
                <w:rFonts w:hint="eastAsia" w:ascii="宋体" w:hAnsi="宋体" w:eastAsia="宋体" w:cs="宋体"/>
                <w:bCs/>
                <w:sz w:val="22"/>
                <w:szCs w:val="22"/>
              </w:rPr>
              <w:t>陈经理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温州银行股份有限公司鹿城分行</w:t>
            </w:r>
          </w:p>
        </w:tc>
        <w:tc>
          <w:tcPr>
            <w:tcW w:w="4712" w:type="dxa"/>
          </w:tcPr>
          <w:p>
            <w:pPr>
              <w:rPr>
                <w:rFonts w:ascii="宋体" w:hAnsi="宋体" w:eastAsia="宋体"/>
                <w:bCs/>
                <w:sz w:val="22"/>
                <w:szCs w:val="22"/>
              </w:rPr>
            </w:pPr>
            <w:r>
              <w:rPr>
                <w:rFonts w:hint="eastAsia" w:ascii="宋体" w:hAnsi="宋体" w:eastAsia="宋体"/>
                <w:bCs/>
                <w:sz w:val="22"/>
                <w:szCs w:val="22"/>
              </w:rPr>
              <w:t>政采</w:t>
            </w:r>
            <w:r>
              <w:rPr>
                <w:rFonts w:ascii="宋体" w:hAnsi="宋体" w:eastAsia="宋体"/>
                <w:bCs/>
                <w:sz w:val="22"/>
                <w:szCs w:val="22"/>
              </w:rPr>
              <w:t>订单贷：</w:t>
            </w:r>
          </w:p>
          <w:p>
            <w:pPr>
              <w:numPr>
                <w:ilvl w:val="0"/>
                <w:numId w:val="15"/>
              </w:numPr>
              <w:rPr>
                <w:rFonts w:ascii="宋体" w:hAnsi="宋体" w:eastAsia="宋体"/>
                <w:bCs/>
                <w:sz w:val="22"/>
                <w:szCs w:val="22"/>
              </w:rPr>
            </w:pPr>
            <w:r>
              <w:rPr>
                <w:rFonts w:hint="eastAsia" w:ascii="宋体" w:hAnsi="宋体" w:eastAsia="宋体"/>
                <w:bCs/>
                <w:sz w:val="22"/>
                <w:szCs w:val="22"/>
              </w:rPr>
              <w:t>面向政府采购项目供应商，满足供应商资金周转需求，凭中标通知书即可申请，</w:t>
            </w:r>
          </w:p>
          <w:p>
            <w:pPr>
              <w:rPr>
                <w:rFonts w:ascii="宋体" w:hAnsi="宋体" w:eastAsia="宋体"/>
                <w:bCs/>
                <w:sz w:val="22"/>
                <w:szCs w:val="22"/>
              </w:rPr>
            </w:pPr>
            <w:r>
              <w:rPr>
                <w:rFonts w:hint="eastAsia" w:ascii="宋体" w:hAnsi="宋体" w:eastAsia="宋体"/>
                <w:bCs/>
                <w:sz w:val="22"/>
                <w:szCs w:val="22"/>
              </w:rPr>
              <w:t>2、秒知额高，最高可贷500万元，单笔业务金额可贷中标金额的80%，最长期限可贷1年。</w:t>
            </w:r>
          </w:p>
          <w:p>
            <w:pPr>
              <w:ind w:left="5"/>
              <w:rPr>
                <w:rFonts w:ascii="宋体" w:hAnsi="宋体" w:eastAsia="宋体"/>
                <w:bCs/>
                <w:sz w:val="22"/>
                <w:szCs w:val="22"/>
              </w:rPr>
            </w:pPr>
            <w:r>
              <w:rPr>
                <w:rFonts w:hint="eastAsia" w:ascii="宋体" w:hAnsi="宋体" w:eastAsia="宋体"/>
                <w:bCs/>
                <w:sz w:val="22"/>
                <w:szCs w:val="22"/>
              </w:rPr>
              <w:t>信保贷：</w:t>
            </w:r>
          </w:p>
          <w:p>
            <w:pPr>
              <w:ind w:left="5"/>
              <w:rPr>
                <w:rFonts w:ascii="宋体" w:hAnsi="宋体" w:eastAsia="宋体"/>
                <w:bCs/>
                <w:sz w:val="22"/>
                <w:szCs w:val="22"/>
              </w:rPr>
            </w:pPr>
            <w:r>
              <w:rPr>
                <w:rFonts w:hint="eastAsia" w:ascii="宋体" w:hAnsi="宋体" w:eastAsia="宋体"/>
                <w:bCs/>
                <w:sz w:val="22"/>
                <w:szCs w:val="22"/>
              </w:rPr>
              <w:t>1、额度最高可达500万元</w:t>
            </w:r>
          </w:p>
          <w:p>
            <w:pPr>
              <w:rPr>
                <w:rFonts w:ascii="宋体" w:hAnsi="宋体" w:eastAsia="宋体"/>
                <w:bCs/>
                <w:sz w:val="22"/>
                <w:szCs w:val="22"/>
              </w:rPr>
            </w:pPr>
            <w:r>
              <w:rPr>
                <w:rFonts w:hint="eastAsia" w:ascii="宋体" w:hAnsi="宋体" w:eastAsia="宋体"/>
                <w:bCs/>
                <w:sz w:val="22"/>
                <w:szCs w:val="22"/>
              </w:rPr>
              <w:t>2、担保灵活，信用贷款</w:t>
            </w:r>
          </w:p>
          <w:p>
            <w:pPr>
              <w:rPr>
                <w:rFonts w:ascii="宋体" w:hAnsi="宋体" w:eastAsia="宋体"/>
                <w:bCs/>
                <w:sz w:val="22"/>
                <w:szCs w:val="22"/>
              </w:rPr>
            </w:pPr>
            <w:r>
              <w:rPr>
                <w:rFonts w:hint="eastAsia" w:ascii="宋体" w:hAnsi="宋体" w:eastAsia="宋体"/>
                <w:bCs/>
                <w:sz w:val="22"/>
                <w:szCs w:val="22"/>
              </w:rPr>
              <w:t>3、贷款年利率至少可享受本单位一般性中小企业信用贷款利率基础上下浮10%</w:t>
            </w:r>
          </w:p>
        </w:tc>
        <w:tc>
          <w:tcPr>
            <w:tcW w:w="1019" w:type="dxa"/>
            <w:vAlign w:val="center"/>
          </w:tcPr>
          <w:p>
            <w:pPr>
              <w:rPr>
                <w:rFonts w:ascii="宋体" w:hAnsi="宋体" w:eastAsia="宋体"/>
                <w:bCs/>
                <w:sz w:val="22"/>
                <w:szCs w:val="22"/>
              </w:rPr>
            </w:pPr>
            <w:r>
              <w:rPr>
                <w:rFonts w:hint="eastAsia" w:ascii="宋体" w:hAnsi="宋体" w:eastAsia="宋体"/>
                <w:bCs/>
                <w:sz w:val="22"/>
                <w:szCs w:val="22"/>
              </w:rPr>
              <w:t>戴经理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交通银行股份有限公司温州分行</w:t>
            </w:r>
          </w:p>
        </w:tc>
        <w:tc>
          <w:tcPr>
            <w:tcW w:w="4712" w:type="dxa"/>
          </w:tcPr>
          <w:p>
            <w:pPr>
              <w:autoSpaceDE w:val="0"/>
              <w:autoSpaceDN w:val="0"/>
              <w:adjustRightInd w:val="0"/>
              <w:jc w:val="left"/>
              <w:rPr>
                <w:rFonts w:ascii="宋体" w:hAnsi="宋体" w:eastAsia="宋体" w:cs="宋体"/>
                <w:bCs/>
                <w:sz w:val="22"/>
                <w:szCs w:val="22"/>
              </w:rPr>
            </w:pPr>
            <w:r>
              <w:rPr>
                <w:rFonts w:hint="eastAsia" w:ascii="宋体" w:hAnsi="宋体" w:eastAsia="宋体" w:cs="宋体"/>
                <w:bCs/>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pPr>
              <w:rPr>
                <w:rFonts w:ascii="宋体" w:hAnsi="宋体" w:eastAsia="宋体"/>
                <w:bCs/>
                <w:sz w:val="22"/>
                <w:szCs w:val="22"/>
              </w:rPr>
            </w:pPr>
            <w:r>
              <w:rPr>
                <w:rFonts w:hint="eastAsia" w:ascii="宋体" w:hAnsi="宋体" w:eastAsia="宋体"/>
                <w:bCs/>
                <w:sz w:val="22"/>
                <w:szCs w:val="22"/>
              </w:rPr>
              <w:t>缪经理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pPr>
              <w:spacing w:line="360" w:lineRule="auto"/>
              <w:rPr>
                <w:rFonts w:ascii="宋体" w:hAnsi="宋体" w:eastAsia="宋体" w:cs="宋体"/>
                <w:bCs/>
                <w:sz w:val="22"/>
                <w:szCs w:val="22"/>
              </w:rPr>
            </w:pPr>
            <w:r>
              <w:rPr>
                <w:rFonts w:hint="eastAsia" w:ascii="宋体" w:hAnsi="宋体" w:eastAsia="宋体" w:cs="宋体"/>
                <w:bCs/>
                <w:sz w:val="22"/>
                <w:szCs w:val="22"/>
              </w:rPr>
              <w:t>上海浦东发展银行股份有限公司温州分行</w:t>
            </w:r>
          </w:p>
        </w:tc>
        <w:tc>
          <w:tcPr>
            <w:tcW w:w="4712" w:type="dxa"/>
          </w:tcPr>
          <w:p>
            <w:pPr>
              <w:jc w:val="left"/>
              <w:rPr>
                <w:rFonts w:ascii="宋体" w:hAnsi="宋体" w:eastAsia="宋体"/>
                <w:bCs/>
                <w:sz w:val="22"/>
                <w:szCs w:val="22"/>
              </w:rPr>
            </w:pPr>
            <w:r>
              <w:rPr>
                <w:rFonts w:hint="eastAsia" w:ascii="宋体" w:hAnsi="宋体" w:eastAsia="宋体" w:cs="宋体"/>
                <w:bCs/>
                <w:sz w:val="2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采购合同等）、其他必要文件</w:t>
            </w:r>
          </w:p>
        </w:tc>
        <w:tc>
          <w:tcPr>
            <w:tcW w:w="1019" w:type="dxa"/>
            <w:vAlign w:val="center"/>
          </w:tcPr>
          <w:p>
            <w:pPr>
              <w:rPr>
                <w:rFonts w:ascii="宋体" w:hAnsi="宋体" w:eastAsia="宋体" w:cs="宋体"/>
                <w:bCs/>
                <w:sz w:val="22"/>
                <w:szCs w:val="22"/>
              </w:rPr>
            </w:pPr>
            <w:r>
              <w:rPr>
                <w:rFonts w:hint="eastAsia" w:ascii="宋体" w:hAnsi="宋体" w:eastAsia="宋体" w:cs="宋体"/>
                <w:bCs/>
                <w:sz w:val="22"/>
                <w:szCs w:val="22"/>
              </w:rPr>
              <w:t>叶经理</w:t>
            </w:r>
          </w:p>
        </w:tc>
        <w:tc>
          <w:tcPr>
            <w:tcW w:w="1725" w:type="dxa"/>
            <w:vAlign w:val="center"/>
          </w:tcPr>
          <w:p>
            <w:pPr>
              <w:rPr>
                <w:rFonts w:ascii="宋体" w:hAnsi="宋体" w:eastAsia="宋体"/>
                <w:bCs/>
                <w:sz w:val="22"/>
                <w:szCs w:val="22"/>
              </w:rPr>
            </w:pPr>
            <w:r>
              <w:rPr>
                <w:rFonts w:hint="eastAsia" w:ascii="宋体" w:hAnsi="宋体" w:eastAsia="宋体"/>
                <w:bCs/>
                <w:sz w:val="22"/>
                <w:szCs w:val="22"/>
              </w:rPr>
              <w:t>0577-55570829</w:t>
            </w:r>
          </w:p>
        </w:tc>
      </w:tr>
    </w:tbl>
    <w:p>
      <w:pPr>
        <w:rPr>
          <w:rFonts w:eastAsia="宋体"/>
          <w:sz w:val="28"/>
          <w:szCs w:val="36"/>
        </w:rPr>
      </w:pPr>
    </w:p>
    <w:p>
      <w:pPr>
        <w:jc w:val="center"/>
        <w:rPr>
          <w:rFonts w:eastAsia="宋体"/>
          <w:sz w:val="28"/>
          <w:szCs w:val="36"/>
        </w:rPr>
      </w:pPr>
      <w:r>
        <w:rPr>
          <w:rFonts w:hint="eastAsia" w:eastAsia="宋体"/>
          <w:sz w:val="28"/>
          <w:szCs w:val="36"/>
        </w:rPr>
        <w:t>温州市政府采购信用融资意向银行选择表</w:t>
      </w:r>
    </w:p>
    <w:p>
      <w:pPr>
        <w:jc w:val="center"/>
        <w:rPr>
          <w:rFonts w:eastAsia="宋体"/>
          <w:sz w:val="28"/>
          <w:szCs w:val="36"/>
        </w:rPr>
      </w:pPr>
      <w:r>
        <w:rPr>
          <w:rFonts w:hint="eastAsia" w:eastAsia="宋体"/>
          <w:sz w:val="24"/>
          <w:szCs w:val="32"/>
        </w:rPr>
        <w:t>（温州市供应商填写）</w:t>
      </w:r>
    </w:p>
    <w:tbl>
      <w:tblPr>
        <w:tblStyle w:val="27"/>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sz w:val="22"/>
                <w:szCs w:val="28"/>
              </w:rPr>
            </w:pPr>
            <w:r>
              <w:rPr>
                <w:rFonts w:hint="eastAsia" w:ascii="宋体" w:eastAsia="宋体" w:cs="宋体"/>
                <w:sz w:val="22"/>
                <w:szCs w:val="28"/>
              </w:rPr>
              <w:t>企业名称</w:t>
            </w:r>
          </w:p>
        </w:tc>
        <w:tc>
          <w:tcPr>
            <w:tcW w:w="7770" w:type="dxa"/>
            <w:gridSpan w:val="5"/>
            <w:vAlign w:val="center"/>
          </w:tcPr>
          <w:p>
            <w:pPr>
              <w:spacing w:line="360" w:lineRule="auto"/>
              <w:jc w:val="center"/>
              <w:rPr>
                <w:rFonts w:asci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sz w:val="22"/>
                <w:szCs w:val="28"/>
              </w:rPr>
            </w:pPr>
            <w:r>
              <w:rPr>
                <w:rFonts w:hint="eastAsia" w:ascii="宋体" w:eastAsia="宋体" w:cs="宋体"/>
                <w:sz w:val="22"/>
                <w:szCs w:val="28"/>
              </w:rPr>
              <w:t>企业注册地</w:t>
            </w:r>
          </w:p>
        </w:tc>
        <w:tc>
          <w:tcPr>
            <w:tcW w:w="4178" w:type="dxa"/>
            <w:gridSpan w:val="2"/>
            <w:vAlign w:val="center"/>
          </w:tcPr>
          <w:p>
            <w:pPr>
              <w:spacing w:line="360" w:lineRule="auto"/>
              <w:jc w:val="center"/>
              <w:rPr>
                <w:rFonts w:ascii="宋体" w:eastAsia="宋体" w:cs="宋体"/>
                <w:sz w:val="22"/>
                <w:szCs w:val="28"/>
              </w:rPr>
            </w:pPr>
          </w:p>
        </w:tc>
        <w:tc>
          <w:tcPr>
            <w:tcW w:w="2732" w:type="dxa"/>
            <w:gridSpan w:val="2"/>
            <w:vAlign w:val="center"/>
          </w:tcPr>
          <w:p>
            <w:pPr>
              <w:spacing w:line="360" w:lineRule="auto"/>
              <w:jc w:val="center"/>
              <w:rPr>
                <w:rFonts w:ascii="宋体" w:eastAsia="宋体" w:cs="宋体"/>
                <w:sz w:val="22"/>
                <w:szCs w:val="28"/>
              </w:rPr>
            </w:pPr>
            <w:r>
              <w:rPr>
                <w:rFonts w:hint="eastAsia" w:ascii="宋体" w:eastAsia="宋体" w:cs="宋体"/>
                <w:sz w:val="22"/>
                <w:szCs w:val="28"/>
              </w:rPr>
              <w:t>是否有融资意向</w:t>
            </w:r>
          </w:p>
        </w:tc>
        <w:tc>
          <w:tcPr>
            <w:tcW w:w="860" w:type="dxa"/>
            <w:vAlign w:val="center"/>
          </w:tcPr>
          <w:p>
            <w:pPr>
              <w:spacing w:line="360" w:lineRule="auto"/>
              <w:jc w:val="center"/>
              <w:rPr>
                <w:rFonts w:asci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pPr>
              <w:spacing w:line="360" w:lineRule="auto"/>
              <w:jc w:val="center"/>
              <w:rPr>
                <w:rFonts w:ascii="宋体" w:eastAsia="宋体" w:cs="宋体"/>
                <w:sz w:val="22"/>
                <w:szCs w:val="28"/>
              </w:rPr>
            </w:pPr>
            <w:r>
              <w:rPr>
                <w:rFonts w:hint="eastAsia" w:ascii="宋体" w:eastAsia="宋体" w:cs="宋体"/>
                <w:sz w:val="22"/>
                <w:szCs w:val="28"/>
              </w:rPr>
              <w:t>融资联系人</w:t>
            </w:r>
          </w:p>
        </w:tc>
        <w:tc>
          <w:tcPr>
            <w:tcW w:w="2571" w:type="dxa"/>
            <w:vAlign w:val="center"/>
          </w:tcPr>
          <w:p>
            <w:pPr>
              <w:spacing w:line="360" w:lineRule="auto"/>
              <w:jc w:val="center"/>
              <w:rPr>
                <w:rFonts w:ascii="宋体" w:eastAsia="宋体" w:cs="宋体"/>
                <w:sz w:val="22"/>
                <w:szCs w:val="28"/>
              </w:rPr>
            </w:pPr>
          </w:p>
        </w:tc>
        <w:tc>
          <w:tcPr>
            <w:tcW w:w="2571" w:type="dxa"/>
            <w:gridSpan w:val="2"/>
            <w:vAlign w:val="center"/>
          </w:tcPr>
          <w:p>
            <w:pPr>
              <w:spacing w:line="360" w:lineRule="auto"/>
              <w:jc w:val="center"/>
              <w:rPr>
                <w:rFonts w:ascii="宋体" w:eastAsia="宋体" w:cs="宋体"/>
                <w:sz w:val="22"/>
                <w:szCs w:val="28"/>
              </w:rPr>
            </w:pPr>
            <w:r>
              <w:rPr>
                <w:rFonts w:hint="eastAsia" w:ascii="宋体" w:eastAsia="宋体" w:cs="宋体"/>
                <w:sz w:val="22"/>
                <w:szCs w:val="28"/>
              </w:rPr>
              <w:t>联系方式</w:t>
            </w:r>
          </w:p>
        </w:tc>
        <w:tc>
          <w:tcPr>
            <w:tcW w:w="2628" w:type="dxa"/>
            <w:gridSpan w:val="2"/>
            <w:vAlign w:val="center"/>
          </w:tcPr>
          <w:p>
            <w:pPr>
              <w:spacing w:line="360" w:lineRule="auto"/>
              <w:jc w:val="center"/>
              <w:rPr>
                <w:rFonts w:asci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pPr>
              <w:spacing w:line="360" w:lineRule="auto"/>
              <w:jc w:val="center"/>
              <w:rPr>
                <w:rFonts w:ascii="宋体" w:eastAsia="宋体" w:cs="宋体"/>
                <w:sz w:val="24"/>
                <w:szCs w:val="30"/>
              </w:rPr>
            </w:pPr>
            <w:r>
              <w:rPr>
                <w:rFonts w:hint="eastAsia" w:ascii="宋体" w:eastAsia="宋体" w:cs="宋体"/>
                <w:sz w:val="24"/>
                <w:szCs w:val="30"/>
              </w:rPr>
              <w:t>温州市政府采购信用融资合作银行</w:t>
            </w:r>
          </w:p>
        </w:tc>
        <w:tc>
          <w:tcPr>
            <w:tcW w:w="2628" w:type="dxa"/>
            <w:gridSpan w:val="2"/>
          </w:tcPr>
          <w:p>
            <w:pPr>
              <w:spacing w:line="360" w:lineRule="auto"/>
              <w:jc w:val="center"/>
              <w:rPr>
                <w:rFonts w:ascii="宋体" w:eastAsia="宋体" w:cs="宋体"/>
                <w:sz w:val="24"/>
                <w:szCs w:val="30"/>
              </w:rPr>
            </w:pPr>
            <w:r>
              <w:rPr>
                <w:rFonts w:hint="eastAsia" w:ascii="宋体" w:eastAsia="宋体" w:cs="宋体"/>
                <w:sz w:val="24"/>
                <w:szCs w:val="30"/>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温州银行股份有限公司温州分行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温州银行股份有限公司鹿城分行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中国工商银行股份有限公司温州分行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中国建设银行股份有限公司温州分行</w:t>
            </w:r>
          </w:p>
        </w:tc>
        <w:tc>
          <w:tcPr>
            <w:tcW w:w="2628" w:type="dxa"/>
            <w:gridSpan w:val="2"/>
          </w:tcPr>
          <w:p>
            <w:pPr>
              <w:spacing w:line="360" w:lineRule="auto"/>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中国邮政储蓄银行股份有限公司温州市分行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中国民生银行股份有限公司温州分行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宁波银行股份有限公司温州分行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杭州银行股份有限公司温州分行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招商银行股份有限公司温州分行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兴业银行股份有限公司温州分行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交通银行股份有限公司温州分行</w:t>
            </w:r>
          </w:p>
        </w:tc>
        <w:tc>
          <w:tcPr>
            <w:tcW w:w="2628" w:type="dxa"/>
            <w:gridSpan w:val="2"/>
          </w:tcPr>
          <w:p>
            <w:pPr>
              <w:spacing w:line="360" w:lineRule="auto"/>
              <w:jc w:val="left"/>
              <w:rPr>
                <w:rFonts w:ascii="宋体" w:eastAsia="宋体" w:cs="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rPr>
            </w:pPr>
            <w:r>
              <w:rPr>
                <w:rFonts w:hint="eastAsia" w:ascii="宋体" w:eastAsia="宋体" w:cs="宋体"/>
                <w:sz w:val="24"/>
                <w:szCs w:val="30"/>
              </w:rPr>
              <w:t>上海浦东发展银行股份有限公司温州分行</w:t>
            </w:r>
          </w:p>
        </w:tc>
        <w:tc>
          <w:tcPr>
            <w:tcW w:w="2628" w:type="dxa"/>
            <w:gridSpan w:val="2"/>
          </w:tcPr>
          <w:p>
            <w:pPr>
              <w:spacing w:line="360" w:lineRule="auto"/>
              <w:jc w:val="left"/>
              <w:rPr>
                <w:rFonts w:ascii="宋体" w:eastAsia="宋体" w:cs="宋体"/>
                <w:sz w:val="24"/>
                <w:szCs w:val="30"/>
              </w:rPr>
            </w:pPr>
          </w:p>
        </w:tc>
      </w:tr>
    </w:tbl>
    <w:p>
      <w:pPr>
        <w:spacing w:line="276" w:lineRule="auto"/>
        <w:rPr>
          <w:rFonts w:ascii="宋体" w:eastAsia="宋体"/>
        </w:rPr>
      </w:pPr>
      <w:r>
        <w:rPr>
          <w:rFonts w:hint="eastAsia" w:ascii="宋体" w:eastAsia="宋体"/>
        </w:rPr>
        <w:t>注：1、本表填写对象为注册地在温州市域内的供应商。</w:t>
      </w:r>
    </w:p>
    <w:p>
      <w:pPr>
        <w:rPr>
          <w:rFonts w:ascii="宋体"/>
          <w:sz w:val="36"/>
          <w:szCs w:val="36"/>
          <w:lang w:val="zh-CN"/>
        </w:rPr>
      </w:pPr>
      <w:r>
        <w:rPr>
          <w:rFonts w:hint="eastAsia" w:ascii="宋体"/>
        </w:rPr>
        <w:t>2、财政部门根据企业自行选择，将本表及企业相关信息推送至相对应的融资意向银行经办人。</w:t>
      </w:r>
      <w:r>
        <w:rPr>
          <w:rFonts w:hint="eastAsia" w:ascii="宋体"/>
          <w:sz w:val="36"/>
          <w:szCs w:val="36"/>
          <w:lang w:val="zh-CN"/>
        </w:rPr>
        <w:br w:type="page"/>
      </w:r>
    </w:p>
    <w:p>
      <w:pPr>
        <w:pStyle w:val="24"/>
        <w:spacing w:line="400" w:lineRule="exact"/>
        <w:ind w:firstLine="210"/>
        <w:rPr>
          <w:rFonts w:ascii="宋体" w:hAnsi="Times New Roman"/>
          <w:kern w:val="2"/>
          <w:sz w:val="36"/>
          <w:szCs w:val="36"/>
        </w:rPr>
      </w:pPr>
      <w:r>
        <w:rPr>
          <w:rFonts w:hint="eastAsia" w:ascii="宋体" w:hAnsi="Times New Roman"/>
          <w:kern w:val="2"/>
          <w:sz w:val="36"/>
          <w:szCs w:val="36"/>
          <w:lang w:val="zh-CN"/>
        </w:rPr>
        <w:t xml:space="preserve">第五部分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Times New Roman"/>
          <w:kern w:val="2"/>
          <w:sz w:val="36"/>
          <w:szCs w:val="36"/>
        </w:rPr>
        <w:t>合同格式（参考格式）</w:t>
      </w:r>
    </w:p>
    <w:p>
      <w:pPr>
        <w:spacing w:line="400" w:lineRule="exact"/>
        <w:jc w:val="center"/>
        <w:rPr>
          <w:rFonts w:ascii="宋体"/>
          <w:sz w:val="44"/>
          <w:szCs w:val="44"/>
        </w:rPr>
      </w:pPr>
      <w:r>
        <w:rPr>
          <w:rFonts w:hint="eastAsia" w:ascii="宋体" w:hAnsi="宋体"/>
          <w:sz w:val="22"/>
        </w:rPr>
        <w:t>注：本合同条款仅供参考，甲乙双方可根据实际情况进行补充。</w:t>
      </w:r>
    </w:p>
    <w:p>
      <w:pPr>
        <w:pStyle w:val="15"/>
        <w:snapToGrid w:val="0"/>
        <w:spacing w:line="400" w:lineRule="atLeast"/>
        <w:jc w:val="left"/>
        <w:rPr>
          <w:sz w:val="44"/>
          <w:szCs w:val="44"/>
        </w:rPr>
      </w:pPr>
      <w:r>
        <w:rPr>
          <w:rFonts w:hint="eastAsia" w:hAnsi="宋体"/>
          <w:kern w:val="0"/>
          <w:sz w:val="22"/>
          <w:szCs w:val="22"/>
        </w:rPr>
        <w:t>采购单位：泰顺县妇幼保健院        （以下简称甲方）</w:t>
      </w:r>
    </w:p>
    <w:p>
      <w:pPr>
        <w:spacing w:line="360" w:lineRule="atLeast"/>
        <w:rPr>
          <w:rFonts w:ascii="宋体" w:hAnsi="宋体"/>
          <w:kern w:val="0"/>
          <w:sz w:val="22"/>
          <w:szCs w:val="22"/>
        </w:rPr>
      </w:pPr>
      <w:r>
        <w:rPr>
          <w:rFonts w:hint="eastAsia" w:ascii="宋体" w:hAnsi="宋体"/>
          <w:kern w:val="0"/>
          <w:sz w:val="22"/>
          <w:szCs w:val="22"/>
        </w:rPr>
        <w:t>中标供应商：                              （以下简称乙方）</w:t>
      </w:r>
    </w:p>
    <w:p>
      <w:pPr>
        <w:pStyle w:val="15"/>
        <w:snapToGrid w:val="0"/>
        <w:spacing w:line="440" w:lineRule="atLeast"/>
        <w:ind w:firstLine="482"/>
        <w:rPr>
          <w:rFonts w:hAnsi="宋体"/>
          <w:sz w:val="22"/>
          <w:szCs w:val="22"/>
        </w:rPr>
      </w:pPr>
      <w:r>
        <w:rPr>
          <w:rFonts w:hint="eastAsia" w:hAnsi="宋体"/>
          <w:sz w:val="22"/>
          <w:szCs w:val="22"/>
        </w:rPr>
        <w:t>根据</w:t>
      </w:r>
      <w:r>
        <w:rPr>
          <w:rFonts w:hint="eastAsia" w:hAnsi="宋体"/>
          <w:bCs/>
          <w:sz w:val="22"/>
          <w:szCs w:val="22"/>
          <w:lang w:eastAsia="zh-CN"/>
        </w:rPr>
        <w:t>泰顺县方舱医院医疗设备等物资采购项目（二次）</w:t>
      </w:r>
      <w:r>
        <w:rPr>
          <w:rFonts w:hint="eastAsia" w:hAnsi="宋体"/>
          <w:sz w:val="22"/>
          <w:szCs w:val="22"/>
        </w:rPr>
        <w:t>中标通知书，甲方将</w:t>
      </w:r>
      <w:r>
        <w:rPr>
          <w:rFonts w:hint="eastAsia" w:hAnsi="宋体"/>
          <w:bCs/>
          <w:sz w:val="22"/>
          <w:szCs w:val="22"/>
          <w:lang w:eastAsia="zh-CN"/>
        </w:rPr>
        <w:t>泰顺县方舱医院医疗设备等物资采购项目（二次）</w:t>
      </w:r>
      <w:r>
        <w:rPr>
          <w:rFonts w:hint="eastAsia" w:hAnsi="宋体"/>
          <w:sz w:val="22"/>
          <w:szCs w:val="22"/>
        </w:rPr>
        <w:t>承包给乙方，为了明确甲、乙双方的权利和义务，履行各自的职责，高效优质地完成工作任务，按照《中华人民共和国民法典》的有关规定，经甲乙双方在平等、自愿的基础上共同协商一致，现签订合同。</w:t>
      </w:r>
    </w:p>
    <w:p>
      <w:pPr>
        <w:pStyle w:val="15"/>
        <w:snapToGrid w:val="0"/>
        <w:spacing w:line="440" w:lineRule="atLeast"/>
        <w:rPr>
          <w:rFonts w:hAnsi="宋体"/>
          <w:b/>
          <w:bCs/>
          <w:sz w:val="22"/>
          <w:szCs w:val="22"/>
        </w:rPr>
      </w:pPr>
      <w:r>
        <w:rPr>
          <w:rFonts w:hint="eastAsia" w:hAnsi="宋体"/>
          <w:b/>
          <w:bCs/>
          <w:sz w:val="22"/>
          <w:szCs w:val="22"/>
        </w:rPr>
        <w:t>第一条  项目名称</w:t>
      </w:r>
    </w:p>
    <w:p>
      <w:pPr>
        <w:pStyle w:val="15"/>
        <w:snapToGrid w:val="0"/>
        <w:spacing w:line="454" w:lineRule="atLeast"/>
        <w:rPr>
          <w:rFonts w:hint="eastAsia" w:hAnsi="宋体" w:eastAsiaTheme="minorEastAsia"/>
          <w:bCs/>
          <w:sz w:val="22"/>
          <w:szCs w:val="22"/>
          <w:lang w:eastAsia="zh-CN"/>
        </w:rPr>
      </w:pPr>
      <w:r>
        <w:rPr>
          <w:rFonts w:hint="eastAsia" w:hAnsi="宋体"/>
          <w:bCs/>
          <w:sz w:val="22"/>
          <w:szCs w:val="22"/>
          <w:lang w:eastAsia="zh-CN"/>
        </w:rPr>
        <w:t>泰顺县方舱医院医疗设备等物资采购项目（二次）</w:t>
      </w:r>
    </w:p>
    <w:p>
      <w:pPr>
        <w:pStyle w:val="15"/>
        <w:snapToGrid w:val="0"/>
        <w:spacing w:line="454" w:lineRule="atLeast"/>
        <w:rPr>
          <w:rFonts w:hAnsi="宋体"/>
          <w:b/>
          <w:bCs/>
          <w:sz w:val="22"/>
          <w:szCs w:val="22"/>
        </w:rPr>
      </w:pPr>
      <w:r>
        <w:rPr>
          <w:rFonts w:hint="eastAsia" w:hAnsi="宋体"/>
          <w:b/>
          <w:bCs/>
          <w:sz w:val="22"/>
          <w:szCs w:val="22"/>
        </w:rPr>
        <w:t>第二条  采购商品清单及合同价格</w:t>
      </w:r>
    </w:p>
    <w:p>
      <w:pPr>
        <w:snapToGrid w:val="0"/>
        <w:spacing w:line="454" w:lineRule="atLeast"/>
        <w:rPr>
          <w:rFonts w:ascii="宋体" w:hAnsi="宋体"/>
          <w:sz w:val="22"/>
          <w:szCs w:val="22"/>
        </w:rPr>
      </w:pPr>
      <w:r>
        <w:rPr>
          <w:rFonts w:hint="eastAsia" w:hAnsi="宋体"/>
          <w:sz w:val="22"/>
          <w:szCs w:val="22"/>
        </w:rPr>
        <w:t>乙方</w:t>
      </w:r>
      <w:r>
        <w:rPr>
          <w:rFonts w:hint="eastAsia" w:ascii="宋体" w:hAnsi="宋体"/>
          <w:sz w:val="22"/>
          <w:szCs w:val="22"/>
        </w:rPr>
        <w:t>保证提供如下内容的合格产品：                     金额单位：人民币元</w:t>
      </w:r>
    </w:p>
    <w:tbl>
      <w:tblPr>
        <w:tblStyle w:val="2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267"/>
        <w:gridCol w:w="2713"/>
        <w:gridCol w:w="888"/>
        <w:gridCol w:w="1187"/>
        <w:gridCol w:w="128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16" w:type="dxa"/>
          </w:tcPr>
          <w:p>
            <w:pPr>
              <w:snapToGrid w:val="0"/>
              <w:spacing w:line="454" w:lineRule="atLeast"/>
              <w:rPr>
                <w:rFonts w:ascii="宋体" w:hAnsi="宋体"/>
                <w:sz w:val="22"/>
                <w:szCs w:val="22"/>
              </w:rPr>
            </w:pPr>
            <w:r>
              <w:rPr>
                <w:rFonts w:hint="eastAsia" w:ascii="宋体" w:hAnsi="宋体"/>
                <w:sz w:val="22"/>
                <w:szCs w:val="22"/>
              </w:rPr>
              <w:t>序号</w:t>
            </w:r>
          </w:p>
        </w:tc>
        <w:tc>
          <w:tcPr>
            <w:tcW w:w="2267" w:type="dxa"/>
            <w:vAlign w:val="center"/>
          </w:tcPr>
          <w:p>
            <w:pPr>
              <w:snapToGrid w:val="0"/>
              <w:spacing w:line="454" w:lineRule="atLeast"/>
              <w:ind w:firstLine="240"/>
              <w:jc w:val="center"/>
              <w:rPr>
                <w:rFonts w:ascii="宋体" w:hAnsi="宋体"/>
                <w:sz w:val="22"/>
                <w:szCs w:val="22"/>
              </w:rPr>
            </w:pPr>
            <w:r>
              <w:rPr>
                <w:rFonts w:hint="eastAsia" w:ascii="宋体" w:hAnsi="宋体"/>
                <w:sz w:val="22"/>
                <w:szCs w:val="22"/>
              </w:rPr>
              <w:t>采购产品名称</w:t>
            </w:r>
          </w:p>
        </w:tc>
        <w:tc>
          <w:tcPr>
            <w:tcW w:w="2713" w:type="dxa"/>
            <w:vAlign w:val="center"/>
          </w:tcPr>
          <w:p>
            <w:pPr>
              <w:snapToGrid w:val="0"/>
              <w:spacing w:line="454" w:lineRule="atLeast"/>
              <w:jc w:val="center"/>
              <w:rPr>
                <w:rFonts w:ascii="宋体" w:hAnsi="宋体"/>
                <w:sz w:val="22"/>
                <w:szCs w:val="22"/>
              </w:rPr>
            </w:pPr>
            <w:r>
              <w:rPr>
                <w:rFonts w:hint="eastAsia" w:ascii="宋体" w:hAnsi="宋体"/>
                <w:sz w:val="22"/>
                <w:szCs w:val="22"/>
              </w:rPr>
              <w:t>型号规格和主要配置</w:t>
            </w:r>
          </w:p>
        </w:tc>
        <w:tc>
          <w:tcPr>
            <w:tcW w:w="888" w:type="dxa"/>
            <w:vAlign w:val="center"/>
          </w:tcPr>
          <w:p>
            <w:pPr>
              <w:snapToGrid w:val="0"/>
              <w:spacing w:line="454" w:lineRule="atLeast"/>
              <w:jc w:val="center"/>
              <w:rPr>
                <w:rFonts w:ascii="宋体" w:hAnsi="宋体"/>
                <w:sz w:val="22"/>
                <w:szCs w:val="22"/>
              </w:rPr>
            </w:pPr>
            <w:r>
              <w:rPr>
                <w:rFonts w:hint="eastAsia" w:ascii="宋体" w:hAnsi="宋体"/>
                <w:sz w:val="22"/>
                <w:szCs w:val="22"/>
              </w:rPr>
              <w:t>数量</w:t>
            </w:r>
          </w:p>
        </w:tc>
        <w:tc>
          <w:tcPr>
            <w:tcW w:w="1187" w:type="dxa"/>
            <w:vAlign w:val="center"/>
          </w:tcPr>
          <w:p>
            <w:pPr>
              <w:snapToGrid w:val="0"/>
              <w:spacing w:line="454" w:lineRule="atLeast"/>
              <w:jc w:val="center"/>
              <w:rPr>
                <w:rFonts w:ascii="宋体" w:hAnsi="宋体"/>
                <w:sz w:val="22"/>
                <w:szCs w:val="22"/>
              </w:rPr>
            </w:pPr>
            <w:r>
              <w:rPr>
                <w:rFonts w:hint="eastAsia" w:ascii="宋体" w:hAnsi="宋体"/>
                <w:sz w:val="22"/>
                <w:szCs w:val="22"/>
              </w:rPr>
              <w:t>中标价</w:t>
            </w:r>
          </w:p>
        </w:tc>
        <w:tc>
          <w:tcPr>
            <w:tcW w:w="1282" w:type="dxa"/>
            <w:vAlign w:val="center"/>
          </w:tcPr>
          <w:p>
            <w:pPr>
              <w:snapToGrid w:val="0"/>
              <w:spacing w:line="454" w:lineRule="atLeast"/>
              <w:jc w:val="center"/>
              <w:rPr>
                <w:rFonts w:ascii="宋体" w:hAnsi="宋体"/>
                <w:sz w:val="22"/>
                <w:szCs w:val="22"/>
              </w:rPr>
            </w:pPr>
            <w:r>
              <w:rPr>
                <w:rFonts w:hint="eastAsia" w:ascii="宋体" w:hAnsi="宋体"/>
                <w:sz w:val="22"/>
                <w:szCs w:val="22"/>
              </w:rPr>
              <w:t>总价</w:t>
            </w:r>
          </w:p>
        </w:tc>
        <w:tc>
          <w:tcPr>
            <w:tcW w:w="1203" w:type="dxa"/>
            <w:vAlign w:val="center"/>
          </w:tcPr>
          <w:p>
            <w:pPr>
              <w:snapToGrid w:val="0"/>
              <w:spacing w:line="454" w:lineRule="atLeast"/>
              <w:jc w:val="center"/>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16" w:type="dxa"/>
          </w:tcPr>
          <w:p>
            <w:pPr>
              <w:snapToGrid w:val="0"/>
              <w:spacing w:line="454" w:lineRule="atLeast"/>
              <w:jc w:val="center"/>
              <w:rPr>
                <w:rFonts w:asciiTheme="minorEastAsia" w:hAnsiTheme="minorEastAsia"/>
                <w:szCs w:val="21"/>
              </w:rPr>
            </w:pPr>
            <w:r>
              <w:rPr>
                <w:rFonts w:hint="eastAsia" w:asciiTheme="minorEastAsia" w:hAnsiTheme="minorEastAsia"/>
                <w:szCs w:val="21"/>
              </w:rPr>
              <w:t>1</w:t>
            </w:r>
          </w:p>
        </w:tc>
        <w:tc>
          <w:tcPr>
            <w:tcW w:w="2267" w:type="dxa"/>
            <w:vAlign w:val="center"/>
          </w:tcPr>
          <w:p>
            <w:pPr>
              <w:snapToGrid w:val="0"/>
              <w:spacing w:line="454" w:lineRule="atLeast"/>
              <w:jc w:val="center"/>
              <w:rPr>
                <w:rFonts w:ascii="宋体" w:hAnsi="宋体"/>
                <w:sz w:val="22"/>
                <w:szCs w:val="22"/>
              </w:rPr>
            </w:pPr>
          </w:p>
        </w:tc>
        <w:tc>
          <w:tcPr>
            <w:tcW w:w="2713" w:type="dxa"/>
            <w:vAlign w:val="center"/>
          </w:tcPr>
          <w:p>
            <w:pPr>
              <w:snapToGrid w:val="0"/>
              <w:spacing w:line="454" w:lineRule="atLeast"/>
              <w:jc w:val="center"/>
              <w:rPr>
                <w:rFonts w:ascii="宋体" w:hAnsi="宋体"/>
                <w:sz w:val="22"/>
                <w:szCs w:val="22"/>
              </w:rPr>
            </w:pPr>
          </w:p>
        </w:tc>
        <w:tc>
          <w:tcPr>
            <w:tcW w:w="888" w:type="dxa"/>
            <w:vAlign w:val="center"/>
          </w:tcPr>
          <w:p>
            <w:pPr>
              <w:snapToGrid w:val="0"/>
              <w:spacing w:line="454" w:lineRule="atLeast"/>
              <w:rPr>
                <w:rFonts w:ascii="宋体" w:hAnsi="宋体"/>
                <w:sz w:val="22"/>
                <w:szCs w:val="22"/>
              </w:rPr>
            </w:pPr>
          </w:p>
        </w:tc>
        <w:tc>
          <w:tcPr>
            <w:tcW w:w="1187" w:type="dxa"/>
            <w:vAlign w:val="center"/>
          </w:tcPr>
          <w:p>
            <w:pPr>
              <w:snapToGrid w:val="0"/>
              <w:spacing w:line="454" w:lineRule="atLeast"/>
              <w:rPr>
                <w:rFonts w:ascii="宋体" w:hAnsi="宋体"/>
                <w:sz w:val="22"/>
                <w:szCs w:val="22"/>
              </w:rPr>
            </w:pPr>
          </w:p>
        </w:tc>
        <w:tc>
          <w:tcPr>
            <w:tcW w:w="1282" w:type="dxa"/>
            <w:vAlign w:val="center"/>
          </w:tcPr>
          <w:p>
            <w:pPr>
              <w:snapToGrid w:val="0"/>
              <w:spacing w:line="454" w:lineRule="atLeast"/>
              <w:rPr>
                <w:rFonts w:ascii="宋体" w:hAnsi="宋体"/>
                <w:sz w:val="22"/>
                <w:szCs w:val="22"/>
              </w:rPr>
            </w:pPr>
          </w:p>
        </w:tc>
        <w:tc>
          <w:tcPr>
            <w:tcW w:w="1203" w:type="dxa"/>
            <w:vAlign w:val="center"/>
          </w:tcPr>
          <w:p>
            <w:pPr>
              <w:snapToGrid w:val="0"/>
              <w:spacing w:line="454"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16" w:type="dxa"/>
          </w:tcPr>
          <w:p>
            <w:pPr>
              <w:snapToGrid w:val="0"/>
              <w:spacing w:line="454" w:lineRule="atLeast"/>
              <w:jc w:val="center"/>
              <w:rPr>
                <w:rFonts w:asciiTheme="minorEastAsia" w:hAnsiTheme="minorEastAsia"/>
                <w:szCs w:val="21"/>
              </w:rPr>
            </w:pPr>
            <w:r>
              <w:rPr>
                <w:rFonts w:hint="eastAsia" w:asciiTheme="minorEastAsia" w:hAnsiTheme="minorEastAsia"/>
                <w:szCs w:val="21"/>
              </w:rPr>
              <w:t>2</w:t>
            </w:r>
          </w:p>
        </w:tc>
        <w:tc>
          <w:tcPr>
            <w:tcW w:w="2267" w:type="dxa"/>
            <w:vAlign w:val="center"/>
          </w:tcPr>
          <w:p>
            <w:pPr>
              <w:snapToGrid w:val="0"/>
              <w:spacing w:line="454" w:lineRule="atLeast"/>
              <w:jc w:val="center"/>
              <w:rPr>
                <w:rFonts w:ascii="宋体" w:hAnsi="宋体"/>
                <w:sz w:val="22"/>
                <w:szCs w:val="22"/>
              </w:rPr>
            </w:pPr>
          </w:p>
        </w:tc>
        <w:tc>
          <w:tcPr>
            <w:tcW w:w="2713" w:type="dxa"/>
            <w:vAlign w:val="center"/>
          </w:tcPr>
          <w:p>
            <w:pPr>
              <w:snapToGrid w:val="0"/>
              <w:spacing w:line="454" w:lineRule="atLeast"/>
              <w:jc w:val="center"/>
              <w:rPr>
                <w:rFonts w:ascii="宋体" w:hAnsi="宋体"/>
                <w:sz w:val="22"/>
                <w:szCs w:val="22"/>
              </w:rPr>
            </w:pPr>
          </w:p>
        </w:tc>
        <w:tc>
          <w:tcPr>
            <w:tcW w:w="888" w:type="dxa"/>
            <w:vAlign w:val="center"/>
          </w:tcPr>
          <w:p>
            <w:pPr>
              <w:snapToGrid w:val="0"/>
              <w:spacing w:line="454" w:lineRule="atLeast"/>
              <w:jc w:val="center"/>
              <w:rPr>
                <w:rFonts w:ascii="宋体" w:hAnsi="宋体"/>
                <w:sz w:val="22"/>
                <w:szCs w:val="22"/>
              </w:rPr>
            </w:pPr>
          </w:p>
        </w:tc>
        <w:tc>
          <w:tcPr>
            <w:tcW w:w="1187" w:type="dxa"/>
            <w:vAlign w:val="center"/>
          </w:tcPr>
          <w:p>
            <w:pPr>
              <w:snapToGrid w:val="0"/>
              <w:spacing w:line="454" w:lineRule="atLeast"/>
              <w:jc w:val="center"/>
              <w:rPr>
                <w:rFonts w:ascii="宋体" w:hAnsi="宋体"/>
                <w:sz w:val="22"/>
                <w:szCs w:val="22"/>
              </w:rPr>
            </w:pPr>
          </w:p>
        </w:tc>
        <w:tc>
          <w:tcPr>
            <w:tcW w:w="1282" w:type="dxa"/>
            <w:vAlign w:val="center"/>
          </w:tcPr>
          <w:p>
            <w:pPr>
              <w:snapToGrid w:val="0"/>
              <w:spacing w:line="454" w:lineRule="atLeast"/>
              <w:jc w:val="center"/>
              <w:rPr>
                <w:rFonts w:ascii="宋体" w:hAnsi="宋体"/>
                <w:sz w:val="22"/>
                <w:szCs w:val="22"/>
              </w:rPr>
            </w:pPr>
          </w:p>
        </w:tc>
        <w:tc>
          <w:tcPr>
            <w:tcW w:w="1203" w:type="dxa"/>
            <w:vAlign w:val="center"/>
          </w:tcPr>
          <w:p>
            <w:pPr>
              <w:snapToGrid w:val="0"/>
              <w:spacing w:line="454"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16" w:type="dxa"/>
          </w:tcPr>
          <w:p>
            <w:pPr>
              <w:snapToGrid w:val="0"/>
              <w:spacing w:line="454" w:lineRule="atLeast"/>
              <w:jc w:val="center"/>
              <w:rPr>
                <w:rFonts w:asciiTheme="minorEastAsia" w:hAnsiTheme="minorEastAsia"/>
                <w:szCs w:val="21"/>
              </w:rPr>
            </w:pPr>
            <w:r>
              <w:rPr>
                <w:rFonts w:hint="eastAsia" w:asciiTheme="minorEastAsia" w:hAnsiTheme="minorEastAsia"/>
                <w:szCs w:val="21"/>
              </w:rPr>
              <w:t>3</w:t>
            </w:r>
          </w:p>
        </w:tc>
        <w:tc>
          <w:tcPr>
            <w:tcW w:w="2267" w:type="dxa"/>
            <w:vAlign w:val="center"/>
          </w:tcPr>
          <w:p>
            <w:pPr>
              <w:snapToGrid w:val="0"/>
              <w:spacing w:line="454" w:lineRule="atLeast"/>
              <w:jc w:val="center"/>
              <w:rPr>
                <w:rFonts w:ascii="宋体" w:hAnsi="宋体"/>
                <w:sz w:val="22"/>
                <w:szCs w:val="22"/>
              </w:rPr>
            </w:pPr>
          </w:p>
        </w:tc>
        <w:tc>
          <w:tcPr>
            <w:tcW w:w="2713" w:type="dxa"/>
            <w:vAlign w:val="center"/>
          </w:tcPr>
          <w:p>
            <w:pPr>
              <w:snapToGrid w:val="0"/>
              <w:spacing w:line="454" w:lineRule="atLeast"/>
              <w:jc w:val="center"/>
              <w:rPr>
                <w:rFonts w:ascii="宋体" w:hAnsi="宋体"/>
                <w:sz w:val="22"/>
                <w:szCs w:val="22"/>
              </w:rPr>
            </w:pPr>
          </w:p>
        </w:tc>
        <w:tc>
          <w:tcPr>
            <w:tcW w:w="888" w:type="dxa"/>
            <w:vAlign w:val="center"/>
          </w:tcPr>
          <w:p>
            <w:pPr>
              <w:snapToGrid w:val="0"/>
              <w:spacing w:line="454" w:lineRule="atLeast"/>
              <w:jc w:val="center"/>
              <w:rPr>
                <w:rFonts w:ascii="宋体" w:hAnsi="宋体"/>
                <w:sz w:val="22"/>
                <w:szCs w:val="22"/>
              </w:rPr>
            </w:pPr>
          </w:p>
        </w:tc>
        <w:tc>
          <w:tcPr>
            <w:tcW w:w="1187" w:type="dxa"/>
            <w:vAlign w:val="center"/>
          </w:tcPr>
          <w:p>
            <w:pPr>
              <w:snapToGrid w:val="0"/>
              <w:spacing w:line="454" w:lineRule="atLeast"/>
              <w:jc w:val="center"/>
              <w:rPr>
                <w:rFonts w:ascii="宋体" w:hAnsi="宋体"/>
                <w:sz w:val="22"/>
                <w:szCs w:val="22"/>
              </w:rPr>
            </w:pPr>
          </w:p>
        </w:tc>
        <w:tc>
          <w:tcPr>
            <w:tcW w:w="1282" w:type="dxa"/>
            <w:vAlign w:val="center"/>
          </w:tcPr>
          <w:p>
            <w:pPr>
              <w:snapToGrid w:val="0"/>
              <w:spacing w:line="454" w:lineRule="atLeast"/>
              <w:jc w:val="center"/>
              <w:rPr>
                <w:rFonts w:ascii="宋体" w:hAnsi="宋体"/>
                <w:sz w:val="22"/>
                <w:szCs w:val="22"/>
              </w:rPr>
            </w:pPr>
          </w:p>
        </w:tc>
        <w:tc>
          <w:tcPr>
            <w:tcW w:w="1203" w:type="dxa"/>
            <w:vAlign w:val="center"/>
          </w:tcPr>
          <w:p>
            <w:pPr>
              <w:snapToGrid w:val="0"/>
              <w:spacing w:line="454"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16" w:type="dxa"/>
          </w:tcPr>
          <w:p>
            <w:pPr>
              <w:snapToGrid w:val="0"/>
              <w:spacing w:line="454" w:lineRule="atLeast"/>
              <w:jc w:val="center"/>
              <w:rPr>
                <w:rFonts w:asciiTheme="minorEastAsia" w:hAnsiTheme="minorEastAsia"/>
                <w:szCs w:val="21"/>
              </w:rPr>
            </w:pPr>
            <w:r>
              <w:rPr>
                <w:rFonts w:hint="eastAsia" w:asciiTheme="minorEastAsia" w:hAnsiTheme="minorEastAsia"/>
                <w:szCs w:val="21"/>
              </w:rPr>
              <w:t>4</w:t>
            </w:r>
          </w:p>
        </w:tc>
        <w:tc>
          <w:tcPr>
            <w:tcW w:w="2267" w:type="dxa"/>
            <w:vAlign w:val="center"/>
          </w:tcPr>
          <w:p>
            <w:pPr>
              <w:snapToGrid w:val="0"/>
              <w:spacing w:line="454" w:lineRule="atLeast"/>
              <w:jc w:val="center"/>
              <w:rPr>
                <w:rFonts w:ascii="宋体" w:hAnsi="宋体"/>
                <w:sz w:val="22"/>
                <w:szCs w:val="22"/>
              </w:rPr>
            </w:pPr>
          </w:p>
        </w:tc>
        <w:tc>
          <w:tcPr>
            <w:tcW w:w="2713" w:type="dxa"/>
            <w:vAlign w:val="center"/>
          </w:tcPr>
          <w:p>
            <w:pPr>
              <w:snapToGrid w:val="0"/>
              <w:spacing w:line="454" w:lineRule="atLeast"/>
              <w:jc w:val="center"/>
              <w:rPr>
                <w:rFonts w:ascii="宋体" w:hAnsi="宋体"/>
                <w:sz w:val="22"/>
                <w:szCs w:val="22"/>
              </w:rPr>
            </w:pPr>
          </w:p>
        </w:tc>
        <w:tc>
          <w:tcPr>
            <w:tcW w:w="888" w:type="dxa"/>
            <w:vAlign w:val="center"/>
          </w:tcPr>
          <w:p>
            <w:pPr>
              <w:snapToGrid w:val="0"/>
              <w:spacing w:line="454" w:lineRule="atLeast"/>
              <w:jc w:val="center"/>
              <w:rPr>
                <w:rFonts w:ascii="宋体" w:hAnsi="宋体"/>
                <w:sz w:val="22"/>
                <w:szCs w:val="22"/>
              </w:rPr>
            </w:pPr>
          </w:p>
        </w:tc>
        <w:tc>
          <w:tcPr>
            <w:tcW w:w="1187" w:type="dxa"/>
            <w:vAlign w:val="center"/>
          </w:tcPr>
          <w:p>
            <w:pPr>
              <w:snapToGrid w:val="0"/>
              <w:spacing w:line="454" w:lineRule="atLeast"/>
              <w:jc w:val="center"/>
              <w:rPr>
                <w:rFonts w:ascii="宋体" w:hAnsi="宋体"/>
                <w:sz w:val="22"/>
                <w:szCs w:val="22"/>
              </w:rPr>
            </w:pPr>
          </w:p>
        </w:tc>
        <w:tc>
          <w:tcPr>
            <w:tcW w:w="1282" w:type="dxa"/>
            <w:vAlign w:val="center"/>
          </w:tcPr>
          <w:p>
            <w:pPr>
              <w:snapToGrid w:val="0"/>
              <w:spacing w:line="454" w:lineRule="atLeast"/>
              <w:rPr>
                <w:rFonts w:ascii="宋体" w:hAnsi="宋体"/>
                <w:sz w:val="22"/>
                <w:szCs w:val="22"/>
              </w:rPr>
            </w:pPr>
          </w:p>
        </w:tc>
        <w:tc>
          <w:tcPr>
            <w:tcW w:w="1203" w:type="dxa"/>
            <w:vAlign w:val="center"/>
          </w:tcPr>
          <w:p>
            <w:pPr>
              <w:snapToGrid w:val="0"/>
              <w:spacing w:line="454"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16" w:type="dxa"/>
          </w:tcPr>
          <w:p>
            <w:pPr>
              <w:snapToGrid w:val="0"/>
              <w:spacing w:line="454" w:lineRule="atLeast"/>
              <w:jc w:val="center"/>
              <w:rPr>
                <w:rFonts w:asciiTheme="minorEastAsia" w:hAnsiTheme="minorEastAsia"/>
                <w:szCs w:val="21"/>
              </w:rPr>
            </w:pPr>
            <w:r>
              <w:rPr>
                <w:rFonts w:hint="eastAsia" w:asciiTheme="minorEastAsia" w:hAnsiTheme="minorEastAsia"/>
                <w:szCs w:val="21"/>
              </w:rPr>
              <w:t>5</w:t>
            </w:r>
          </w:p>
        </w:tc>
        <w:tc>
          <w:tcPr>
            <w:tcW w:w="2267" w:type="dxa"/>
            <w:vAlign w:val="center"/>
          </w:tcPr>
          <w:p>
            <w:pPr>
              <w:snapToGrid w:val="0"/>
              <w:spacing w:line="454" w:lineRule="atLeast"/>
              <w:jc w:val="center"/>
              <w:rPr>
                <w:rFonts w:ascii="宋体" w:hAnsi="宋体"/>
                <w:sz w:val="22"/>
                <w:szCs w:val="22"/>
              </w:rPr>
            </w:pPr>
          </w:p>
        </w:tc>
        <w:tc>
          <w:tcPr>
            <w:tcW w:w="2713" w:type="dxa"/>
            <w:vAlign w:val="center"/>
          </w:tcPr>
          <w:p>
            <w:pPr>
              <w:snapToGrid w:val="0"/>
              <w:spacing w:line="454" w:lineRule="atLeast"/>
              <w:jc w:val="center"/>
              <w:rPr>
                <w:rFonts w:ascii="宋体" w:hAnsi="宋体"/>
                <w:sz w:val="22"/>
                <w:szCs w:val="22"/>
              </w:rPr>
            </w:pPr>
          </w:p>
        </w:tc>
        <w:tc>
          <w:tcPr>
            <w:tcW w:w="888" w:type="dxa"/>
            <w:vAlign w:val="center"/>
          </w:tcPr>
          <w:p>
            <w:pPr>
              <w:snapToGrid w:val="0"/>
              <w:spacing w:line="454" w:lineRule="atLeast"/>
              <w:jc w:val="center"/>
              <w:rPr>
                <w:rFonts w:ascii="宋体" w:hAnsi="宋体"/>
                <w:sz w:val="22"/>
                <w:szCs w:val="22"/>
              </w:rPr>
            </w:pPr>
          </w:p>
        </w:tc>
        <w:tc>
          <w:tcPr>
            <w:tcW w:w="1187" w:type="dxa"/>
            <w:vAlign w:val="center"/>
          </w:tcPr>
          <w:p>
            <w:pPr>
              <w:snapToGrid w:val="0"/>
              <w:spacing w:line="454" w:lineRule="atLeast"/>
              <w:rPr>
                <w:rFonts w:ascii="宋体" w:hAnsi="宋体"/>
                <w:sz w:val="22"/>
                <w:szCs w:val="22"/>
              </w:rPr>
            </w:pPr>
          </w:p>
        </w:tc>
        <w:tc>
          <w:tcPr>
            <w:tcW w:w="1282" w:type="dxa"/>
            <w:vAlign w:val="center"/>
          </w:tcPr>
          <w:p>
            <w:pPr>
              <w:snapToGrid w:val="0"/>
              <w:spacing w:line="454" w:lineRule="atLeast"/>
              <w:rPr>
                <w:rFonts w:ascii="宋体" w:hAnsi="宋体"/>
                <w:sz w:val="22"/>
                <w:szCs w:val="22"/>
              </w:rPr>
            </w:pPr>
          </w:p>
        </w:tc>
        <w:tc>
          <w:tcPr>
            <w:tcW w:w="1203" w:type="dxa"/>
            <w:vAlign w:val="center"/>
          </w:tcPr>
          <w:p>
            <w:pPr>
              <w:snapToGrid w:val="0"/>
              <w:spacing w:line="454"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056" w:type="dxa"/>
            <w:gridSpan w:val="7"/>
          </w:tcPr>
          <w:p>
            <w:pPr>
              <w:tabs>
                <w:tab w:val="left" w:pos="2038"/>
              </w:tabs>
              <w:rPr>
                <w:sz w:val="22"/>
                <w:szCs w:val="22"/>
              </w:rPr>
            </w:pPr>
            <w:r>
              <w:rPr>
                <w:rFonts w:hint="eastAsia"/>
                <w:sz w:val="22"/>
                <w:szCs w:val="22"/>
              </w:rPr>
              <w:t>人民币合计：</w:t>
            </w:r>
          </w:p>
          <w:p>
            <w:pPr>
              <w:tabs>
                <w:tab w:val="left" w:pos="2038"/>
              </w:tabs>
              <w:rPr>
                <w:sz w:val="22"/>
                <w:szCs w:val="22"/>
              </w:rPr>
            </w:pPr>
            <w:r>
              <w:rPr>
                <w:rFonts w:hint="eastAsia"/>
                <w:sz w:val="22"/>
                <w:szCs w:val="22"/>
              </w:rPr>
              <w:t>小写：</w:t>
            </w:r>
            <w:r>
              <w:rPr>
                <w:rFonts w:hint="eastAsia"/>
                <w:sz w:val="22"/>
                <w:szCs w:val="22"/>
                <w:u w:val="single"/>
              </w:rPr>
              <w:t xml:space="preserve">            </w:t>
            </w:r>
          </w:p>
          <w:p>
            <w:pPr>
              <w:tabs>
                <w:tab w:val="left" w:pos="4086"/>
              </w:tabs>
              <w:snapToGrid w:val="0"/>
              <w:spacing w:line="454" w:lineRule="atLeast"/>
              <w:rPr>
                <w:rFonts w:ascii="宋体" w:hAnsi="宋体"/>
                <w:sz w:val="22"/>
                <w:szCs w:val="22"/>
              </w:rPr>
            </w:pPr>
            <w:r>
              <w:rPr>
                <w:rFonts w:hint="eastAsia"/>
                <w:sz w:val="22"/>
                <w:szCs w:val="22"/>
              </w:rPr>
              <w:t>大写：</w:t>
            </w:r>
            <w:r>
              <w:rPr>
                <w:rFonts w:hint="eastAsia"/>
                <w:sz w:val="22"/>
                <w:szCs w:val="22"/>
                <w:u w:val="single"/>
              </w:rPr>
              <w:t xml:space="preserve">             </w:t>
            </w:r>
          </w:p>
        </w:tc>
      </w:tr>
    </w:tbl>
    <w:p>
      <w:pPr>
        <w:pStyle w:val="15"/>
        <w:snapToGrid w:val="0"/>
        <w:spacing w:line="454" w:lineRule="atLeast"/>
        <w:rPr>
          <w:rFonts w:hAnsi="宋体"/>
          <w:b/>
          <w:bCs/>
          <w:sz w:val="22"/>
          <w:szCs w:val="22"/>
        </w:rPr>
      </w:pPr>
      <w:r>
        <w:rPr>
          <w:rFonts w:hint="eastAsia" w:hAnsi="宋体"/>
          <w:b/>
          <w:bCs/>
          <w:sz w:val="22"/>
          <w:szCs w:val="22"/>
        </w:rPr>
        <w:t>第三条  质量标准和要求</w:t>
      </w:r>
    </w:p>
    <w:p>
      <w:pPr>
        <w:snapToGrid w:val="0"/>
        <w:spacing w:line="454" w:lineRule="atLeast"/>
        <w:ind w:firstLine="420"/>
        <w:rPr>
          <w:rFonts w:ascii="宋体" w:hAnsi="宋体"/>
          <w:sz w:val="22"/>
          <w:szCs w:val="22"/>
        </w:rPr>
      </w:pPr>
      <w:r>
        <w:rPr>
          <w:rFonts w:hint="eastAsia" w:ascii="宋体" w:hAnsi="宋体"/>
          <w:sz w:val="22"/>
          <w:szCs w:val="22"/>
        </w:rPr>
        <w:t>1、</w:t>
      </w:r>
      <w:r>
        <w:rPr>
          <w:rFonts w:hint="eastAsia" w:hAnsi="宋体"/>
          <w:sz w:val="22"/>
          <w:szCs w:val="22"/>
        </w:rPr>
        <w:t>乙方</w:t>
      </w:r>
      <w:r>
        <w:rPr>
          <w:rFonts w:hint="eastAsia" w:ascii="宋体" w:hAnsi="宋体"/>
          <w:sz w:val="22"/>
          <w:szCs w:val="22"/>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54" w:lineRule="atLeast"/>
        <w:ind w:firstLine="420"/>
        <w:rPr>
          <w:rFonts w:hAnsi="宋体"/>
          <w:sz w:val="22"/>
          <w:szCs w:val="22"/>
        </w:rPr>
      </w:pPr>
      <w:r>
        <w:rPr>
          <w:rFonts w:hint="eastAsia" w:hAnsi="宋体"/>
          <w:sz w:val="22"/>
          <w:szCs w:val="22"/>
        </w:rPr>
        <w:t>2、乙方所出售的货物还应符合国家和浙江省有关安全、医疗、卫生之规定。</w:t>
      </w:r>
    </w:p>
    <w:p>
      <w:pPr>
        <w:snapToGrid w:val="0"/>
        <w:spacing w:line="454" w:lineRule="atLeast"/>
        <w:rPr>
          <w:rFonts w:ascii="宋体" w:hAnsi="宋体"/>
          <w:b/>
          <w:bCs/>
          <w:sz w:val="22"/>
          <w:szCs w:val="22"/>
        </w:rPr>
      </w:pPr>
      <w:r>
        <w:rPr>
          <w:rFonts w:hint="eastAsia" w:hAnsi="宋体"/>
          <w:b/>
          <w:bCs/>
          <w:sz w:val="22"/>
          <w:szCs w:val="22"/>
        </w:rPr>
        <w:t xml:space="preserve">第四条  </w:t>
      </w:r>
      <w:r>
        <w:rPr>
          <w:rFonts w:hint="eastAsia" w:ascii="宋体" w:hAnsi="宋体"/>
          <w:b/>
          <w:bCs/>
          <w:sz w:val="22"/>
          <w:szCs w:val="22"/>
        </w:rPr>
        <w:t>权利瑕疵担保</w:t>
      </w:r>
    </w:p>
    <w:p>
      <w:pPr>
        <w:snapToGrid w:val="0"/>
        <w:spacing w:line="454" w:lineRule="atLeast"/>
        <w:ind w:firstLine="420"/>
        <w:rPr>
          <w:rFonts w:ascii="宋体" w:hAnsi="宋体"/>
          <w:sz w:val="22"/>
          <w:szCs w:val="22"/>
        </w:rPr>
      </w:pPr>
      <w:r>
        <w:rPr>
          <w:rFonts w:hint="eastAsia" w:ascii="宋体" w:hAnsi="宋体"/>
          <w:sz w:val="22"/>
          <w:szCs w:val="22"/>
        </w:rPr>
        <w:t>1、</w:t>
      </w:r>
      <w:r>
        <w:rPr>
          <w:rFonts w:hint="eastAsia" w:hAnsi="宋体"/>
          <w:sz w:val="22"/>
          <w:szCs w:val="22"/>
        </w:rPr>
        <w:t>乙方</w:t>
      </w:r>
      <w:r>
        <w:rPr>
          <w:rFonts w:hint="eastAsia" w:ascii="宋体" w:hAnsi="宋体"/>
          <w:sz w:val="22"/>
          <w:szCs w:val="22"/>
        </w:rPr>
        <w:t>保证对其出售的货物享有合法的权利。</w:t>
      </w:r>
    </w:p>
    <w:p>
      <w:pPr>
        <w:snapToGrid w:val="0"/>
        <w:spacing w:line="454" w:lineRule="atLeast"/>
        <w:ind w:firstLine="420"/>
        <w:rPr>
          <w:rFonts w:ascii="宋体" w:hAnsi="宋体"/>
          <w:sz w:val="22"/>
          <w:szCs w:val="22"/>
        </w:rPr>
      </w:pPr>
      <w:r>
        <w:rPr>
          <w:rFonts w:hint="eastAsia" w:ascii="宋体" w:hAnsi="宋体"/>
          <w:sz w:val="22"/>
          <w:szCs w:val="22"/>
        </w:rPr>
        <w:t>2、</w:t>
      </w:r>
      <w:r>
        <w:rPr>
          <w:rFonts w:hint="eastAsia" w:hAnsi="宋体"/>
          <w:sz w:val="22"/>
          <w:szCs w:val="22"/>
        </w:rPr>
        <w:t>乙方</w:t>
      </w:r>
      <w:r>
        <w:rPr>
          <w:rFonts w:hint="eastAsia" w:ascii="宋体" w:hAnsi="宋体"/>
          <w:sz w:val="22"/>
          <w:szCs w:val="22"/>
        </w:rPr>
        <w:t>保证在其出售的货物上不存在任何未曾向甲方透露的担保物权，如抵押权、质押权、留置权等。</w:t>
      </w:r>
    </w:p>
    <w:p>
      <w:pPr>
        <w:snapToGrid w:val="0"/>
        <w:spacing w:line="454" w:lineRule="atLeast"/>
        <w:ind w:firstLine="420"/>
        <w:rPr>
          <w:rFonts w:ascii="宋体" w:hAnsi="宋体"/>
          <w:sz w:val="22"/>
          <w:szCs w:val="22"/>
        </w:rPr>
      </w:pPr>
      <w:r>
        <w:rPr>
          <w:rFonts w:hint="eastAsia" w:ascii="宋体" w:hAnsi="宋体"/>
          <w:sz w:val="22"/>
          <w:szCs w:val="22"/>
        </w:rPr>
        <w:t>3、</w:t>
      </w:r>
      <w:r>
        <w:rPr>
          <w:rFonts w:hint="eastAsia" w:hAnsi="宋体"/>
          <w:sz w:val="22"/>
          <w:szCs w:val="22"/>
        </w:rPr>
        <w:t>乙方</w:t>
      </w:r>
      <w:r>
        <w:rPr>
          <w:rFonts w:hint="eastAsia" w:ascii="宋体" w:hAnsi="宋体"/>
          <w:sz w:val="22"/>
          <w:szCs w:val="22"/>
        </w:rPr>
        <w:t>保证其所出售的货物没有侵犯任何第三人的知识产权和商业秘密等权利。</w:t>
      </w:r>
    </w:p>
    <w:p>
      <w:pPr>
        <w:pStyle w:val="15"/>
        <w:snapToGrid w:val="0"/>
        <w:spacing w:line="454" w:lineRule="atLeast"/>
        <w:ind w:firstLine="418" w:firstLineChars="190"/>
        <w:rPr>
          <w:rFonts w:hAnsi="宋体"/>
          <w:sz w:val="22"/>
          <w:szCs w:val="22"/>
        </w:rPr>
      </w:pPr>
      <w:r>
        <w:rPr>
          <w:rFonts w:hint="eastAsia" w:hAnsi="宋体"/>
          <w:sz w:val="22"/>
          <w:szCs w:val="22"/>
        </w:rPr>
        <w:t>4、如甲方使用该货物构成上述侵权的，则由乙方承担全部责任。</w:t>
      </w:r>
    </w:p>
    <w:p>
      <w:pPr>
        <w:pStyle w:val="15"/>
        <w:snapToGrid w:val="0"/>
        <w:spacing w:line="440" w:lineRule="atLeast"/>
        <w:rPr>
          <w:rFonts w:hAnsi="宋体" w:cs="仿宋_GB2312"/>
          <w:b/>
          <w:bCs/>
          <w:sz w:val="22"/>
          <w:szCs w:val="22"/>
        </w:rPr>
      </w:pPr>
      <w:r>
        <w:rPr>
          <w:rFonts w:hint="eastAsia" w:hAnsi="宋体" w:cs="仿宋_GB2312"/>
          <w:b/>
          <w:bCs/>
          <w:sz w:val="22"/>
          <w:szCs w:val="22"/>
        </w:rPr>
        <w:t>第五条  包装要求</w:t>
      </w:r>
    </w:p>
    <w:p>
      <w:pPr>
        <w:pStyle w:val="15"/>
        <w:snapToGrid w:val="0"/>
        <w:spacing w:line="440" w:lineRule="atLeast"/>
        <w:ind w:firstLine="220" w:firstLineChars="100"/>
        <w:rPr>
          <w:rFonts w:hAnsi="宋体" w:cs="仿宋_GB2312"/>
          <w:sz w:val="22"/>
          <w:szCs w:val="22"/>
        </w:rPr>
      </w:pPr>
      <w:r>
        <w:rPr>
          <w:rFonts w:hint="eastAsia" w:hAnsi="宋体" w:cs="仿宋_GB2312"/>
          <w:sz w:val="22"/>
          <w:szCs w:val="22"/>
        </w:rPr>
        <w:t xml:space="preserve">  1、乙方所出售的全部货物均应按标准保护措施进行包装，这类包装应适应于远距离运输、防潮、防震、防锈和防野蛮装卸等要求，以确保货物安全无损地运抵指定现场。</w:t>
      </w:r>
    </w:p>
    <w:p>
      <w:pPr>
        <w:pStyle w:val="15"/>
        <w:snapToGrid w:val="0"/>
        <w:spacing w:line="440" w:lineRule="atLeast"/>
        <w:ind w:firstLine="482"/>
        <w:rPr>
          <w:rFonts w:hAnsi="宋体" w:cs="仿宋_GB2312"/>
          <w:sz w:val="22"/>
          <w:szCs w:val="22"/>
        </w:rPr>
      </w:pPr>
      <w:r>
        <w:rPr>
          <w:rFonts w:hint="eastAsia" w:hAnsi="宋体" w:cs="仿宋_GB2312"/>
          <w:sz w:val="22"/>
          <w:szCs w:val="22"/>
        </w:rPr>
        <w:t xml:space="preserve"> 2、每一个包装箱内应附一份详细装箱单、质量证书和生产合格证。</w:t>
      </w:r>
    </w:p>
    <w:p>
      <w:pPr>
        <w:pStyle w:val="15"/>
        <w:snapToGrid w:val="0"/>
        <w:spacing w:line="440" w:lineRule="atLeast"/>
        <w:rPr>
          <w:rFonts w:hAnsi="宋体" w:cs="仿宋_GB2312"/>
          <w:b/>
          <w:bCs/>
          <w:sz w:val="22"/>
          <w:szCs w:val="22"/>
        </w:rPr>
      </w:pPr>
      <w:r>
        <w:rPr>
          <w:rFonts w:hint="eastAsia" w:hAnsi="宋体" w:cs="仿宋_GB2312"/>
          <w:b/>
          <w:bCs/>
          <w:sz w:val="22"/>
          <w:szCs w:val="22"/>
        </w:rPr>
        <w:t>第六条  交货及完工期</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合同签订后7日内全部到货。</w:t>
      </w:r>
    </w:p>
    <w:p>
      <w:pPr>
        <w:pStyle w:val="15"/>
        <w:snapToGrid w:val="0"/>
        <w:spacing w:line="440" w:lineRule="atLeast"/>
        <w:rPr>
          <w:rFonts w:hAnsi="宋体" w:cs="仿宋_GB2312"/>
          <w:b/>
          <w:bCs/>
          <w:sz w:val="22"/>
          <w:szCs w:val="22"/>
        </w:rPr>
      </w:pPr>
      <w:r>
        <w:rPr>
          <w:rFonts w:hint="eastAsia" w:hAnsi="宋体" w:cs="仿宋_GB2312"/>
          <w:b/>
          <w:bCs/>
          <w:sz w:val="22"/>
          <w:szCs w:val="22"/>
        </w:rPr>
        <w:t>第七条  验收</w:t>
      </w:r>
    </w:p>
    <w:p>
      <w:pPr>
        <w:pStyle w:val="15"/>
        <w:snapToGrid w:val="0"/>
        <w:spacing w:line="440" w:lineRule="atLeast"/>
        <w:ind w:firstLine="482"/>
        <w:rPr>
          <w:rFonts w:hAnsi="宋体" w:eastAsia="宋体" w:cs="仿宋_GB2312"/>
          <w:sz w:val="22"/>
          <w:szCs w:val="22"/>
        </w:rPr>
      </w:pPr>
      <w:r>
        <w:rPr>
          <w:rFonts w:hint="eastAsia" w:hAnsi="宋体" w:cs="仿宋_GB2312"/>
          <w:sz w:val="22"/>
          <w:szCs w:val="22"/>
        </w:rPr>
        <w:t>1、乙方送货至指定地点后，由甲方根据货物的技术规格要求和质量标准，对货物进行检查验收，验收费用由乙方承担。</w:t>
      </w:r>
    </w:p>
    <w:p>
      <w:pPr>
        <w:pStyle w:val="15"/>
        <w:snapToGrid w:val="0"/>
        <w:spacing w:line="440" w:lineRule="atLeast"/>
        <w:ind w:firstLine="482"/>
        <w:rPr>
          <w:rFonts w:hAnsi="宋体" w:cs="仿宋_GB2312"/>
          <w:sz w:val="22"/>
          <w:szCs w:val="22"/>
        </w:rPr>
      </w:pPr>
      <w:r>
        <w:rPr>
          <w:rFonts w:hint="eastAsia" w:hAnsi="宋体" w:cs="仿宋_GB2312"/>
          <w:sz w:val="22"/>
          <w:szCs w:val="22"/>
        </w:rPr>
        <w:t>2、货物的数量不足或表面瑕疵，甲方应在验收时当面提出；对质量问题有异议的应在货物送达后10个工作日内提出。</w:t>
      </w:r>
    </w:p>
    <w:p>
      <w:pPr>
        <w:pStyle w:val="15"/>
        <w:snapToGrid w:val="0"/>
        <w:spacing w:line="440" w:lineRule="atLeast"/>
        <w:ind w:firstLine="482"/>
        <w:rPr>
          <w:rFonts w:hAnsi="宋体" w:cs="仿宋_GB2312"/>
          <w:sz w:val="22"/>
          <w:szCs w:val="22"/>
        </w:rPr>
      </w:pPr>
      <w:r>
        <w:rPr>
          <w:rFonts w:hint="eastAsia" w:hAnsi="宋体" w:cs="仿宋_GB2312"/>
          <w:sz w:val="22"/>
          <w:szCs w:val="22"/>
        </w:rPr>
        <w:t>3、在验收过程中发现数量不足或有质量、技术以及和业主实际需求不相符等问题，乙方应负责按照甲方的要求采取补足、更换或退货等处理措施，并承担由此发生的一切费用和损失。</w:t>
      </w:r>
    </w:p>
    <w:p>
      <w:pPr>
        <w:pStyle w:val="15"/>
        <w:snapToGrid w:val="0"/>
        <w:spacing w:line="440" w:lineRule="atLeast"/>
        <w:ind w:firstLine="482"/>
        <w:rPr>
          <w:rFonts w:hAnsi="宋体" w:cs="仿宋_GB2312"/>
          <w:sz w:val="22"/>
          <w:szCs w:val="22"/>
        </w:rPr>
      </w:pPr>
      <w:r>
        <w:rPr>
          <w:rFonts w:hint="eastAsia" w:hAnsi="宋体" w:cs="仿宋_GB2312"/>
          <w:sz w:val="22"/>
          <w:szCs w:val="22"/>
        </w:rPr>
        <w:t>4、甲方人在乙方按合同规定交货后，无正当理由而拖延接收、验收或拒绝接收、验收的，应承担由此而造成的乙方直接损失由甲方负责相应赔偿。</w:t>
      </w:r>
    </w:p>
    <w:p>
      <w:pPr>
        <w:widowControl/>
        <w:autoSpaceDE w:val="0"/>
        <w:autoSpaceDN w:val="0"/>
        <w:adjustRightInd w:val="0"/>
        <w:snapToGrid w:val="0"/>
        <w:spacing w:line="360" w:lineRule="auto"/>
        <w:ind w:firstLine="420" w:firstLineChars="191"/>
        <w:textAlignment w:val="bottom"/>
        <w:rPr>
          <w:color w:val="000000"/>
          <w:sz w:val="22"/>
          <w:szCs w:val="22"/>
        </w:rPr>
      </w:pPr>
      <w:r>
        <w:rPr>
          <w:rFonts w:hint="eastAsia" w:hAnsi="宋体" w:cs="仿宋_GB2312"/>
          <w:sz w:val="22"/>
          <w:szCs w:val="22"/>
        </w:rPr>
        <w:t>5、</w:t>
      </w:r>
      <w:r>
        <w:rPr>
          <w:rFonts w:hint="eastAsia"/>
          <w:color w:val="000000"/>
          <w:sz w:val="22"/>
          <w:szCs w:val="22"/>
        </w:rPr>
        <w:t>按采购人要求运输到指定仓库由中标供应商负责卸货及搬运，</w:t>
      </w:r>
      <w:r>
        <w:rPr>
          <w:rFonts w:hint="eastAsia" w:eastAsia="宋体"/>
          <w:color w:val="000000"/>
          <w:sz w:val="22"/>
          <w:szCs w:val="22"/>
        </w:rPr>
        <w:t>运输</w:t>
      </w:r>
      <w:r>
        <w:rPr>
          <w:rFonts w:hint="eastAsia"/>
          <w:color w:val="000000"/>
          <w:sz w:val="22"/>
          <w:szCs w:val="22"/>
        </w:rPr>
        <w:t>过程中发生的费用由中标供应商负责。</w:t>
      </w:r>
    </w:p>
    <w:p>
      <w:pPr>
        <w:widowControl/>
        <w:autoSpaceDE w:val="0"/>
        <w:autoSpaceDN w:val="0"/>
        <w:adjustRightInd w:val="0"/>
        <w:snapToGrid w:val="0"/>
        <w:spacing w:line="360" w:lineRule="auto"/>
        <w:ind w:firstLine="420" w:firstLineChars="191"/>
        <w:textAlignment w:val="bottom"/>
        <w:rPr>
          <w:rFonts w:hAnsi="宋体" w:cs="仿宋_GB2312"/>
          <w:sz w:val="22"/>
          <w:szCs w:val="22"/>
        </w:rPr>
      </w:pPr>
      <w:r>
        <w:rPr>
          <w:rFonts w:hint="eastAsia" w:hAnsi="宋体" w:cs="仿宋_GB2312"/>
          <w:sz w:val="22"/>
          <w:szCs w:val="22"/>
        </w:rPr>
        <w:t>6、如组织验收3次均未达到验收标准，（验收标准为招标文件和供应商投标文件参数要求）甲方有权解除合同。乙方应在收到甲方解除合同的通知三日内退还未履行部分的款项，并承担因此给甲方的造成的所有损失。</w:t>
      </w:r>
    </w:p>
    <w:p>
      <w:pPr>
        <w:widowControl/>
        <w:autoSpaceDE w:val="0"/>
        <w:autoSpaceDN w:val="0"/>
        <w:adjustRightInd w:val="0"/>
        <w:snapToGrid w:val="0"/>
        <w:spacing w:line="360" w:lineRule="auto"/>
        <w:ind w:firstLine="420" w:firstLineChars="191"/>
        <w:textAlignment w:val="bottom"/>
      </w:pPr>
      <w:r>
        <w:rPr>
          <w:rFonts w:hint="eastAsia" w:hAnsi="宋体" w:cs="仿宋_GB2312"/>
          <w:sz w:val="22"/>
          <w:szCs w:val="22"/>
        </w:rPr>
        <w:t>7、供应商</w:t>
      </w:r>
      <w:r>
        <w:rPr>
          <w:rFonts w:hint="eastAsia"/>
          <w:color w:val="000000"/>
          <w:sz w:val="22"/>
          <w:szCs w:val="22"/>
        </w:rPr>
        <w:t>负责、运输、装卸、就位、安装、调试、检验、通过验收费用，全部包含在供应商投标总价中。</w:t>
      </w:r>
    </w:p>
    <w:p>
      <w:pPr>
        <w:pStyle w:val="15"/>
        <w:snapToGrid w:val="0"/>
        <w:spacing w:line="440" w:lineRule="atLeast"/>
        <w:rPr>
          <w:rFonts w:hAnsi="宋体" w:cs="仿宋_GB2312"/>
          <w:b/>
          <w:bCs/>
          <w:sz w:val="22"/>
          <w:szCs w:val="22"/>
        </w:rPr>
      </w:pPr>
      <w:r>
        <w:rPr>
          <w:rFonts w:hint="eastAsia" w:hAnsi="宋体" w:cs="仿宋_GB2312"/>
          <w:b/>
          <w:bCs/>
          <w:sz w:val="22"/>
          <w:szCs w:val="22"/>
        </w:rPr>
        <w:t>第八条  售后服务</w:t>
      </w:r>
    </w:p>
    <w:p>
      <w:pPr>
        <w:adjustRightInd w:val="0"/>
        <w:snapToGrid w:val="0"/>
        <w:spacing w:line="360" w:lineRule="auto"/>
        <w:ind w:firstLine="440" w:firstLineChars="200"/>
        <w:jc w:val="left"/>
        <w:rPr>
          <w:rFonts w:hAnsi="宋体" w:cs="仿宋_GB2312"/>
          <w:sz w:val="22"/>
          <w:szCs w:val="22"/>
        </w:rPr>
      </w:pPr>
      <w:r>
        <w:rPr>
          <w:rFonts w:hint="eastAsia" w:ascii="宋体" w:hAnsi="宋体" w:cs="仿宋_GB2312"/>
          <w:sz w:val="22"/>
          <w:szCs w:val="22"/>
        </w:rPr>
        <w:t xml:space="preserve"> 乙方承诺售后服务（包括培训）按照投标承诺的服务计划实施。</w:t>
      </w:r>
    </w:p>
    <w:p>
      <w:pPr>
        <w:pStyle w:val="15"/>
        <w:numPr>
          <w:ilvl w:val="0"/>
          <w:numId w:val="16"/>
        </w:numPr>
        <w:snapToGrid w:val="0"/>
        <w:spacing w:line="440" w:lineRule="atLeast"/>
        <w:ind w:left="-420" w:leftChars="-200" w:firstLine="442" w:firstLineChars="200"/>
        <w:rPr>
          <w:rFonts w:hAnsi="宋体" w:cs="仿宋_GB2312"/>
          <w:b/>
          <w:bCs/>
          <w:sz w:val="22"/>
          <w:szCs w:val="22"/>
        </w:rPr>
      </w:pPr>
      <w:r>
        <w:rPr>
          <w:rFonts w:hint="eastAsia" w:hAnsi="宋体" w:cs="仿宋_GB2312"/>
          <w:b/>
          <w:bCs/>
          <w:sz w:val="22"/>
          <w:szCs w:val="22"/>
        </w:rPr>
        <w:t xml:space="preserve"> 履约保证金及付款方式</w:t>
      </w:r>
      <w:r>
        <w:rPr>
          <w:rFonts w:hint="eastAsia" w:hAnsi="宋体" w:cs="宋体"/>
          <w:bCs/>
          <w:sz w:val="22"/>
        </w:rPr>
        <w:t>（由代建单位支付货款）</w:t>
      </w:r>
    </w:p>
    <w:p>
      <w:pPr>
        <w:numPr>
          <w:ilvl w:val="0"/>
          <w:numId w:val="17"/>
        </w:numPr>
        <w:autoSpaceDE w:val="0"/>
        <w:autoSpaceDN w:val="0"/>
        <w:adjustRightInd w:val="0"/>
        <w:snapToGrid w:val="0"/>
        <w:spacing w:line="360" w:lineRule="auto"/>
        <w:ind w:firstLine="440" w:firstLineChars="200"/>
        <w:textAlignment w:val="bottom"/>
        <w:rPr>
          <w:rFonts w:ascii="宋体" w:hAnsi="宋体" w:cs="宋体"/>
          <w:bCs/>
          <w:sz w:val="22"/>
        </w:rPr>
      </w:pPr>
      <w:r>
        <w:rPr>
          <w:rFonts w:hint="eastAsia"/>
          <w:color w:val="000000"/>
          <w:sz w:val="22"/>
          <w:szCs w:val="22"/>
        </w:rPr>
        <w:t>供应商货物供应完毕并</w:t>
      </w:r>
      <w:r>
        <w:rPr>
          <w:rFonts w:hint="eastAsia" w:ascii="宋体" w:hAnsi="宋体" w:cs="宋体"/>
          <w:bCs/>
          <w:sz w:val="22"/>
        </w:rPr>
        <w:t>安装调试合格</w:t>
      </w:r>
      <w:r>
        <w:rPr>
          <w:rFonts w:hint="eastAsia"/>
          <w:color w:val="000000"/>
          <w:sz w:val="22"/>
          <w:szCs w:val="22"/>
        </w:rPr>
        <w:t>，经</w:t>
      </w:r>
      <w:r>
        <w:rPr>
          <w:rFonts w:hint="eastAsia" w:ascii="宋体" w:hAnsi="宋体" w:cs="宋体"/>
          <w:bCs/>
          <w:sz w:val="22"/>
        </w:rPr>
        <w:t>采购单位验收合格后15个工作日内支付全部货物总价金额的90％，履约验收合格后满</w:t>
      </w:r>
      <w:r>
        <w:rPr>
          <w:rFonts w:hint="eastAsia" w:ascii="宋体" w:hAnsi="宋体" w:cs="宋体"/>
          <w:bCs/>
          <w:sz w:val="22"/>
          <w:lang w:val="en-US" w:eastAsia="zh-CN"/>
        </w:rPr>
        <w:t>12</w:t>
      </w:r>
      <w:r>
        <w:rPr>
          <w:rFonts w:hint="eastAsia" w:ascii="宋体" w:hAnsi="宋体" w:cs="宋体"/>
          <w:bCs/>
          <w:sz w:val="22"/>
        </w:rPr>
        <w:t>个月支付全部货物总价金额剩余10％的尾款。</w:t>
      </w:r>
    </w:p>
    <w:p>
      <w:pPr>
        <w:autoSpaceDE w:val="0"/>
        <w:autoSpaceDN w:val="0"/>
        <w:adjustRightInd w:val="0"/>
        <w:snapToGrid w:val="0"/>
        <w:spacing w:line="360" w:lineRule="auto"/>
        <w:ind w:firstLine="440" w:firstLineChars="200"/>
        <w:textAlignment w:val="bottom"/>
        <w:rPr>
          <w:rFonts w:ascii="Calibri" w:hAnsi="Calibri"/>
          <w:sz w:val="22"/>
          <w:szCs w:val="22"/>
        </w:rPr>
      </w:pPr>
      <w:r>
        <w:rPr>
          <w:rFonts w:hint="eastAsia"/>
          <w:sz w:val="22"/>
          <w:szCs w:val="22"/>
        </w:rPr>
        <w:t>2）合同签订时供应商须提交合同总价1</w:t>
      </w:r>
      <w:r>
        <w:rPr>
          <w:rFonts w:hint="eastAsia" w:ascii="Calibri" w:hAnsi="Calibri"/>
          <w:sz w:val="22"/>
          <w:szCs w:val="22"/>
        </w:rPr>
        <w:t>%至代建单位账户（履约保证金或银行、保险公司出具的等额保函。）</w:t>
      </w:r>
    </w:p>
    <w:p>
      <w:pPr>
        <w:pStyle w:val="15"/>
        <w:snapToGrid w:val="0"/>
        <w:spacing w:line="440" w:lineRule="atLeast"/>
        <w:rPr>
          <w:rFonts w:hAnsi="宋体" w:cs="仿宋_GB2312"/>
          <w:b/>
          <w:bCs/>
          <w:sz w:val="22"/>
          <w:szCs w:val="22"/>
        </w:rPr>
      </w:pPr>
      <w:r>
        <w:rPr>
          <w:rFonts w:hint="eastAsia" w:hAnsi="宋体" w:cs="仿宋_GB2312"/>
          <w:b/>
          <w:bCs/>
          <w:sz w:val="22"/>
          <w:szCs w:val="22"/>
        </w:rPr>
        <w:t>第十条  质量保证</w:t>
      </w:r>
    </w:p>
    <w:p>
      <w:pPr>
        <w:pStyle w:val="15"/>
        <w:snapToGrid w:val="0"/>
        <w:spacing w:line="440" w:lineRule="atLeast"/>
        <w:ind w:firstLine="482"/>
        <w:rPr>
          <w:rFonts w:hAnsi="宋体" w:cs="仿宋_GB2312"/>
          <w:sz w:val="22"/>
          <w:szCs w:val="22"/>
        </w:rPr>
      </w:pPr>
      <w:r>
        <w:rPr>
          <w:rFonts w:hint="eastAsia" w:hAnsi="宋体" w:cs="仿宋_GB2312"/>
          <w:sz w:val="22"/>
          <w:szCs w:val="22"/>
        </w:rPr>
        <w:t>1、乙方应保证所供货物是由投标文件中所提供的制造商生产的产品，而不是其他地方生产的产品，是全新的、未使用过的，并完全符合合同规定的质量、规格和性能的要求。乙方应保证其货物在正确安装、正常使用和保养条件下，在其使用寿命期内应具有满意的性能。乙方应对由于设计、工艺或材料的缺陷而产生的故障负责。</w:t>
      </w:r>
    </w:p>
    <w:p>
      <w:pPr>
        <w:pStyle w:val="15"/>
        <w:snapToGrid w:val="0"/>
        <w:spacing w:line="440" w:lineRule="atLeast"/>
        <w:ind w:firstLine="482"/>
        <w:rPr>
          <w:rFonts w:hAnsi="宋体" w:cs="仿宋_GB2312"/>
          <w:sz w:val="22"/>
          <w:szCs w:val="22"/>
        </w:rPr>
      </w:pPr>
      <w:r>
        <w:rPr>
          <w:rFonts w:hint="eastAsia" w:hAnsi="宋体" w:cs="仿宋_GB2312"/>
          <w:sz w:val="22"/>
          <w:szCs w:val="22"/>
        </w:rPr>
        <w:t>2、在质量保证期内，如果货物的质量或规格与合同不符，或证实货物是有缺陷的，包括潜在的缺陷或使用不符合要求的材料等，甲方可以根据本合同第十二条规定以书面形式向乙方提出补救措施或索赔。</w:t>
      </w:r>
    </w:p>
    <w:p>
      <w:pPr>
        <w:pStyle w:val="15"/>
        <w:snapToGrid w:val="0"/>
        <w:spacing w:line="440" w:lineRule="atLeast"/>
        <w:ind w:firstLine="482"/>
        <w:rPr>
          <w:rFonts w:hAnsi="宋体" w:cs="仿宋_GB2312"/>
          <w:sz w:val="22"/>
          <w:szCs w:val="22"/>
        </w:rPr>
      </w:pPr>
      <w:r>
        <w:rPr>
          <w:rFonts w:hint="eastAsia" w:hAnsi="宋体" w:cs="仿宋_GB2312"/>
          <w:sz w:val="22"/>
          <w:szCs w:val="22"/>
        </w:rPr>
        <w:t>3、乙方在约定的时间内未能弥补缺陷，甲方可采取必要的补救措施，但其风险和费用将由中标人承担，甲方根据合同规定对乙方行使的其他权利不受影响。</w:t>
      </w:r>
    </w:p>
    <w:p>
      <w:pPr>
        <w:pStyle w:val="15"/>
        <w:snapToGrid w:val="0"/>
        <w:spacing w:line="440" w:lineRule="atLeast"/>
        <w:rPr>
          <w:rFonts w:hAnsi="宋体" w:cs="仿宋_GB2312"/>
          <w:b/>
          <w:bCs/>
          <w:sz w:val="22"/>
          <w:szCs w:val="22"/>
        </w:rPr>
      </w:pPr>
      <w:r>
        <w:rPr>
          <w:rFonts w:hint="eastAsia" w:hAnsi="宋体" w:cs="仿宋_GB2312"/>
          <w:b/>
          <w:bCs/>
          <w:sz w:val="22"/>
          <w:szCs w:val="22"/>
        </w:rPr>
        <w:t>第十一条  补救措施和索赔</w:t>
      </w:r>
    </w:p>
    <w:p>
      <w:pPr>
        <w:pStyle w:val="15"/>
        <w:snapToGrid w:val="0"/>
        <w:spacing w:line="440" w:lineRule="atLeast"/>
        <w:ind w:firstLine="482"/>
        <w:rPr>
          <w:rFonts w:hAnsi="宋体" w:cs="仿宋_GB2312"/>
          <w:sz w:val="22"/>
          <w:szCs w:val="22"/>
        </w:rPr>
      </w:pPr>
      <w:r>
        <w:rPr>
          <w:rFonts w:hint="eastAsia" w:hAnsi="宋体" w:cs="仿宋_GB2312"/>
          <w:sz w:val="22"/>
          <w:szCs w:val="22"/>
        </w:rPr>
        <w:t>1、甲方有权根据甲方所在地质量检测部门出具的检验报告向乙方提出索赔。</w:t>
      </w:r>
    </w:p>
    <w:p>
      <w:pPr>
        <w:pStyle w:val="15"/>
        <w:snapToGrid w:val="0"/>
        <w:spacing w:line="440" w:lineRule="atLeast"/>
        <w:ind w:firstLine="482"/>
        <w:rPr>
          <w:rFonts w:hAnsi="宋体" w:cs="仿宋_GB2312"/>
          <w:sz w:val="22"/>
          <w:szCs w:val="22"/>
        </w:rPr>
      </w:pPr>
      <w:r>
        <w:rPr>
          <w:rFonts w:hint="eastAsia" w:hAnsi="宋体" w:cs="仿宋_GB2312"/>
          <w:sz w:val="22"/>
          <w:szCs w:val="22"/>
        </w:rPr>
        <w:t>2、在质量保证期内，如果乙方对缺陷产品负有责任而甲方提出索赔，乙方应按照甲方同意的下列一种或多种方式解决索赔事宜，并且甲方可以收取乙方合同总价20%的违约金：</w:t>
      </w:r>
    </w:p>
    <w:p>
      <w:pPr>
        <w:pStyle w:val="15"/>
        <w:snapToGrid w:val="0"/>
        <w:spacing w:line="440" w:lineRule="atLeast"/>
        <w:ind w:firstLine="482"/>
        <w:rPr>
          <w:rFonts w:hAnsi="宋体" w:cs="仿宋_GB2312"/>
          <w:sz w:val="22"/>
          <w:szCs w:val="22"/>
        </w:rPr>
      </w:pPr>
      <w:r>
        <w:rPr>
          <w:rFonts w:hint="eastAsia" w:hAnsi="宋体" w:cs="仿宋_GB2312"/>
          <w:sz w:val="22"/>
          <w:szCs w:val="22"/>
        </w:rPr>
        <w:t>2.1 乙方退货并将货款退还给甲方，由此发生的一切费用和损失由乙方承担。</w:t>
      </w:r>
    </w:p>
    <w:p>
      <w:pPr>
        <w:pStyle w:val="15"/>
        <w:snapToGrid w:val="0"/>
        <w:spacing w:line="440" w:lineRule="atLeast"/>
        <w:ind w:firstLine="482"/>
        <w:rPr>
          <w:rFonts w:hAnsi="宋体" w:cs="仿宋_GB2312"/>
          <w:sz w:val="22"/>
          <w:szCs w:val="22"/>
        </w:rPr>
      </w:pPr>
      <w:r>
        <w:rPr>
          <w:rFonts w:hint="eastAsia" w:hAnsi="宋体" w:cs="仿宋_GB2312"/>
          <w:sz w:val="22"/>
          <w:szCs w:val="22"/>
        </w:rPr>
        <w:t>2.2根据货物的质量状况以及甲方所遭受的损失，经过甲乙双方商定降低货物的价格。</w:t>
      </w:r>
    </w:p>
    <w:p>
      <w:pPr>
        <w:pStyle w:val="15"/>
        <w:snapToGrid w:val="0"/>
        <w:spacing w:line="440" w:lineRule="atLeast"/>
        <w:ind w:firstLine="482"/>
        <w:rPr>
          <w:rFonts w:hAnsi="宋体" w:cs="仿宋_GB2312"/>
          <w:sz w:val="22"/>
          <w:szCs w:val="22"/>
        </w:rPr>
      </w:pPr>
      <w:r>
        <w:rPr>
          <w:rFonts w:hint="eastAsia" w:hAnsi="宋体" w:cs="仿宋_GB2312"/>
          <w:sz w:val="22"/>
          <w:szCs w:val="22"/>
        </w:rPr>
        <w:t>2.3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pStyle w:val="15"/>
        <w:snapToGrid w:val="0"/>
        <w:spacing w:line="440" w:lineRule="atLeast"/>
        <w:ind w:firstLine="482"/>
        <w:rPr>
          <w:rFonts w:hAnsi="宋体" w:cs="仿宋_GB2312"/>
          <w:sz w:val="22"/>
          <w:szCs w:val="22"/>
        </w:rPr>
      </w:pPr>
      <w:r>
        <w:rPr>
          <w:rFonts w:hint="eastAsia" w:hAnsi="宋体" w:cs="仿宋_GB2312"/>
          <w:sz w:val="22"/>
          <w:szCs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pStyle w:val="15"/>
        <w:snapToGrid w:val="0"/>
        <w:spacing w:line="440" w:lineRule="atLeast"/>
        <w:rPr>
          <w:rFonts w:hAnsi="宋体" w:cs="仿宋_GB2312"/>
          <w:b/>
          <w:bCs/>
          <w:sz w:val="22"/>
          <w:szCs w:val="22"/>
        </w:rPr>
      </w:pPr>
      <w:r>
        <w:rPr>
          <w:rFonts w:hint="eastAsia" w:hAnsi="宋体" w:cs="仿宋_GB2312"/>
          <w:b/>
          <w:bCs/>
          <w:sz w:val="22"/>
          <w:szCs w:val="22"/>
        </w:rPr>
        <w:t>第十二条  履约延误</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1、中标人应按照《合同》规定的时间、地点交货和提供服务。</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3、如甲方不同意乙方延期交货，经协商无效,甲方有权追究乙方的违约责任。延期交货违约责任按每延期一天罚款壹万元处理，如果超出合同规定期限30天仍不能供货，则甲方可以终止合同，投标人须无条件退回货款，同时甲方可以收取乙方合同总价20%的违约金。</w:t>
      </w:r>
    </w:p>
    <w:p>
      <w:pPr>
        <w:pStyle w:val="15"/>
        <w:snapToGrid w:val="0"/>
        <w:spacing w:line="440" w:lineRule="atLeast"/>
        <w:rPr>
          <w:rFonts w:hAnsi="宋体" w:cs="仿宋_GB2312"/>
          <w:b/>
          <w:bCs/>
          <w:sz w:val="22"/>
          <w:szCs w:val="22"/>
        </w:rPr>
      </w:pPr>
      <w:r>
        <w:rPr>
          <w:rFonts w:hint="eastAsia" w:hAnsi="宋体" w:cs="仿宋_GB2312"/>
          <w:b/>
          <w:bCs/>
          <w:sz w:val="22"/>
          <w:szCs w:val="22"/>
        </w:rPr>
        <w:t>第十三条  不可抗力</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1、如果合同各方因不可抗力而导致合同实施延误或不能履行合同义务的话，不应该承担误期赔偿或不能履行合同义务的责任。</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5"/>
        <w:snapToGrid w:val="0"/>
        <w:spacing w:line="440" w:lineRule="atLeast"/>
        <w:rPr>
          <w:rFonts w:hAnsi="宋体" w:cs="仿宋_GB2312"/>
          <w:sz w:val="22"/>
          <w:szCs w:val="22"/>
        </w:rPr>
      </w:pPr>
      <w:r>
        <w:rPr>
          <w:rFonts w:hint="eastAsia" w:hAnsi="宋体" w:cs="仿宋_GB2312"/>
          <w:b/>
          <w:bCs/>
          <w:sz w:val="22"/>
          <w:szCs w:val="22"/>
        </w:rPr>
        <w:t>第十四条：争议的解决</w:t>
      </w:r>
    </w:p>
    <w:p>
      <w:pPr>
        <w:pStyle w:val="15"/>
        <w:snapToGrid w:val="0"/>
        <w:spacing w:line="440" w:lineRule="atLeast"/>
        <w:ind w:firstLine="440" w:firstLineChars="200"/>
        <w:rPr>
          <w:rFonts w:hAnsi="宋体" w:cs="仿宋_GB2312"/>
          <w:sz w:val="22"/>
          <w:szCs w:val="22"/>
        </w:rPr>
      </w:pPr>
      <w:r>
        <w:rPr>
          <w:rFonts w:hint="eastAsia" w:hAnsi="宋体" w:cs="仿宋_GB2312"/>
          <w:sz w:val="22"/>
          <w:szCs w:val="22"/>
        </w:rPr>
        <w:t>在发生所供商品的质量、售后服务等问题时，甲方有权直接向乙方索赔，签订必要的书面处理合同。协商不能解决的，任何一方有权在合同签约地选择仲裁或诉讼的途径解决。</w:t>
      </w:r>
    </w:p>
    <w:p>
      <w:pPr>
        <w:pStyle w:val="15"/>
        <w:snapToGrid w:val="0"/>
        <w:spacing w:line="440" w:lineRule="atLeast"/>
        <w:rPr>
          <w:rFonts w:hAnsi="宋体"/>
          <w:b/>
          <w:bCs/>
          <w:sz w:val="22"/>
          <w:szCs w:val="22"/>
        </w:rPr>
      </w:pPr>
      <w:r>
        <w:rPr>
          <w:rFonts w:hint="eastAsia" w:hAnsi="宋体"/>
          <w:b/>
          <w:bCs/>
          <w:sz w:val="22"/>
          <w:szCs w:val="22"/>
        </w:rPr>
        <w:t>第十五条  违约处理</w:t>
      </w:r>
    </w:p>
    <w:p>
      <w:pPr>
        <w:pStyle w:val="15"/>
        <w:snapToGrid w:val="0"/>
        <w:spacing w:line="440" w:lineRule="atLeast"/>
        <w:ind w:firstLine="482"/>
        <w:rPr>
          <w:rFonts w:hAnsi="宋体"/>
          <w:sz w:val="22"/>
          <w:szCs w:val="22"/>
        </w:rPr>
      </w:pPr>
      <w:r>
        <w:rPr>
          <w:rFonts w:hint="eastAsia" w:hAnsi="宋体"/>
          <w:sz w:val="22"/>
          <w:szCs w:val="22"/>
        </w:rPr>
        <w:t>1、在甲方对乙方违约而采取的任何补救措施不受影响的情况下，甲方可在下列情况下向乙方发出书面通知书，提出终止部分或全部合同。</w:t>
      </w:r>
    </w:p>
    <w:p>
      <w:pPr>
        <w:pStyle w:val="15"/>
        <w:snapToGrid w:val="0"/>
        <w:spacing w:line="440" w:lineRule="atLeast"/>
        <w:ind w:firstLine="482"/>
        <w:rPr>
          <w:rFonts w:hAnsi="宋体"/>
          <w:sz w:val="22"/>
          <w:szCs w:val="22"/>
        </w:rPr>
      </w:pPr>
      <w:r>
        <w:rPr>
          <w:rFonts w:hint="eastAsia" w:hAnsi="宋体"/>
          <w:sz w:val="22"/>
          <w:szCs w:val="22"/>
        </w:rPr>
        <w:t>1.1乙方提供的产品质量、配置不符合国家规定和承诺的标准；</w:t>
      </w:r>
    </w:p>
    <w:p>
      <w:pPr>
        <w:pStyle w:val="15"/>
        <w:snapToGrid w:val="0"/>
        <w:spacing w:line="440" w:lineRule="atLeast"/>
        <w:ind w:firstLine="440" w:firstLineChars="200"/>
        <w:rPr>
          <w:rFonts w:hAnsi="宋体"/>
          <w:sz w:val="22"/>
          <w:szCs w:val="22"/>
        </w:rPr>
      </w:pPr>
      <w:r>
        <w:rPr>
          <w:rFonts w:hint="eastAsia" w:hAnsi="宋体"/>
          <w:sz w:val="22"/>
          <w:szCs w:val="22"/>
        </w:rPr>
        <w:t>1.2乙方没有按承诺的时间供货、维修或提供其他服务；</w:t>
      </w:r>
    </w:p>
    <w:p>
      <w:pPr>
        <w:pStyle w:val="15"/>
        <w:snapToGrid w:val="0"/>
        <w:spacing w:line="440" w:lineRule="atLeast"/>
        <w:ind w:firstLine="440" w:firstLineChars="200"/>
        <w:rPr>
          <w:rFonts w:hAnsi="宋体"/>
          <w:sz w:val="22"/>
          <w:szCs w:val="22"/>
        </w:rPr>
      </w:pPr>
      <w:r>
        <w:rPr>
          <w:rFonts w:hint="eastAsia" w:hAnsi="宋体"/>
          <w:sz w:val="22"/>
          <w:szCs w:val="22"/>
        </w:rPr>
        <w:t>1.3乙方没有按承诺的价格或优惠率签订合同并供货；</w:t>
      </w:r>
    </w:p>
    <w:p>
      <w:pPr>
        <w:pStyle w:val="15"/>
        <w:snapToGrid w:val="0"/>
        <w:spacing w:line="440" w:lineRule="atLeast"/>
        <w:ind w:firstLine="482"/>
        <w:rPr>
          <w:rFonts w:hAnsi="宋体"/>
          <w:sz w:val="22"/>
          <w:szCs w:val="22"/>
        </w:rPr>
      </w:pPr>
      <w:r>
        <w:rPr>
          <w:rFonts w:hint="eastAsia" w:hAnsi="宋体"/>
          <w:sz w:val="22"/>
          <w:szCs w:val="22"/>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pStyle w:val="15"/>
        <w:snapToGrid w:val="0"/>
        <w:spacing w:line="440" w:lineRule="atLeast"/>
        <w:rPr>
          <w:rFonts w:hAnsi="宋体"/>
          <w:b/>
          <w:bCs/>
          <w:sz w:val="22"/>
          <w:szCs w:val="22"/>
        </w:rPr>
      </w:pPr>
      <w:r>
        <w:rPr>
          <w:rFonts w:hint="eastAsia" w:hAnsi="宋体"/>
          <w:b/>
          <w:bCs/>
          <w:sz w:val="22"/>
          <w:szCs w:val="22"/>
        </w:rPr>
        <w:t>第十六条  合同转让和分包</w:t>
      </w:r>
    </w:p>
    <w:p>
      <w:pPr>
        <w:pStyle w:val="15"/>
        <w:snapToGrid w:val="0"/>
        <w:spacing w:line="440" w:lineRule="atLeast"/>
        <w:ind w:firstLine="482"/>
        <w:rPr>
          <w:rFonts w:hAnsi="宋体"/>
          <w:sz w:val="22"/>
          <w:szCs w:val="22"/>
        </w:rPr>
      </w:pPr>
      <w:r>
        <w:rPr>
          <w:rFonts w:hint="eastAsia" w:hAnsi="宋体"/>
          <w:sz w:val="22"/>
          <w:szCs w:val="22"/>
        </w:rPr>
        <w:t xml:space="preserve"> 除甲方事先书面同意外，乙方不得转让和分包其应履行的合同义务。</w:t>
      </w:r>
    </w:p>
    <w:p>
      <w:pPr>
        <w:pStyle w:val="15"/>
        <w:snapToGrid w:val="0"/>
        <w:spacing w:line="440" w:lineRule="atLeast"/>
        <w:rPr>
          <w:rFonts w:hAnsi="宋体"/>
          <w:b/>
          <w:bCs/>
          <w:sz w:val="22"/>
          <w:szCs w:val="22"/>
        </w:rPr>
      </w:pPr>
      <w:r>
        <w:rPr>
          <w:rFonts w:hint="eastAsia" w:hAnsi="宋体"/>
          <w:b/>
          <w:bCs/>
          <w:sz w:val="22"/>
          <w:szCs w:val="22"/>
        </w:rPr>
        <w:t>第十七条  合同生效及终止</w:t>
      </w:r>
    </w:p>
    <w:p>
      <w:pPr>
        <w:pStyle w:val="15"/>
        <w:snapToGrid w:val="0"/>
        <w:spacing w:line="440" w:lineRule="atLeast"/>
        <w:ind w:firstLine="482"/>
        <w:rPr>
          <w:rFonts w:hAnsi="宋体"/>
          <w:sz w:val="22"/>
          <w:szCs w:val="22"/>
        </w:rPr>
      </w:pPr>
      <w:r>
        <w:rPr>
          <w:rFonts w:hint="eastAsia" w:hAnsi="宋体"/>
          <w:sz w:val="22"/>
          <w:szCs w:val="22"/>
        </w:rPr>
        <w:t>1、本合同在甲方收到乙方提交的履约保证金后，且经双方法定代表人或授权代表签署，甲方与乙方加盖印章后生效。</w:t>
      </w:r>
    </w:p>
    <w:p>
      <w:pPr>
        <w:pStyle w:val="15"/>
        <w:snapToGrid w:val="0"/>
        <w:spacing w:line="440" w:lineRule="atLeast"/>
        <w:ind w:firstLine="482"/>
        <w:rPr>
          <w:rFonts w:hAnsi="宋体"/>
          <w:sz w:val="22"/>
          <w:szCs w:val="22"/>
        </w:rPr>
      </w:pPr>
      <w:r>
        <w:rPr>
          <w:rFonts w:hint="eastAsia" w:hAnsi="宋体"/>
          <w:sz w:val="22"/>
          <w:szCs w:val="22"/>
        </w:rPr>
        <w:t>2、合同终止：本合同出现以下情况时终止。</w:t>
      </w:r>
    </w:p>
    <w:p>
      <w:pPr>
        <w:pStyle w:val="15"/>
        <w:snapToGrid w:val="0"/>
        <w:spacing w:line="440" w:lineRule="atLeast"/>
        <w:ind w:firstLine="701" w:firstLineChars="319"/>
        <w:rPr>
          <w:rFonts w:hAnsi="宋体"/>
          <w:sz w:val="22"/>
          <w:szCs w:val="22"/>
        </w:rPr>
      </w:pPr>
      <w:r>
        <w:rPr>
          <w:rFonts w:hint="eastAsia" w:hAnsi="宋体"/>
          <w:sz w:val="22"/>
          <w:szCs w:val="22"/>
        </w:rPr>
        <w:t>2.1期限届满时自行终止。</w:t>
      </w:r>
    </w:p>
    <w:p>
      <w:pPr>
        <w:pStyle w:val="15"/>
        <w:snapToGrid w:val="0"/>
        <w:spacing w:line="440" w:lineRule="atLeast"/>
        <w:ind w:firstLine="701" w:firstLineChars="319"/>
        <w:rPr>
          <w:rFonts w:hAnsi="宋体"/>
          <w:sz w:val="22"/>
          <w:szCs w:val="22"/>
        </w:rPr>
      </w:pPr>
      <w:r>
        <w:rPr>
          <w:rFonts w:hint="eastAsia" w:hAnsi="宋体"/>
          <w:sz w:val="22"/>
          <w:szCs w:val="22"/>
        </w:rPr>
        <w:t>2.2有以下行为之一的：</w:t>
      </w:r>
    </w:p>
    <w:p>
      <w:pPr>
        <w:pStyle w:val="15"/>
        <w:snapToGrid w:val="0"/>
        <w:spacing w:line="440" w:lineRule="atLeast"/>
        <w:ind w:firstLine="440" w:firstLineChars="200"/>
        <w:rPr>
          <w:rFonts w:hAnsi="宋体"/>
          <w:sz w:val="22"/>
          <w:szCs w:val="22"/>
        </w:rPr>
      </w:pPr>
      <w:r>
        <w:rPr>
          <w:rFonts w:hint="eastAsia" w:hAnsi="宋体"/>
          <w:sz w:val="22"/>
          <w:szCs w:val="22"/>
        </w:rPr>
        <w:t>（1）违反管理规定，造成重大伤亡或重大损失。</w:t>
      </w:r>
    </w:p>
    <w:p>
      <w:pPr>
        <w:pStyle w:val="15"/>
        <w:snapToGrid w:val="0"/>
        <w:spacing w:line="440" w:lineRule="atLeast"/>
        <w:ind w:firstLine="482"/>
        <w:rPr>
          <w:rFonts w:hAnsi="宋体"/>
          <w:sz w:val="22"/>
          <w:szCs w:val="22"/>
        </w:rPr>
      </w:pPr>
      <w:r>
        <w:rPr>
          <w:rFonts w:hint="eastAsia" w:hAnsi="宋体"/>
          <w:sz w:val="22"/>
          <w:szCs w:val="22"/>
        </w:rPr>
        <w:t>（2）因管理不善造成恶劣影响。</w:t>
      </w:r>
    </w:p>
    <w:p>
      <w:pPr>
        <w:pStyle w:val="15"/>
        <w:snapToGrid w:val="0"/>
        <w:spacing w:line="440" w:lineRule="atLeast"/>
        <w:ind w:firstLine="482"/>
        <w:rPr>
          <w:rFonts w:hAnsi="宋体"/>
          <w:sz w:val="22"/>
          <w:szCs w:val="22"/>
        </w:rPr>
      </w:pPr>
      <w:r>
        <w:rPr>
          <w:rFonts w:hint="eastAsia" w:hAnsi="宋体"/>
          <w:sz w:val="22"/>
          <w:szCs w:val="22"/>
        </w:rPr>
        <w:t>（3）擅自将合同转包给第三者。</w:t>
      </w:r>
    </w:p>
    <w:p>
      <w:pPr>
        <w:pStyle w:val="15"/>
        <w:snapToGrid w:val="0"/>
        <w:spacing w:line="440" w:lineRule="atLeast"/>
        <w:ind w:firstLine="482"/>
        <w:rPr>
          <w:rFonts w:hAnsi="宋体" w:cs="仿宋_GB2312"/>
          <w:sz w:val="22"/>
          <w:szCs w:val="22"/>
        </w:rPr>
      </w:pPr>
      <w:r>
        <w:rPr>
          <w:rFonts w:hint="eastAsia" w:hAnsi="宋体" w:cs="仿宋_GB2312"/>
          <w:sz w:val="22"/>
          <w:szCs w:val="22"/>
        </w:rPr>
        <w:t>（4）违反劳动法或其他相关法律法规，造成恶劣影响。</w:t>
      </w:r>
    </w:p>
    <w:p>
      <w:pPr>
        <w:pStyle w:val="15"/>
        <w:snapToGrid w:val="0"/>
        <w:spacing w:line="440" w:lineRule="atLeast"/>
        <w:ind w:firstLine="482"/>
        <w:rPr>
          <w:rFonts w:hAnsi="宋体" w:cs="仿宋_GB2312"/>
          <w:sz w:val="22"/>
          <w:szCs w:val="22"/>
        </w:rPr>
      </w:pPr>
      <w:r>
        <w:rPr>
          <w:rFonts w:hint="eastAsia" w:hAnsi="宋体" w:cs="仿宋_GB2312"/>
          <w:sz w:val="22"/>
          <w:szCs w:val="22"/>
        </w:rPr>
        <w:t>（5）弄虚作假及其他不正当行为。</w:t>
      </w:r>
    </w:p>
    <w:p>
      <w:pPr>
        <w:pStyle w:val="15"/>
        <w:snapToGrid w:val="0"/>
        <w:spacing w:line="440" w:lineRule="atLeast"/>
        <w:ind w:firstLine="482"/>
        <w:rPr>
          <w:rFonts w:hAnsi="宋体" w:cs="仿宋_GB2312"/>
          <w:sz w:val="22"/>
          <w:szCs w:val="22"/>
        </w:rPr>
      </w:pPr>
      <w:r>
        <w:rPr>
          <w:rFonts w:hint="eastAsia" w:hAnsi="宋体" w:cs="仿宋_GB2312"/>
          <w:sz w:val="22"/>
          <w:szCs w:val="22"/>
        </w:rPr>
        <w:t>3、法律规定的终止事由。</w:t>
      </w:r>
    </w:p>
    <w:p>
      <w:pPr>
        <w:pStyle w:val="15"/>
        <w:snapToGrid w:val="0"/>
        <w:spacing w:line="440" w:lineRule="atLeast"/>
        <w:ind w:firstLine="482"/>
        <w:rPr>
          <w:rFonts w:hAnsi="宋体" w:cs="仿宋_GB2312"/>
          <w:sz w:val="22"/>
          <w:szCs w:val="22"/>
        </w:rPr>
      </w:pPr>
      <w:r>
        <w:rPr>
          <w:rFonts w:hint="eastAsia" w:hAnsi="宋体" w:cs="仿宋_GB2312"/>
          <w:sz w:val="22"/>
          <w:szCs w:val="22"/>
        </w:rPr>
        <w:t>4、本合同一式陆份，双方各贰份，泰顺县公共资源交易中心执贰份。</w:t>
      </w:r>
    </w:p>
    <w:p>
      <w:pPr>
        <w:pStyle w:val="15"/>
        <w:snapToGrid w:val="0"/>
        <w:spacing w:line="440" w:lineRule="atLeast"/>
        <w:rPr>
          <w:rFonts w:hAnsi="宋体" w:cs="仿宋_GB2312"/>
          <w:b/>
          <w:bCs/>
          <w:sz w:val="22"/>
          <w:szCs w:val="22"/>
        </w:rPr>
      </w:pPr>
      <w:r>
        <w:rPr>
          <w:rFonts w:hint="eastAsia" w:hAnsi="宋体" w:cs="仿宋_GB2312"/>
          <w:b/>
          <w:bCs/>
          <w:sz w:val="22"/>
          <w:szCs w:val="22"/>
        </w:rPr>
        <w:t>第十八条  合同的解释</w:t>
      </w:r>
    </w:p>
    <w:p>
      <w:pPr>
        <w:pStyle w:val="15"/>
        <w:snapToGrid w:val="0"/>
        <w:spacing w:line="440" w:lineRule="atLeast"/>
        <w:ind w:firstLine="482"/>
        <w:rPr>
          <w:rFonts w:hAnsi="宋体" w:cs="仿宋_GB2312"/>
          <w:sz w:val="22"/>
          <w:szCs w:val="22"/>
        </w:rPr>
      </w:pPr>
      <w:r>
        <w:rPr>
          <w:rFonts w:hint="eastAsia" w:hAnsi="宋体" w:cs="仿宋_GB2312"/>
          <w:sz w:val="22"/>
          <w:szCs w:val="22"/>
        </w:rPr>
        <w:t>本合同的解释权在泰顺县妇幼保健院。</w:t>
      </w:r>
    </w:p>
    <w:p>
      <w:pPr>
        <w:pStyle w:val="15"/>
        <w:snapToGrid w:val="0"/>
        <w:spacing w:line="440" w:lineRule="atLeast"/>
        <w:ind w:left="-420" w:leftChars="-200" w:firstLine="902"/>
        <w:rPr>
          <w:rFonts w:hAnsi="宋体" w:cs="仿宋_GB2312"/>
          <w:b/>
          <w:bCs/>
          <w:sz w:val="22"/>
          <w:szCs w:val="22"/>
        </w:rPr>
      </w:pPr>
    </w:p>
    <w:p>
      <w:pPr>
        <w:pStyle w:val="15"/>
        <w:snapToGrid w:val="0"/>
        <w:spacing w:line="440" w:lineRule="atLeast"/>
        <w:rPr>
          <w:rFonts w:hAnsi="宋体" w:cs="仿宋_GB2312"/>
          <w:b/>
          <w:bCs/>
          <w:sz w:val="22"/>
          <w:szCs w:val="22"/>
        </w:rPr>
      </w:pPr>
      <w:r>
        <w:rPr>
          <w:rFonts w:hint="eastAsia" w:hAnsi="宋体" w:cs="仿宋_GB2312"/>
          <w:b/>
          <w:bCs/>
          <w:sz w:val="22"/>
          <w:szCs w:val="22"/>
        </w:rPr>
        <w:t xml:space="preserve">第十九条  </w:t>
      </w:r>
      <w:r>
        <w:rPr>
          <w:rFonts w:hint="eastAsia" w:hAnsi="宋体"/>
          <w:b/>
          <w:bCs/>
          <w:sz w:val="22"/>
          <w:szCs w:val="22"/>
        </w:rPr>
        <w:t>合同附件</w:t>
      </w:r>
    </w:p>
    <w:p>
      <w:pPr>
        <w:snapToGrid w:val="0"/>
        <w:spacing w:line="454" w:lineRule="atLeast"/>
        <w:rPr>
          <w:rFonts w:ascii="宋体" w:hAnsi="宋体"/>
          <w:sz w:val="22"/>
          <w:szCs w:val="22"/>
        </w:rPr>
      </w:pPr>
      <w:r>
        <w:rPr>
          <w:rFonts w:hint="eastAsia" w:ascii="宋体" w:hAnsi="宋体"/>
          <w:sz w:val="22"/>
          <w:szCs w:val="22"/>
        </w:rPr>
        <w:t xml:space="preserve"> 下列文件与本合同具有同等法律效力：</w:t>
      </w:r>
    </w:p>
    <w:p>
      <w:pPr>
        <w:snapToGrid w:val="0"/>
        <w:spacing w:line="454" w:lineRule="atLeast"/>
        <w:ind w:firstLine="431" w:firstLineChars="196"/>
        <w:rPr>
          <w:rFonts w:ascii="宋体" w:hAnsi="宋体"/>
          <w:sz w:val="22"/>
          <w:szCs w:val="22"/>
        </w:rPr>
      </w:pPr>
      <w:r>
        <w:rPr>
          <w:rFonts w:hint="eastAsia" w:ascii="宋体" w:hAnsi="宋体"/>
          <w:sz w:val="22"/>
          <w:szCs w:val="22"/>
        </w:rPr>
        <w:t>1、采购代理机构的招标文件与招标补充文件；</w:t>
      </w:r>
    </w:p>
    <w:p>
      <w:pPr>
        <w:snapToGrid w:val="0"/>
        <w:spacing w:line="454" w:lineRule="atLeast"/>
        <w:ind w:firstLine="431" w:firstLineChars="196"/>
        <w:rPr>
          <w:rFonts w:ascii="宋体" w:hAnsi="宋体"/>
          <w:sz w:val="22"/>
          <w:szCs w:val="22"/>
        </w:rPr>
      </w:pPr>
      <w:r>
        <w:rPr>
          <w:rFonts w:hint="eastAsia" w:ascii="宋体" w:hAnsi="宋体"/>
          <w:sz w:val="22"/>
          <w:szCs w:val="22"/>
        </w:rPr>
        <w:t>2、</w:t>
      </w:r>
      <w:r>
        <w:rPr>
          <w:rFonts w:hint="eastAsia" w:hAnsi="宋体"/>
          <w:sz w:val="22"/>
          <w:szCs w:val="22"/>
        </w:rPr>
        <w:t>乙方</w:t>
      </w:r>
      <w:r>
        <w:rPr>
          <w:rFonts w:hint="eastAsia" w:ascii="宋体" w:hAnsi="宋体"/>
          <w:sz w:val="22"/>
          <w:szCs w:val="22"/>
        </w:rPr>
        <w:t>投标文件；</w:t>
      </w:r>
    </w:p>
    <w:p>
      <w:pPr>
        <w:pStyle w:val="15"/>
        <w:snapToGrid w:val="0"/>
        <w:spacing w:line="454" w:lineRule="atLeast"/>
        <w:ind w:firstLine="323" w:firstLineChars="147"/>
        <w:rPr>
          <w:rFonts w:hAnsi="宋体"/>
          <w:sz w:val="22"/>
          <w:szCs w:val="22"/>
        </w:rPr>
      </w:pPr>
      <w:r>
        <w:rPr>
          <w:rFonts w:hint="eastAsia" w:hAnsi="宋体"/>
          <w:sz w:val="22"/>
          <w:szCs w:val="22"/>
        </w:rPr>
        <w:t xml:space="preserve"> 3、承诺书。</w:t>
      </w:r>
    </w:p>
    <w:p>
      <w:pPr>
        <w:snapToGrid w:val="0"/>
        <w:spacing w:line="454" w:lineRule="atLeast"/>
        <w:ind w:firstLine="440" w:firstLineChars="200"/>
        <w:rPr>
          <w:rFonts w:ascii="宋体" w:hAnsi="宋体"/>
          <w:sz w:val="22"/>
          <w:szCs w:val="22"/>
        </w:rPr>
      </w:pPr>
      <w:r>
        <w:rPr>
          <w:rFonts w:hint="eastAsia" w:ascii="宋体" w:hAnsi="宋体"/>
          <w:sz w:val="22"/>
          <w:szCs w:val="22"/>
        </w:rPr>
        <w:t>4、中标通知书</w:t>
      </w:r>
    </w:p>
    <w:p>
      <w:pPr>
        <w:pStyle w:val="2"/>
        <w:rPr>
          <w:rFonts w:ascii="宋体" w:hAnsi="宋体" w:cs="宋体"/>
          <w:sz w:val="22"/>
          <w:szCs w:val="22"/>
        </w:rPr>
      </w:pPr>
      <w:r>
        <w:rPr>
          <w:rFonts w:hint="eastAsia" w:ascii="宋体" w:hAnsi="宋体" w:cs="宋体"/>
          <w:sz w:val="22"/>
          <w:szCs w:val="22"/>
        </w:rPr>
        <w:t>第二十条  合同签订地:</w:t>
      </w:r>
      <w:r>
        <w:rPr>
          <w:rFonts w:hint="eastAsia" w:ascii="宋体" w:hAnsi="宋体" w:cs="宋体"/>
          <w:sz w:val="22"/>
          <w:szCs w:val="22"/>
          <w:u w:val="single"/>
        </w:rPr>
        <w:t>浙江省泰顺县</w:t>
      </w:r>
      <w:r>
        <w:rPr>
          <w:rFonts w:hint="eastAsia" w:ascii="宋体" w:hAnsi="宋体" w:cs="宋体"/>
          <w:sz w:val="22"/>
          <w:szCs w:val="22"/>
        </w:rPr>
        <w:t>。</w:t>
      </w:r>
    </w:p>
    <w:p/>
    <w:p>
      <w:pPr>
        <w:pStyle w:val="15"/>
        <w:snapToGrid w:val="0"/>
        <w:spacing w:line="400" w:lineRule="atLeast"/>
        <w:rPr>
          <w:rFonts w:hAnsi="宋体"/>
          <w:sz w:val="22"/>
          <w:szCs w:val="22"/>
        </w:rPr>
      </w:pPr>
      <w:r>
        <w:rPr>
          <w:rFonts w:hint="eastAsia" w:hAnsi="宋体"/>
          <w:sz w:val="22"/>
          <w:szCs w:val="22"/>
        </w:rPr>
        <w:t>甲    方：泰顺县妇幼保健院（印章） 乙   方：（印章）</w:t>
      </w:r>
    </w:p>
    <w:p>
      <w:pPr>
        <w:pStyle w:val="15"/>
        <w:snapToGrid w:val="0"/>
        <w:spacing w:line="400" w:lineRule="atLeast"/>
        <w:rPr>
          <w:rFonts w:hAnsi="宋体"/>
          <w:sz w:val="22"/>
          <w:szCs w:val="22"/>
        </w:rPr>
      </w:pPr>
      <w:r>
        <w:rPr>
          <w:rFonts w:hint="eastAsia" w:hAnsi="宋体"/>
          <w:sz w:val="22"/>
          <w:szCs w:val="22"/>
        </w:rPr>
        <w:t>全权代表（签字）：                        全权代表（签字）：</w:t>
      </w:r>
    </w:p>
    <w:p>
      <w:pPr>
        <w:pStyle w:val="15"/>
        <w:snapToGrid w:val="0"/>
        <w:spacing w:line="400" w:lineRule="atLeast"/>
        <w:ind w:left="5720" w:hanging="5720" w:hangingChars="2600"/>
        <w:rPr>
          <w:rFonts w:hAnsi="宋体"/>
          <w:sz w:val="22"/>
          <w:szCs w:val="22"/>
        </w:rPr>
      </w:pPr>
      <w:r>
        <w:rPr>
          <w:rFonts w:hint="eastAsia" w:hAnsi="宋体"/>
          <w:sz w:val="22"/>
          <w:szCs w:val="22"/>
        </w:rPr>
        <w:t>地    址：浙江省泰顺县罗阳镇环城路138号  地    址：</w:t>
      </w:r>
    </w:p>
    <w:p>
      <w:pPr>
        <w:pStyle w:val="15"/>
        <w:snapToGrid w:val="0"/>
        <w:spacing w:line="400" w:lineRule="atLeast"/>
        <w:rPr>
          <w:rFonts w:hAnsi="宋体"/>
          <w:sz w:val="22"/>
          <w:szCs w:val="22"/>
        </w:rPr>
      </w:pPr>
      <w:r>
        <w:rPr>
          <w:rFonts w:hint="eastAsia" w:hAnsi="宋体"/>
          <w:sz w:val="22"/>
          <w:szCs w:val="22"/>
        </w:rPr>
        <w:t>邮政编码：325500                          邮政编码：</w:t>
      </w:r>
    </w:p>
    <w:p>
      <w:pPr>
        <w:pStyle w:val="15"/>
        <w:snapToGrid w:val="0"/>
        <w:spacing w:line="400" w:lineRule="atLeast"/>
        <w:rPr>
          <w:rFonts w:hAnsi="宋体"/>
          <w:sz w:val="22"/>
          <w:szCs w:val="22"/>
        </w:rPr>
      </w:pPr>
      <w:r>
        <w:rPr>
          <w:rFonts w:hint="eastAsia" w:hAnsi="宋体"/>
          <w:sz w:val="22"/>
          <w:szCs w:val="22"/>
        </w:rPr>
        <w:t>电    话：0577-67595308                   电    话：</w:t>
      </w:r>
    </w:p>
    <w:p>
      <w:pPr>
        <w:pStyle w:val="15"/>
        <w:snapToGrid w:val="0"/>
        <w:spacing w:line="400" w:lineRule="atLeast"/>
        <w:rPr>
          <w:rFonts w:hAnsi="宋体"/>
          <w:sz w:val="22"/>
          <w:szCs w:val="22"/>
        </w:rPr>
      </w:pPr>
      <w:r>
        <w:rPr>
          <w:rFonts w:hint="eastAsia" w:hAnsi="宋体"/>
          <w:sz w:val="22"/>
          <w:szCs w:val="22"/>
        </w:rPr>
        <w:t>传    真：                                传    真：</w:t>
      </w:r>
    </w:p>
    <w:p>
      <w:pPr>
        <w:pStyle w:val="15"/>
        <w:snapToGrid w:val="0"/>
        <w:spacing w:line="400" w:lineRule="atLeast"/>
        <w:rPr>
          <w:rFonts w:hAnsi="宋体"/>
          <w:sz w:val="22"/>
          <w:szCs w:val="22"/>
        </w:rPr>
      </w:pPr>
      <w:r>
        <w:rPr>
          <w:rFonts w:hint="eastAsia" w:hAnsi="宋体"/>
          <w:sz w:val="22"/>
          <w:szCs w:val="22"/>
        </w:rPr>
        <w:t>开户银行：                                开户银行：</w:t>
      </w:r>
    </w:p>
    <w:p>
      <w:pPr>
        <w:pStyle w:val="15"/>
        <w:snapToGrid w:val="0"/>
        <w:spacing w:line="400" w:lineRule="atLeast"/>
        <w:rPr>
          <w:rFonts w:hAnsi="宋体"/>
          <w:sz w:val="22"/>
          <w:szCs w:val="22"/>
        </w:rPr>
      </w:pPr>
      <w:r>
        <w:rPr>
          <w:rFonts w:hint="eastAsia" w:hAnsi="宋体"/>
          <w:sz w:val="22"/>
          <w:szCs w:val="22"/>
        </w:rPr>
        <w:t>帐    号：                                帐    号：</w:t>
      </w:r>
    </w:p>
    <w:p>
      <w:pPr>
        <w:pStyle w:val="15"/>
        <w:snapToGrid w:val="0"/>
        <w:spacing w:line="400" w:lineRule="atLeast"/>
        <w:rPr>
          <w:rFonts w:hAnsi="宋体"/>
          <w:sz w:val="22"/>
          <w:szCs w:val="22"/>
        </w:rPr>
      </w:pPr>
      <w:r>
        <w:rPr>
          <w:rFonts w:hint="eastAsia" w:hAnsi="宋体"/>
          <w:sz w:val="22"/>
          <w:szCs w:val="22"/>
        </w:rPr>
        <w:t>时    间：                                 时    间：</w:t>
      </w:r>
    </w:p>
    <w:p>
      <w:pPr>
        <w:spacing w:line="360" w:lineRule="auto"/>
        <w:rPr>
          <w:rFonts w:ascii="宋体" w:hAnsi="宋体" w:eastAsia="宋体" w:cs="宋体"/>
          <w:szCs w:val="21"/>
        </w:rPr>
      </w:pPr>
      <w:r>
        <w:rPr>
          <w:rFonts w:hint="eastAsia" w:ascii="宋体" w:hAnsi="宋体" w:eastAsia="宋体" w:cs="宋体"/>
          <w:szCs w:val="21"/>
        </w:rPr>
        <w:br w:type="page"/>
      </w:r>
    </w:p>
    <w:p>
      <w:pPr>
        <w:pStyle w:val="15"/>
        <w:numPr>
          <w:ilvl w:val="0"/>
          <w:numId w:val="18"/>
        </w:numPr>
        <w:adjustRightInd w:val="0"/>
        <w:snapToGrid w:val="0"/>
        <w:spacing w:line="400" w:lineRule="exact"/>
        <w:jc w:val="center"/>
        <w:rPr>
          <w:rFonts w:hAnsi="Times New Roman"/>
          <w:b/>
          <w:bCs/>
          <w:sz w:val="36"/>
          <w:szCs w:val="36"/>
        </w:rPr>
      </w:pPr>
      <w:bookmarkStart w:id="56" w:name="_Hlk519085278"/>
      <w:r>
        <w:rPr>
          <w:rFonts w:hint="eastAsia" w:hAnsi="Times New Roman"/>
          <w:b/>
          <w:bCs/>
          <w:sz w:val="36"/>
          <w:szCs w:val="36"/>
        </w:rPr>
        <w:t xml:space="preserve"> 投标文件格式</w:t>
      </w:r>
    </w:p>
    <w:p>
      <w:pPr>
        <w:pStyle w:val="15"/>
        <w:adjustRightInd w:val="0"/>
        <w:snapToGrid w:val="0"/>
        <w:spacing w:line="400" w:lineRule="exact"/>
        <w:jc w:val="center"/>
        <w:rPr>
          <w:rFonts w:hAnsi="Times New Roman"/>
          <w:sz w:val="28"/>
          <w:szCs w:val="28"/>
        </w:rPr>
      </w:pPr>
      <w:r>
        <w:rPr>
          <w:rFonts w:hint="eastAsia" w:hAnsi="Times New Roman"/>
          <w:sz w:val="28"/>
          <w:szCs w:val="28"/>
        </w:rPr>
        <w:t>（未提供格式的由投标供应商自拟）</w:t>
      </w:r>
    </w:p>
    <w:bookmarkEnd w:id="56"/>
    <w:p>
      <w:pPr>
        <w:pStyle w:val="15"/>
        <w:adjustRightInd w:val="0"/>
        <w:snapToGrid w:val="0"/>
        <w:spacing w:line="340" w:lineRule="atLeast"/>
        <w:rPr>
          <w:rFonts w:hAnsi="宋体"/>
          <w:sz w:val="32"/>
          <w:szCs w:val="32"/>
        </w:rPr>
      </w:pPr>
      <w:r>
        <w:rPr>
          <w:rFonts w:hint="eastAsia" w:hAnsi="宋体"/>
          <w:b/>
          <w:bCs/>
          <w:sz w:val="32"/>
          <w:szCs w:val="32"/>
        </w:rPr>
        <w:t>附件一（一）</w:t>
      </w:r>
      <w:r>
        <w:rPr>
          <w:rFonts w:hint="eastAsia" w:hAnsi="宋体"/>
          <w:sz w:val="32"/>
          <w:szCs w:val="32"/>
        </w:rPr>
        <w:t xml:space="preserve">      </w:t>
      </w:r>
    </w:p>
    <w:p>
      <w:pPr>
        <w:jc w:val="center"/>
        <w:rPr>
          <w:rFonts w:ascii="宋体"/>
          <w:sz w:val="36"/>
          <w:szCs w:val="36"/>
          <w:lang w:val="zh-CN"/>
        </w:rPr>
      </w:pPr>
      <w:r>
        <w:rPr>
          <w:rFonts w:hint="eastAsia" w:ascii="宋体"/>
          <w:sz w:val="36"/>
          <w:szCs w:val="36"/>
          <w:lang w:val="zh-CN"/>
        </w:rPr>
        <w:t>投标报价一览表</w:t>
      </w:r>
    </w:p>
    <w:p>
      <w:pPr>
        <w:autoSpaceDE w:val="0"/>
        <w:autoSpaceDN w:val="0"/>
        <w:adjustRightInd w:val="0"/>
        <w:spacing w:line="400" w:lineRule="exact"/>
        <w:rPr>
          <w:sz w:val="22"/>
        </w:rPr>
      </w:pPr>
      <w:r>
        <w:rPr>
          <w:rFonts w:hint="eastAsia"/>
          <w:sz w:val="22"/>
        </w:rPr>
        <w:t>项目名称：</w:t>
      </w:r>
      <w:r>
        <w:rPr>
          <w:rFonts w:hint="eastAsia" w:ascii="宋体" w:hAnsi="宋体"/>
          <w:bCs/>
          <w:sz w:val="22"/>
          <w:szCs w:val="22"/>
          <w:lang w:eastAsia="zh-CN"/>
        </w:rPr>
        <w:t>泰顺县方舱医院医疗设备等物资采购项目（二次）</w:t>
      </w:r>
      <w:r>
        <w:rPr>
          <w:rFonts w:hint="eastAsia"/>
          <w:sz w:val="22"/>
        </w:rPr>
        <w:t xml:space="preserve">                                                    </w:t>
      </w:r>
    </w:p>
    <w:p>
      <w:pPr>
        <w:autoSpaceDE w:val="0"/>
        <w:autoSpaceDN w:val="0"/>
        <w:adjustRightInd w:val="0"/>
        <w:spacing w:line="400" w:lineRule="exact"/>
        <w:rPr>
          <w:sz w:val="22"/>
        </w:rPr>
      </w:pPr>
      <w:r>
        <w:rPr>
          <w:rFonts w:hint="eastAsia"/>
          <w:sz w:val="22"/>
        </w:rPr>
        <w:t>项目编号：</w:t>
      </w:r>
      <w:r>
        <w:rPr>
          <w:rFonts w:hint="eastAsia" w:ascii="宋体" w:hAnsi="宋体"/>
          <w:bCs/>
          <w:sz w:val="22"/>
          <w:szCs w:val="22"/>
          <w:lang w:eastAsia="zh-CN"/>
        </w:rPr>
        <w:t xml:space="preserve">TSCG202207017 </w:t>
      </w:r>
      <w:r>
        <w:rPr>
          <w:rFonts w:hint="eastAsia" w:ascii="宋体" w:hAnsi="宋体"/>
          <w:bCs/>
          <w:sz w:val="22"/>
          <w:szCs w:val="22"/>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378"/>
        <w:gridCol w:w="3333"/>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Align w:val="center"/>
          </w:tcPr>
          <w:p>
            <w:pPr>
              <w:widowControl/>
              <w:jc w:val="center"/>
              <w:rPr>
                <w:rFonts w:ascii="宋体" w:hAnsi="宋体" w:cs="宋体"/>
                <w:b/>
                <w:bCs/>
                <w:kern w:val="0"/>
                <w:sz w:val="22"/>
              </w:rPr>
            </w:pPr>
            <w:r>
              <w:rPr>
                <w:rFonts w:ascii="宋体" w:hAnsi="宋体" w:cs="宋体"/>
                <w:b/>
                <w:bCs/>
                <w:kern w:val="0"/>
                <w:sz w:val="22"/>
              </w:rPr>
              <w:t>序号</w:t>
            </w:r>
          </w:p>
        </w:tc>
        <w:tc>
          <w:tcPr>
            <w:tcW w:w="3378" w:type="dxa"/>
            <w:vAlign w:val="center"/>
          </w:tcPr>
          <w:p>
            <w:pPr>
              <w:widowControl/>
              <w:jc w:val="center"/>
              <w:rPr>
                <w:szCs w:val="21"/>
              </w:rPr>
            </w:pPr>
            <w:r>
              <w:rPr>
                <w:rFonts w:ascii="宋体" w:hAnsi="宋体" w:cs="宋体"/>
                <w:b/>
                <w:bCs/>
                <w:kern w:val="0"/>
                <w:sz w:val="22"/>
              </w:rPr>
              <w:t>招标内容</w:t>
            </w:r>
          </w:p>
        </w:tc>
        <w:tc>
          <w:tcPr>
            <w:tcW w:w="3333" w:type="dxa"/>
            <w:vAlign w:val="center"/>
          </w:tcPr>
          <w:p>
            <w:pPr>
              <w:spacing w:line="400" w:lineRule="exact"/>
              <w:jc w:val="center"/>
              <w:rPr>
                <w:rFonts w:ascii="宋体" w:hAnsi="宋体" w:eastAsia="宋体" w:cs="宋体"/>
                <w:b/>
                <w:bCs/>
                <w:kern w:val="0"/>
                <w:sz w:val="22"/>
              </w:rPr>
            </w:pPr>
            <w:r>
              <w:rPr>
                <w:rFonts w:hint="eastAsia" w:ascii="宋体" w:hAnsi="宋体" w:cs="宋体"/>
                <w:b/>
                <w:bCs/>
                <w:kern w:val="0"/>
                <w:sz w:val="22"/>
              </w:rPr>
              <w:t>投标报价</w:t>
            </w:r>
          </w:p>
        </w:tc>
        <w:tc>
          <w:tcPr>
            <w:tcW w:w="2147" w:type="dxa"/>
            <w:vAlign w:val="center"/>
          </w:tcPr>
          <w:p>
            <w:pPr>
              <w:spacing w:line="400" w:lineRule="exact"/>
              <w:rPr>
                <w:rFonts w:ascii="宋体" w:hAnsi="宋体" w:eastAsia="宋体" w:cs="宋体"/>
                <w:b/>
                <w:bCs/>
                <w:kern w:val="0"/>
                <w:sz w:val="22"/>
              </w:rPr>
            </w:pPr>
            <w:r>
              <w:rPr>
                <w:rFonts w:hint="eastAsia" w:ascii="宋体" w:hAnsi="宋体" w:cs="宋体"/>
                <w:b/>
                <w:bCs/>
                <w:kern w:val="0"/>
                <w:sz w:val="22"/>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36" w:type="dxa"/>
            <w:vAlign w:val="center"/>
          </w:tcPr>
          <w:p>
            <w:pPr>
              <w:widowControl/>
              <w:jc w:val="center"/>
              <w:textAlignment w:val="center"/>
              <w:rPr>
                <w:rFonts w:ascii="宋体" w:hAnsi="宋体" w:cs="宋体"/>
                <w:b/>
                <w:bCs/>
                <w:sz w:val="22"/>
              </w:rPr>
            </w:pPr>
            <w:r>
              <w:rPr>
                <w:rFonts w:ascii="宋体" w:hAnsi="宋体" w:eastAsia="宋体" w:cs="宋体"/>
                <w:color w:val="000000"/>
                <w:kern w:val="0"/>
                <w:sz w:val="22"/>
                <w:lang w:bidi="ar"/>
              </w:rPr>
              <w:t>1</w:t>
            </w:r>
          </w:p>
        </w:tc>
        <w:tc>
          <w:tcPr>
            <w:tcW w:w="3378" w:type="dxa"/>
            <w:vAlign w:val="center"/>
          </w:tcPr>
          <w:p>
            <w:pPr>
              <w:widowControl/>
              <w:jc w:val="center"/>
              <w:textAlignment w:val="center"/>
              <w:rPr>
                <w:rFonts w:hint="eastAsia" w:eastAsia="宋体"/>
                <w:szCs w:val="21"/>
                <w:lang w:eastAsia="zh-CN"/>
              </w:rPr>
            </w:pPr>
            <w:r>
              <w:rPr>
                <w:rFonts w:hint="eastAsia" w:ascii="宋体" w:eastAsia="宋体"/>
                <w:sz w:val="22"/>
                <w:lang w:eastAsia="zh-CN"/>
              </w:rPr>
              <w:t>泰顺县方舱医院医疗设备等物资采购项目（二次）</w:t>
            </w:r>
          </w:p>
        </w:tc>
        <w:tc>
          <w:tcPr>
            <w:tcW w:w="3333" w:type="dxa"/>
            <w:vAlign w:val="center"/>
          </w:tcPr>
          <w:p>
            <w:pPr>
              <w:widowControl/>
              <w:spacing w:line="360" w:lineRule="auto"/>
              <w:jc w:val="left"/>
              <w:textAlignment w:val="center"/>
              <w:rPr>
                <w:rFonts w:ascii="宋体" w:hAnsi="宋体" w:cs="宋体"/>
                <w:sz w:val="22"/>
                <w:u w:val="single"/>
              </w:rPr>
            </w:pPr>
            <w:r>
              <w:rPr>
                <w:rFonts w:hint="eastAsia" w:ascii="宋体" w:hAnsi="宋体" w:cs="宋体"/>
                <w:sz w:val="22"/>
              </w:rPr>
              <w:t>大写：</w:t>
            </w:r>
            <w:r>
              <w:rPr>
                <w:rFonts w:hint="eastAsia" w:ascii="宋体" w:hAnsi="宋体" w:cs="宋体"/>
                <w:sz w:val="22"/>
                <w:u w:val="single"/>
              </w:rPr>
              <w:t xml:space="preserve">               </w:t>
            </w:r>
          </w:p>
          <w:p>
            <w:pPr>
              <w:widowControl/>
              <w:spacing w:line="360" w:lineRule="auto"/>
              <w:jc w:val="left"/>
              <w:textAlignment w:val="center"/>
              <w:rPr>
                <w:rFonts w:ascii="宋体" w:hAnsi="宋体" w:cs="宋体"/>
                <w:color w:val="000000"/>
                <w:kern w:val="0"/>
                <w:sz w:val="22"/>
                <w:lang w:bidi="ar"/>
              </w:rPr>
            </w:pPr>
            <w:r>
              <w:rPr>
                <w:rFonts w:hint="eastAsia" w:ascii="宋体" w:hAnsi="宋体" w:cs="宋体"/>
                <w:sz w:val="22"/>
              </w:rPr>
              <w:t>小写：</w:t>
            </w:r>
            <w:r>
              <w:rPr>
                <w:rFonts w:hint="eastAsia" w:ascii="宋体" w:hAnsi="宋体" w:cs="宋体"/>
                <w:sz w:val="22"/>
                <w:u w:val="single"/>
              </w:rPr>
              <w:t xml:space="preserve">               </w:t>
            </w:r>
          </w:p>
        </w:tc>
        <w:tc>
          <w:tcPr>
            <w:tcW w:w="214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200 万元</w:t>
            </w:r>
          </w:p>
        </w:tc>
      </w:tr>
    </w:tbl>
    <w:p>
      <w:pPr>
        <w:autoSpaceDE w:val="0"/>
        <w:autoSpaceDN w:val="0"/>
        <w:adjustRightInd w:val="0"/>
        <w:spacing w:line="440" w:lineRule="atLeast"/>
        <w:rPr>
          <w:rFonts w:ascii="宋体" w:hAnsi="宋体" w:cs="仿宋_GB2312"/>
          <w:b/>
          <w:bCs/>
          <w:sz w:val="22"/>
          <w:u w:val="single"/>
        </w:rPr>
      </w:pPr>
      <w:r>
        <w:rPr>
          <w:rFonts w:hint="eastAsia" w:ascii="宋体" w:hAnsi="宋体" w:cs="仿宋_GB2312"/>
          <w:b/>
          <w:bCs/>
          <w:sz w:val="22"/>
          <w:u w:val="single"/>
        </w:rPr>
        <w:t>▲注:1、不提供此表格的将视为没有实质性响应招标文件。</w:t>
      </w:r>
    </w:p>
    <w:p>
      <w:pPr>
        <w:autoSpaceDE w:val="0"/>
        <w:autoSpaceDN w:val="0"/>
        <w:adjustRightInd w:val="0"/>
        <w:spacing w:line="440" w:lineRule="atLeast"/>
        <w:ind w:firstLine="442" w:firstLineChars="200"/>
        <w:rPr>
          <w:rFonts w:ascii="宋体" w:hAnsi="宋体" w:cs="仿宋_GB2312"/>
          <w:b/>
          <w:bCs/>
          <w:sz w:val="22"/>
          <w:u w:val="single"/>
        </w:rPr>
      </w:pPr>
      <w:r>
        <w:rPr>
          <w:rFonts w:hint="eastAsia" w:ascii="宋体" w:hAnsi="宋体" w:cs="仿宋_GB2312"/>
          <w:b/>
          <w:bCs/>
          <w:sz w:val="22"/>
          <w:u w:val="single"/>
        </w:rPr>
        <w:t xml:space="preserve">2、报价一经涂改，应在涂改处加盖单位公章或者由法定代表人或授权委托人签字或盖章，否则其投标作无效标处理。 </w:t>
      </w:r>
    </w:p>
    <w:p>
      <w:pPr>
        <w:autoSpaceDE w:val="0"/>
        <w:autoSpaceDN w:val="0"/>
        <w:adjustRightInd w:val="0"/>
        <w:spacing w:line="440" w:lineRule="atLeast"/>
        <w:ind w:firstLine="442" w:firstLineChars="200"/>
        <w:rPr>
          <w:sz w:val="24"/>
        </w:rPr>
      </w:pPr>
      <w:r>
        <w:rPr>
          <w:rFonts w:hint="eastAsia" w:ascii="宋体" w:hAnsi="宋体" w:cs="仿宋_GB2312"/>
          <w:b/>
          <w:bCs/>
          <w:sz w:val="22"/>
          <w:u w:val="single"/>
        </w:rPr>
        <w:t xml:space="preserve"> 3、投标报价含设备费、运输安装费、验收费、保险费、规费、税费、代理费等完成本项目的所有费用。 </w:t>
      </w:r>
      <w:r>
        <w:rPr>
          <w:rFonts w:hint="eastAsia"/>
          <w:szCs w:val="21"/>
        </w:rPr>
        <w:t xml:space="preserve">            </w:t>
      </w:r>
    </w:p>
    <w:p>
      <w:pPr>
        <w:autoSpaceDE w:val="0"/>
        <w:autoSpaceDN w:val="0"/>
        <w:adjustRightInd w:val="0"/>
        <w:spacing w:line="440" w:lineRule="atLeast"/>
        <w:rPr>
          <w:rFonts w:ascii="宋体" w:hAnsi="宋体" w:cs="仿宋_GB2312"/>
          <w:sz w:val="22"/>
        </w:rPr>
      </w:pPr>
    </w:p>
    <w:p>
      <w:pPr>
        <w:autoSpaceDE w:val="0"/>
        <w:autoSpaceDN w:val="0"/>
        <w:adjustRightInd w:val="0"/>
        <w:spacing w:line="440" w:lineRule="atLeast"/>
        <w:rPr>
          <w:rFonts w:ascii="宋体" w:cs="仿宋_GB2312"/>
          <w:sz w:val="22"/>
        </w:rPr>
      </w:pPr>
      <w:r>
        <w:rPr>
          <w:rFonts w:hint="eastAsia" w:ascii="宋体" w:hAnsi="宋体" w:cs="仿宋_GB2312"/>
          <w:sz w:val="22"/>
        </w:rPr>
        <w:t>供应商全称（盖章）：</w:t>
      </w:r>
    </w:p>
    <w:p>
      <w:pPr>
        <w:autoSpaceDE w:val="0"/>
        <w:autoSpaceDN w:val="0"/>
        <w:adjustRightInd w:val="0"/>
        <w:spacing w:line="440" w:lineRule="atLeast"/>
        <w:rPr>
          <w:rFonts w:ascii="宋体" w:cs="仿宋_GB2312"/>
          <w:sz w:val="22"/>
        </w:rPr>
      </w:pPr>
      <w:r>
        <w:rPr>
          <w:rFonts w:hint="eastAsia" w:ascii="宋体" w:hAnsi="宋体" w:cs="仿宋_GB2312"/>
          <w:sz w:val="22"/>
        </w:rPr>
        <w:t>法定代表人（签字或盖章）或授权代表（签字）：</w:t>
      </w:r>
      <w:r>
        <w:rPr>
          <w:rFonts w:ascii="宋体" w:hAnsi="宋体" w:cs="仿宋_GB2312"/>
          <w:sz w:val="22"/>
        </w:rPr>
        <w:tab/>
      </w:r>
    </w:p>
    <w:p>
      <w:pPr>
        <w:autoSpaceDE w:val="0"/>
        <w:autoSpaceDN w:val="0"/>
        <w:adjustRightInd w:val="0"/>
        <w:spacing w:line="440" w:lineRule="atLeast"/>
        <w:rPr>
          <w:rFonts w:hAnsi="宋体"/>
          <w:sz w:val="32"/>
          <w:szCs w:val="32"/>
        </w:rPr>
      </w:pPr>
      <w:r>
        <w:rPr>
          <w:rFonts w:hint="eastAsia" w:ascii="宋体" w:hAnsi="宋体" w:cs="仿宋_GB2312"/>
          <w:sz w:val="22"/>
        </w:rPr>
        <w:t>日期：</w:t>
      </w:r>
    </w:p>
    <w:p>
      <w:pPr>
        <w:pStyle w:val="15"/>
        <w:adjustRightInd w:val="0"/>
        <w:snapToGrid w:val="0"/>
        <w:spacing w:line="400" w:lineRule="exact"/>
        <w:jc w:val="left"/>
        <w:rPr>
          <w:rFonts w:hAnsi="宋体"/>
          <w:b/>
          <w:bCs/>
          <w:sz w:val="32"/>
          <w:szCs w:val="32"/>
        </w:rPr>
        <w:sectPr>
          <w:headerReference r:id="rId7" w:type="default"/>
          <w:footerReference r:id="rId8" w:type="default"/>
          <w:pgSz w:w="11906" w:h="16838"/>
          <w:pgMar w:top="1440" w:right="1106" w:bottom="1070" w:left="1622" w:header="720" w:footer="720" w:gutter="0"/>
          <w:pgNumType w:start="1"/>
          <w:cols w:space="720" w:num="1"/>
          <w:docGrid w:type="lines" w:linePitch="312" w:charSpace="0"/>
        </w:sectPr>
      </w:pPr>
    </w:p>
    <w:p>
      <w:pPr>
        <w:pStyle w:val="15"/>
        <w:adjustRightInd w:val="0"/>
        <w:snapToGrid w:val="0"/>
        <w:spacing w:line="460" w:lineRule="atLeast"/>
        <w:rPr>
          <w:rFonts w:hAnsi="宋体"/>
          <w:b/>
          <w:bCs/>
          <w:color w:val="FF0000"/>
          <w:sz w:val="32"/>
          <w:szCs w:val="32"/>
        </w:rPr>
      </w:pPr>
      <w:r>
        <w:rPr>
          <w:rFonts w:hint="eastAsia" w:hAnsi="宋体"/>
          <w:b/>
          <w:bCs/>
          <w:sz w:val="32"/>
          <w:szCs w:val="32"/>
        </w:rPr>
        <w:t>附件一（二）</w:t>
      </w:r>
    </w:p>
    <w:p>
      <w:pPr>
        <w:pStyle w:val="15"/>
        <w:adjustRightInd w:val="0"/>
        <w:snapToGrid w:val="0"/>
        <w:spacing w:line="460" w:lineRule="atLeast"/>
        <w:jc w:val="center"/>
        <w:rPr>
          <w:rFonts w:hAnsi="Times New Roman"/>
          <w:color w:val="FF0000"/>
          <w:sz w:val="36"/>
          <w:szCs w:val="36"/>
        </w:rPr>
      </w:pPr>
      <w:r>
        <w:rPr>
          <w:rFonts w:hAnsi="宋体"/>
          <w:b/>
          <w:bCs/>
          <w:color w:val="FF0000"/>
          <w:sz w:val="32"/>
          <w:szCs w:val="32"/>
        </w:rPr>
        <w:tab/>
      </w:r>
      <w:r>
        <w:rPr>
          <w:rFonts w:hint="eastAsia" w:hAnsi="Times New Roman"/>
          <w:sz w:val="36"/>
          <w:szCs w:val="36"/>
        </w:rPr>
        <w:t>投标分项报价表</w:t>
      </w:r>
    </w:p>
    <w:p>
      <w:pPr>
        <w:rPr>
          <w:rFonts w:hAnsi="宋体"/>
          <w:color w:val="000000"/>
        </w:rPr>
      </w:pPr>
      <w:r>
        <w:rPr>
          <w:rFonts w:hint="eastAsia" w:hAnsi="宋体"/>
          <w:color w:val="000000"/>
        </w:rPr>
        <w:t>供应商</w:t>
      </w:r>
      <w:r>
        <w:rPr>
          <w:rFonts w:hAnsi="宋体"/>
          <w:color w:val="000000"/>
        </w:rPr>
        <w:t>名称：</w:t>
      </w:r>
    </w:p>
    <w:tbl>
      <w:tblPr>
        <w:tblStyle w:val="27"/>
        <w:tblW w:w="103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05"/>
        <w:gridCol w:w="1036"/>
        <w:gridCol w:w="1186"/>
        <w:gridCol w:w="1050"/>
        <w:gridCol w:w="805"/>
        <w:gridCol w:w="1268"/>
        <w:gridCol w:w="1268"/>
        <w:gridCol w:w="127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jc w:val="right"/>
        </w:trPr>
        <w:tc>
          <w:tcPr>
            <w:tcW w:w="1105" w:type="dxa"/>
            <w:tcBorders>
              <w:tl2br w:val="nil"/>
              <w:tr2bl w:val="nil"/>
            </w:tcBorders>
            <w:vAlign w:val="center"/>
          </w:tcPr>
          <w:p>
            <w:pPr>
              <w:ind w:right="-11"/>
              <w:jc w:val="center"/>
              <w:rPr>
                <w:rFonts w:ascii="宋体" w:cs="Arial"/>
                <w:bCs/>
                <w:sz w:val="22"/>
              </w:rPr>
            </w:pPr>
            <w:r>
              <w:rPr>
                <w:rFonts w:hint="eastAsia" w:ascii="宋体" w:cs="Arial"/>
                <w:bCs/>
                <w:sz w:val="22"/>
              </w:rPr>
              <w:t>序号</w:t>
            </w:r>
          </w:p>
        </w:tc>
        <w:tc>
          <w:tcPr>
            <w:tcW w:w="2222" w:type="dxa"/>
            <w:gridSpan w:val="2"/>
            <w:tcBorders>
              <w:tl2br w:val="nil"/>
              <w:tr2bl w:val="nil"/>
            </w:tcBorders>
            <w:vAlign w:val="center"/>
          </w:tcPr>
          <w:p>
            <w:pPr>
              <w:ind w:right="-11"/>
              <w:jc w:val="center"/>
              <w:rPr>
                <w:rFonts w:ascii="宋体" w:cs="Arial"/>
                <w:bCs/>
                <w:sz w:val="22"/>
              </w:rPr>
            </w:pPr>
            <w:r>
              <w:rPr>
                <w:rFonts w:hint="eastAsia" w:ascii="宋体" w:cs="Arial"/>
                <w:bCs/>
                <w:sz w:val="22"/>
              </w:rPr>
              <w:t>名称</w:t>
            </w:r>
          </w:p>
        </w:tc>
        <w:tc>
          <w:tcPr>
            <w:tcW w:w="1050" w:type="dxa"/>
            <w:tcBorders>
              <w:tl2br w:val="nil"/>
              <w:tr2bl w:val="nil"/>
            </w:tcBorders>
            <w:vAlign w:val="center"/>
          </w:tcPr>
          <w:p>
            <w:pPr>
              <w:ind w:right="-11"/>
              <w:jc w:val="center"/>
              <w:rPr>
                <w:rFonts w:ascii="宋体" w:cs="Arial"/>
                <w:bCs/>
                <w:sz w:val="22"/>
              </w:rPr>
            </w:pPr>
            <w:r>
              <w:rPr>
                <w:rFonts w:hint="eastAsia" w:ascii="宋体" w:cs="Arial"/>
                <w:bCs/>
                <w:sz w:val="22"/>
              </w:rPr>
              <w:t>单位</w:t>
            </w:r>
          </w:p>
        </w:tc>
        <w:tc>
          <w:tcPr>
            <w:tcW w:w="805" w:type="dxa"/>
            <w:tcBorders>
              <w:tl2br w:val="nil"/>
              <w:tr2bl w:val="nil"/>
            </w:tcBorders>
            <w:vAlign w:val="center"/>
          </w:tcPr>
          <w:p>
            <w:pPr>
              <w:ind w:right="-11"/>
              <w:jc w:val="center"/>
              <w:rPr>
                <w:rFonts w:ascii="宋体" w:cs="Arial"/>
                <w:bCs/>
                <w:sz w:val="22"/>
              </w:rPr>
            </w:pPr>
            <w:r>
              <w:rPr>
                <w:rFonts w:hint="eastAsia" w:ascii="宋体" w:cs="Arial"/>
                <w:bCs/>
                <w:sz w:val="22"/>
              </w:rPr>
              <w:t>数量</w:t>
            </w:r>
          </w:p>
        </w:tc>
        <w:tc>
          <w:tcPr>
            <w:tcW w:w="1268" w:type="dxa"/>
            <w:tcBorders>
              <w:tl2br w:val="nil"/>
              <w:tr2bl w:val="nil"/>
            </w:tcBorders>
            <w:vAlign w:val="center"/>
          </w:tcPr>
          <w:p>
            <w:pPr>
              <w:ind w:right="-11"/>
              <w:jc w:val="center"/>
              <w:rPr>
                <w:rFonts w:ascii="宋体" w:cs="Arial"/>
                <w:bCs/>
                <w:sz w:val="22"/>
              </w:rPr>
            </w:pPr>
            <w:r>
              <w:rPr>
                <w:rFonts w:hint="eastAsia" w:ascii="宋体" w:cs="Arial"/>
                <w:bCs/>
                <w:sz w:val="22"/>
              </w:rPr>
              <w:t>参数</w:t>
            </w:r>
          </w:p>
        </w:tc>
        <w:tc>
          <w:tcPr>
            <w:tcW w:w="1268" w:type="dxa"/>
            <w:tcBorders>
              <w:tl2br w:val="nil"/>
              <w:tr2bl w:val="nil"/>
            </w:tcBorders>
            <w:vAlign w:val="center"/>
          </w:tcPr>
          <w:p>
            <w:pPr>
              <w:ind w:right="-11"/>
              <w:jc w:val="center"/>
              <w:rPr>
                <w:rFonts w:ascii="宋体" w:cs="Arial"/>
                <w:sz w:val="22"/>
              </w:rPr>
            </w:pPr>
            <w:r>
              <w:rPr>
                <w:rFonts w:hint="eastAsia" w:ascii="宋体" w:cs="Arial"/>
                <w:bCs/>
                <w:sz w:val="22"/>
              </w:rPr>
              <w:t>单价（元）</w:t>
            </w:r>
          </w:p>
        </w:tc>
        <w:tc>
          <w:tcPr>
            <w:tcW w:w="1271" w:type="dxa"/>
            <w:tcBorders>
              <w:tl2br w:val="nil"/>
              <w:tr2bl w:val="nil"/>
            </w:tcBorders>
            <w:vAlign w:val="center"/>
          </w:tcPr>
          <w:p>
            <w:pPr>
              <w:ind w:right="-11"/>
              <w:jc w:val="center"/>
              <w:rPr>
                <w:rFonts w:ascii="宋体" w:cs="Arial"/>
                <w:sz w:val="22"/>
              </w:rPr>
            </w:pPr>
            <w:r>
              <w:rPr>
                <w:rFonts w:hint="eastAsia" w:ascii="宋体" w:cs="Arial"/>
                <w:bCs/>
                <w:sz w:val="22"/>
              </w:rPr>
              <w:t>总价（元）</w:t>
            </w:r>
          </w:p>
        </w:tc>
        <w:tc>
          <w:tcPr>
            <w:tcW w:w="1361" w:type="dxa"/>
            <w:tcBorders>
              <w:tl2br w:val="nil"/>
              <w:tr2bl w:val="nil"/>
            </w:tcBorders>
            <w:vAlign w:val="center"/>
          </w:tcPr>
          <w:p>
            <w:pPr>
              <w:ind w:right="-11"/>
              <w:jc w:val="center"/>
              <w:rPr>
                <w:rFonts w:ascii="宋体" w:cs="Arial"/>
                <w:bCs/>
                <w:sz w:val="22"/>
              </w:rPr>
            </w:pPr>
            <w:r>
              <w:rPr>
                <w:rFonts w:hint="eastAsia" w:ascii="宋体" w:cs="Arial"/>
                <w:bCs/>
                <w:sz w:val="22"/>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1</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2</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3</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rPr>
                <w:rFonts w:ascii="宋体" w:cs="Arial"/>
                <w:sz w:val="22"/>
              </w:rPr>
            </w:pPr>
          </w:p>
        </w:tc>
        <w:tc>
          <w:tcPr>
            <w:tcW w:w="1268" w:type="dxa"/>
            <w:tcBorders>
              <w:tl2br w:val="nil"/>
              <w:tr2bl w:val="nil"/>
            </w:tcBorders>
            <w:vAlign w:val="center"/>
          </w:tcPr>
          <w:p>
            <w:pP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ind w:right="-11"/>
              <w:jc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rPr>
                <w:rFonts w:ascii="宋体" w:cs="Arial"/>
                <w:sz w:val="22"/>
              </w:rPr>
            </w:pPr>
          </w:p>
        </w:tc>
        <w:tc>
          <w:tcPr>
            <w:tcW w:w="1050" w:type="dxa"/>
            <w:tcBorders>
              <w:tl2br w:val="nil"/>
              <w:tr2bl w:val="nil"/>
            </w:tcBorders>
            <w:vAlign w:val="center"/>
          </w:tcPr>
          <w:p>
            <w:pPr>
              <w:ind w:right="-11"/>
              <w:jc w:val="center"/>
              <w:rPr>
                <w:rFonts w:ascii="宋体" w:cs="Arial"/>
                <w:sz w:val="22"/>
              </w:rPr>
            </w:pPr>
          </w:p>
        </w:tc>
        <w:tc>
          <w:tcPr>
            <w:tcW w:w="805"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jc w:val="center"/>
              <w:rPr>
                <w:rFonts w:ascii="宋体" w:cs="Arial"/>
                <w:sz w:val="22"/>
              </w:rPr>
            </w:pPr>
          </w:p>
        </w:tc>
        <w:tc>
          <w:tcPr>
            <w:tcW w:w="1268" w:type="dxa"/>
            <w:tcBorders>
              <w:tl2br w:val="nil"/>
              <w:tr2bl w:val="nil"/>
            </w:tcBorders>
            <w:vAlign w:val="center"/>
          </w:tcPr>
          <w:p>
            <w:pPr>
              <w:ind w:right="-11"/>
              <w:jc w:val="center"/>
              <w:rPr>
                <w:rFonts w:ascii="宋体" w:cs="Arial"/>
                <w:sz w:val="22"/>
              </w:rPr>
            </w:pPr>
          </w:p>
        </w:tc>
        <w:tc>
          <w:tcPr>
            <w:tcW w:w="1271" w:type="dxa"/>
            <w:tcBorders>
              <w:tl2br w:val="nil"/>
              <w:tr2bl w:val="nil"/>
            </w:tcBorders>
            <w:vAlign w:val="center"/>
          </w:tcPr>
          <w:p>
            <w:pPr>
              <w:ind w:right="-11"/>
              <w:jc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widowControl/>
              <w:jc w:val="center"/>
              <w:textAlignment w:val="center"/>
              <w:rPr>
                <w:rFonts w:ascii="宋体" w:cs="Arial"/>
                <w:sz w:val="22"/>
              </w:rPr>
            </w:pPr>
            <w:r>
              <w:rPr>
                <w:rFonts w:hint="eastAsia" w:ascii="宋体" w:cs="Arial"/>
                <w:sz w:val="22"/>
              </w:rPr>
              <w:t>.</w:t>
            </w:r>
          </w:p>
        </w:tc>
        <w:tc>
          <w:tcPr>
            <w:tcW w:w="2222" w:type="dxa"/>
            <w:gridSpan w:val="2"/>
            <w:tcBorders>
              <w:tl2br w:val="nil"/>
              <w:tr2bl w:val="nil"/>
            </w:tcBorders>
            <w:vAlign w:val="center"/>
          </w:tcPr>
          <w:p>
            <w:pPr>
              <w:widowControl/>
              <w:jc w:val="center"/>
              <w:textAlignment w:val="center"/>
              <w:rPr>
                <w:rFonts w:ascii="宋体" w:cs="Arial"/>
                <w:sz w:val="22"/>
              </w:rPr>
            </w:pPr>
          </w:p>
        </w:tc>
        <w:tc>
          <w:tcPr>
            <w:tcW w:w="1050" w:type="dxa"/>
            <w:tcBorders>
              <w:tl2br w:val="nil"/>
              <w:tr2bl w:val="nil"/>
            </w:tcBorders>
            <w:vAlign w:val="center"/>
          </w:tcPr>
          <w:p>
            <w:pPr>
              <w:widowControl/>
              <w:jc w:val="center"/>
              <w:textAlignment w:val="center"/>
              <w:rPr>
                <w:rFonts w:ascii="宋体" w:eastAsia="宋体" w:cs="Arial"/>
                <w:sz w:val="22"/>
              </w:rPr>
            </w:pPr>
          </w:p>
        </w:tc>
        <w:tc>
          <w:tcPr>
            <w:tcW w:w="805" w:type="dxa"/>
            <w:tcBorders>
              <w:tl2br w:val="nil"/>
              <w:tr2bl w:val="nil"/>
            </w:tcBorders>
            <w:vAlign w:val="center"/>
          </w:tcPr>
          <w:p>
            <w:pPr>
              <w:widowControl/>
              <w:jc w:val="center"/>
              <w:textAlignment w:val="center"/>
              <w:rPr>
                <w:rFonts w:ascii="宋体" w:eastAsia="宋体" w:cs="Arial"/>
                <w:sz w:val="22"/>
              </w:rPr>
            </w:pPr>
          </w:p>
        </w:tc>
        <w:tc>
          <w:tcPr>
            <w:tcW w:w="1268" w:type="dxa"/>
            <w:tcBorders>
              <w:tl2br w:val="nil"/>
              <w:tr2bl w:val="nil"/>
            </w:tcBorders>
            <w:vAlign w:val="center"/>
          </w:tcPr>
          <w:p>
            <w:pPr>
              <w:widowControl/>
              <w:jc w:val="center"/>
              <w:textAlignment w:val="center"/>
              <w:rPr>
                <w:rFonts w:ascii="宋体" w:eastAsia="宋体" w:cs="Arial"/>
                <w:sz w:val="22"/>
              </w:rPr>
            </w:pPr>
          </w:p>
        </w:tc>
        <w:tc>
          <w:tcPr>
            <w:tcW w:w="1268" w:type="dxa"/>
            <w:tcBorders>
              <w:tl2br w:val="nil"/>
              <w:tr2bl w:val="nil"/>
            </w:tcBorders>
            <w:vAlign w:val="center"/>
          </w:tcPr>
          <w:p>
            <w:pPr>
              <w:widowControl/>
              <w:jc w:val="center"/>
              <w:textAlignment w:val="center"/>
              <w:rPr>
                <w:rFonts w:ascii="宋体" w:eastAsia="宋体" w:cs="Arial"/>
                <w:sz w:val="22"/>
              </w:rPr>
            </w:pPr>
          </w:p>
        </w:tc>
        <w:tc>
          <w:tcPr>
            <w:tcW w:w="1271" w:type="dxa"/>
            <w:tcBorders>
              <w:tl2br w:val="nil"/>
              <w:tr2bl w:val="nil"/>
            </w:tcBorders>
            <w:vAlign w:val="center"/>
          </w:tcPr>
          <w:p>
            <w:pPr>
              <w:ind w:right="-11"/>
              <w:jc w:val="center"/>
              <w:rPr>
                <w:rFonts w:ascii="宋体" w:eastAsia="宋体" w:cs="Arial"/>
                <w:sz w:val="22"/>
              </w:rPr>
            </w:pPr>
          </w:p>
        </w:tc>
        <w:tc>
          <w:tcPr>
            <w:tcW w:w="1361" w:type="dxa"/>
            <w:tcBorders>
              <w:tl2br w:val="nil"/>
              <w:tr2bl w:val="nil"/>
            </w:tcBorders>
            <w:vAlign w:val="center"/>
          </w:tcPr>
          <w:p>
            <w:pPr>
              <w:ind w:right="-11"/>
              <w:jc w:val="center"/>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tcBorders>
              <w:tl2br w:val="nil"/>
              <w:tr2bl w:val="nil"/>
            </w:tcBorders>
            <w:vAlign w:val="center"/>
          </w:tcPr>
          <w:p>
            <w:pPr>
              <w:widowControl/>
              <w:jc w:val="center"/>
              <w:textAlignment w:val="center"/>
              <w:rPr>
                <w:rFonts w:ascii="宋体" w:cs="Arial"/>
                <w:sz w:val="22"/>
              </w:rPr>
            </w:pPr>
          </w:p>
        </w:tc>
        <w:tc>
          <w:tcPr>
            <w:tcW w:w="2222" w:type="dxa"/>
            <w:gridSpan w:val="2"/>
            <w:tcBorders>
              <w:tl2br w:val="nil"/>
              <w:tr2bl w:val="nil"/>
            </w:tcBorders>
            <w:vAlign w:val="center"/>
          </w:tcPr>
          <w:p>
            <w:pPr>
              <w:widowControl/>
              <w:jc w:val="left"/>
              <w:textAlignment w:val="center"/>
              <w:rPr>
                <w:rFonts w:ascii="宋体" w:cs="Arial"/>
                <w:sz w:val="22"/>
              </w:rPr>
            </w:pPr>
          </w:p>
        </w:tc>
        <w:tc>
          <w:tcPr>
            <w:tcW w:w="1050" w:type="dxa"/>
            <w:tcBorders>
              <w:tl2br w:val="nil"/>
              <w:tr2bl w:val="nil"/>
            </w:tcBorders>
            <w:vAlign w:val="center"/>
          </w:tcPr>
          <w:p>
            <w:pPr>
              <w:widowControl/>
              <w:jc w:val="center"/>
              <w:textAlignment w:val="center"/>
              <w:rPr>
                <w:rFonts w:ascii="宋体" w:cs="Arial"/>
                <w:sz w:val="22"/>
              </w:rPr>
            </w:pPr>
          </w:p>
        </w:tc>
        <w:tc>
          <w:tcPr>
            <w:tcW w:w="805" w:type="dxa"/>
            <w:tcBorders>
              <w:tl2br w:val="nil"/>
              <w:tr2bl w:val="nil"/>
            </w:tcBorders>
            <w:vAlign w:val="center"/>
          </w:tcPr>
          <w:p>
            <w:pPr>
              <w:widowControl/>
              <w:jc w:val="center"/>
              <w:textAlignment w:val="center"/>
              <w:rPr>
                <w:rFonts w:ascii="宋体" w:cs="Arial"/>
                <w:sz w:val="22"/>
              </w:rPr>
            </w:pPr>
          </w:p>
        </w:tc>
        <w:tc>
          <w:tcPr>
            <w:tcW w:w="1268" w:type="dxa"/>
            <w:tcBorders>
              <w:tl2br w:val="nil"/>
              <w:tr2bl w:val="nil"/>
            </w:tcBorders>
            <w:vAlign w:val="center"/>
          </w:tcPr>
          <w:p>
            <w:pPr>
              <w:widowControl/>
              <w:jc w:val="center"/>
              <w:textAlignment w:val="center"/>
              <w:rPr>
                <w:rFonts w:ascii="宋体" w:cs="Arial"/>
                <w:sz w:val="22"/>
              </w:rPr>
            </w:pPr>
          </w:p>
        </w:tc>
        <w:tc>
          <w:tcPr>
            <w:tcW w:w="1268" w:type="dxa"/>
            <w:tcBorders>
              <w:tl2br w:val="nil"/>
              <w:tr2bl w:val="nil"/>
            </w:tcBorders>
            <w:vAlign w:val="center"/>
          </w:tcPr>
          <w:p>
            <w:pPr>
              <w:widowControl/>
              <w:jc w:val="center"/>
              <w:textAlignment w:val="center"/>
              <w:rPr>
                <w:rFonts w:ascii="宋体" w:cs="Arial"/>
                <w:sz w:val="22"/>
              </w:rPr>
            </w:pPr>
          </w:p>
        </w:tc>
        <w:tc>
          <w:tcPr>
            <w:tcW w:w="1271" w:type="dxa"/>
            <w:tcBorders>
              <w:tl2br w:val="nil"/>
              <w:tr2bl w:val="nil"/>
            </w:tcBorders>
            <w:vAlign w:val="center"/>
          </w:tcPr>
          <w:p>
            <w:pPr>
              <w:widowControl/>
              <w:jc w:val="center"/>
              <w:textAlignment w:val="center"/>
              <w:rPr>
                <w:rFonts w:ascii="宋体" w:cs="Arial"/>
                <w:sz w:val="22"/>
              </w:rPr>
            </w:pPr>
          </w:p>
        </w:tc>
        <w:tc>
          <w:tcPr>
            <w:tcW w:w="1361" w:type="dxa"/>
            <w:tcBorders>
              <w:tl2br w:val="nil"/>
              <w:tr2bl w:val="nil"/>
            </w:tcBorders>
            <w:vAlign w:val="center"/>
          </w:tcPr>
          <w:p>
            <w:pPr>
              <w:ind w:right="-11"/>
              <w:jc w:val="center"/>
              <w:rPr>
                <w:rFonts w:asci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2141" w:type="dxa"/>
            <w:gridSpan w:val="2"/>
            <w:tcBorders>
              <w:tl2br w:val="nil"/>
              <w:tr2bl w:val="nil"/>
            </w:tcBorders>
            <w:vAlign w:val="center"/>
          </w:tcPr>
          <w:p>
            <w:pPr>
              <w:widowControl/>
              <w:jc w:val="center"/>
              <w:textAlignment w:val="center"/>
              <w:rPr>
                <w:rFonts w:ascii="宋体" w:cs="Arial"/>
                <w:sz w:val="22"/>
              </w:rPr>
            </w:pPr>
            <w:r>
              <w:rPr>
                <w:rFonts w:hint="eastAsia" w:ascii="宋体" w:cs="Arial"/>
                <w:sz w:val="22"/>
              </w:rPr>
              <w:t>总价（元）</w:t>
            </w:r>
          </w:p>
        </w:tc>
        <w:tc>
          <w:tcPr>
            <w:tcW w:w="8209" w:type="dxa"/>
            <w:gridSpan w:val="7"/>
            <w:tcBorders>
              <w:tl2br w:val="nil"/>
              <w:tr2bl w:val="nil"/>
            </w:tcBorders>
            <w:vAlign w:val="center"/>
          </w:tcPr>
          <w:p>
            <w:pPr>
              <w:ind w:right="-11"/>
              <w:jc w:val="center"/>
              <w:rPr>
                <w:rFonts w:ascii="宋体" w:cs="Arial"/>
                <w:sz w:val="22"/>
              </w:rPr>
            </w:pPr>
          </w:p>
        </w:tc>
      </w:tr>
    </w:tbl>
    <w:p>
      <w:pPr>
        <w:rPr>
          <w:rFonts w:ascii="宋体" w:hAnsi="宋体"/>
          <w:color w:val="000000"/>
          <w:szCs w:val="21"/>
        </w:rPr>
      </w:pPr>
      <w:r>
        <w:rPr>
          <w:rFonts w:hAnsi="宋体"/>
          <w:color w:val="000000"/>
        </w:rPr>
        <w:t xml:space="preserve">        </w:t>
      </w:r>
    </w:p>
    <w:p>
      <w:pPr>
        <w:autoSpaceDE w:val="0"/>
        <w:autoSpaceDN w:val="0"/>
        <w:adjustRightInd w:val="0"/>
        <w:spacing w:line="440" w:lineRule="atLeast"/>
        <w:rPr>
          <w:rFonts w:ascii="宋体" w:hAnsi="宋体" w:cs="仿宋_GB2312"/>
          <w:b/>
          <w:bCs/>
          <w:sz w:val="22"/>
          <w:szCs w:val="22"/>
          <w:u w:val="single"/>
        </w:rPr>
      </w:pPr>
      <w:r>
        <w:rPr>
          <w:rFonts w:hint="eastAsia" w:ascii="宋体" w:hAnsi="宋体" w:cs="仿宋_GB2312"/>
          <w:b/>
          <w:bCs/>
          <w:sz w:val="22"/>
          <w:szCs w:val="22"/>
          <w:u w:val="single"/>
        </w:rPr>
        <w:t>▲注：</w:t>
      </w:r>
    </w:p>
    <w:p>
      <w:pPr>
        <w:autoSpaceDE w:val="0"/>
        <w:autoSpaceDN w:val="0"/>
        <w:adjustRightInd w:val="0"/>
        <w:spacing w:line="440" w:lineRule="atLeast"/>
        <w:ind w:firstLine="420"/>
        <w:rPr>
          <w:rFonts w:ascii="宋体" w:hAnsi="宋体" w:cs="仿宋_GB2312"/>
          <w:b/>
          <w:bCs/>
          <w:sz w:val="22"/>
          <w:szCs w:val="22"/>
          <w:u w:val="single"/>
        </w:rPr>
      </w:pPr>
      <w:r>
        <w:rPr>
          <w:rFonts w:hint="eastAsia" w:ascii="宋体" w:hAnsi="宋体" w:cs="仿宋_GB2312"/>
          <w:b/>
          <w:bCs/>
          <w:sz w:val="22"/>
          <w:szCs w:val="22"/>
          <w:u w:val="single"/>
        </w:rPr>
        <w:t>1、不提供此表格的将视为没有实质性响应招标文件。</w:t>
      </w:r>
    </w:p>
    <w:p>
      <w:pPr>
        <w:autoSpaceDE w:val="0"/>
        <w:autoSpaceDN w:val="0"/>
        <w:adjustRightInd w:val="0"/>
        <w:spacing w:line="440" w:lineRule="atLeast"/>
        <w:ind w:firstLine="420"/>
        <w:rPr>
          <w:rFonts w:ascii="宋体" w:hAnsi="宋体" w:cs="仿宋_GB2312"/>
          <w:b/>
          <w:bCs/>
          <w:sz w:val="22"/>
          <w:szCs w:val="22"/>
          <w:u w:val="single"/>
        </w:rPr>
      </w:pPr>
      <w:r>
        <w:rPr>
          <w:rFonts w:hint="eastAsia" w:ascii="宋体" w:hAnsi="宋体" w:cs="仿宋_GB2312"/>
          <w:b/>
          <w:bCs/>
          <w:sz w:val="22"/>
          <w:szCs w:val="22"/>
          <w:u w:val="single"/>
        </w:rPr>
        <w:t>2、此表的投标总价应与附件一（一）“开标一览表”中的投标报价相一致。</w:t>
      </w:r>
    </w:p>
    <w:p>
      <w:pPr>
        <w:autoSpaceDE w:val="0"/>
        <w:autoSpaceDN w:val="0"/>
        <w:adjustRightInd w:val="0"/>
        <w:spacing w:line="440" w:lineRule="atLeast"/>
        <w:ind w:firstLine="420"/>
        <w:rPr>
          <w:rFonts w:ascii="宋体" w:hAnsi="宋体" w:cs="仿宋_GB2312"/>
          <w:b/>
          <w:bCs/>
          <w:sz w:val="22"/>
          <w:szCs w:val="22"/>
          <w:u w:val="single"/>
        </w:rPr>
      </w:pPr>
      <w:r>
        <w:rPr>
          <w:rFonts w:hint="eastAsia" w:ascii="宋体" w:hAnsi="宋体" w:cs="仿宋_GB2312"/>
          <w:b/>
          <w:bCs/>
          <w:sz w:val="22"/>
          <w:szCs w:val="22"/>
          <w:u w:val="single"/>
        </w:rPr>
        <w:t>3、根据《中华人民共和国政府采购法实施条例 》第四十三条规定，在中标或者成交公告的内容中可能增加本表，请各供应商认真填写，确保报价数据的真实性、完整性和合理性。</w:t>
      </w:r>
    </w:p>
    <w:p>
      <w:pPr>
        <w:autoSpaceDE w:val="0"/>
        <w:autoSpaceDN w:val="0"/>
        <w:adjustRightInd w:val="0"/>
        <w:spacing w:line="440" w:lineRule="atLeast"/>
        <w:ind w:firstLine="420"/>
        <w:rPr>
          <w:rFonts w:ascii="宋体" w:hAnsi="宋体" w:cs="仿宋_GB2312"/>
          <w:b/>
          <w:bCs/>
          <w:szCs w:val="21"/>
          <w:u w:val="single"/>
        </w:rPr>
      </w:pPr>
      <w:r>
        <w:rPr>
          <w:rFonts w:hint="eastAsia" w:ascii="宋体" w:hAnsi="宋体" w:cs="仿宋_GB2312"/>
          <w:b/>
          <w:bCs/>
          <w:sz w:val="22"/>
          <w:szCs w:val="22"/>
          <w:u w:val="single"/>
        </w:rPr>
        <w:t>4、表格可以延续。</w:t>
      </w:r>
      <w:r>
        <w:rPr>
          <w:rFonts w:hint="eastAsia" w:ascii="宋体" w:hAnsi="宋体" w:cs="仿宋_GB2312"/>
          <w:b/>
          <w:bCs/>
          <w:szCs w:val="21"/>
          <w:u w:val="single"/>
        </w:rPr>
        <w:t xml:space="preserve"> </w:t>
      </w:r>
    </w:p>
    <w:p>
      <w:pPr>
        <w:pStyle w:val="15"/>
        <w:spacing w:line="460" w:lineRule="atLeast"/>
        <w:ind w:firstLine="770" w:firstLineChars="350"/>
        <w:rPr>
          <w:rFonts w:hAnsi="宋体"/>
          <w:sz w:val="22"/>
          <w:szCs w:val="22"/>
        </w:rPr>
      </w:pPr>
    </w:p>
    <w:p>
      <w:pPr>
        <w:pStyle w:val="15"/>
        <w:spacing w:line="460" w:lineRule="atLeast"/>
        <w:ind w:firstLine="770" w:firstLineChars="350"/>
        <w:rPr>
          <w:rFonts w:hAnsi="宋体"/>
          <w:sz w:val="22"/>
          <w:szCs w:val="22"/>
        </w:rPr>
      </w:pPr>
      <w:r>
        <w:rPr>
          <w:rFonts w:hint="eastAsia" w:hAnsi="宋体"/>
          <w:sz w:val="22"/>
          <w:szCs w:val="22"/>
        </w:rPr>
        <w:t>投标供应商（盖章）：</w:t>
      </w:r>
    </w:p>
    <w:p>
      <w:pPr>
        <w:pStyle w:val="15"/>
        <w:spacing w:line="460" w:lineRule="atLeast"/>
        <w:ind w:firstLine="770" w:firstLineChars="350"/>
        <w:rPr>
          <w:rFonts w:hAnsi="宋体"/>
          <w:sz w:val="22"/>
          <w:szCs w:val="22"/>
        </w:rPr>
      </w:pPr>
      <w:r>
        <w:rPr>
          <w:rFonts w:hint="eastAsia" w:hAnsi="宋体"/>
          <w:sz w:val="22"/>
          <w:szCs w:val="22"/>
        </w:rPr>
        <w:t>法定代表人（签字或盖章）或授权代表（签字或盖章）：</w:t>
      </w:r>
    </w:p>
    <w:p>
      <w:pPr>
        <w:pStyle w:val="15"/>
        <w:spacing w:line="460" w:lineRule="atLeast"/>
        <w:ind w:firstLine="770" w:firstLineChars="350"/>
        <w:rPr>
          <w:rFonts w:hAnsi="宋体"/>
          <w:sz w:val="22"/>
          <w:szCs w:val="22"/>
        </w:rPr>
      </w:pPr>
      <w:r>
        <w:rPr>
          <w:rFonts w:hint="eastAsia" w:hAnsi="宋体"/>
          <w:sz w:val="22"/>
          <w:szCs w:val="22"/>
        </w:rPr>
        <w:t>日期：</w:t>
      </w:r>
    </w:p>
    <w:p>
      <w:pPr>
        <w:rPr>
          <w:rFonts w:ascii="宋体" w:hAnsi="宋体"/>
          <w:b/>
          <w:sz w:val="32"/>
          <w:szCs w:val="32"/>
        </w:rPr>
      </w:pPr>
      <w:r>
        <w:rPr>
          <w:rFonts w:hint="eastAsia" w:ascii="宋体" w:hAnsi="宋体"/>
          <w:b/>
          <w:sz w:val="32"/>
          <w:szCs w:val="32"/>
        </w:rPr>
        <w:br w:type="page"/>
      </w:r>
    </w:p>
    <w:p>
      <w:pPr>
        <w:spacing w:line="440" w:lineRule="exact"/>
        <w:jc w:val="left"/>
        <w:rPr>
          <w:rFonts w:ascii="宋体" w:hAnsi="宋体" w:eastAsia="宋体"/>
          <w:b/>
          <w:sz w:val="32"/>
          <w:szCs w:val="32"/>
        </w:rPr>
      </w:pPr>
      <w:r>
        <w:rPr>
          <w:rFonts w:hint="eastAsia" w:ascii="宋体" w:hAnsi="宋体"/>
          <w:b/>
          <w:sz w:val="32"/>
          <w:szCs w:val="32"/>
        </w:rPr>
        <w:t>附件二（一）</w:t>
      </w:r>
    </w:p>
    <w:p>
      <w:pPr>
        <w:spacing w:before="135" w:line="218" w:lineRule="auto"/>
        <w:ind w:left="2851"/>
        <w:rPr>
          <w:rFonts w:ascii="Arial"/>
        </w:rPr>
      </w:pPr>
      <w:r>
        <w:rPr>
          <w:rFonts w:ascii="宋体" w:hAnsi="宋体" w:eastAsia="宋体" w:cs="宋体"/>
          <w:spacing w:val="1"/>
          <w:sz w:val="34"/>
          <w:szCs w:val="34"/>
          <w14:textOutline w14:w="6197" w14:cap="sq" w14:cmpd="sng" w14:algn="ctr">
            <w14:solidFill>
              <w14:srgbClr w14:val="000000"/>
            </w14:solidFill>
            <w14:prstDash w14:val="solid"/>
            <w14:bevel/>
          </w14:textOutline>
        </w:rPr>
        <w:t>中小企</w:t>
      </w:r>
      <w:r>
        <w:rPr>
          <w:rFonts w:ascii="宋体" w:hAnsi="宋体" w:eastAsia="宋体" w:cs="宋体"/>
          <w:sz w:val="34"/>
          <w:szCs w:val="34"/>
          <w14:textOutline w14:w="6197" w14:cap="sq" w14:cmpd="sng" w14:algn="ctr">
            <w14:solidFill>
              <w14:srgbClr w14:val="000000"/>
            </w14:solidFill>
            <w14:prstDash w14:val="solid"/>
            <w14:bevel/>
          </w14:textOutline>
        </w:rPr>
        <w:t>业声明函</w:t>
      </w:r>
      <w:r>
        <w:rPr>
          <w:rFonts w:ascii="宋体" w:hAnsi="宋体" w:eastAsia="宋体" w:cs="宋体"/>
          <w:sz w:val="34"/>
          <w:szCs w:val="34"/>
        </w:rPr>
        <w:t xml:space="preserve"> </w:t>
      </w:r>
      <w:r>
        <w:rPr>
          <w:rFonts w:ascii="宋体" w:hAnsi="宋体" w:eastAsia="宋体" w:cs="宋体"/>
          <w:sz w:val="34"/>
          <w:szCs w:val="34"/>
          <w14:textOutline w14:w="6197" w14:cap="sq" w14:cmpd="sng" w14:algn="ctr">
            <w14:solidFill>
              <w14:srgbClr w14:val="000000"/>
            </w14:solidFill>
            <w14:prstDash w14:val="solid"/>
            <w14:bevel/>
          </w14:textOutline>
        </w:rPr>
        <w:t>(货物)</w:t>
      </w:r>
    </w:p>
    <w:p>
      <w:pPr>
        <w:spacing w:before="72" w:line="220" w:lineRule="auto"/>
        <w:ind w:left="456"/>
        <w:rPr>
          <w:sz w:val="22"/>
        </w:rPr>
      </w:pPr>
      <w:r>
        <w:rPr>
          <w:rFonts w:ascii="宋体" w:hAnsi="宋体" w:eastAsia="宋体" w:cs="宋体"/>
          <w:spacing w:val="-4"/>
          <w:sz w:val="22"/>
          <w:szCs w:val="22"/>
        </w:rPr>
        <w:t xml:space="preserve">本公司 (联合体) 郑重声明，根据《政府采购促进中小企业发展管理办法》  (财库 ﹝ 2020 </w:t>
      </w:r>
      <w:r>
        <w:rPr>
          <w:rFonts w:ascii="宋体" w:hAnsi="宋体" w:eastAsia="宋体" w:cs="宋体"/>
          <w:sz w:val="22"/>
          <w:szCs w:val="22"/>
        </w:rPr>
        <w:t>﹞</w:t>
      </w:r>
    </w:p>
    <w:p>
      <w:pPr>
        <w:spacing w:before="72" w:line="297" w:lineRule="auto"/>
        <w:ind w:left="11" w:right="71" w:hanging="3"/>
        <w:rPr>
          <w:rFonts w:ascii="宋体" w:hAnsi="宋体" w:eastAsia="宋体" w:cs="宋体"/>
          <w:sz w:val="22"/>
          <w:szCs w:val="22"/>
        </w:rPr>
      </w:pPr>
      <w:r>
        <w:rPr>
          <w:rFonts w:ascii="宋体" w:hAnsi="宋体" w:eastAsia="宋体" w:cs="宋体"/>
          <w:spacing w:val="6"/>
          <w:sz w:val="22"/>
          <w:szCs w:val="22"/>
        </w:rPr>
        <w:t>46</w:t>
      </w:r>
      <w:r>
        <w:rPr>
          <w:rFonts w:ascii="宋体" w:hAnsi="宋体" w:eastAsia="宋体" w:cs="宋体"/>
          <w:spacing w:val="4"/>
          <w:sz w:val="22"/>
          <w:szCs w:val="22"/>
        </w:rPr>
        <w:t xml:space="preserve"> </w:t>
      </w:r>
      <w:r>
        <w:rPr>
          <w:rFonts w:ascii="宋体" w:hAnsi="宋体" w:eastAsia="宋体" w:cs="宋体"/>
          <w:spacing w:val="3"/>
          <w:sz w:val="22"/>
          <w:szCs w:val="22"/>
        </w:rPr>
        <w:t>号) 的规定，本公司  (联合体) 参加</w:t>
      </w:r>
      <w:r>
        <w:rPr>
          <w:rFonts w:ascii="宋体" w:hAnsi="宋体" w:eastAsia="宋体" w:cs="宋体"/>
          <w:spacing w:val="3"/>
          <w:sz w:val="22"/>
          <w:szCs w:val="22"/>
          <w:u w:val="single"/>
        </w:rPr>
        <w:t xml:space="preserve"> (单位名称) </w:t>
      </w:r>
      <w:r>
        <w:rPr>
          <w:rFonts w:ascii="宋体" w:hAnsi="宋体" w:eastAsia="宋体" w:cs="宋体"/>
          <w:spacing w:val="3"/>
          <w:sz w:val="22"/>
          <w:szCs w:val="22"/>
        </w:rPr>
        <w:t>的</w:t>
      </w:r>
      <w:r>
        <w:rPr>
          <w:rFonts w:ascii="宋体" w:hAnsi="宋体" w:eastAsia="宋体" w:cs="宋体"/>
          <w:spacing w:val="3"/>
          <w:sz w:val="22"/>
          <w:szCs w:val="22"/>
          <w:u w:val="single"/>
        </w:rPr>
        <w:t xml:space="preserve"> (项目名称) </w:t>
      </w:r>
      <w:r>
        <w:rPr>
          <w:rFonts w:ascii="宋体" w:hAnsi="宋体" w:eastAsia="宋体" w:cs="宋体"/>
          <w:spacing w:val="3"/>
          <w:sz w:val="22"/>
          <w:szCs w:val="22"/>
        </w:rPr>
        <w:t>采购活动，提供的货物全</w:t>
      </w:r>
      <w:r>
        <w:rPr>
          <w:rFonts w:ascii="宋体" w:hAnsi="宋体" w:eastAsia="宋体" w:cs="宋体"/>
          <w:sz w:val="22"/>
          <w:szCs w:val="22"/>
        </w:rPr>
        <w:t xml:space="preserve"> </w:t>
      </w:r>
      <w:r>
        <w:rPr>
          <w:rFonts w:ascii="宋体" w:hAnsi="宋体" w:eastAsia="宋体" w:cs="宋体"/>
          <w:spacing w:val="6"/>
          <w:sz w:val="22"/>
          <w:szCs w:val="22"/>
        </w:rPr>
        <w:t>部由符合政策要求的</w:t>
      </w:r>
      <w:r>
        <w:rPr>
          <w:rFonts w:ascii="宋体" w:hAnsi="宋体" w:eastAsia="宋体" w:cs="宋体"/>
          <w:spacing w:val="3"/>
          <w:sz w:val="22"/>
          <w:szCs w:val="22"/>
        </w:rPr>
        <w:t>中小企业制造。相关企业 (含联合体中的中小企业、签订分包意向协议的中</w:t>
      </w:r>
      <w:r>
        <w:rPr>
          <w:rFonts w:ascii="宋体" w:hAnsi="宋体" w:eastAsia="宋体" w:cs="宋体"/>
          <w:sz w:val="22"/>
          <w:szCs w:val="22"/>
        </w:rPr>
        <w:t xml:space="preserve"> </w:t>
      </w:r>
      <w:r>
        <w:rPr>
          <w:rFonts w:ascii="宋体" w:hAnsi="宋体" w:eastAsia="宋体" w:cs="宋体"/>
          <w:spacing w:val="4"/>
          <w:sz w:val="22"/>
          <w:szCs w:val="22"/>
        </w:rPr>
        <w:t>小</w:t>
      </w:r>
      <w:r>
        <w:rPr>
          <w:rFonts w:ascii="宋体" w:hAnsi="宋体" w:eastAsia="宋体" w:cs="宋体"/>
          <w:spacing w:val="2"/>
          <w:sz w:val="22"/>
          <w:szCs w:val="22"/>
        </w:rPr>
        <w:t>企业) 的具体情况如下：</w:t>
      </w:r>
    </w:p>
    <w:p>
      <w:pPr>
        <w:spacing w:before="136" w:line="336" w:lineRule="auto"/>
        <w:ind w:left="12" w:right="71" w:firstLine="460"/>
        <w:rPr>
          <w:rFonts w:ascii="宋体" w:hAnsi="宋体" w:eastAsia="宋体" w:cs="宋体"/>
          <w:sz w:val="22"/>
          <w:szCs w:val="22"/>
        </w:rPr>
      </w:pPr>
      <w:r>
        <w:rPr>
          <w:rFonts w:ascii="宋体" w:hAnsi="宋体" w:eastAsia="宋体" w:cs="宋体"/>
          <w:spacing w:val="-2"/>
          <w:sz w:val="22"/>
          <w:szCs w:val="22"/>
        </w:rPr>
        <w:t xml:space="preserve">1. </w:t>
      </w:r>
      <w:r>
        <w:rPr>
          <w:rFonts w:ascii="宋体" w:hAnsi="宋体" w:eastAsia="宋体" w:cs="宋体"/>
          <w:spacing w:val="-2"/>
          <w:sz w:val="22"/>
          <w:szCs w:val="22"/>
          <w:u w:val="single"/>
        </w:rPr>
        <w:t xml:space="preserve"> (标的名称) </w:t>
      </w:r>
      <w:r>
        <w:rPr>
          <w:rFonts w:ascii="宋体" w:hAnsi="宋体" w:eastAsia="宋体" w:cs="宋体"/>
          <w:spacing w:val="-2"/>
          <w:sz w:val="22"/>
          <w:szCs w:val="22"/>
        </w:rPr>
        <w:t xml:space="preserve"> ，属于</w:t>
      </w:r>
      <w:r>
        <w:rPr>
          <w:rFonts w:ascii="宋体" w:hAnsi="宋体" w:eastAsia="宋体" w:cs="宋体"/>
          <w:spacing w:val="-2"/>
          <w:sz w:val="22"/>
          <w:szCs w:val="22"/>
          <w:u w:val="single"/>
        </w:rPr>
        <w:t xml:space="preserve"> (采购文件中明确的所属行业)  </w:t>
      </w:r>
      <w:r>
        <w:rPr>
          <w:rFonts w:ascii="宋体" w:hAnsi="宋体" w:eastAsia="宋体" w:cs="宋体"/>
          <w:spacing w:val="-2"/>
          <w:sz w:val="22"/>
          <w:szCs w:val="22"/>
        </w:rPr>
        <w:t xml:space="preserve"> </w:t>
      </w:r>
      <w:r>
        <w:rPr>
          <w:rFonts w:ascii="宋体" w:hAnsi="宋体" w:eastAsia="宋体" w:cs="宋体"/>
          <w:spacing w:val="-1"/>
          <w:sz w:val="22"/>
          <w:szCs w:val="22"/>
        </w:rPr>
        <w:t>行业；  制造商为</w:t>
      </w:r>
      <w:r>
        <w:rPr>
          <w:rFonts w:ascii="宋体" w:hAnsi="宋体" w:eastAsia="宋体" w:cs="宋体"/>
          <w:spacing w:val="-1"/>
          <w:sz w:val="22"/>
          <w:szCs w:val="22"/>
          <w:u w:val="single"/>
        </w:rPr>
        <w:t xml:space="preserve"> (企业名称) </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6"/>
          <w:sz w:val="22"/>
          <w:szCs w:val="22"/>
        </w:rPr>
        <w:t>从业人员</w:t>
      </w:r>
      <w:r>
        <w:rPr>
          <w:rFonts w:ascii="宋体" w:hAnsi="宋体" w:eastAsia="宋体" w:cs="宋体"/>
          <w:spacing w:val="-6"/>
          <w:sz w:val="22"/>
          <w:szCs w:val="22"/>
          <w:u w:val="single"/>
        </w:rPr>
        <w:t xml:space="preserve">   </w:t>
      </w:r>
      <w:r>
        <w:rPr>
          <w:rFonts w:ascii="宋体" w:hAnsi="宋体" w:eastAsia="宋体" w:cs="宋体"/>
          <w:spacing w:val="-3"/>
          <w:sz w:val="22"/>
          <w:szCs w:val="22"/>
        </w:rPr>
        <w:t xml:space="preserve"> 人，营业收入为</w:t>
      </w:r>
      <w:r>
        <w:rPr>
          <w:rFonts w:ascii="宋体" w:hAnsi="宋体" w:eastAsia="宋体" w:cs="宋体"/>
          <w:spacing w:val="-3"/>
          <w:sz w:val="22"/>
          <w:szCs w:val="22"/>
          <w:u w:val="single"/>
        </w:rPr>
        <w:t xml:space="preserve">   </w:t>
      </w:r>
      <w:r>
        <w:rPr>
          <w:rFonts w:ascii="宋体" w:hAnsi="宋体" w:eastAsia="宋体" w:cs="宋体"/>
          <w:spacing w:val="-3"/>
          <w:sz w:val="22"/>
          <w:szCs w:val="22"/>
        </w:rPr>
        <w:t>万元，资产总额为</w:t>
      </w:r>
      <w:r>
        <w:rPr>
          <w:rFonts w:ascii="宋体" w:hAnsi="宋体" w:eastAsia="宋体" w:cs="宋体"/>
          <w:spacing w:val="-3"/>
          <w:sz w:val="22"/>
          <w:szCs w:val="22"/>
          <w:u w:val="single"/>
        </w:rPr>
        <w:t xml:space="preserve">   </w:t>
      </w:r>
      <w:r>
        <w:rPr>
          <w:rFonts w:ascii="宋体" w:hAnsi="宋体" w:eastAsia="宋体" w:cs="宋体"/>
          <w:spacing w:val="-3"/>
          <w:sz w:val="22"/>
          <w:szCs w:val="22"/>
        </w:rPr>
        <w:t>万元 ，属于</w:t>
      </w:r>
      <w:r>
        <w:rPr>
          <w:rFonts w:ascii="宋体" w:hAnsi="宋体" w:eastAsia="宋体" w:cs="宋体"/>
          <w:spacing w:val="-3"/>
          <w:sz w:val="22"/>
          <w:szCs w:val="22"/>
          <w:u w:val="single"/>
        </w:rPr>
        <w:t xml:space="preserve"> (中型企业、  小型企业、微型</w:t>
      </w:r>
      <w:r>
        <w:rPr>
          <w:rFonts w:ascii="宋体" w:hAnsi="宋体" w:eastAsia="宋体" w:cs="宋体"/>
          <w:sz w:val="22"/>
          <w:szCs w:val="22"/>
        </w:rPr>
        <w:t xml:space="preserve"> </w:t>
      </w:r>
      <w:r>
        <w:rPr>
          <w:rFonts w:ascii="宋体" w:hAnsi="宋体" w:eastAsia="宋体" w:cs="宋体"/>
          <w:spacing w:val="-1"/>
          <w:sz w:val="22"/>
          <w:szCs w:val="22"/>
          <w:u w:val="single"/>
        </w:rPr>
        <w:t>企业</w:t>
      </w:r>
      <w:r>
        <w:rPr>
          <w:rFonts w:ascii="宋体" w:hAnsi="宋体" w:eastAsia="宋体" w:cs="宋体"/>
          <w:sz w:val="22"/>
          <w:szCs w:val="22"/>
          <w:u w:val="single"/>
        </w:rPr>
        <w:t xml:space="preserve">) </w:t>
      </w:r>
      <w:r>
        <w:rPr>
          <w:rFonts w:ascii="宋体" w:hAnsi="宋体" w:eastAsia="宋体" w:cs="宋体"/>
          <w:sz w:val="22"/>
          <w:szCs w:val="22"/>
        </w:rPr>
        <w:t>；</w:t>
      </w:r>
    </w:p>
    <w:p>
      <w:pPr>
        <w:spacing w:before="2" w:line="335" w:lineRule="auto"/>
        <w:ind w:left="8" w:right="71" w:firstLine="449"/>
        <w:rPr>
          <w:rFonts w:ascii="宋体" w:hAnsi="宋体" w:eastAsia="宋体" w:cs="宋体"/>
          <w:sz w:val="22"/>
          <w:szCs w:val="22"/>
        </w:rPr>
      </w:pPr>
      <w:r>
        <w:rPr>
          <w:rFonts w:ascii="宋体" w:hAnsi="宋体" w:eastAsia="宋体" w:cs="宋体"/>
          <w:spacing w:val="-2"/>
          <w:sz w:val="22"/>
          <w:szCs w:val="22"/>
        </w:rPr>
        <w:t>2.</w:t>
      </w:r>
      <w:r>
        <w:rPr>
          <w:rFonts w:ascii="宋体" w:hAnsi="宋体" w:eastAsia="宋体" w:cs="宋体"/>
          <w:spacing w:val="-2"/>
          <w:sz w:val="22"/>
          <w:szCs w:val="22"/>
          <w:u w:val="single"/>
        </w:rPr>
        <w:t xml:space="preserve"> (标的名称)    </w:t>
      </w:r>
      <w:r>
        <w:rPr>
          <w:rFonts w:ascii="宋体" w:hAnsi="宋体" w:eastAsia="宋体" w:cs="宋体"/>
          <w:spacing w:val="-2"/>
          <w:sz w:val="22"/>
          <w:szCs w:val="22"/>
        </w:rPr>
        <w:t>，属于</w:t>
      </w:r>
      <w:r>
        <w:rPr>
          <w:rFonts w:ascii="宋体" w:hAnsi="宋体" w:eastAsia="宋体" w:cs="宋体"/>
          <w:spacing w:val="-2"/>
          <w:sz w:val="22"/>
          <w:szCs w:val="22"/>
          <w:u w:val="single"/>
        </w:rPr>
        <w:t xml:space="preserve"> (</w:t>
      </w:r>
      <w:r>
        <w:rPr>
          <w:rFonts w:ascii="宋体" w:hAnsi="宋体" w:eastAsia="宋体" w:cs="宋体"/>
          <w:spacing w:val="-1"/>
          <w:sz w:val="22"/>
          <w:szCs w:val="22"/>
          <w:u w:val="single"/>
        </w:rPr>
        <w:t xml:space="preserve">采购文件中明确的所属行业) </w:t>
      </w:r>
      <w:r>
        <w:rPr>
          <w:rFonts w:ascii="宋体" w:hAnsi="宋体" w:eastAsia="宋体" w:cs="宋体"/>
          <w:spacing w:val="-1"/>
          <w:sz w:val="22"/>
          <w:szCs w:val="22"/>
        </w:rPr>
        <w:t xml:space="preserve"> 行业；  承建 (承接) 企业为</w:t>
      </w:r>
      <w:r>
        <w:rPr>
          <w:rFonts w:ascii="宋体" w:hAnsi="宋体" w:eastAsia="宋体" w:cs="宋体"/>
          <w:spacing w:val="-1"/>
          <w:sz w:val="22"/>
          <w:szCs w:val="22"/>
          <w:u w:val="single"/>
        </w:rPr>
        <w:t xml:space="preserve"> (企</w:t>
      </w:r>
      <w:r>
        <w:rPr>
          <w:rFonts w:ascii="宋体" w:hAnsi="宋体" w:eastAsia="宋体" w:cs="宋体"/>
          <w:sz w:val="22"/>
          <w:szCs w:val="22"/>
        </w:rPr>
        <w:t xml:space="preserve"> </w:t>
      </w:r>
      <w:r>
        <w:rPr>
          <w:rFonts w:ascii="宋体" w:hAnsi="宋体" w:eastAsia="宋体" w:cs="宋体"/>
          <w:spacing w:val="-2"/>
          <w:sz w:val="22"/>
          <w:szCs w:val="22"/>
          <w:u w:val="single"/>
        </w:rPr>
        <w:t xml:space="preserve">业名称) </w:t>
      </w:r>
      <w:r>
        <w:rPr>
          <w:rFonts w:ascii="宋体" w:hAnsi="宋体" w:eastAsia="宋体" w:cs="宋体"/>
          <w:spacing w:val="-2"/>
          <w:sz w:val="22"/>
          <w:szCs w:val="22"/>
        </w:rPr>
        <w:t>，从业人</w:t>
      </w:r>
      <w:r>
        <w:rPr>
          <w:rFonts w:ascii="宋体" w:hAnsi="宋体" w:eastAsia="宋体" w:cs="宋体"/>
          <w:spacing w:val="-1"/>
          <w:sz w:val="22"/>
          <w:szCs w:val="22"/>
        </w:rPr>
        <w:t>员</w:t>
      </w:r>
      <w:r>
        <w:rPr>
          <w:rFonts w:ascii="宋体" w:hAnsi="宋体" w:eastAsia="宋体" w:cs="宋体"/>
          <w:spacing w:val="-1"/>
          <w:sz w:val="22"/>
          <w:szCs w:val="22"/>
          <w:u w:val="single"/>
        </w:rPr>
        <w:t xml:space="preserve">   </w:t>
      </w:r>
      <w:r>
        <w:rPr>
          <w:rFonts w:ascii="宋体" w:hAnsi="宋体" w:eastAsia="宋体" w:cs="宋体"/>
          <w:spacing w:val="-1"/>
          <w:sz w:val="22"/>
          <w:szCs w:val="22"/>
        </w:rPr>
        <w:t>人，营业收入为</w:t>
      </w:r>
      <w:r>
        <w:rPr>
          <w:rFonts w:ascii="宋体" w:hAnsi="宋体" w:eastAsia="宋体" w:cs="宋体"/>
          <w:spacing w:val="-1"/>
          <w:sz w:val="22"/>
          <w:szCs w:val="22"/>
          <w:u w:val="single"/>
        </w:rPr>
        <w:t xml:space="preserve">    </w:t>
      </w:r>
      <w:r>
        <w:rPr>
          <w:rFonts w:ascii="宋体" w:hAnsi="宋体" w:eastAsia="宋体" w:cs="宋体"/>
          <w:spacing w:val="-1"/>
          <w:sz w:val="22"/>
          <w:szCs w:val="22"/>
        </w:rPr>
        <w:t>万元，资产总额为</w:t>
      </w:r>
      <w:r>
        <w:rPr>
          <w:rFonts w:ascii="宋体" w:hAnsi="宋体" w:eastAsia="宋体" w:cs="宋体"/>
          <w:spacing w:val="-1"/>
          <w:sz w:val="22"/>
          <w:szCs w:val="22"/>
          <w:u w:val="single"/>
        </w:rPr>
        <w:t xml:space="preserve">   </w:t>
      </w:r>
      <w:r>
        <w:rPr>
          <w:rFonts w:ascii="宋体" w:hAnsi="宋体" w:eastAsia="宋体" w:cs="宋体"/>
          <w:spacing w:val="-1"/>
          <w:sz w:val="22"/>
          <w:szCs w:val="22"/>
        </w:rPr>
        <w:t>万元，属于</w:t>
      </w:r>
      <w:r>
        <w:rPr>
          <w:rFonts w:ascii="宋体" w:hAnsi="宋体" w:eastAsia="宋体" w:cs="宋体"/>
          <w:spacing w:val="-1"/>
          <w:sz w:val="22"/>
          <w:szCs w:val="22"/>
          <w:u w:val="single"/>
        </w:rPr>
        <w:t xml:space="preserve"> (中型企业、  小型</w:t>
      </w:r>
      <w:r>
        <w:rPr>
          <w:rFonts w:ascii="宋体" w:hAnsi="宋体" w:eastAsia="宋体" w:cs="宋体"/>
          <w:sz w:val="22"/>
          <w:szCs w:val="22"/>
        </w:rPr>
        <w:t xml:space="preserve"> </w:t>
      </w:r>
      <w:r>
        <w:rPr>
          <w:rFonts w:ascii="宋体" w:hAnsi="宋体" w:eastAsia="宋体" w:cs="宋体"/>
          <w:spacing w:val="4"/>
          <w:sz w:val="22"/>
          <w:szCs w:val="22"/>
          <w:u w:val="single"/>
        </w:rPr>
        <w:t>企</w:t>
      </w:r>
      <w:r>
        <w:rPr>
          <w:rFonts w:ascii="宋体" w:hAnsi="宋体" w:eastAsia="宋体" w:cs="宋体"/>
          <w:spacing w:val="2"/>
          <w:sz w:val="22"/>
          <w:szCs w:val="22"/>
          <w:u w:val="single"/>
        </w:rPr>
        <w:t xml:space="preserve">业、微型企业) </w:t>
      </w:r>
      <w:r>
        <w:rPr>
          <w:rFonts w:ascii="宋体" w:hAnsi="宋体" w:eastAsia="宋体" w:cs="宋体"/>
          <w:spacing w:val="2"/>
          <w:sz w:val="22"/>
          <w:szCs w:val="22"/>
        </w:rPr>
        <w:t>；</w:t>
      </w:r>
    </w:p>
    <w:p>
      <w:pPr>
        <w:spacing w:line="342" w:lineRule="auto"/>
        <w:ind w:left="9" w:right="71" w:firstLine="460"/>
        <w:rPr>
          <w:rFonts w:ascii="宋体" w:hAnsi="宋体" w:eastAsia="宋体" w:cs="宋体"/>
          <w:sz w:val="22"/>
          <w:szCs w:val="22"/>
        </w:rPr>
      </w:pPr>
      <w:r>
        <w:rPr>
          <w:rFonts w:ascii="宋体" w:hAnsi="宋体" w:eastAsia="宋体" w:cs="宋体"/>
          <w:spacing w:val="1"/>
          <w:sz w:val="22"/>
          <w:szCs w:val="22"/>
        </w:rPr>
        <w:t>…… 以上企业，不属于大企业的分支机构，不存在控股股东为大</w:t>
      </w:r>
      <w:r>
        <w:rPr>
          <w:rFonts w:ascii="宋体" w:hAnsi="宋体" w:eastAsia="宋体" w:cs="宋体"/>
          <w:sz w:val="22"/>
          <w:szCs w:val="22"/>
        </w:rPr>
        <w:t xml:space="preserve">企业的情形，也不存在与大 </w:t>
      </w:r>
      <w:r>
        <w:rPr>
          <w:rFonts w:ascii="宋体" w:hAnsi="宋体" w:eastAsia="宋体" w:cs="宋体"/>
          <w:spacing w:val="-2"/>
          <w:sz w:val="22"/>
          <w:szCs w:val="22"/>
        </w:rPr>
        <w:t>企业的负责人为同一人的情形。  本</w:t>
      </w:r>
      <w:r>
        <w:rPr>
          <w:rFonts w:ascii="宋体" w:hAnsi="宋体" w:eastAsia="宋体" w:cs="宋体"/>
          <w:spacing w:val="-1"/>
          <w:sz w:val="22"/>
          <w:szCs w:val="22"/>
        </w:rPr>
        <w:t>企业对上述声明内容的真实性负责。如有虚假，将依法承担相</w:t>
      </w:r>
      <w:r>
        <w:rPr>
          <w:rFonts w:ascii="宋体" w:hAnsi="宋体" w:eastAsia="宋体" w:cs="宋体"/>
          <w:sz w:val="22"/>
          <w:szCs w:val="22"/>
        </w:rPr>
        <w:t xml:space="preserve"> </w:t>
      </w:r>
      <w:r>
        <w:rPr>
          <w:rFonts w:ascii="宋体" w:hAnsi="宋体" w:eastAsia="宋体" w:cs="宋体"/>
          <w:spacing w:val="1"/>
          <w:sz w:val="22"/>
          <w:szCs w:val="22"/>
        </w:rPr>
        <w:t>应</w:t>
      </w:r>
      <w:r>
        <w:rPr>
          <w:rFonts w:ascii="宋体" w:hAnsi="宋体" w:eastAsia="宋体" w:cs="宋体"/>
          <w:sz w:val="22"/>
          <w:szCs w:val="22"/>
        </w:rPr>
        <w:t>责任。</w:t>
      </w:r>
    </w:p>
    <w:p>
      <w:pPr>
        <w:spacing w:line="304" w:lineRule="auto"/>
        <w:rPr>
          <w:rFonts w:ascii="Arial"/>
        </w:rPr>
      </w:pPr>
    </w:p>
    <w:p>
      <w:pPr>
        <w:spacing w:before="72" w:line="401" w:lineRule="exact"/>
        <w:ind w:left="459"/>
        <w:rPr>
          <w:rFonts w:ascii="宋体" w:hAnsi="宋体" w:eastAsia="宋体" w:cs="宋体"/>
          <w:sz w:val="22"/>
          <w:szCs w:val="22"/>
        </w:rPr>
      </w:pPr>
      <w:r>
        <w:rPr>
          <w:rFonts w:ascii="宋体" w:hAnsi="宋体" w:eastAsia="宋体" w:cs="宋体"/>
          <w:spacing w:val="2"/>
          <w:position w:val="13"/>
          <w:sz w:val="22"/>
          <w:szCs w:val="22"/>
        </w:rPr>
        <w:t>企业名称 (盖</w:t>
      </w:r>
      <w:r>
        <w:rPr>
          <w:rFonts w:ascii="宋体" w:hAnsi="宋体" w:eastAsia="宋体" w:cs="宋体"/>
          <w:spacing w:val="1"/>
          <w:position w:val="13"/>
          <w:sz w:val="22"/>
          <w:szCs w:val="22"/>
        </w:rPr>
        <w:t>章) ：</w:t>
      </w:r>
    </w:p>
    <w:p>
      <w:pPr>
        <w:spacing w:line="221" w:lineRule="auto"/>
        <w:ind w:left="494"/>
        <w:rPr>
          <w:rFonts w:ascii="宋体" w:hAnsi="宋体" w:eastAsia="宋体" w:cs="宋体"/>
          <w:sz w:val="22"/>
          <w:szCs w:val="22"/>
        </w:rPr>
      </w:pPr>
      <w:r>
        <w:rPr>
          <w:rFonts w:ascii="宋体" w:hAnsi="宋体" w:eastAsia="宋体" w:cs="宋体"/>
          <w:spacing w:val="-10"/>
          <w:sz w:val="22"/>
          <w:szCs w:val="22"/>
        </w:rPr>
        <w:t>日 期：</w:t>
      </w:r>
    </w:p>
    <w:p>
      <w:pPr>
        <w:spacing w:line="440" w:lineRule="atLeast"/>
        <w:ind w:left="5040" w:firstLine="420"/>
        <w:jc w:val="left"/>
        <w:rPr>
          <w:rFonts w:ascii="宋体" w:hAnsi="宋体" w:cs="宋体"/>
          <w:sz w:val="22"/>
        </w:rPr>
      </w:pPr>
      <w:r>
        <w:rPr>
          <w:rFonts w:hint="eastAsia" w:ascii="宋体" w:hAnsi="宋体" w:cs="宋体"/>
          <w:sz w:val="22"/>
        </w:rPr>
        <w:t xml:space="preserve"> </w:t>
      </w:r>
    </w:p>
    <w:p>
      <w:pPr>
        <w:spacing w:before="72" w:line="218" w:lineRule="auto"/>
        <w:ind w:left="11"/>
        <w:rPr>
          <w:rFonts w:ascii="宋体" w:hAnsi="宋体" w:eastAsia="宋体" w:cs="宋体"/>
          <w:sz w:val="22"/>
          <w:szCs w:val="22"/>
        </w:rPr>
      </w:pPr>
      <w:r>
        <w:rPr>
          <w:rFonts w:ascii="宋体" w:hAnsi="宋体" w:eastAsia="宋体" w:cs="宋体"/>
          <w:spacing w:val="1"/>
          <w:sz w:val="22"/>
          <w:szCs w:val="22"/>
        </w:rPr>
        <w:t>填写</w:t>
      </w:r>
      <w:r>
        <w:rPr>
          <w:rFonts w:ascii="宋体" w:hAnsi="宋体" w:eastAsia="宋体" w:cs="宋体"/>
          <w:sz w:val="22"/>
          <w:szCs w:val="22"/>
        </w:rPr>
        <w:t>说明：</w:t>
      </w:r>
    </w:p>
    <w:p>
      <w:pPr>
        <w:spacing w:before="179" w:line="222" w:lineRule="auto"/>
        <w:ind w:left="25"/>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3"/>
          <w:sz w:val="22"/>
          <w:szCs w:val="22"/>
        </w:rPr>
        <w:t xml:space="preserve"> </w:t>
      </w:r>
      <w:r>
        <w:rPr>
          <w:rFonts w:ascii="宋体" w:hAnsi="宋体" w:eastAsia="宋体" w:cs="宋体"/>
          <w:spacing w:val="2"/>
          <w:sz w:val="22"/>
          <w:szCs w:val="22"/>
        </w:rPr>
        <w:t>投标人为中型、小型、微型企业的提供此函；</w:t>
      </w:r>
    </w:p>
    <w:p>
      <w:pPr>
        <w:spacing w:before="175" w:line="296" w:lineRule="auto"/>
        <w:ind w:left="9" w:right="71" w:firstLine="2"/>
        <w:rPr>
          <w:rFonts w:ascii="宋体" w:hAnsi="宋体" w:eastAsia="宋体" w:cs="宋体"/>
          <w:sz w:val="22"/>
          <w:szCs w:val="22"/>
        </w:rPr>
      </w:pPr>
      <w:r>
        <w:rPr>
          <w:rFonts w:ascii="宋体" w:hAnsi="宋体" w:eastAsia="宋体" w:cs="宋体"/>
          <w:spacing w:val="2"/>
          <w:sz w:val="22"/>
          <w:szCs w:val="22"/>
        </w:rPr>
        <w:t>2)</w:t>
      </w:r>
      <w:r>
        <w:rPr>
          <w:rFonts w:ascii="宋体" w:hAnsi="宋体" w:eastAsia="宋体" w:cs="宋体"/>
          <w:spacing w:val="1"/>
          <w:sz w:val="22"/>
          <w:szCs w:val="22"/>
        </w:rPr>
        <w:t xml:space="preserve"> 中型企业不享受价格扣除，小型、微型企业的行业类别由评审专家结合投标人出具的证明材料</w:t>
      </w:r>
      <w:r>
        <w:rPr>
          <w:rFonts w:ascii="宋体" w:hAnsi="宋体" w:eastAsia="宋体" w:cs="宋体"/>
          <w:sz w:val="22"/>
          <w:szCs w:val="22"/>
        </w:rPr>
        <w:t xml:space="preserve"> </w:t>
      </w:r>
      <w:r>
        <w:rPr>
          <w:rFonts w:ascii="宋体" w:hAnsi="宋体" w:eastAsia="宋体" w:cs="宋体"/>
          <w:spacing w:val="6"/>
          <w:sz w:val="22"/>
          <w:szCs w:val="22"/>
        </w:rPr>
        <w:t>认定；</w:t>
      </w:r>
      <w:r>
        <w:rPr>
          <w:rFonts w:ascii="宋体" w:hAnsi="宋体" w:eastAsia="宋体" w:cs="宋体"/>
          <w:spacing w:val="4"/>
          <w:sz w:val="22"/>
          <w:szCs w:val="22"/>
        </w:rPr>
        <w:t>经</w:t>
      </w:r>
      <w:r>
        <w:rPr>
          <w:rFonts w:ascii="宋体" w:hAnsi="宋体" w:eastAsia="宋体" w:cs="宋体"/>
          <w:spacing w:val="3"/>
          <w:sz w:val="22"/>
          <w:szCs w:val="22"/>
        </w:rPr>
        <w:t>认定不符合小型、微型企业标准的，不享受价格扣除；</w:t>
      </w:r>
    </w:p>
    <w:p>
      <w:pPr>
        <w:spacing w:before="176" w:line="293" w:lineRule="auto"/>
        <w:ind w:left="8" w:right="71" w:firstLine="5"/>
        <w:rPr>
          <w:rFonts w:ascii="宋体" w:hAnsi="宋体" w:eastAsia="宋体" w:cs="宋体"/>
          <w:sz w:val="22"/>
          <w:szCs w:val="22"/>
        </w:rPr>
      </w:pPr>
      <w:r>
        <w:rPr>
          <w:rFonts w:ascii="宋体" w:hAnsi="宋体" w:eastAsia="宋体" w:cs="宋体"/>
          <w:spacing w:val="2"/>
          <w:sz w:val="22"/>
          <w:szCs w:val="22"/>
        </w:rPr>
        <w:t>3</w:t>
      </w:r>
      <w:r>
        <w:rPr>
          <w:rFonts w:ascii="宋体" w:hAnsi="宋体" w:eastAsia="宋体" w:cs="宋体"/>
          <w:spacing w:val="1"/>
          <w:sz w:val="22"/>
          <w:szCs w:val="22"/>
        </w:rPr>
        <w:t>) 所投标项内的产品如由多个企业制造的，在填写企业类型时，按产品生产企业中规模最大的企</w:t>
      </w:r>
      <w:r>
        <w:rPr>
          <w:rFonts w:ascii="宋体" w:hAnsi="宋体" w:eastAsia="宋体" w:cs="宋体"/>
          <w:sz w:val="22"/>
          <w:szCs w:val="22"/>
        </w:rPr>
        <w:t xml:space="preserve"> </w:t>
      </w:r>
      <w:r>
        <w:rPr>
          <w:rFonts w:ascii="宋体" w:hAnsi="宋体" w:eastAsia="宋体" w:cs="宋体"/>
          <w:spacing w:val="2"/>
          <w:sz w:val="22"/>
          <w:szCs w:val="22"/>
        </w:rPr>
        <w:t>业类</w:t>
      </w:r>
      <w:r>
        <w:rPr>
          <w:rFonts w:ascii="宋体" w:hAnsi="宋体" w:eastAsia="宋体" w:cs="宋体"/>
          <w:spacing w:val="1"/>
          <w:sz w:val="22"/>
          <w:szCs w:val="22"/>
        </w:rPr>
        <w:t>型填写。</w:t>
      </w:r>
    </w:p>
    <w:p>
      <w:pPr>
        <w:spacing w:before="181" w:line="222" w:lineRule="auto"/>
        <w:ind w:left="8"/>
        <w:rPr>
          <w:rFonts w:ascii="宋体" w:hAnsi="宋体" w:eastAsia="宋体" w:cs="宋体"/>
          <w:sz w:val="22"/>
          <w:szCs w:val="22"/>
        </w:rPr>
      </w:pPr>
      <w:r>
        <w:rPr>
          <w:rFonts w:ascii="宋体" w:hAnsi="宋体" w:eastAsia="宋体" w:cs="宋体"/>
          <w:spacing w:val="4"/>
          <w:sz w:val="22"/>
          <w:szCs w:val="22"/>
        </w:rPr>
        <w:t>4) 从业人员、营业收入、资产总</w:t>
      </w:r>
      <w:r>
        <w:rPr>
          <w:rFonts w:ascii="宋体" w:hAnsi="宋体" w:eastAsia="宋体" w:cs="宋体"/>
          <w:spacing w:val="3"/>
          <w:sz w:val="22"/>
          <w:szCs w:val="22"/>
        </w:rPr>
        <w:t>额</w:t>
      </w:r>
      <w:r>
        <w:rPr>
          <w:rFonts w:ascii="宋体" w:hAnsi="宋体" w:eastAsia="宋体" w:cs="宋体"/>
          <w:spacing w:val="2"/>
          <w:sz w:val="22"/>
          <w:szCs w:val="22"/>
        </w:rPr>
        <w:t>填报上一年度数据，无上一年度数据的新成立企业可不填报。</w:t>
      </w:r>
    </w:p>
    <w:p>
      <w:pPr>
        <w:spacing w:before="176" w:line="219" w:lineRule="auto"/>
        <w:ind w:left="8"/>
        <w:rPr>
          <w:rFonts w:ascii="宋体" w:hAnsi="宋体" w:eastAsia="宋体" w:cs="宋体"/>
          <w:sz w:val="22"/>
          <w:szCs w:val="22"/>
        </w:rPr>
      </w:pPr>
      <w:r>
        <w:rPr>
          <w:rFonts w:ascii="宋体" w:hAnsi="宋体" w:eastAsia="宋体" w:cs="宋体"/>
          <w:spacing w:val="6"/>
          <w:sz w:val="22"/>
          <w:szCs w:val="22"/>
        </w:rPr>
        <w:t>采购人或采购</w:t>
      </w:r>
      <w:r>
        <w:rPr>
          <w:rFonts w:ascii="宋体" w:hAnsi="宋体" w:eastAsia="宋体" w:cs="宋体"/>
          <w:spacing w:val="3"/>
          <w:sz w:val="22"/>
          <w:szCs w:val="22"/>
        </w:rPr>
        <w:t>代理机构有可能在中标、成交结果公开中标、成交供应商的《中小企业声明函》。</w:t>
      </w:r>
    </w:p>
    <w:p>
      <w:pPr>
        <w:spacing w:before="22" w:line="225" w:lineRule="auto"/>
        <w:ind w:left="16"/>
        <w:rPr>
          <w:rFonts w:ascii="宋体" w:hAnsi="宋体" w:eastAsia="宋体" w:cs="宋体"/>
          <w:sz w:val="20"/>
          <w:szCs w:val="20"/>
        </w:rPr>
      </w:pPr>
      <w:r>
        <w:rPr>
          <w:rFonts w:ascii="宋体" w:hAnsi="宋体" w:eastAsia="宋体" w:cs="宋体"/>
          <w:spacing w:val="14"/>
          <w:sz w:val="20"/>
          <w:szCs w:val="20"/>
          <w14:textOutline w14:w="3797" w14:cap="sq" w14:cmpd="sng" w14:algn="ctr">
            <w14:solidFill>
              <w14:srgbClr w14:val="000000"/>
            </w14:solidFill>
            <w14:prstDash w14:val="solid"/>
            <w14:bevel/>
          </w14:textOutline>
        </w:rPr>
        <w:t>▲投标人提供的中小企业声明函与实际情况不符的，视为投标人提供虚假材料投标的，投标无效</w:t>
      </w:r>
      <w:r>
        <w:rPr>
          <w:rFonts w:ascii="宋体" w:hAnsi="宋体" w:eastAsia="宋体" w:cs="宋体"/>
          <w:spacing w:val="8"/>
          <w:sz w:val="20"/>
          <w:szCs w:val="20"/>
          <w14:textOutline w14:w="3797" w14:cap="sq" w14:cmpd="sng" w14:algn="ctr">
            <w14:solidFill>
              <w14:srgbClr w14:val="000000"/>
            </w14:solidFill>
            <w14:prstDash w14:val="solid"/>
            <w14:bevel/>
          </w14:textOutline>
        </w:rPr>
        <w:t>。</w:t>
      </w:r>
    </w:p>
    <w:p>
      <w:pPr>
        <w:rPr>
          <w:rFonts w:ascii="宋体" w:hAnsi="宋体"/>
          <w:b/>
          <w:sz w:val="32"/>
          <w:szCs w:val="32"/>
        </w:rPr>
      </w:pPr>
    </w:p>
    <w:p>
      <w:pPr>
        <w:spacing w:line="440" w:lineRule="exact"/>
        <w:jc w:val="left"/>
        <w:rPr>
          <w:rFonts w:ascii="宋体" w:hAnsi="宋体" w:eastAsia="宋体"/>
          <w:b/>
          <w:sz w:val="32"/>
          <w:szCs w:val="32"/>
        </w:rPr>
      </w:pPr>
      <w:r>
        <w:rPr>
          <w:rFonts w:hint="eastAsia" w:ascii="宋体" w:hAnsi="宋体"/>
          <w:b/>
          <w:sz w:val="32"/>
          <w:szCs w:val="32"/>
        </w:rPr>
        <w:t>附件二（二）</w:t>
      </w:r>
    </w:p>
    <w:p>
      <w:pPr>
        <w:snapToGrid w:val="0"/>
        <w:spacing w:line="400" w:lineRule="atLeast"/>
        <w:jc w:val="center"/>
        <w:rPr>
          <w:rFonts w:ascii="宋体" w:hAnsi="宋体"/>
          <w:b/>
          <w:sz w:val="22"/>
        </w:rPr>
      </w:pPr>
      <w:r>
        <w:rPr>
          <w:rFonts w:hint="eastAsia" w:ascii="宋体" w:hAnsi="宋体"/>
          <w:b/>
          <w:sz w:val="22"/>
        </w:rPr>
        <w:t>残疾人福利性单位声明函</w:t>
      </w:r>
    </w:p>
    <w:p>
      <w:pPr>
        <w:snapToGrid w:val="0"/>
        <w:spacing w:line="360" w:lineRule="auto"/>
        <w:ind w:firstLine="440" w:firstLineChars="200"/>
        <w:rPr>
          <w:sz w:val="22"/>
        </w:rPr>
      </w:pPr>
    </w:p>
    <w:p>
      <w:pPr>
        <w:snapToGrid w:val="0"/>
        <w:spacing w:line="360" w:lineRule="auto"/>
        <w:ind w:firstLine="440" w:firstLineChars="200"/>
        <w:rPr>
          <w:sz w:val="22"/>
        </w:rPr>
      </w:pPr>
      <w:r>
        <w:rPr>
          <w:rFonts w:hint="eastAsia"/>
          <w:sz w:val="2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sz w:val="22"/>
        </w:rPr>
      </w:pPr>
      <w:r>
        <w:rPr>
          <w:rFonts w:hint="eastAsia"/>
          <w:sz w:val="22"/>
        </w:rPr>
        <w:t>本单位对上述声明的真实性负责。如有虚假，将依法承担相应责任。</w:t>
      </w:r>
    </w:p>
    <w:p>
      <w:pPr>
        <w:snapToGrid w:val="0"/>
        <w:spacing w:line="360" w:lineRule="auto"/>
        <w:ind w:firstLine="440" w:firstLineChars="200"/>
        <w:rPr>
          <w:sz w:val="22"/>
        </w:rPr>
      </w:pPr>
    </w:p>
    <w:p>
      <w:pPr>
        <w:tabs>
          <w:tab w:val="left" w:pos="4860"/>
        </w:tabs>
        <w:snapToGrid w:val="0"/>
        <w:spacing w:line="360" w:lineRule="auto"/>
        <w:ind w:right="1560" w:firstLine="440" w:firstLineChars="200"/>
        <w:rPr>
          <w:sz w:val="22"/>
        </w:rPr>
      </w:pPr>
      <w:r>
        <w:rPr>
          <w:rFonts w:hint="eastAsia"/>
          <w:sz w:val="22"/>
        </w:rPr>
        <w:t xml:space="preserve">       单位名称（盖章）：</w:t>
      </w:r>
    </w:p>
    <w:p>
      <w:pPr>
        <w:tabs>
          <w:tab w:val="left" w:pos="4860"/>
        </w:tabs>
        <w:snapToGrid w:val="0"/>
        <w:spacing w:line="360" w:lineRule="auto"/>
        <w:ind w:right="1560" w:firstLine="440" w:firstLineChars="200"/>
        <w:rPr>
          <w:sz w:val="22"/>
        </w:rPr>
      </w:pPr>
      <w:r>
        <w:rPr>
          <w:rFonts w:hint="eastAsia"/>
          <w:sz w:val="22"/>
        </w:rPr>
        <w:t xml:space="preserve">       日  期：</w:t>
      </w:r>
    </w:p>
    <w:p>
      <w:pPr>
        <w:pStyle w:val="58"/>
        <w:snapToGrid w:val="0"/>
        <w:spacing w:line="360" w:lineRule="auto"/>
        <w:ind w:left="360" w:firstLine="0" w:firstLineChars="0"/>
        <w:rPr>
          <w:rFonts w:cs="宋体"/>
          <w:sz w:val="22"/>
        </w:rPr>
      </w:pPr>
    </w:p>
    <w:p>
      <w:pPr>
        <w:pStyle w:val="11"/>
        <w:spacing w:line="480" w:lineRule="exact"/>
        <w:rPr>
          <w:rFonts w:ascii="宋体" w:hAnsi="宋体"/>
          <w:sz w:val="22"/>
        </w:rPr>
      </w:pPr>
      <w:bookmarkStart w:id="57" w:name="_Toc10483_WPSOffice_Level2"/>
      <w:r>
        <w:rPr>
          <w:rFonts w:hint="eastAsia" w:ascii="宋体" w:hAnsi="宋体"/>
          <w:sz w:val="22"/>
        </w:rPr>
        <w:t>二、节能、环保产品优先（强制）采购政策说明</w:t>
      </w:r>
      <w:bookmarkEnd w:id="57"/>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1、政策依据</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（一）《国务院办公厅关于建立政府强制采购节能产品制度的通知》(国办发[2007]51号)</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（二）财政部、发展改革委发布的《节能产品政府采购实施意见》(财库[2004]185号)</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（三）财政部、原环保总局印发的《环境标志产品政府采购实施的意见》（财库[2006]90号）</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（四）《关于调整优化节能产品、环境标志产品政府采购执行机制的通知》（财库〔2019〕9号）</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（五）《关于印发节能产品政府采购品目清单的通知》（财库〔2019〕19号）</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（六）《关于印发环境标志产品政府采购品目清单的通知》（财库〔2019〕18号）</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（七）《市场监管总局关于发布参与实施政府采购节能产品、环境标志产品认证机构名录的公告》（2019年第16号）</w:t>
      </w:r>
    </w:p>
    <w:p>
      <w:pPr>
        <w:keepNext/>
        <w:spacing w:line="360" w:lineRule="auto"/>
        <w:ind w:firstLine="440" w:firstLineChars="200"/>
        <w:jc w:val="left"/>
        <w:outlineLvl w:val="0"/>
        <w:rPr>
          <w:rFonts w:ascii="宋体" w:hAnsi="宋体" w:eastAsia="宋体" w:cs="微软雅黑"/>
          <w:sz w:val="22"/>
          <w:szCs w:val="22"/>
        </w:rPr>
      </w:pPr>
      <w:r>
        <w:rPr>
          <w:rFonts w:hint="eastAsia" w:ascii="宋体" w:hAnsi="宋体" w:eastAsia="宋体" w:cs="微软雅黑"/>
          <w:sz w:val="22"/>
          <w:szCs w:val="22"/>
        </w:rPr>
        <w:t>2、供应商投标货物属于节能、环保优先（强制）采购范围的，须提供相关证明材料。</w:t>
      </w:r>
    </w:p>
    <w:p>
      <w:pPr>
        <w:pStyle w:val="58"/>
        <w:snapToGrid w:val="0"/>
        <w:spacing w:line="360" w:lineRule="auto"/>
        <w:ind w:firstLine="0" w:firstLineChars="0"/>
        <w:rPr>
          <w:rFonts w:cs="宋体"/>
          <w:sz w:val="22"/>
        </w:rPr>
        <w:sectPr>
          <w:headerReference r:id="rId9" w:type="default"/>
          <w:footerReference r:id="rId10" w:type="default"/>
          <w:pgSz w:w="11906" w:h="16838"/>
          <w:pgMar w:top="1440" w:right="1106" w:bottom="1440" w:left="1622" w:header="720" w:footer="720" w:gutter="0"/>
          <w:cols w:space="720" w:num="1"/>
          <w:docGrid w:type="lines" w:linePitch="312" w:charSpace="0"/>
        </w:sectPr>
      </w:pPr>
    </w:p>
    <w:p>
      <w:pPr>
        <w:jc w:val="left"/>
        <w:rPr>
          <w:rFonts w:ascii="宋体" w:hAnsi="宋体"/>
          <w:b/>
          <w:sz w:val="32"/>
          <w:szCs w:val="32"/>
        </w:rPr>
      </w:pPr>
      <w:r>
        <w:rPr>
          <w:rFonts w:hint="eastAsia" w:ascii="宋体" w:hAnsi="宋体"/>
          <w:b/>
          <w:sz w:val="32"/>
          <w:szCs w:val="32"/>
        </w:rPr>
        <w:t>附件三</w:t>
      </w:r>
    </w:p>
    <w:p>
      <w:pPr>
        <w:jc w:val="center"/>
        <w:rPr>
          <w:rFonts w:ascii="宋体"/>
          <w:sz w:val="36"/>
          <w:szCs w:val="36"/>
          <w:lang w:val="zh-CN"/>
        </w:rPr>
      </w:pPr>
    </w:p>
    <w:p>
      <w:pPr>
        <w:jc w:val="center"/>
        <w:rPr>
          <w:rFonts w:ascii="宋体"/>
          <w:sz w:val="36"/>
          <w:szCs w:val="36"/>
          <w:lang w:val="zh-CN"/>
        </w:rPr>
      </w:pPr>
    </w:p>
    <w:p>
      <w:pPr>
        <w:jc w:val="center"/>
        <w:rPr>
          <w:rFonts w:ascii="宋体"/>
          <w:sz w:val="36"/>
          <w:szCs w:val="36"/>
          <w:lang w:val="zh-CN"/>
        </w:rPr>
      </w:pPr>
      <w:r>
        <w:rPr>
          <w:rFonts w:hint="eastAsia" w:ascii="宋体"/>
          <w:sz w:val="36"/>
          <w:szCs w:val="36"/>
          <w:lang w:val="zh-CN"/>
        </w:rPr>
        <w:t>具有履行合同所必需的设备和专业技术能力的承诺函</w:t>
      </w:r>
    </w:p>
    <w:p>
      <w:pPr>
        <w:jc w:val="left"/>
        <w:rPr>
          <w:rFonts w:ascii="宋体" w:hAnsi="宋体"/>
          <w:sz w:val="22"/>
          <w:u w:val="single"/>
        </w:rPr>
      </w:pPr>
    </w:p>
    <w:p>
      <w:pPr>
        <w:jc w:val="left"/>
        <w:rPr>
          <w:rFonts w:ascii="宋体" w:hAnsi="宋体"/>
          <w:sz w:val="22"/>
          <w:u w:val="single"/>
        </w:rPr>
      </w:pPr>
    </w:p>
    <w:p>
      <w:pPr>
        <w:jc w:val="left"/>
        <w:rPr>
          <w:rFonts w:ascii="宋体" w:hAnsi="宋体"/>
          <w:sz w:val="22"/>
          <w:u w:val="single"/>
        </w:rPr>
      </w:pPr>
      <w:r>
        <w:rPr>
          <w:rFonts w:hint="eastAsia" w:ascii="宋体" w:hAnsi="宋体"/>
          <w:sz w:val="22"/>
          <w:u w:val="single"/>
        </w:rPr>
        <w:t>泰顺县妇幼保健院、浙江华域高宇项目有限公司：</w:t>
      </w:r>
    </w:p>
    <w:p>
      <w:pPr>
        <w:widowControl/>
        <w:snapToGrid w:val="0"/>
        <w:spacing w:line="460" w:lineRule="exact"/>
        <w:ind w:firstLine="440" w:firstLineChars="200"/>
        <w:jc w:val="left"/>
        <w:rPr>
          <w:rFonts w:ascii="宋体" w:hAnsi="宋体" w:cs="Courier New"/>
          <w:color w:val="000000"/>
          <w:sz w:val="22"/>
        </w:rPr>
      </w:pP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我方</w:t>
      </w:r>
      <w:r>
        <w:rPr>
          <w:rFonts w:hint="eastAsia" w:ascii="宋体" w:hAnsi="宋体" w:cs="黑体"/>
          <w:color w:val="000000"/>
          <w:sz w:val="22"/>
          <w:u w:val="single"/>
          <w:lang w:val="zh-CN"/>
        </w:rPr>
        <w:t xml:space="preserve"> （投标供应商）</w:t>
      </w:r>
      <w:r>
        <w:rPr>
          <w:rFonts w:hint="eastAsia" w:ascii="宋体" w:hAnsi="宋体" w:cs="黑体"/>
          <w:color w:val="000000"/>
          <w:sz w:val="22"/>
          <w:u w:val="single"/>
        </w:rPr>
        <w:t xml:space="preserve">  </w:t>
      </w:r>
      <w:r>
        <w:rPr>
          <w:rFonts w:hint="eastAsia" w:ascii="宋体" w:hAnsi="宋体" w:cs="黑体"/>
          <w:color w:val="000000"/>
          <w:sz w:val="22"/>
          <w:lang w:val="zh-CN"/>
        </w:rPr>
        <w:t>承诺具有履行合同所必需的设备、人员和专业技术能力。如有虚假，采购单位可取消我方任何资格（投标/中标/签订合同），我方对此无任何异议。</w:t>
      </w:r>
    </w:p>
    <w:p>
      <w:pPr>
        <w:spacing w:line="460" w:lineRule="exact"/>
        <w:ind w:firstLine="440" w:firstLineChars="200"/>
        <w:rPr>
          <w:rFonts w:ascii="宋体" w:hAnsi="宋体" w:cs="黑体"/>
          <w:color w:val="000000"/>
          <w:sz w:val="22"/>
          <w:lang w:val="zh-CN"/>
        </w:rPr>
      </w:pP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特此承诺！</w:t>
      </w:r>
    </w:p>
    <w:p>
      <w:pPr>
        <w:spacing w:line="460" w:lineRule="exact"/>
        <w:ind w:firstLine="440" w:firstLineChars="200"/>
        <w:rPr>
          <w:rFonts w:ascii="宋体" w:hAnsi="宋体" w:cs="黑体"/>
          <w:color w:val="000000"/>
          <w:sz w:val="22"/>
          <w:lang w:val="zh-CN"/>
        </w:rPr>
      </w:pPr>
    </w:p>
    <w:p>
      <w:pPr>
        <w:spacing w:line="460" w:lineRule="exact"/>
        <w:ind w:firstLine="440" w:firstLineChars="200"/>
        <w:rPr>
          <w:rFonts w:ascii="宋体" w:hAnsi="宋体" w:cs="黑体"/>
          <w:color w:val="000000"/>
          <w:sz w:val="22"/>
          <w:lang w:val="zh-CN"/>
        </w:rPr>
      </w:pPr>
    </w:p>
    <w:p>
      <w:pPr>
        <w:spacing w:line="460" w:lineRule="exact"/>
        <w:ind w:firstLine="440" w:firstLineChars="200"/>
        <w:rPr>
          <w:rFonts w:ascii="宋体" w:hAnsi="宋体" w:cs="黑体"/>
          <w:color w:val="000000"/>
          <w:sz w:val="22"/>
          <w:lang w:val="zh-CN"/>
        </w:rPr>
      </w:pP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供应商全称：（盖章）</w:t>
      </w: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法定代表人（签字或盖章）或授权代表（签字）：</w:t>
      </w: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日期：</w:t>
      </w:r>
    </w:p>
    <w:p>
      <w:pPr>
        <w:autoSpaceDE w:val="0"/>
        <w:autoSpaceDN w:val="0"/>
        <w:adjustRightInd w:val="0"/>
        <w:spacing w:line="440" w:lineRule="atLeast"/>
        <w:rPr>
          <w:rFonts w:hAnsi="宋体"/>
          <w:b/>
          <w:bCs/>
          <w:sz w:val="32"/>
          <w:szCs w:val="32"/>
        </w:rPr>
      </w:pPr>
    </w:p>
    <w:p>
      <w:pPr>
        <w:autoSpaceDE w:val="0"/>
        <w:autoSpaceDN w:val="0"/>
        <w:adjustRightInd w:val="0"/>
        <w:spacing w:line="440" w:lineRule="atLeast"/>
        <w:rPr>
          <w:rFonts w:hAnsi="宋体"/>
          <w:b/>
          <w:bCs/>
          <w:sz w:val="32"/>
          <w:szCs w:val="32"/>
        </w:rPr>
      </w:pPr>
    </w:p>
    <w:p>
      <w:pPr>
        <w:autoSpaceDE w:val="0"/>
        <w:autoSpaceDN w:val="0"/>
        <w:adjustRightInd w:val="0"/>
        <w:spacing w:line="440" w:lineRule="atLeast"/>
        <w:rPr>
          <w:rFonts w:hAnsi="宋体"/>
          <w:b/>
          <w:bCs/>
          <w:sz w:val="32"/>
          <w:szCs w:val="32"/>
        </w:rPr>
      </w:pPr>
    </w:p>
    <w:p>
      <w:pPr>
        <w:autoSpaceDE w:val="0"/>
        <w:autoSpaceDN w:val="0"/>
        <w:adjustRightInd w:val="0"/>
        <w:spacing w:line="440" w:lineRule="atLeast"/>
        <w:rPr>
          <w:rFonts w:hAnsi="宋体"/>
          <w:b/>
          <w:bCs/>
          <w:sz w:val="32"/>
          <w:szCs w:val="32"/>
        </w:rPr>
      </w:pPr>
    </w:p>
    <w:p>
      <w:pPr>
        <w:autoSpaceDE w:val="0"/>
        <w:autoSpaceDN w:val="0"/>
        <w:adjustRightInd w:val="0"/>
        <w:spacing w:line="440" w:lineRule="atLeast"/>
        <w:rPr>
          <w:rFonts w:hAnsi="宋体"/>
          <w:b/>
          <w:bCs/>
          <w:sz w:val="32"/>
          <w:szCs w:val="32"/>
        </w:rPr>
      </w:pPr>
    </w:p>
    <w:p>
      <w:pPr>
        <w:spacing w:line="440" w:lineRule="exact"/>
        <w:jc w:val="left"/>
        <w:rPr>
          <w:rFonts w:ascii="宋体" w:hAnsi="宋体" w:eastAsia="宋体"/>
          <w:b/>
          <w:sz w:val="32"/>
          <w:szCs w:val="32"/>
        </w:rPr>
      </w:pPr>
      <w:r>
        <w:rPr>
          <w:rFonts w:hint="eastAsia" w:ascii="宋体" w:hAnsi="宋体"/>
          <w:b/>
          <w:sz w:val="32"/>
          <w:szCs w:val="32"/>
        </w:rPr>
        <w:br w:type="page"/>
      </w:r>
      <w:r>
        <w:rPr>
          <w:rFonts w:hint="eastAsia" w:ascii="宋体" w:hAnsi="宋体"/>
          <w:b/>
          <w:sz w:val="32"/>
          <w:szCs w:val="32"/>
        </w:rPr>
        <w:t>附件四</w:t>
      </w:r>
    </w:p>
    <w:p>
      <w:pPr>
        <w:jc w:val="center"/>
        <w:rPr>
          <w:rFonts w:ascii="宋体"/>
          <w:sz w:val="36"/>
          <w:szCs w:val="36"/>
          <w:lang w:val="zh-CN"/>
        </w:rPr>
      </w:pPr>
    </w:p>
    <w:p>
      <w:pPr>
        <w:jc w:val="center"/>
        <w:rPr>
          <w:rFonts w:ascii="宋体"/>
          <w:sz w:val="36"/>
          <w:szCs w:val="36"/>
          <w:lang w:val="zh-CN"/>
        </w:rPr>
      </w:pPr>
    </w:p>
    <w:p>
      <w:pPr>
        <w:jc w:val="center"/>
        <w:rPr>
          <w:rFonts w:ascii="宋体"/>
          <w:sz w:val="36"/>
          <w:szCs w:val="36"/>
        </w:rPr>
      </w:pPr>
      <w:r>
        <w:rPr>
          <w:rFonts w:hint="eastAsia" w:ascii="宋体"/>
          <w:sz w:val="36"/>
          <w:szCs w:val="36"/>
        </w:rPr>
        <w:t>依法缴纳税收和社会保障资金的承诺函</w:t>
      </w:r>
    </w:p>
    <w:p>
      <w:pPr>
        <w:spacing w:line="360" w:lineRule="auto"/>
        <w:rPr>
          <w:rFonts w:ascii="仿宋" w:hAnsi="仿宋" w:eastAsia="仿宋" w:cs="Arial"/>
          <w:b/>
          <w:color w:val="000000"/>
          <w:w w:val="90"/>
          <w:sz w:val="28"/>
          <w:u w:val="single"/>
        </w:rPr>
      </w:pPr>
    </w:p>
    <w:p>
      <w:pPr>
        <w:spacing w:line="360" w:lineRule="auto"/>
        <w:rPr>
          <w:rFonts w:ascii="宋体" w:hAnsi="宋体"/>
          <w:sz w:val="22"/>
          <w:u w:val="single"/>
        </w:rPr>
      </w:pPr>
      <w:r>
        <w:rPr>
          <w:rFonts w:hint="eastAsia" w:ascii="宋体" w:hAnsi="宋体"/>
          <w:sz w:val="22"/>
          <w:u w:val="single"/>
        </w:rPr>
        <w:t>泰顺县妇幼保健院、浙江华域高宇项目有限公司：</w:t>
      </w:r>
    </w:p>
    <w:p>
      <w:pPr>
        <w:spacing w:line="360" w:lineRule="auto"/>
        <w:rPr>
          <w:rFonts w:ascii="仿宋" w:hAnsi="仿宋" w:eastAsia="仿宋" w:cs="Arial"/>
          <w:color w:val="000000"/>
          <w:sz w:val="32"/>
          <w:szCs w:val="28"/>
        </w:rPr>
      </w:pPr>
    </w:p>
    <w:p>
      <w:pPr>
        <w:spacing w:line="460" w:lineRule="exact"/>
        <w:ind w:firstLine="440" w:firstLineChars="200"/>
        <w:rPr>
          <w:rFonts w:ascii="宋体" w:hAnsi="宋体" w:cs="黑体"/>
          <w:color w:val="000000"/>
          <w:sz w:val="22"/>
        </w:rPr>
      </w:pPr>
      <w:r>
        <w:rPr>
          <w:rFonts w:hint="eastAsia" w:ascii="宋体" w:hAnsi="宋体" w:cs="黑体"/>
          <w:color w:val="000000"/>
          <w:sz w:val="22"/>
        </w:rPr>
        <w:t>我公司郑重声明，我公司严格依法缴纳税收和社会保障资金，本文件中所提供的相关材料均真实有效，不存在虚假、造假行为。如有违反，愿承担一切责任。</w:t>
      </w:r>
    </w:p>
    <w:p>
      <w:pPr>
        <w:spacing w:line="360" w:lineRule="auto"/>
        <w:rPr>
          <w:rFonts w:ascii="宋体" w:hAnsi="宋体"/>
          <w:sz w:val="22"/>
        </w:rPr>
      </w:pPr>
    </w:p>
    <w:p>
      <w:pPr>
        <w:spacing w:line="360" w:lineRule="auto"/>
        <w:ind w:firstLine="440" w:firstLineChars="200"/>
        <w:rPr>
          <w:rFonts w:ascii="宋体" w:hAnsi="宋体"/>
          <w:sz w:val="22"/>
        </w:rPr>
      </w:pPr>
      <w:r>
        <w:rPr>
          <w:rFonts w:hint="eastAsia" w:ascii="宋体" w:hAnsi="宋体"/>
          <w:sz w:val="22"/>
        </w:rPr>
        <w:t>特此承诺！</w:t>
      </w: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pStyle w:val="15"/>
        <w:spacing w:line="460" w:lineRule="atLeast"/>
        <w:ind w:firstLine="770" w:firstLineChars="350"/>
        <w:rPr>
          <w:rFonts w:hAnsi="宋体"/>
          <w:sz w:val="22"/>
          <w:szCs w:val="22"/>
        </w:rPr>
      </w:pPr>
      <w:r>
        <w:rPr>
          <w:rFonts w:hint="eastAsia" w:hAnsi="宋体"/>
          <w:sz w:val="22"/>
          <w:szCs w:val="22"/>
        </w:rPr>
        <w:t>供应商全称（盖章）：</w:t>
      </w:r>
    </w:p>
    <w:p>
      <w:pPr>
        <w:pStyle w:val="15"/>
        <w:spacing w:line="460" w:lineRule="atLeast"/>
        <w:ind w:firstLine="770" w:firstLineChars="350"/>
        <w:rPr>
          <w:rFonts w:hAnsi="宋体"/>
          <w:sz w:val="22"/>
          <w:szCs w:val="22"/>
        </w:rPr>
      </w:pPr>
      <w:r>
        <w:rPr>
          <w:rFonts w:hint="eastAsia" w:hAnsi="宋体"/>
          <w:sz w:val="22"/>
          <w:szCs w:val="22"/>
        </w:rPr>
        <w:t>法定代表人（签字或盖章）或授权代表（签字或盖章）：</w:t>
      </w:r>
    </w:p>
    <w:p>
      <w:pPr>
        <w:pStyle w:val="15"/>
        <w:spacing w:line="460" w:lineRule="atLeast"/>
        <w:ind w:firstLine="770" w:firstLineChars="350"/>
        <w:rPr>
          <w:rFonts w:hAnsi="宋体"/>
          <w:sz w:val="22"/>
          <w:szCs w:val="22"/>
        </w:rPr>
      </w:pPr>
      <w:r>
        <w:rPr>
          <w:rFonts w:hint="eastAsia" w:hAnsi="宋体"/>
          <w:sz w:val="22"/>
          <w:szCs w:val="22"/>
        </w:rPr>
        <w:t>日期：</w:t>
      </w:r>
    </w:p>
    <w:p>
      <w:pPr>
        <w:pStyle w:val="15"/>
        <w:spacing w:line="460" w:lineRule="atLeast"/>
        <w:ind w:firstLine="773" w:firstLineChars="350"/>
        <w:rPr>
          <w:rFonts w:hAnsi="宋体"/>
          <w:b/>
          <w:bCs/>
          <w:sz w:val="22"/>
          <w:szCs w:val="22"/>
        </w:rPr>
      </w:pPr>
    </w:p>
    <w:p>
      <w:pPr>
        <w:pStyle w:val="15"/>
        <w:spacing w:line="460" w:lineRule="atLeast"/>
        <w:ind w:firstLine="773" w:firstLineChars="350"/>
        <w:rPr>
          <w:rFonts w:hAnsi="宋体"/>
          <w:b/>
          <w:bCs/>
          <w:sz w:val="22"/>
          <w:szCs w:val="22"/>
        </w:rPr>
      </w:pPr>
    </w:p>
    <w:p>
      <w:pPr>
        <w:spacing w:line="440" w:lineRule="exact"/>
        <w:jc w:val="left"/>
        <w:rPr>
          <w:rFonts w:hAnsi="宋体"/>
          <w:b/>
          <w:bCs/>
          <w:sz w:val="22"/>
          <w:u w:val="single"/>
        </w:rPr>
      </w:pPr>
      <w:r>
        <w:rPr>
          <w:rFonts w:hint="eastAsia" w:hAnsi="宋体" w:cs="仿宋_GB2312"/>
          <w:b/>
          <w:sz w:val="22"/>
          <w:u w:val="single"/>
          <w:lang w:val="zh-CN"/>
        </w:rPr>
        <w:t>▲备注</w:t>
      </w:r>
      <w:r>
        <w:rPr>
          <w:rFonts w:hint="eastAsia" w:hAnsi="宋体"/>
          <w:b/>
          <w:bCs/>
          <w:sz w:val="22"/>
          <w:u w:val="single"/>
        </w:rPr>
        <w:t>：承诺函后附依法缴纳税收的证明材料、依法缴纳社保的证明材料（新成立单位，应提供情况说明）</w:t>
      </w:r>
    </w:p>
    <w:p>
      <w:pPr>
        <w:autoSpaceDE w:val="0"/>
        <w:autoSpaceDN w:val="0"/>
        <w:adjustRightInd w:val="0"/>
        <w:spacing w:line="440" w:lineRule="atLeast"/>
        <w:rPr>
          <w:rFonts w:hAnsi="宋体"/>
          <w:b/>
          <w:bCs/>
          <w:sz w:val="32"/>
          <w:szCs w:val="32"/>
        </w:rPr>
      </w:pPr>
    </w:p>
    <w:p>
      <w:pPr>
        <w:pStyle w:val="11"/>
        <w:rPr>
          <w:rFonts w:hAnsi="宋体"/>
          <w:b/>
          <w:bCs/>
          <w:sz w:val="32"/>
          <w:szCs w:val="32"/>
        </w:rPr>
      </w:pPr>
    </w:p>
    <w:p>
      <w:pPr>
        <w:pStyle w:val="11"/>
        <w:rPr>
          <w:rFonts w:hAnsi="宋体"/>
          <w:b/>
          <w:bCs/>
          <w:sz w:val="32"/>
          <w:szCs w:val="32"/>
        </w:rPr>
      </w:pPr>
    </w:p>
    <w:p>
      <w:pPr>
        <w:pStyle w:val="11"/>
        <w:rPr>
          <w:rFonts w:hAnsi="宋体"/>
          <w:b/>
          <w:bCs/>
          <w:sz w:val="32"/>
          <w:szCs w:val="32"/>
        </w:rPr>
      </w:pPr>
    </w:p>
    <w:p>
      <w:pPr>
        <w:pStyle w:val="11"/>
        <w:rPr>
          <w:rFonts w:hAnsi="宋体"/>
          <w:b/>
          <w:bCs/>
          <w:sz w:val="32"/>
          <w:szCs w:val="32"/>
        </w:rPr>
      </w:pPr>
    </w:p>
    <w:p>
      <w:pPr>
        <w:spacing w:line="440" w:lineRule="exact"/>
        <w:jc w:val="left"/>
        <w:rPr>
          <w:rFonts w:ascii="宋体" w:hAnsi="宋体" w:eastAsia="宋体"/>
          <w:b/>
          <w:sz w:val="32"/>
          <w:szCs w:val="32"/>
        </w:rPr>
      </w:pPr>
      <w:r>
        <w:rPr>
          <w:rFonts w:hint="eastAsia" w:ascii="宋体" w:hAnsi="宋体"/>
          <w:b/>
          <w:sz w:val="32"/>
          <w:szCs w:val="32"/>
        </w:rPr>
        <w:t>附件五</w:t>
      </w:r>
    </w:p>
    <w:p>
      <w:pPr>
        <w:jc w:val="center"/>
        <w:rPr>
          <w:rFonts w:ascii="宋体"/>
          <w:sz w:val="36"/>
          <w:szCs w:val="36"/>
          <w:lang w:val="zh-CN"/>
        </w:rPr>
      </w:pPr>
    </w:p>
    <w:p>
      <w:pPr>
        <w:jc w:val="center"/>
        <w:rPr>
          <w:rFonts w:ascii="宋体"/>
          <w:sz w:val="36"/>
          <w:szCs w:val="36"/>
          <w:lang w:val="zh-CN"/>
        </w:rPr>
      </w:pPr>
      <w:r>
        <w:rPr>
          <w:rFonts w:hint="eastAsia" w:ascii="宋体"/>
          <w:sz w:val="36"/>
          <w:szCs w:val="36"/>
          <w:lang w:val="zh-CN"/>
        </w:rPr>
        <w:t>参加政府采购活动前3年内</w:t>
      </w:r>
    </w:p>
    <w:p>
      <w:pPr>
        <w:jc w:val="center"/>
        <w:rPr>
          <w:rFonts w:ascii="宋体"/>
          <w:sz w:val="36"/>
          <w:szCs w:val="36"/>
          <w:lang w:val="zh-CN"/>
        </w:rPr>
      </w:pPr>
      <w:r>
        <w:rPr>
          <w:rFonts w:hint="eastAsia" w:ascii="宋体"/>
          <w:sz w:val="36"/>
          <w:szCs w:val="36"/>
          <w:lang w:val="zh-CN"/>
        </w:rPr>
        <w:t>在经营活动中没有重大违法记录的声明函</w:t>
      </w:r>
    </w:p>
    <w:p>
      <w:pPr>
        <w:jc w:val="left"/>
        <w:rPr>
          <w:rFonts w:ascii="宋体" w:hAnsi="宋体"/>
          <w:sz w:val="22"/>
          <w:u w:val="single"/>
        </w:rPr>
      </w:pPr>
    </w:p>
    <w:p>
      <w:pPr>
        <w:jc w:val="left"/>
        <w:rPr>
          <w:rFonts w:ascii="宋体" w:hAnsi="宋体"/>
          <w:sz w:val="22"/>
          <w:u w:val="single"/>
        </w:rPr>
      </w:pPr>
    </w:p>
    <w:p>
      <w:pPr>
        <w:jc w:val="left"/>
        <w:rPr>
          <w:rFonts w:ascii="宋体" w:hAnsi="宋体"/>
          <w:sz w:val="22"/>
          <w:u w:val="single"/>
        </w:rPr>
      </w:pPr>
    </w:p>
    <w:p>
      <w:pPr>
        <w:jc w:val="left"/>
        <w:rPr>
          <w:rFonts w:ascii="宋体" w:hAnsi="宋体"/>
          <w:sz w:val="22"/>
          <w:u w:val="single"/>
        </w:rPr>
      </w:pPr>
      <w:r>
        <w:rPr>
          <w:rFonts w:hint="eastAsia" w:ascii="宋体" w:hAnsi="宋体"/>
          <w:sz w:val="22"/>
          <w:u w:val="single"/>
        </w:rPr>
        <w:t>泰顺县妇幼保健院、浙江华域高宇项目有限公司：</w:t>
      </w:r>
    </w:p>
    <w:p>
      <w:pPr>
        <w:jc w:val="center"/>
        <w:rPr>
          <w:rFonts w:ascii="宋体" w:hAnsi="宋体"/>
          <w:sz w:val="22"/>
          <w:u w:val="single"/>
        </w:rPr>
      </w:pPr>
    </w:p>
    <w:p>
      <w:pPr>
        <w:jc w:val="center"/>
        <w:rPr>
          <w:rFonts w:ascii="宋体" w:hAnsi="宋体"/>
          <w:sz w:val="22"/>
          <w:u w:val="single"/>
        </w:rPr>
      </w:pP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我方</w:t>
      </w:r>
      <w:r>
        <w:rPr>
          <w:rFonts w:hint="eastAsia" w:ascii="宋体" w:hAnsi="宋体" w:cs="黑体"/>
          <w:color w:val="000000"/>
          <w:sz w:val="22"/>
          <w:u w:val="single"/>
          <w:lang w:val="zh-CN"/>
        </w:rPr>
        <w:t xml:space="preserve"> （投标供应商）</w:t>
      </w:r>
      <w:r>
        <w:rPr>
          <w:rFonts w:hint="eastAsia" w:ascii="宋体" w:hAnsi="宋体" w:cs="黑体"/>
          <w:color w:val="000000"/>
          <w:sz w:val="22"/>
          <w:u w:val="single"/>
        </w:rPr>
        <w:t xml:space="preserve">  </w:t>
      </w:r>
      <w:r>
        <w:rPr>
          <w:rFonts w:hint="eastAsia" w:ascii="宋体" w:hAnsi="宋体" w:cs="黑体"/>
          <w:color w:val="000000"/>
          <w:sz w:val="22"/>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pPr>
        <w:spacing w:line="460" w:lineRule="exact"/>
        <w:ind w:firstLine="440" w:firstLineChars="200"/>
        <w:rPr>
          <w:rFonts w:ascii="宋体" w:hAnsi="宋体" w:cs="黑体"/>
          <w:color w:val="000000"/>
          <w:sz w:val="22"/>
          <w:lang w:val="zh-CN"/>
        </w:rPr>
      </w:pP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特此承诺！</w:t>
      </w:r>
    </w:p>
    <w:p>
      <w:pPr>
        <w:spacing w:line="460" w:lineRule="exact"/>
        <w:ind w:firstLine="440" w:firstLineChars="200"/>
        <w:rPr>
          <w:rFonts w:ascii="宋体" w:hAnsi="宋体" w:cs="黑体"/>
          <w:color w:val="000000"/>
          <w:sz w:val="22"/>
          <w:lang w:val="zh-CN"/>
        </w:rPr>
      </w:pP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供应商全称：（盖章）</w:t>
      </w: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法定代表人（签字或盖章）或授权代表（签字）：</w:t>
      </w:r>
    </w:p>
    <w:p>
      <w:pPr>
        <w:spacing w:line="460" w:lineRule="exact"/>
        <w:ind w:firstLine="440" w:firstLineChars="200"/>
        <w:rPr>
          <w:rFonts w:ascii="宋体" w:hAnsi="宋体" w:cs="黑体"/>
          <w:color w:val="000000"/>
          <w:sz w:val="22"/>
          <w:lang w:val="zh-CN"/>
        </w:rPr>
      </w:pPr>
      <w:r>
        <w:rPr>
          <w:rFonts w:hint="eastAsia" w:ascii="宋体" w:hAnsi="宋体" w:cs="黑体"/>
          <w:color w:val="000000"/>
          <w:sz w:val="22"/>
          <w:lang w:val="zh-CN"/>
        </w:rPr>
        <w:t>日期：</w:t>
      </w:r>
    </w:p>
    <w:p>
      <w:pPr>
        <w:jc w:val="center"/>
        <w:rPr>
          <w:rFonts w:ascii="宋体"/>
          <w:sz w:val="36"/>
          <w:szCs w:val="36"/>
          <w:lang w:val="zh-CN"/>
        </w:rPr>
      </w:pPr>
    </w:p>
    <w:p>
      <w:pPr>
        <w:pStyle w:val="15"/>
        <w:adjustRightInd w:val="0"/>
        <w:snapToGrid w:val="0"/>
        <w:spacing w:line="340" w:lineRule="atLeast"/>
        <w:rPr>
          <w:rFonts w:hAnsi="宋体"/>
          <w:b/>
          <w:sz w:val="32"/>
          <w:szCs w:val="32"/>
        </w:rPr>
      </w:pPr>
    </w:p>
    <w:p>
      <w:pPr>
        <w:pStyle w:val="15"/>
        <w:adjustRightInd w:val="0"/>
        <w:snapToGrid w:val="0"/>
        <w:spacing w:line="340" w:lineRule="atLeast"/>
        <w:rPr>
          <w:rFonts w:hAnsi="宋体"/>
          <w:b/>
          <w:sz w:val="32"/>
          <w:szCs w:val="32"/>
        </w:rPr>
      </w:pPr>
    </w:p>
    <w:p>
      <w:pPr>
        <w:pStyle w:val="15"/>
        <w:adjustRightInd w:val="0"/>
        <w:snapToGrid w:val="0"/>
        <w:spacing w:line="340" w:lineRule="atLeast"/>
        <w:rPr>
          <w:rFonts w:hAnsi="宋体"/>
          <w:b/>
          <w:sz w:val="32"/>
          <w:szCs w:val="32"/>
        </w:rPr>
      </w:pPr>
    </w:p>
    <w:p>
      <w:pPr>
        <w:autoSpaceDE w:val="0"/>
        <w:autoSpaceDN w:val="0"/>
        <w:adjustRightInd w:val="0"/>
        <w:jc w:val="left"/>
        <w:outlineLvl w:val="0"/>
        <w:rPr>
          <w:rFonts w:ascii="宋体"/>
          <w:b/>
          <w:bCs/>
          <w:sz w:val="32"/>
          <w:szCs w:val="32"/>
        </w:rPr>
      </w:pPr>
      <w:r>
        <w:rPr>
          <w:rFonts w:hint="eastAsia" w:hAnsi="宋体"/>
          <w:b/>
          <w:sz w:val="32"/>
          <w:szCs w:val="32"/>
        </w:rPr>
        <w:br w:type="page"/>
      </w:r>
      <w:r>
        <w:rPr>
          <w:rFonts w:hint="eastAsia" w:ascii="宋体" w:hAnsi="宋体"/>
          <w:b/>
          <w:bCs/>
          <w:sz w:val="32"/>
          <w:szCs w:val="32"/>
        </w:rPr>
        <w:t>附件六（一）</w:t>
      </w:r>
    </w:p>
    <w:p>
      <w:pPr>
        <w:spacing w:line="480" w:lineRule="auto"/>
        <w:jc w:val="center"/>
        <w:rPr>
          <w:rFonts w:ascii="宋体" w:hAnsi="宋体" w:cs="仿宋_GB2312"/>
          <w:sz w:val="36"/>
          <w:szCs w:val="36"/>
        </w:rPr>
      </w:pPr>
      <w:r>
        <w:rPr>
          <w:rFonts w:hint="eastAsia" w:ascii="宋体" w:hAnsi="宋体" w:cs="仿宋_GB2312"/>
          <w:sz w:val="36"/>
          <w:szCs w:val="36"/>
        </w:rPr>
        <w:t>法定代表人身份证明书</w:t>
      </w:r>
    </w:p>
    <w:p>
      <w:pPr>
        <w:spacing w:line="480" w:lineRule="auto"/>
        <w:jc w:val="center"/>
        <w:rPr>
          <w:rFonts w:ascii="宋体" w:hAnsi="宋体" w:cs="宋体"/>
          <w:sz w:val="30"/>
        </w:rPr>
      </w:pPr>
    </w:p>
    <w:p>
      <w:pPr>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pacing w:line="360" w:lineRule="auto"/>
        <w:ind w:firstLine="612"/>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pacing w:line="360" w:lineRule="auto"/>
        <w:ind w:firstLine="610"/>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auto"/>
        <w:ind w:firstLine="610"/>
        <w:rPr>
          <w:rFonts w:ascii="宋体" w:hAnsi="宋体" w:cs="宋体"/>
          <w:sz w:val="24"/>
        </w:rPr>
      </w:pPr>
    </w:p>
    <w:p>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610"/>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pacing w:line="360" w:lineRule="auto"/>
        <w:ind w:firstLine="610"/>
        <w:rPr>
          <w:rFonts w:ascii="宋体" w:hAnsi="宋体" w:cs="宋体"/>
          <w:sz w:val="24"/>
        </w:rPr>
      </w:pPr>
    </w:p>
    <w:p>
      <w:pPr>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360" w:lineRule="auto"/>
        <w:ind w:firstLine="610"/>
        <w:rPr>
          <w:rFonts w:ascii="宋体" w:hAnsi="宋体" w:cs="宋体"/>
          <w:sz w:val="24"/>
        </w:rPr>
      </w:pPr>
    </w:p>
    <w:p>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（投标供应商单位名称）         </w:t>
      </w:r>
      <w:r>
        <w:rPr>
          <w:rFonts w:hint="eastAsia" w:ascii="宋体" w:hAnsi="宋体" w:cs="宋体"/>
          <w:sz w:val="24"/>
        </w:rPr>
        <w:t>的法定代表人。</w:t>
      </w:r>
    </w:p>
    <w:p>
      <w:pPr>
        <w:spacing w:line="360" w:lineRule="auto"/>
        <w:rPr>
          <w:rFonts w:ascii="宋体" w:hAnsi="宋体" w:cs="宋体"/>
          <w:sz w:val="24"/>
        </w:rPr>
      </w:pPr>
    </w:p>
    <w:tbl>
      <w:tblPr>
        <w:tblStyle w:val="2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pPr>
              <w:snapToGrid w:val="0"/>
              <w:jc w:val="center"/>
              <w:rPr>
                <w:rFonts w:ascii="宋体"/>
                <w:sz w:val="24"/>
              </w:rPr>
            </w:pPr>
          </w:p>
          <w:p>
            <w:pPr>
              <w:snapToGrid w:val="0"/>
              <w:rPr>
                <w:rFonts w:ascii="宋体"/>
                <w:sz w:val="24"/>
              </w:rPr>
            </w:pPr>
          </w:p>
          <w:p>
            <w:pPr>
              <w:snapToGrid w:val="0"/>
              <w:jc w:val="center"/>
              <w:rPr>
                <w:rFonts w:ascii="宋体"/>
                <w:sz w:val="24"/>
              </w:rPr>
            </w:pPr>
          </w:p>
          <w:p>
            <w:pPr>
              <w:snapToGrid w:val="0"/>
              <w:ind w:firstLine="2520" w:firstLineChars="1050"/>
              <w:rPr>
                <w:rFonts w:ascii="宋体"/>
                <w:sz w:val="24"/>
              </w:rPr>
            </w:pPr>
            <w:r>
              <w:rPr>
                <w:rFonts w:ascii="宋体"/>
                <w:sz w:val="24"/>
              </w:rPr>
              <w:t>身份证复印件粘贴处</w:t>
            </w:r>
          </w:p>
          <w:p>
            <w:pPr>
              <w:snapToGrid w:val="0"/>
              <w:rPr>
                <w:rFonts w:ascii="宋体"/>
                <w:sz w:val="24"/>
              </w:rPr>
            </w:pPr>
          </w:p>
          <w:p>
            <w:pPr>
              <w:tabs>
                <w:tab w:val="left" w:pos="720"/>
                <w:tab w:val="left" w:pos="900"/>
              </w:tabs>
              <w:spacing w:line="360" w:lineRule="auto"/>
              <w:rPr>
                <w:rFonts w:ascii="宋体" w:hAnsi="宋体" w:cs="宋体"/>
                <w:sz w:val="24"/>
              </w:rPr>
            </w:pPr>
            <w:r>
              <w:rPr>
                <w:rFonts w:ascii="宋体"/>
                <w:sz w:val="24"/>
              </w:rPr>
              <w:t xml:space="preserve">                                 </w:t>
            </w:r>
          </w:p>
          <w:p>
            <w:pPr>
              <w:tabs>
                <w:tab w:val="left" w:pos="720"/>
                <w:tab w:val="left" w:pos="900"/>
              </w:tabs>
              <w:spacing w:line="360" w:lineRule="auto"/>
              <w:rPr>
                <w:rFonts w:ascii="宋体" w:hAnsi="宋体" w:cs="宋体"/>
                <w:sz w:val="24"/>
              </w:rPr>
            </w:pPr>
            <w:r>
              <w:rPr>
                <w:rFonts w:ascii="宋体" w:hAnsi="宋体" w:cs="宋体"/>
                <w:sz w:val="24"/>
              </w:rPr>
              <w:t xml:space="preserve">                                         </w:t>
            </w:r>
            <w:r>
              <w:rPr>
                <w:rFonts w:ascii="宋体"/>
                <w:sz w:val="24"/>
              </w:rPr>
              <w:t>（二代身份证需双面复印）</w:t>
            </w:r>
          </w:p>
        </w:tc>
      </w:tr>
    </w:tbl>
    <w:p>
      <w:pPr>
        <w:spacing w:line="360" w:lineRule="auto"/>
        <w:ind w:firstLine="610"/>
        <w:rPr>
          <w:rFonts w:ascii="宋体" w:hAnsi="宋体" w:cs="宋体"/>
          <w:sz w:val="24"/>
        </w:rPr>
      </w:pPr>
      <w:r>
        <w:rPr>
          <w:rFonts w:hint="eastAsia" w:ascii="宋体" w:hAnsi="宋体" w:cs="宋体"/>
          <w:sz w:val="24"/>
        </w:rPr>
        <w:t>特此证明。</w:t>
      </w:r>
    </w:p>
    <w:p>
      <w:pPr>
        <w:adjustRightInd w:val="0"/>
        <w:snapToGrid w:val="0"/>
        <w:spacing w:line="400" w:lineRule="exact"/>
        <w:rPr>
          <w:rFonts w:ascii="宋体" w:hAnsi="宋体" w:cs="Courier New"/>
          <w:b/>
          <w:kern w:val="0"/>
          <w:sz w:val="22"/>
          <w:u w:val="single"/>
        </w:rPr>
      </w:pPr>
    </w:p>
    <w:p>
      <w:pPr>
        <w:adjustRightInd w:val="0"/>
        <w:snapToGrid w:val="0"/>
        <w:spacing w:line="400" w:lineRule="exact"/>
        <w:rPr>
          <w:rFonts w:ascii="宋体" w:hAnsi="宋体" w:cs="Courier New"/>
          <w:b/>
          <w:kern w:val="0"/>
          <w:sz w:val="22"/>
          <w:u w:val="single"/>
        </w:rPr>
      </w:pPr>
    </w:p>
    <w:p>
      <w:pPr>
        <w:adjustRightInd w:val="0"/>
        <w:snapToGrid w:val="0"/>
        <w:spacing w:line="400" w:lineRule="exact"/>
        <w:rPr>
          <w:rFonts w:ascii="宋体" w:hAnsi="宋体" w:cs="Courier New"/>
          <w:b/>
          <w:kern w:val="0"/>
          <w:sz w:val="22"/>
          <w:u w:val="single"/>
        </w:rPr>
      </w:pPr>
    </w:p>
    <w:p>
      <w:pPr>
        <w:adjustRightInd w:val="0"/>
        <w:snapToGrid w:val="0"/>
        <w:spacing w:line="400" w:lineRule="exact"/>
        <w:rPr>
          <w:rFonts w:ascii="宋体" w:hAnsi="宋体" w:cs="Courier New"/>
          <w:b/>
          <w:kern w:val="0"/>
          <w:sz w:val="22"/>
          <w:u w:val="single"/>
        </w:rPr>
      </w:pPr>
    </w:p>
    <w:p>
      <w:pPr>
        <w:autoSpaceDE w:val="0"/>
        <w:autoSpaceDN w:val="0"/>
        <w:adjustRightInd w:val="0"/>
        <w:spacing w:line="440" w:lineRule="atLeast"/>
        <w:rPr>
          <w:rFonts w:ascii="宋体" w:hAnsi="宋体" w:cs="Courier New"/>
          <w:b/>
          <w:kern w:val="0"/>
          <w:sz w:val="22"/>
          <w:u w:val="single"/>
        </w:rPr>
      </w:pPr>
      <w:r>
        <w:rPr>
          <w:rFonts w:hint="eastAsia" w:ascii="宋体" w:hAnsi="宋体" w:cs="Courier New"/>
          <w:b/>
          <w:kern w:val="0"/>
          <w:sz w:val="22"/>
          <w:u w:val="single"/>
        </w:rPr>
        <w:t xml:space="preserve"> ▲法定代表人参加投标，不提供此表格的将视为没有实质性响应招标文件。</w:t>
      </w:r>
    </w:p>
    <w:p>
      <w:pPr>
        <w:tabs>
          <w:tab w:val="left" w:pos="1080"/>
        </w:tabs>
        <w:autoSpaceDE w:val="0"/>
        <w:autoSpaceDN w:val="0"/>
        <w:adjustRightInd w:val="0"/>
        <w:spacing w:line="440" w:lineRule="atLeast"/>
        <w:jc w:val="left"/>
        <w:rPr>
          <w:rFonts w:ascii="宋体" w:hAnsi="宋体"/>
          <w:b/>
          <w:sz w:val="32"/>
          <w:szCs w:val="32"/>
        </w:rPr>
      </w:pPr>
      <w:r>
        <w:rPr>
          <w:rFonts w:hint="eastAsia" w:ascii="宋体" w:hAnsi="宋体"/>
          <w:b/>
          <w:sz w:val="32"/>
          <w:szCs w:val="32"/>
        </w:rPr>
        <w:t>附件六（二）</w:t>
      </w:r>
    </w:p>
    <w:p>
      <w:pPr>
        <w:tabs>
          <w:tab w:val="left" w:pos="1080"/>
        </w:tabs>
        <w:autoSpaceDE w:val="0"/>
        <w:autoSpaceDN w:val="0"/>
        <w:adjustRightInd w:val="0"/>
        <w:spacing w:line="440" w:lineRule="atLeast"/>
        <w:jc w:val="center"/>
        <w:rPr>
          <w:rFonts w:ascii="宋体"/>
          <w:sz w:val="36"/>
          <w:szCs w:val="36"/>
        </w:rPr>
      </w:pPr>
      <w:r>
        <w:rPr>
          <w:rFonts w:hint="eastAsia" w:ascii="宋体"/>
          <w:sz w:val="36"/>
          <w:szCs w:val="36"/>
        </w:rPr>
        <w:t>法定代表人授权书</w:t>
      </w:r>
    </w:p>
    <w:p>
      <w:pPr>
        <w:spacing w:line="480" w:lineRule="auto"/>
        <w:rPr>
          <w:rFonts w:ascii="宋体" w:hAnsi="宋体"/>
          <w:sz w:val="22"/>
        </w:rPr>
      </w:pPr>
      <w:r>
        <w:rPr>
          <w:rFonts w:hint="eastAsia" w:ascii="宋体" w:hAnsi="宋体"/>
          <w:sz w:val="22"/>
          <w:u w:val="single"/>
        </w:rPr>
        <w:t>（采购单位名称）</w:t>
      </w:r>
      <w:r>
        <w:rPr>
          <w:rFonts w:hint="eastAsia" w:ascii="宋体" w:hAnsi="宋体"/>
          <w:sz w:val="22"/>
          <w:lang w:val="zh-CN"/>
        </w:rPr>
        <w:t>：</w:t>
      </w:r>
    </w:p>
    <w:p>
      <w:pPr>
        <w:spacing w:line="480" w:lineRule="auto"/>
        <w:ind w:firstLine="440" w:firstLineChars="200"/>
        <w:rPr>
          <w:rFonts w:ascii="宋体" w:hAnsi="宋体"/>
          <w:sz w:val="22"/>
        </w:rPr>
      </w:pPr>
      <w:r>
        <w:rPr>
          <w:rFonts w:hint="eastAsia" w:ascii="宋体" w:hAnsi="宋体"/>
          <w:sz w:val="22"/>
        </w:rPr>
        <w:t>本授权委托书声明：我</w:t>
      </w:r>
      <w:r>
        <w:rPr>
          <w:rFonts w:hint="eastAsia" w:ascii="宋体" w:hAnsi="宋体"/>
          <w:sz w:val="22"/>
          <w:u w:val="single"/>
        </w:rPr>
        <w:t xml:space="preserve">   （法定代表人姓名）   </w:t>
      </w:r>
      <w:r>
        <w:rPr>
          <w:rFonts w:hint="eastAsia" w:ascii="宋体" w:hAnsi="宋体"/>
          <w:sz w:val="22"/>
        </w:rPr>
        <w:t>系</w:t>
      </w:r>
      <w:r>
        <w:rPr>
          <w:rFonts w:hint="eastAsia" w:ascii="宋体" w:hAnsi="宋体"/>
          <w:sz w:val="22"/>
          <w:u w:val="single"/>
        </w:rPr>
        <w:t xml:space="preserve">   （供 应 商 名 称）  </w:t>
      </w:r>
      <w:r>
        <w:rPr>
          <w:rFonts w:hint="eastAsia" w:ascii="宋体" w:hAnsi="宋体"/>
          <w:sz w:val="22"/>
        </w:rPr>
        <w:t>的法定代表人，现授权委托</w:t>
      </w:r>
      <w:r>
        <w:rPr>
          <w:rFonts w:hint="eastAsia" w:ascii="宋体" w:hAnsi="宋体"/>
          <w:sz w:val="22"/>
          <w:u w:val="single"/>
        </w:rPr>
        <w:t xml:space="preserve">  （单 位 名 称）   </w:t>
      </w:r>
      <w:r>
        <w:rPr>
          <w:rFonts w:hint="eastAsia" w:ascii="宋体" w:hAnsi="宋体"/>
          <w:sz w:val="22"/>
        </w:rPr>
        <w:t>的</w:t>
      </w:r>
      <w:r>
        <w:rPr>
          <w:rFonts w:hint="eastAsia" w:ascii="宋体" w:hAnsi="宋体"/>
          <w:sz w:val="22"/>
          <w:u w:val="single"/>
        </w:rPr>
        <w:t xml:space="preserve">  （授权代表姓名）  </w:t>
      </w:r>
      <w:r>
        <w:rPr>
          <w:rFonts w:hint="eastAsia" w:ascii="宋体" w:hAnsi="宋体"/>
          <w:sz w:val="22"/>
        </w:rPr>
        <w:t>为我公司法定代表人授权代表，参加贵处组织的</w:t>
      </w:r>
      <w:r>
        <w:rPr>
          <w:rFonts w:hint="eastAsia" w:ascii="宋体" w:hAnsi="宋体"/>
          <w:sz w:val="22"/>
          <w:u w:val="single"/>
        </w:rPr>
        <w:t xml:space="preserve">  （招标项目名称，括号中填写项目编号）  </w:t>
      </w:r>
      <w:r>
        <w:rPr>
          <w:rFonts w:hint="eastAsia" w:ascii="宋体" w:hAnsi="宋体"/>
          <w:sz w:val="22"/>
        </w:rPr>
        <w:t>项目投标，全权处理本次招投标活动中的一切事宜，我承认授权代表全权代表我所签署的本项目的响应文件的内容。</w:t>
      </w:r>
    </w:p>
    <w:p>
      <w:pPr>
        <w:spacing w:line="480" w:lineRule="auto"/>
        <w:ind w:firstLine="440" w:firstLineChars="200"/>
        <w:rPr>
          <w:rFonts w:ascii="宋体" w:hAnsi="宋体"/>
          <w:sz w:val="22"/>
        </w:rPr>
      </w:pPr>
      <w:r>
        <w:rPr>
          <w:rFonts w:hint="eastAsia" w:ascii="宋体" w:hAnsi="宋体"/>
          <w:sz w:val="22"/>
        </w:rPr>
        <w:t>授权代表无转授权，特此授权</w:t>
      </w:r>
    </w:p>
    <w:p>
      <w:pPr>
        <w:spacing w:line="480" w:lineRule="auto"/>
        <w:ind w:left="2100" w:leftChars="1000" w:firstLine="440" w:firstLineChars="200"/>
        <w:rPr>
          <w:rFonts w:ascii="宋体" w:hAnsi="宋体"/>
          <w:sz w:val="22"/>
          <w:u w:val="single"/>
        </w:rPr>
      </w:pPr>
      <w:r>
        <w:rPr>
          <w:rFonts w:hint="eastAsia" w:ascii="宋体" w:hAnsi="宋体"/>
          <w:sz w:val="22"/>
        </w:rPr>
        <w:t>授权代表：</w:t>
      </w:r>
      <w:r>
        <w:rPr>
          <w:rFonts w:hint="eastAsia" w:ascii="宋体" w:hAnsi="宋体"/>
          <w:sz w:val="22"/>
          <w:u w:val="single"/>
        </w:rPr>
        <w:t xml:space="preserve">   （手写签字）  </w:t>
      </w:r>
      <w:r>
        <w:rPr>
          <w:rFonts w:hint="eastAsia" w:ascii="宋体" w:hAnsi="宋体"/>
          <w:sz w:val="22"/>
        </w:rPr>
        <w:t xml:space="preserve"> 性别 ：</w:t>
      </w:r>
      <w:r>
        <w:rPr>
          <w:rFonts w:hint="eastAsia" w:ascii="宋体" w:hAnsi="宋体"/>
          <w:sz w:val="22"/>
          <w:u w:val="single"/>
        </w:rPr>
        <w:t xml:space="preserve">                    </w:t>
      </w:r>
      <w:r>
        <w:rPr>
          <w:rFonts w:ascii="宋体" w:hAnsi="宋体"/>
          <w:sz w:val="22"/>
          <w:u w:val="single"/>
        </w:rPr>
        <w:t xml:space="preserve">    </w:t>
      </w:r>
    </w:p>
    <w:p>
      <w:pPr>
        <w:spacing w:line="480" w:lineRule="auto"/>
        <w:ind w:left="2100" w:leftChars="1000" w:firstLine="440" w:firstLineChars="200"/>
        <w:rPr>
          <w:rFonts w:ascii="宋体" w:hAnsi="宋体"/>
          <w:sz w:val="22"/>
          <w:u w:val="single"/>
        </w:rPr>
      </w:pPr>
      <w:r>
        <w:rPr>
          <w:rFonts w:hint="eastAsia" w:ascii="宋体" w:hAnsi="宋体"/>
          <w:sz w:val="22"/>
        </w:rPr>
        <w:t>职务：</w:t>
      </w:r>
      <w:r>
        <w:rPr>
          <w:rFonts w:hint="eastAsia" w:ascii="宋体" w:hAnsi="宋体"/>
          <w:sz w:val="22"/>
          <w:u w:val="single"/>
        </w:rPr>
        <w:t xml:space="preserve">                  </w:t>
      </w:r>
      <w:r>
        <w:rPr>
          <w:rFonts w:hint="eastAsia" w:ascii="宋体" w:hAnsi="宋体"/>
          <w:sz w:val="22"/>
        </w:rPr>
        <w:t>年龄：</w:t>
      </w:r>
      <w:r>
        <w:rPr>
          <w:rFonts w:hint="eastAsia" w:ascii="宋体" w:hAnsi="宋体"/>
          <w:sz w:val="22"/>
          <w:u w:val="single"/>
        </w:rPr>
        <w:t xml:space="preserve">                  </w:t>
      </w:r>
      <w:r>
        <w:rPr>
          <w:rFonts w:ascii="宋体" w:hAnsi="宋体"/>
          <w:sz w:val="22"/>
          <w:u w:val="single"/>
        </w:rPr>
        <w:t xml:space="preserve">           </w:t>
      </w:r>
    </w:p>
    <w:p>
      <w:pPr>
        <w:spacing w:line="480" w:lineRule="auto"/>
        <w:ind w:left="2100" w:leftChars="1000" w:firstLine="440" w:firstLineChars="200"/>
        <w:rPr>
          <w:rFonts w:ascii="宋体" w:hAnsi="宋体"/>
          <w:sz w:val="22"/>
          <w:u w:val="single"/>
        </w:rPr>
      </w:pPr>
      <w:r>
        <w:rPr>
          <w:rFonts w:hint="eastAsia" w:ascii="宋体" w:hAnsi="宋体"/>
          <w:sz w:val="22"/>
        </w:rPr>
        <w:t>详细通讯地址：</w:t>
      </w:r>
      <w:r>
        <w:rPr>
          <w:rFonts w:hint="eastAsia" w:ascii="宋体" w:hAnsi="宋体"/>
          <w:sz w:val="22"/>
          <w:u w:val="single"/>
        </w:rPr>
        <w:t xml:space="preserve">                  </w:t>
      </w:r>
      <w:r>
        <w:rPr>
          <w:rFonts w:hint="eastAsia" w:ascii="宋体" w:hAnsi="宋体"/>
          <w:sz w:val="22"/>
        </w:rPr>
        <w:t xml:space="preserve"> 邮政编码：</w:t>
      </w:r>
      <w:r>
        <w:rPr>
          <w:rFonts w:hint="eastAsia" w:ascii="宋体" w:hAnsi="宋体"/>
          <w:sz w:val="22"/>
          <w:u w:val="single"/>
        </w:rPr>
        <w:t xml:space="preserve">         </w:t>
      </w:r>
      <w:r>
        <w:rPr>
          <w:rFonts w:ascii="宋体" w:hAnsi="宋体"/>
          <w:sz w:val="22"/>
          <w:u w:val="single"/>
        </w:rPr>
        <w:t xml:space="preserve">       </w:t>
      </w:r>
    </w:p>
    <w:p>
      <w:pPr>
        <w:spacing w:line="480" w:lineRule="auto"/>
        <w:ind w:left="1" w:firstLine="2510" w:firstLineChars="1141"/>
        <w:rPr>
          <w:rFonts w:ascii="宋体" w:hAnsi="宋体"/>
          <w:sz w:val="22"/>
          <w:u w:val="single"/>
        </w:rPr>
      </w:pPr>
      <w:r>
        <w:rPr>
          <w:rFonts w:hint="eastAsia" w:ascii="宋体" w:hAnsi="宋体"/>
          <w:sz w:val="22"/>
        </w:rPr>
        <w:t>电话：</w:t>
      </w:r>
      <w:r>
        <w:rPr>
          <w:rFonts w:hint="eastAsia" w:ascii="宋体" w:hAnsi="宋体"/>
          <w:sz w:val="22"/>
          <w:u w:val="single"/>
        </w:rPr>
        <w:t xml:space="preserve">                   </w:t>
      </w:r>
      <w:r>
        <w:rPr>
          <w:rFonts w:hint="eastAsia" w:ascii="宋体" w:hAnsi="宋体"/>
          <w:sz w:val="22"/>
        </w:rPr>
        <w:t xml:space="preserve"> 传真：</w:t>
      </w:r>
      <w:r>
        <w:rPr>
          <w:rFonts w:hint="eastAsia" w:ascii="宋体" w:hAnsi="宋体"/>
          <w:sz w:val="22"/>
          <w:u w:val="single"/>
        </w:rPr>
        <w:t xml:space="preserve">                  </w:t>
      </w:r>
      <w:r>
        <w:rPr>
          <w:rFonts w:ascii="宋体" w:hAnsi="宋体"/>
          <w:sz w:val="22"/>
          <w:u w:val="single"/>
        </w:rPr>
        <w:t xml:space="preserve">          </w:t>
      </w:r>
    </w:p>
    <w:p>
      <w:pPr>
        <w:spacing w:line="480" w:lineRule="auto"/>
        <w:ind w:left="1" w:firstLine="422" w:firstLineChars="192"/>
        <w:rPr>
          <w:rFonts w:ascii="宋体" w:hAnsi="宋体"/>
          <w:sz w:val="22"/>
        </w:rPr>
      </w:pPr>
      <w:r>
        <w:rPr>
          <w:rFonts w:hint="eastAsia" w:ascii="宋体" w:hAnsi="宋体"/>
          <w:sz w:val="22"/>
        </w:rPr>
        <w:t xml:space="preserve">                   供应商：</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（盖章）</w:t>
      </w:r>
    </w:p>
    <w:p>
      <w:pPr>
        <w:spacing w:line="480" w:lineRule="auto"/>
        <w:ind w:left="2100" w:right="440"/>
        <w:jc w:val="right"/>
        <w:rPr>
          <w:rFonts w:ascii="宋体" w:hAnsi="宋体"/>
          <w:b/>
          <w:sz w:val="22"/>
        </w:rPr>
      </w:pPr>
      <w:r>
        <w:rPr>
          <w:rFonts w:hint="eastAsia" w:ascii="宋体" w:hAnsi="宋体"/>
          <w:sz w:val="22"/>
        </w:rPr>
        <w:t xml:space="preserve">   法定代表人：</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（签字或盖章</w:t>
      </w:r>
      <w:r>
        <w:rPr>
          <w:rFonts w:ascii="宋体" w:hAnsi="宋体"/>
          <w:sz w:val="22"/>
          <w:u w:val="single"/>
        </w:rPr>
        <w:t>）</w:t>
      </w:r>
      <w:r>
        <w:rPr>
          <w:rFonts w:hint="eastAsia" w:ascii="宋体" w:hAnsi="宋体"/>
          <w:sz w:val="22"/>
        </w:rPr>
        <w:t>授权委托日期：</w:t>
      </w:r>
      <w:r>
        <w:rPr>
          <w:rFonts w:hint="eastAsia" w:ascii="宋体" w:hAnsi="宋体"/>
          <w:sz w:val="22"/>
          <w:u w:val="single"/>
        </w:rPr>
        <w:t xml:space="preserve">     </w:t>
      </w:r>
      <w:r>
        <w:rPr>
          <w:rFonts w:hint="eastAsia" w:ascii="宋体" w:hAnsi="宋体"/>
          <w:sz w:val="22"/>
        </w:rPr>
        <w:t xml:space="preserve">年 </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日</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黏贴授权代表身份证复印件或影印件（正反面）</w:t>
            </w:r>
          </w:p>
          <w:p>
            <w:pPr>
              <w:autoSpaceDE w:val="0"/>
              <w:autoSpaceDN w:val="0"/>
              <w:adjustRightInd w:val="0"/>
              <w:spacing w:line="440" w:lineRule="atLeast"/>
              <w:jc w:val="center"/>
              <w:rPr>
                <w:rFonts w:ascii="宋体" w:hAnsi="宋体" w:cs="仿宋_GB2312"/>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黏贴法人身份证复印件或影印件（正反面）</w:t>
            </w:r>
          </w:p>
          <w:p>
            <w:pPr>
              <w:autoSpaceDE w:val="0"/>
              <w:autoSpaceDN w:val="0"/>
              <w:adjustRightInd w:val="0"/>
              <w:spacing w:line="440" w:lineRule="atLeast"/>
              <w:jc w:val="center"/>
              <w:rPr>
                <w:rFonts w:ascii="宋体" w:hAnsi="宋体" w:cs="仿宋_GB2312"/>
                <w:bCs/>
                <w:sz w:val="36"/>
                <w:szCs w:val="36"/>
              </w:rPr>
            </w:pPr>
          </w:p>
        </w:tc>
      </w:tr>
    </w:tbl>
    <w:p>
      <w:pPr>
        <w:autoSpaceDE w:val="0"/>
        <w:autoSpaceDN w:val="0"/>
        <w:adjustRightInd w:val="0"/>
        <w:spacing w:line="440" w:lineRule="atLeast"/>
        <w:jc w:val="center"/>
        <w:rPr>
          <w:rFonts w:ascii="宋体" w:hAnsi="宋体" w:cs="仿宋_GB2312"/>
          <w:sz w:val="36"/>
          <w:szCs w:val="36"/>
        </w:rPr>
      </w:pPr>
    </w:p>
    <w:p>
      <w:pPr>
        <w:autoSpaceDE w:val="0"/>
        <w:autoSpaceDN w:val="0"/>
        <w:adjustRightInd w:val="0"/>
        <w:spacing w:line="440" w:lineRule="atLeast"/>
        <w:jc w:val="center"/>
        <w:rPr>
          <w:rFonts w:ascii="宋体" w:hAnsi="宋体" w:cs="仿宋_GB2312"/>
          <w:sz w:val="36"/>
          <w:szCs w:val="36"/>
          <w:lang w:val="zh-CN"/>
        </w:rPr>
      </w:pPr>
    </w:p>
    <w:p>
      <w:pPr>
        <w:adjustRightInd w:val="0"/>
        <w:snapToGrid w:val="0"/>
        <w:spacing w:line="400" w:lineRule="exact"/>
        <w:rPr>
          <w:rFonts w:ascii="宋体" w:hAnsi="Courier New" w:cs="Courier New"/>
          <w:b/>
          <w:bCs/>
          <w:kern w:val="0"/>
          <w:sz w:val="22"/>
          <w:u w:val="single"/>
        </w:rPr>
      </w:pPr>
      <w:r>
        <w:rPr>
          <w:rFonts w:hint="eastAsia" w:ascii="宋体" w:hAnsi="宋体" w:cs="Courier New"/>
          <w:b/>
          <w:kern w:val="0"/>
          <w:sz w:val="22"/>
          <w:u w:val="single"/>
        </w:rPr>
        <w:t>▲授权委托人参加投标，不提供此表格的将视为没有实质性响应招标文件。</w:t>
      </w:r>
    </w:p>
    <w:p>
      <w:pPr>
        <w:rPr>
          <w:rFonts w:hAnsi="宋体"/>
          <w:b/>
          <w:sz w:val="32"/>
          <w:szCs w:val="32"/>
        </w:rPr>
      </w:pPr>
      <w:r>
        <w:rPr>
          <w:rFonts w:hint="eastAsia" w:hAnsi="宋体"/>
          <w:b/>
          <w:sz w:val="32"/>
          <w:szCs w:val="32"/>
        </w:rPr>
        <w:t xml:space="preserve">附件七                </w:t>
      </w:r>
    </w:p>
    <w:p>
      <w:pPr>
        <w:pStyle w:val="15"/>
        <w:adjustRightInd w:val="0"/>
        <w:snapToGrid w:val="0"/>
        <w:spacing w:line="340" w:lineRule="atLeast"/>
        <w:rPr>
          <w:rFonts w:hAnsi="宋体"/>
          <w:b/>
          <w:sz w:val="32"/>
          <w:szCs w:val="32"/>
        </w:rPr>
      </w:pPr>
      <w:r>
        <w:rPr>
          <w:rFonts w:hint="eastAsia" w:hAnsi="宋体"/>
          <w:b/>
          <w:sz w:val="32"/>
          <w:szCs w:val="32"/>
        </w:rPr>
        <w:t xml:space="preserve">        </w:t>
      </w:r>
    </w:p>
    <w:p>
      <w:pPr>
        <w:pStyle w:val="15"/>
        <w:adjustRightInd w:val="0"/>
        <w:snapToGrid w:val="0"/>
        <w:spacing w:line="460" w:lineRule="atLeast"/>
        <w:jc w:val="center"/>
        <w:rPr>
          <w:rFonts w:hAnsi="Times New Roman"/>
          <w:sz w:val="36"/>
          <w:szCs w:val="36"/>
        </w:rPr>
      </w:pPr>
      <w:r>
        <w:rPr>
          <w:rFonts w:hint="eastAsia" w:hAnsi="Times New Roman"/>
          <w:sz w:val="36"/>
          <w:szCs w:val="36"/>
        </w:rPr>
        <w:t>投  标  函</w:t>
      </w:r>
    </w:p>
    <w:p>
      <w:pPr>
        <w:pStyle w:val="15"/>
        <w:adjustRightInd w:val="0"/>
        <w:snapToGrid w:val="0"/>
        <w:spacing w:line="340" w:lineRule="atLeast"/>
        <w:rPr>
          <w:rFonts w:hAnsi="宋体"/>
          <w:sz w:val="22"/>
          <w:szCs w:val="22"/>
        </w:rPr>
      </w:pPr>
      <w:r>
        <w:rPr>
          <w:rFonts w:hint="eastAsia" w:hAnsi="宋体"/>
          <w:sz w:val="22"/>
          <w:szCs w:val="22"/>
          <w:u w:val="single"/>
        </w:rPr>
        <w:t>泰顺县妇幼保健院</w:t>
      </w:r>
      <w:r>
        <w:rPr>
          <w:rFonts w:hint="eastAsia" w:hAnsi="宋体"/>
          <w:sz w:val="22"/>
          <w:szCs w:val="22"/>
        </w:rPr>
        <w:t>：</w:t>
      </w:r>
    </w:p>
    <w:p>
      <w:pPr>
        <w:autoSpaceDE w:val="0"/>
        <w:autoSpaceDN w:val="0"/>
        <w:adjustRightInd w:val="0"/>
        <w:spacing w:line="440" w:lineRule="atLeast"/>
        <w:rPr>
          <w:rFonts w:ascii="宋体" w:cs="仿宋_GB2312"/>
          <w:sz w:val="22"/>
          <w:szCs w:val="22"/>
          <w:lang w:val="zh-CN"/>
        </w:rPr>
      </w:pPr>
      <w:r>
        <w:rPr>
          <w:rFonts w:hint="eastAsia"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（招标项目名称）（括号内填投标编号）招标的有关活动，为此：并对</w:t>
      </w:r>
      <w:r>
        <w:rPr>
          <w:rFonts w:hint="eastAsia" w:ascii="宋体" w:cs="仿宋_GB2312"/>
          <w:sz w:val="22"/>
          <w:szCs w:val="22"/>
          <w:u w:val="single"/>
          <w:lang w:val="zh-CN"/>
        </w:rPr>
        <w:t xml:space="preserve">            </w:t>
      </w:r>
      <w:r>
        <w:rPr>
          <w:rFonts w:hint="eastAsia" w:ascii="宋体" w:cs="仿宋_GB2312"/>
          <w:sz w:val="22"/>
          <w:szCs w:val="22"/>
          <w:lang w:val="zh-CN"/>
        </w:rPr>
        <w:t>项目（招标项目名称）进行投标。</w:t>
      </w:r>
      <w:r>
        <w:rPr>
          <w:rFonts w:ascii="宋体" w:cs="仿宋_GB2312"/>
          <w:sz w:val="22"/>
          <w:szCs w:val="22"/>
          <w:lang w:val="zh-CN"/>
        </w:rPr>
        <w:t xml:space="preserve">   </w:t>
      </w:r>
    </w:p>
    <w:p>
      <w:pPr>
        <w:autoSpaceDE w:val="0"/>
        <w:autoSpaceDN w:val="0"/>
        <w:adjustRightInd w:val="0"/>
        <w:spacing w:line="400" w:lineRule="exact"/>
        <w:ind w:firstLine="440" w:firstLineChars="200"/>
        <w:rPr>
          <w:rFonts w:ascii="宋体"/>
          <w:sz w:val="22"/>
          <w:lang w:val="zh-CN"/>
        </w:rPr>
      </w:pPr>
      <w:r>
        <w:rPr>
          <w:rFonts w:hint="eastAsia" w:ascii="宋体"/>
          <w:sz w:val="22"/>
          <w:lang w:val="zh-CN"/>
        </w:rPr>
        <w:t>“电子加密投标文件”：在线上传递交。</w:t>
      </w:r>
    </w:p>
    <w:p>
      <w:pPr>
        <w:autoSpaceDE w:val="0"/>
        <w:autoSpaceDN w:val="0"/>
        <w:adjustRightInd w:val="0"/>
        <w:spacing w:line="400" w:lineRule="exact"/>
        <w:ind w:firstLine="440" w:firstLineChars="200"/>
        <w:rPr>
          <w:rFonts w:ascii="宋体"/>
          <w:sz w:val="22"/>
          <w:lang w:val="zh-CN"/>
        </w:rPr>
      </w:pPr>
      <w:r>
        <w:rPr>
          <w:rFonts w:hint="eastAsia" w:ascii="宋体"/>
          <w:sz w:val="22"/>
          <w:lang w:val="zh-CN"/>
        </w:rPr>
        <w:t>2、保证遵守招标文件中的有关规定和收费标准。</w:t>
      </w:r>
    </w:p>
    <w:p>
      <w:pPr>
        <w:autoSpaceDE w:val="0"/>
        <w:autoSpaceDN w:val="0"/>
        <w:adjustRightInd w:val="0"/>
        <w:spacing w:line="440" w:lineRule="atLeast"/>
        <w:ind w:firstLine="442" w:firstLineChars="201"/>
        <w:rPr>
          <w:rFonts w:ascii="宋体"/>
          <w:sz w:val="22"/>
          <w:lang w:val="zh-CN"/>
        </w:rPr>
      </w:pPr>
      <w:r>
        <w:rPr>
          <w:rFonts w:ascii="宋体"/>
          <w:sz w:val="22"/>
          <w:lang w:val="zh-CN"/>
        </w:rPr>
        <w:t>3</w:t>
      </w:r>
      <w:r>
        <w:rPr>
          <w:rFonts w:hint="eastAsia" w:ascii="宋体"/>
          <w:sz w:val="22"/>
          <w:lang w:val="zh-CN"/>
        </w:rPr>
        <w:t>、保证忠实地执行采购单位、</w:t>
      </w:r>
      <w:r>
        <w:rPr>
          <w:rFonts w:hint="eastAsia" w:ascii="宋体" w:cs="??_GB2312"/>
          <w:sz w:val="22"/>
          <w:lang w:val="zh-CN"/>
        </w:rPr>
        <w:t>中标（成交）供应商</w:t>
      </w:r>
      <w:r>
        <w:rPr>
          <w:rFonts w:hint="eastAsia" w:ascii="宋体"/>
          <w:sz w:val="22"/>
          <w:lang w:val="zh-CN"/>
        </w:rPr>
        <w:t>双方所签的合同，并承担合同规定的责任义务。</w:t>
      </w:r>
    </w:p>
    <w:p>
      <w:pPr>
        <w:pStyle w:val="15"/>
        <w:snapToGrid w:val="0"/>
        <w:spacing w:line="410" w:lineRule="atLeast"/>
        <w:ind w:firstLine="440" w:firstLineChars="200"/>
        <w:rPr>
          <w:rFonts w:hAnsi="宋体"/>
          <w:b/>
          <w:bCs/>
          <w:sz w:val="22"/>
          <w:u w:val="single"/>
        </w:rPr>
      </w:pPr>
      <w:r>
        <w:rPr>
          <w:rFonts w:cs="??_GB2312"/>
          <w:sz w:val="22"/>
          <w:lang w:val="zh-CN"/>
        </w:rPr>
        <w:t>4</w:t>
      </w:r>
      <w:r>
        <w:rPr>
          <w:rFonts w:hint="eastAsia" w:cs="??_GB2312"/>
          <w:sz w:val="22"/>
          <w:lang w:val="zh-CN"/>
        </w:rPr>
        <w:t>、</w:t>
      </w:r>
      <w:r>
        <w:rPr>
          <w:rFonts w:hint="eastAsia"/>
          <w:sz w:val="22"/>
          <w:lang w:val="zh-CN"/>
        </w:rPr>
        <w:t>我方对完工期承诺如下</w:t>
      </w:r>
      <w:r>
        <w:rPr>
          <w:rFonts w:hint="eastAsia"/>
          <w:b/>
          <w:bCs/>
          <w:sz w:val="22"/>
          <w:u w:val="single"/>
          <w:lang w:val="zh-CN"/>
        </w:rPr>
        <w:t>：</w:t>
      </w:r>
      <w:r>
        <w:rPr>
          <w:rFonts w:hint="eastAsia" w:hAnsi="宋体"/>
          <w:b/>
          <w:bCs/>
          <w:sz w:val="22"/>
          <w:u w:val="single"/>
        </w:rPr>
        <w:t>▲按招标文件规定期限交货并通过采购单位验收，逾期采购单位有权拒绝供货。</w:t>
      </w:r>
    </w:p>
    <w:p>
      <w:pPr>
        <w:autoSpaceDE w:val="0"/>
        <w:autoSpaceDN w:val="0"/>
        <w:adjustRightInd w:val="0"/>
        <w:spacing w:line="440" w:lineRule="atLeast"/>
        <w:ind w:firstLine="450"/>
        <w:rPr>
          <w:rFonts w:ascii="宋体"/>
          <w:sz w:val="22"/>
          <w:lang w:val="zh-CN"/>
        </w:rPr>
      </w:pPr>
      <w:r>
        <w:rPr>
          <w:rFonts w:ascii="宋体"/>
          <w:sz w:val="22"/>
          <w:lang w:val="zh-CN"/>
        </w:rPr>
        <w:t>5</w:t>
      </w:r>
      <w:r>
        <w:rPr>
          <w:rFonts w:hint="eastAsia" w:ascii="宋体"/>
          <w:sz w:val="22"/>
          <w:lang w:val="zh-CN"/>
        </w:rPr>
        <w:t>、供应商已详细审查全部招标文件，包括招标文件补充文件（如果有的话）。我方完全理解并同意放弃对这方面有不明及误解的权力。如果招标文件有相互矛盾之处，我方同意按采购单位的理解处理。</w:t>
      </w:r>
    </w:p>
    <w:p>
      <w:pPr>
        <w:spacing w:line="340" w:lineRule="exact"/>
        <w:ind w:firstLine="442" w:firstLineChars="201"/>
        <w:rPr>
          <w:rFonts w:ascii="宋体"/>
          <w:sz w:val="22"/>
        </w:rPr>
      </w:pPr>
      <w:r>
        <w:rPr>
          <w:rFonts w:ascii="宋体"/>
          <w:sz w:val="22"/>
        </w:rPr>
        <w:t>6</w:t>
      </w:r>
      <w:r>
        <w:rPr>
          <w:rFonts w:hint="eastAsia" w:ascii="宋体"/>
          <w:sz w:val="22"/>
        </w:rPr>
        <w:t>、利益冲突：近三年内直至目前，我公司与本项目的采购单位、招标代理机构没有任何的隶属关系。</w:t>
      </w:r>
    </w:p>
    <w:p>
      <w:pPr>
        <w:autoSpaceDE w:val="0"/>
        <w:autoSpaceDN w:val="0"/>
        <w:adjustRightInd w:val="0"/>
        <w:spacing w:line="440" w:lineRule="atLeast"/>
        <w:ind w:firstLine="442" w:firstLineChars="201"/>
        <w:rPr>
          <w:rFonts w:ascii="宋体"/>
          <w:sz w:val="22"/>
          <w:lang w:val="zh-CN"/>
        </w:rPr>
      </w:pPr>
      <w:r>
        <w:rPr>
          <w:rFonts w:ascii="宋体"/>
          <w:sz w:val="22"/>
        </w:rPr>
        <w:t>7</w:t>
      </w:r>
      <w:r>
        <w:rPr>
          <w:rFonts w:hint="eastAsia" w:ascii="宋体"/>
          <w:sz w:val="22"/>
        </w:rPr>
        <w:t>、我公司没有被各级、各地财政监管部门限制参加政府采购活动，且在限制期内。</w:t>
      </w:r>
    </w:p>
    <w:p>
      <w:pPr>
        <w:autoSpaceDE w:val="0"/>
        <w:autoSpaceDN w:val="0"/>
        <w:adjustRightInd w:val="0"/>
        <w:spacing w:line="440" w:lineRule="atLeast"/>
        <w:ind w:firstLine="442" w:firstLineChars="201"/>
        <w:rPr>
          <w:rFonts w:ascii="宋体"/>
          <w:sz w:val="22"/>
          <w:lang w:val="zh-CN"/>
        </w:rPr>
      </w:pPr>
      <w:r>
        <w:rPr>
          <w:rFonts w:ascii="宋体"/>
          <w:sz w:val="22"/>
          <w:lang w:val="zh-CN"/>
        </w:rPr>
        <w:t>8</w:t>
      </w:r>
      <w:r>
        <w:rPr>
          <w:rFonts w:hint="eastAsia" w:ascii="宋体"/>
          <w:sz w:val="22"/>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ascii="宋体"/>
          <w:sz w:val="22"/>
          <w:lang w:val="zh-CN"/>
        </w:rPr>
      </w:pPr>
      <w:r>
        <w:rPr>
          <w:rFonts w:ascii="宋体"/>
          <w:sz w:val="22"/>
          <w:lang w:val="zh-CN"/>
        </w:rPr>
        <w:t>9</w:t>
      </w:r>
      <w:r>
        <w:rPr>
          <w:rFonts w:hint="eastAsia" w:ascii="宋体"/>
          <w:sz w:val="22"/>
          <w:lang w:val="zh-CN"/>
        </w:rPr>
        <w:t>、本投标自开标之日起</w:t>
      </w:r>
      <w:r>
        <w:rPr>
          <w:rFonts w:ascii="宋体"/>
          <w:sz w:val="22"/>
          <w:lang w:val="zh-CN"/>
        </w:rPr>
        <w:t>90</w:t>
      </w:r>
      <w:r>
        <w:rPr>
          <w:rFonts w:hint="eastAsia" w:ascii="宋体"/>
          <w:sz w:val="22"/>
          <w:lang w:val="zh-CN"/>
        </w:rPr>
        <w:t>天内有效。</w:t>
      </w:r>
    </w:p>
    <w:p>
      <w:pPr>
        <w:autoSpaceDE w:val="0"/>
        <w:autoSpaceDN w:val="0"/>
        <w:adjustRightInd w:val="0"/>
        <w:spacing w:line="440" w:lineRule="atLeast"/>
        <w:ind w:firstLine="442" w:firstLineChars="201"/>
        <w:rPr>
          <w:rFonts w:ascii="宋体"/>
          <w:sz w:val="22"/>
          <w:lang w:val="zh-CN"/>
        </w:rPr>
      </w:pPr>
      <w:r>
        <w:rPr>
          <w:rFonts w:ascii="宋体"/>
          <w:sz w:val="22"/>
          <w:lang w:val="zh-CN"/>
        </w:rPr>
        <w:t>10</w:t>
      </w:r>
      <w:r>
        <w:rPr>
          <w:rFonts w:hint="eastAsia" w:ascii="宋体"/>
          <w:sz w:val="22"/>
          <w:lang w:val="zh-CN"/>
        </w:rPr>
        <w:t>、与本投标有关的一切往来通讯请寄：</w:t>
      </w:r>
    </w:p>
    <w:p>
      <w:pPr>
        <w:autoSpaceDE w:val="0"/>
        <w:autoSpaceDN w:val="0"/>
        <w:adjustRightInd w:val="0"/>
        <w:spacing w:line="440" w:lineRule="atLeast"/>
        <w:ind w:firstLine="585" w:firstLineChars="266"/>
        <w:rPr>
          <w:rFonts w:ascii="宋体" w:cs="仿宋_GB2312"/>
          <w:sz w:val="22"/>
          <w:szCs w:val="22"/>
          <w:u w:val="single"/>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pPr>
        <w:autoSpaceDE w:val="0"/>
        <w:autoSpaceDN w:val="0"/>
        <w:adjustRightInd w:val="0"/>
        <w:spacing w:line="440" w:lineRule="atLeast"/>
        <w:ind w:firstLine="585" w:firstLineChars="266"/>
        <w:rPr>
          <w:rFonts w:ascii="宋体" w:cs="仿宋_GB2312"/>
          <w:sz w:val="22"/>
          <w:szCs w:val="22"/>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pPr>
        <w:autoSpaceDE w:val="0"/>
        <w:autoSpaceDN w:val="0"/>
        <w:adjustRightInd w:val="0"/>
        <w:spacing w:line="440" w:lineRule="atLeast"/>
        <w:rPr>
          <w:rFonts w:ascii="宋体" w:cs="仿宋_GB2312"/>
          <w:sz w:val="22"/>
          <w:szCs w:val="22"/>
          <w:lang w:val="zh-CN"/>
        </w:rPr>
      </w:pP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供应商全称（盖章）：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法定代表人（签字或盖章）：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pPr>
        <w:autoSpaceDE w:val="0"/>
        <w:autoSpaceDN w:val="0"/>
        <w:adjustRightInd w:val="0"/>
        <w:spacing w:line="440" w:lineRule="atLeast"/>
        <w:ind w:firstLine="627" w:firstLineChars="285"/>
        <w:rPr>
          <w:rFonts w:ascii="宋体" w:cs="仿宋_GB2312"/>
          <w:sz w:val="22"/>
          <w:szCs w:val="22"/>
          <w:lang w:val="zh-CN"/>
        </w:rPr>
      </w:pPr>
    </w:p>
    <w:p>
      <w:pPr>
        <w:spacing w:line="360" w:lineRule="auto"/>
        <w:ind w:firstLine="442" w:firstLineChars="200"/>
        <w:rPr>
          <w:rFonts w:ascii="宋体" w:hAnsi="宋体"/>
          <w:szCs w:val="21"/>
        </w:rPr>
      </w:pPr>
      <w:r>
        <w:rPr>
          <w:rFonts w:hint="eastAsia" w:ascii="宋体" w:hAnsi="宋体" w:eastAsia="宋体" w:cs="宋体"/>
          <w:b/>
          <w:bCs/>
          <w:kern w:val="0"/>
          <w:sz w:val="22"/>
          <w:szCs w:val="22"/>
          <w:u w:val="single"/>
        </w:rPr>
        <w:t>▲备注：不提供本函做无效投标处理。</w:t>
      </w:r>
    </w:p>
    <w:p>
      <w:pPr>
        <w:pStyle w:val="15"/>
        <w:adjustRightInd w:val="0"/>
        <w:snapToGrid w:val="0"/>
        <w:spacing w:line="400" w:lineRule="exact"/>
        <w:rPr>
          <w:rFonts w:hAnsi="宋体"/>
          <w:sz w:val="32"/>
          <w:szCs w:val="32"/>
        </w:rPr>
      </w:pPr>
      <w:r>
        <w:rPr>
          <w:rFonts w:hint="eastAsia" w:hAnsi="宋体"/>
          <w:b/>
          <w:sz w:val="32"/>
          <w:szCs w:val="32"/>
        </w:rPr>
        <w:br w:type="page"/>
      </w:r>
      <w:r>
        <w:rPr>
          <w:rFonts w:hint="eastAsia" w:hAnsi="宋体"/>
          <w:b/>
          <w:sz w:val="32"/>
          <w:szCs w:val="32"/>
        </w:rPr>
        <w:t>附件八</w:t>
      </w:r>
      <w:r>
        <w:rPr>
          <w:rFonts w:hint="eastAsia" w:hAnsi="宋体"/>
          <w:sz w:val="32"/>
          <w:szCs w:val="32"/>
        </w:rPr>
        <w:t xml:space="preserve"> </w:t>
      </w:r>
    </w:p>
    <w:p>
      <w:pPr>
        <w:pStyle w:val="15"/>
        <w:adjustRightInd w:val="0"/>
        <w:snapToGrid w:val="0"/>
        <w:spacing w:line="360" w:lineRule="exact"/>
        <w:jc w:val="center"/>
        <w:rPr>
          <w:rFonts w:hAnsi="Times New Roman"/>
          <w:sz w:val="36"/>
          <w:szCs w:val="36"/>
        </w:rPr>
      </w:pPr>
      <w:r>
        <w:rPr>
          <w:rFonts w:hint="eastAsia" w:hAnsi="Times New Roman"/>
          <w:sz w:val="36"/>
          <w:szCs w:val="36"/>
        </w:rPr>
        <w:t>供应商参与政府采购活动投标资格声明函</w:t>
      </w:r>
    </w:p>
    <w:tbl>
      <w:tblPr>
        <w:tblStyle w:val="27"/>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sz w:val="22"/>
                <w:szCs w:val="22"/>
              </w:rPr>
            </w:pPr>
            <w:r>
              <w:rPr>
                <w:rFonts w:hAnsi="宋体"/>
                <w:bCs/>
                <w:sz w:val="22"/>
                <w:szCs w:val="22"/>
              </w:rPr>
              <w:t>项目名称</w:t>
            </w:r>
          </w:p>
        </w:tc>
        <w:tc>
          <w:tcPr>
            <w:tcW w:w="8019" w:type="dxa"/>
          </w:tcPr>
          <w:p>
            <w:pPr>
              <w:pStyle w:val="15"/>
              <w:adjustRightInd w:val="0"/>
              <w:snapToGrid w:val="0"/>
              <w:spacing w:line="400" w:lineRule="exact"/>
              <w:rPr>
                <w:rFonts w:hint="eastAsia" w:hAnsi="宋体" w:eastAsiaTheme="minorEastAsia"/>
                <w:bCs/>
                <w:sz w:val="22"/>
                <w:szCs w:val="22"/>
                <w:lang w:eastAsia="zh-CN"/>
              </w:rPr>
            </w:pPr>
            <w:r>
              <w:rPr>
                <w:rFonts w:hint="eastAsia" w:hAnsi="宋体"/>
                <w:bCs/>
                <w:sz w:val="22"/>
                <w:szCs w:val="22"/>
                <w:lang w:eastAsia="zh-CN"/>
              </w:rPr>
              <w:t>泰顺县方舱医院医疗设备等物资采购项目（二次）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sz w:val="22"/>
                <w:szCs w:val="22"/>
              </w:rPr>
            </w:pPr>
            <w:r>
              <w:rPr>
                <w:rFonts w:hAnsi="宋体"/>
                <w:bCs/>
                <w:sz w:val="22"/>
                <w:szCs w:val="22"/>
              </w:rPr>
              <w:t>项目采购编号</w:t>
            </w:r>
          </w:p>
        </w:tc>
        <w:tc>
          <w:tcPr>
            <w:tcW w:w="8019" w:type="dxa"/>
          </w:tcPr>
          <w:p>
            <w:pPr>
              <w:pStyle w:val="15"/>
              <w:adjustRightInd w:val="0"/>
              <w:snapToGrid w:val="0"/>
              <w:spacing w:line="400" w:lineRule="exact"/>
              <w:rPr>
                <w:rFonts w:hAnsi="宋体"/>
                <w:bCs/>
                <w:sz w:val="22"/>
                <w:szCs w:val="22"/>
              </w:rPr>
            </w:pPr>
            <w:r>
              <w:rPr>
                <w:rFonts w:hint="eastAsia" w:hAnsi="宋体"/>
                <w:bCs/>
                <w:sz w:val="22"/>
                <w:szCs w:val="22"/>
                <w:lang w:eastAsia="zh-CN"/>
              </w:rPr>
              <w:t xml:space="preserve">TSCG202207017 </w:t>
            </w:r>
            <w:r>
              <w:rPr>
                <w:rFonts w:hint="eastAsia" w:hAnsi="宋体"/>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5"/>
              <w:adjustRightInd w:val="0"/>
              <w:snapToGrid w:val="0"/>
              <w:spacing w:line="400" w:lineRule="exact"/>
              <w:rPr>
                <w:rFonts w:hAnsi="宋体"/>
                <w:bCs/>
                <w:sz w:val="22"/>
                <w:szCs w:val="22"/>
              </w:rPr>
            </w:pPr>
            <w:r>
              <w:rPr>
                <w:rFonts w:hAnsi="宋体"/>
                <w:bCs/>
                <w:sz w:val="22"/>
                <w:szCs w:val="22"/>
              </w:rPr>
              <w:t>时    间</w:t>
            </w:r>
          </w:p>
        </w:tc>
        <w:tc>
          <w:tcPr>
            <w:tcW w:w="8019" w:type="dxa"/>
          </w:tcPr>
          <w:p>
            <w:pPr>
              <w:pStyle w:val="15"/>
              <w:adjustRightInd w:val="0"/>
              <w:snapToGrid w:val="0"/>
              <w:spacing w:line="400" w:lineRule="exact"/>
              <w:rPr>
                <w:rFonts w:hAnsi="宋体"/>
                <w:bCs/>
                <w:sz w:val="22"/>
                <w:szCs w:val="22"/>
              </w:rPr>
            </w:pPr>
            <w:r>
              <w:rPr>
                <w:rFonts w:hAnsi="宋体"/>
                <w:bCs/>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pPr>
              <w:pStyle w:val="15"/>
              <w:ind w:firstLine="440" w:firstLineChars="200"/>
              <w:rPr>
                <w:rFonts w:hAnsi="宋体"/>
                <w:sz w:val="22"/>
                <w:szCs w:val="22"/>
              </w:rPr>
            </w:pPr>
            <w:r>
              <w:rPr>
                <w:rFonts w:hAnsi="宋体"/>
                <w:sz w:val="22"/>
                <w:szCs w:val="22"/>
              </w:rPr>
              <w:t>1、根据政府采购法第二十二条规定，我单位满足以下条件，并已经在技术资信部分响应文件中提供了相应的证明材料：</w:t>
            </w:r>
          </w:p>
          <w:p>
            <w:pPr>
              <w:pStyle w:val="15"/>
              <w:ind w:firstLine="440" w:firstLineChars="200"/>
              <w:rPr>
                <w:rFonts w:hAnsi="宋体"/>
                <w:sz w:val="22"/>
                <w:szCs w:val="22"/>
              </w:rPr>
            </w:pPr>
            <w:r>
              <w:rPr>
                <w:rFonts w:hAnsi="宋体"/>
                <w:sz w:val="22"/>
                <w:szCs w:val="22"/>
              </w:rPr>
              <w:t xml:space="preserve">（一）具有独立承担民事责任的能力； </w:t>
            </w:r>
          </w:p>
          <w:p>
            <w:pPr>
              <w:pStyle w:val="15"/>
              <w:ind w:firstLine="440" w:firstLineChars="200"/>
              <w:rPr>
                <w:rFonts w:hAnsi="宋体"/>
                <w:sz w:val="22"/>
                <w:szCs w:val="22"/>
              </w:rPr>
            </w:pPr>
            <w:r>
              <w:rPr>
                <w:rFonts w:hAnsi="宋体"/>
                <w:sz w:val="22"/>
                <w:szCs w:val="22"/>
              </w:rPr>
              <w:t xml:space="preserve">　　（二）具有良好的商业信誉和健全的财务会计制度； </w:t>
            </w:r>
          </w:p>
          <w:p>
            <w:pPr>
              <w:pStyle w:val="15"/>
              <w:ind w:firstLine="440" w:firstLineChars="200"/>
              <w:rPr>
                <w:rFonts w:hAnsi="宋体"/>
                <w:sz w:val="22"/>
                <w:szCs w:val="22"/>
              </w:rPr>
            </w:pPr>
            <w:r>
              <w:rPr>
                <w:rFonts w:hAnsi="宋体"/>
                <w:sz w:val="22"/>
                <w:szCs w:val="22"/>
              </w:rPr>
              <w:t xml:space="preserve">　　（三）具有履行合同所必需的设备和专业技术能力； </w:t>
            </w:r>
          </w:p>
          <w:p>
            <w:pPr>
              <w:pStyle w:val="15"/>
              <w:ind w:firstLine="440" w:firstLineChars="200"/>
              <w:rPr>
                <w:rFonts w:hAnsi="宋体"/>
                <w:sz w:val="22"/>
                <w:szCs w:val="22"/>
              </w:rPr>
            </w:pPr>
            <w:r>
              <w:rPr>
                <w:rFonts w:hAnsi="宋体"/>
                <w:sz w:val="22"/>
                <w:szCs w:val="22"/>
              </w:rPr>
              <w:t xml:space="preserve">　　（四）有依法缴纳税收和社会保障资金的良好记录； </w:t>
            </w:r>
          </w:p>
          <w:p>
            <w:pPr>
              <w:pStyle w:val="15"/>
              <w:ind w:firstLine="440" w:firstLineChars="200"/>
              <w:rPr>
                <w:rFonts w:hAnsi="宋体"/>
                <w:sz w:val="22"/>
                <w:szCs w:val="22"/>
              </w:rPr>
            </w:pPr>
            <w:r>
              <w:rPr>
                <w:rFonts w:hAnsi="宋体"/>
                <w:sz w:val="22"/>
                <w:szCs w:val="22"/>
              </w:rPr>
              <w:t xml:space="preserve">　　（五）参加政府采购活动前三年内，在经营活动中没有重大违法记录； </w:t>
            </w:r>
          </w:p>
          <w:p>
            <w:pPr>
              <w:pStyle w:val="15"/>
              <w:ind w:firstLine="440" w:firstLineChars="200"/>
              <w:rPr>
                <w:rFonts w:hAnsi="宋体"/>
                <w:sz w:val="22"/>
                <w:szCs w:val="22"/>
              </w:rPr>
            </w:pPr>
            <w:r>
              <w:rPr>
                <w:rFonts w:hAnsi="宋体"/>
                <w:sz w:val="22"/>
                <w:szCs w:val="22"/>
              </w:rPr>
              <w:t xml:space="preserve">　　（六）法律、行政法规规定的其他条件。 </w:t>
            </w:r>
          </w:p>
          <w:p>
            <w:pPr>
              <w:pStyle w:val="15"/>
              <w:ind w:firstLine="440" w:firstLineChars="200"/>
              <w:rPr>
                <w:rFonts w:hAnsi="宋体"/>
                <w:sz w:val="22"/>
                <w:szCs w:val="22"/>
              </w:rPr>
            </w:pPr>
            <w:r>
              <w:rPr>
                <w:rFonts w:hAnsi="宋体"/>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5"/>
              <w:ind w:firstLine="440" w:firstLineChars="200"/>
              <w:rPr>
                <w:rFonts w:hAnsi="宋体"/>
                <w:sz w:val="22"/>
                <w:szCs w:val="22"/>
              </w:rPr>
            </w:pPr>
            <w:r>
              <w:rPr>
                <w:rFonts w:hAnsi="宋体"/>
                <w:sz w:val="22"/>
                <w:szCs w:val="22"/>
              </w:rPr>
              <w:t>3、我单位没有被各地、各级财政部门限制参加政府采购活动，且在限制期内：</w:t>
            </w:r>
          </w:p>
          <w:p>
            <w:pPr>
              <w:pStyle w:val="15"/>
              <w:snapToGrid w:val="0"/>
              <w:spacing w:line="400" w:lineRule="exact"/>
              <w:ind w:firstLine="440" w:firstLineChars="200"/>
              <w:rPr>
                <w:rFonts w:hAnsi="宋体"/>
                <w:sz w:val="22"/>
                <w:szCs w:val="22"/>
                <w:u w:val="single"/>
              </w:rPr>
            </w:pPr>
            <w:r>
              <w:rPr>
                <w:rFonts w:hAnsi="宋体"/>
                <w:sz w:val="22"/>
                <w:szCs w:val="22"/>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sz w:val="22"/>
                <w:szCs w:val="22"/>
                <w:u w:val="single"/>
              </w:rPr>
              <w:t xml:space="preserve">                                                                                  </w:t>
            </w:r>
          </w:p>
          <w:p>
            <w:pPr>
              <w:pStyle w:val="15"/>
              <w:snapToGrid w:val="0"/>
              <w:spacing w:line="400" w:lineRule="exact"/>
              <w:ind w:firstLine="440" w:firstLineChars="200"/>
              <w:rPr>
                <w:rFonts w:hAnsi="宋体"/>
                <w:sz w:val="22"/>
                <w:szCs w:val="22"/>
              </w:rPr>
            </w:pPr>
            <w:r>
              <w:rPr>
                <w:rFonts w:hAnsi="宋体"/>
                <w:sz w:val="22"/>
                <w:szCs w:val="22"/>
                <w:u w:val="single"/>
              </w:rPr>
              <w:t>5、我单位符合本项目特定资格条件：</w:t>
            </w:r>
            <w:r>
              <w:rPr>
                <w:rFonts w:hint="eastAsia" w:hAnsi="宋体"/>
                <w:sz w:val="22"/>
                <w:szCs w:val="22"/>
                <w:u w:val="single"/>
              </w:rPr>
              <w:t xml:space="preserve">         </w:t>
            </w:r>
            <w:r>
              <w:rPr>
                <w:rFonts w:hAnsi="宋体"/>
                <w:sz w:val="22"/>
                <w:szCs w:val="22"/>
                <w:u w:val="single"/>
              </w:rPr>
              <w:t>的要求，并在技术资信部分响应文件中提供了相应的证明材料（招标文件文件没有要求特定资格条件的，本条款空格处可以空白）</w:t>
            </w:r>
          </w:p>
          <w:p>
            <w:pPr>
              <w:tabs>
                <w:tab w:val="center" w:pos="4483"/>
              </w:tabs>
              <w:adjustRightInd w:val="0"/>
              <w:spacing w:line="360" w:lineRule="auto"/>
              <w:ind w:firstLine="440" w:firstLineChars="200"/>
              <w:rPr>
                <w:rFonts w:ascii="宋体"/>
                <w:bCs/>
                <w:sz w:val="22"/>
              </w:rPr>
            </w:pPr>
            <w:r>
              <w:rPr>
                <w:rFonts w:ascii="宋体" w:hAnsi="宋体" w:cs="宋体"/>
                <w:bCs/>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sz w:val="22"/>
                <w:szCs w:val="22"/>
              </w:rPr>
            </w:pPr>
            <w:r>
              <w:rPr>
                <w:rFonts w:hAnsi="宋体"/>
                <w:bCs/>
                <w:sz w:val="22"/>
                <w:szCs w:val="22"/>
              </w:rPr>
              <w:t>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sz w:val="22"/>
                <w:szCs w:val="22"/>
              </w:rPr>
            </w:pPr>
            <w:r>
              <w:rPr>
                <w:rFonts w:hAnsi="宋体"/>
                <w:bCs/>
                <w:sz w:val="22"/>
                <w:szCs w:val="22"/>
              </w:rPr>
              <w:t>法定代表人（签字或盖章）或</w:t>
            </w:r>
            <w:r>
              <w:rPr>
                <w:rFonts w:hAnsi="宋体"/>
                <w:bCs/>
                <w:sz w:val="22"/>
                <w:szCs w:val="22"/>
                <w:lang w:val="zh-CN"/>
              </w:rPr>
              <w:t>授权代表（</w:t>
            </w:r>
            <w:r>
              <w:rPr>
                <w:rFonts w:hAnsi="宋体"/>
                <w:bCs/>
                <w:sz w:val="22"/>
                <w:szCs w:val="22"/>
              </w:rPr>
              <w:t>签字或盖章</w:t>
            </w:r>
            <w:r>
              <w:rPr>
                <w:rFonts w:hAnsi="宋体"/>
                <w:bCs/>
                <w:sz w:val="22"/>
                <w:szCs w:val="22"/>
                <w:lang w:val="zh-CN"/>
              </w:rPr>
              <w:t>）</w:t>
            </w:r>
            <w:r>
              <w:rPr>
                <w:rFonts w:hAnsi="宋体"/>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5"/>
              <w:adjustRightInd w:val="0"/>
              <w:snapToGrid w:val="0"/>
              <w:spacing w:line="400" w:lineRule="exact"/>
              <w:rPr>
                <w:rFonts w:hAnsi="宋体"/>
                <w:bCs/>
                <w:sz w:val="22"/>
                <w:szCs w:val="22"/>
              </w:rPr>
            </w:pPr>
            <w:r>
              <w:rPr>
                <w:rFonts w:hAnsi="宋体"/>
                <w:bCs/>
                <w:sz w:val="22"/>
                <w:szCs w:val="22"/>
              </w:rPr>
              <w:t>签署日期：</w:t>
            </w:r>
          </w:p>
        </w:tc>
      </w:tr>
    </w:tbl>
    <w:p>
      <w:pPr>
        <w:autoSpaceDE w:val="0"/>
        <w:autoSpaceDN w:val="0"/>
        <w:adjustRightInd w:val="0"/>
        <w:spacing w:line="440" w:lineRule="atLeast"/>
        <w:rPr>
          <w:rFonts w:hAnsi="宋体"/>
          <w:sz w:val="22"/>
          <w:u w:val="single"/>
        </w:rPr>
      </w:pPr>
      <w:r>
        <w:rPr>
          <w:rFonts w:hint="eastAsia" w:hAnsi="宋体"/>
          <w:b/>
          <w:sz w:val="22"/>
          <w:u w:val="single"/>
        </w:rPr>
        <w:t>备注：▲投标供应商必须按要求提供本声明，不提供按无效标处理</w:t>
      </w:r>
      <w:r>
        <w:rPr>
          <w:rFonts w:hint="eastAsia" w:hAnsi="宋体"/>
          <w:sz w:val="22"/>
          <w:u w:val="single"/>
        </w:rPr>
        <w:t>。</w:t>
      </w:r>
    </w:p>
    <w:p>
      <w:pPr>
        <w:autoSpaceDE w:val="0"/>
        <w:autoSpaceDN w:val="0"/>
        <w:adjustRightInd w:val="0"/>
        <w:spacing w:line="440" w:lineRule="atLeast"/>
        <w:rPr>
          <w:rFonts w:hAnsi="宋体"/>
          <w:sz w:val="22"/>
          <w:u w:val="single"/>
        </w:rPr>
      </w:pPr>
    </w:p>
    <w:p>
      <w:pPr>
        <w:autoSpaceDE w:val="0"/>
        <w:autoSpaceDN w:val="0"/>
        <w:adjustRightInd w:val="0"/>
        <w:spacing w:line="440" w:lineRule="atLeast"/>
        <w:rPr>
          <w:rFonts w:hAnsi="宋体"/>
          <w:sz w:val="22"/>
          <w:u w:val="single"/>
        </w:rPr>
      </w:pPr>
    </w:p>
    <w:p>
      <w:pPr>
        <w:spacing w:line="360" w:lineRule="auto"/>
        <w:rPr>
          <w:rFonts w:ascii="宋体" w:hAnsi="宋体"/>
          <w:b/>
          <w:sz w:val="32"/>
          <w:szCs w:val="32"/>
        </w:rPr>
      </w:pPr>
    </w:p>
    <w:p>
      <w:pPr>
        <w:spacing w:line="440" w:lineRule="exact"/>
        <w:jc w:val="left"/>
        <w:rPr>
          <w:rFonts w:eastAsia="宋体"/>
        </w:rPr>
      </w:pPr>
      <w:r>
        <w:rPr>
          <w:rFonts w:hint="eastAsia" w:ascii="宋体" w:hAnsi="宋体"/>
          <w:b/>
          <w:sz w:val="32"/>
          <w:szCs w:val="32"/>
        </w:rPr>
        <w:t>附件九</w:t>
      </w:r>
    </w:p>
    <w:p>
      <w:pPr>
        <w:pStyle w:val="15"/>
        <w:spacing w:line="460" w:lineRule="atLeast"/>
        <w:ind w:firstLine="773" w:firstLineChars="350"/>
        <w:rPr>
          <w:rFonts w:hAnsi="宋体"/>
          <w:b/>
          <w:bCs/>
          <w:sz w:val="22"/>
          <w:szCs w:val="22"/>
          <w:u w:val="single"/>
        </w:rPr>
      </w:pPr>
    </w:p>
    <w:p>
      <w:pPr>
        <w:spacing w:line="360" w:lineRule="auto"/>
        <w:jc w:val="center"/>
        <w:rPr>
          <w:rFonts w:ascii="宋体"/>
          <w:sz w:val="36"/>
          <w:szCs w:val="36"/>
        </w:rPr>
      </w:pPr>
      <w:r>
        <w:rPr>
          <w:rFonts w:hint="eastAsia" w:ascii="宋体"/>
          <w:sz w:val="36"/>
          <w:szCs w:val="36"/>
        </w:rPr>
        <w:t>法定代表人诚信投标承诺书</w:t>
      </w:r>
    </w:p>
    <w:p>
      <w:pPr>
        <w:spacing w:line="360" w:lineRule="auto"/>
        <w:rPr>
          <w:rFonts w:ascii="宋体" w:hAnsi="宋体"/>
          <w:sz w:val="22"/>
        </w:rPr>
      </w:pPr>
      <w:r>
        <w:rPr>
          <w:rFonts w:hint="eastAsia" w:ascii="宋体" w:hAnsi="宋体"/>
          <w:sz w:val="22"/>
        </w:rPr>
        <w:t>本人以企业法定代表人的身份郑重承诺：</w:t>
      </w:r>
    </w:p>
    <w:p>
      <w:pPr>
        <w:spacing w:line="360" w:lineRule="auto"/>
        <w:ind w:firstLine="420"/>
        <w:rPr>
          <w:rFonts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项目（项目编号：</w:t>
      </w:r>
      <w:r>
        <w:rPr>
          <w:rFonts w:hint="eastAsia" w:ascii="宋体"/>
          <w:sz w:val="22"/>
        </w:rPr>
        <w:t xml:space="preserve">       </w:t>
      </w:r>
      <w:r>
        <w:rPr>
          <w:rFonts w:hint="eastAsia" w:ascii="宋体" w:hAnsi="宋体"/>
          <w:sz w:val="22"/>
          <w:u w:val="single"/>
        </w:rPr>
        <w:t xml:space="preserve"> ）</w:t>
      </w:r>
      <w:r>
        <w:rPr>
          <w:rFonts w:hint="eastAsia" w:ascii="宋体" w:hAnsi="宋体"/>
          <w:sz w:val="22"/>
        </w:rPr>
        <w:t>的投标；</w:t>
      </w:r>
    </w:p>
    <w:p>
      <w:pPr>
        <w:spacing w:line="360" w:lineRule="auto"/>
        <w:ind w:firstLine="420"/>
        <w:rPr>
          <w:rFonts w:ascii="宋体" w:hAnsi="宋体"/>
          <w:sz w:val="22"/>
        </w:rPr>
      </w:pPr>
      <w:r>
        <w:rPr>
          <w:rFonts w:hint="eastAsia" w:ascii="宋体" w:hAnsi="宋体"/>
          <w:sz w:val="22"/>
        </w:rPr>
        <w:t>一、杜绝以收取管理费等形式的一切挂靠、违法转包、分包行为；并选派有丰富经验、无不</w:t>
      </w:r>
    </w:p>
    <w:p>
      <w:pPr>
        <w:spacing w:line="360" w:lineRule="auto"/>
        <w:rPr>
          <w:rFonts w:ascii="宋体" w:hAnsi="宋体"/>
          <w:sz w:val="22"/>
        </w:rPr>
      </w:pPr>
      <w:r>
        <w:rPr>
          <w:rFonts w:hint="eastAsia" w:ascii="宋体" w:hAnsi="宋体"/>
          <w:sz w:val="22"/>
        </w:rPr>
        <w:t>良行为记录的在项目管理人员、技术人员，严格按招标文件文件、响应文件及合同等要求保证</w:t>
      </w:r>
    </w:p>
    <w:p>
      <w:pPr>
        <w:spacing w:line="360" w:lineRule="auto"/>
        <w:rPr>
          <w:rFonts w:ascii="宋体" w:hAnsi="宋体"/>
          <w:sz w:val="22"/>
        </w:rPr>
      </w:pPr>
      <w:r>
        <w:rPr>
          <w:rFonts w:hint="eastAsia" w:ascii="宋体" w:hAnsi="宋体"/>
          <w:sz w:val="22"/>
        </w:rPr>
        <w:t>拟派人员的到岗率。</w:t>
      </w:r>
    </w:p>
    <w:p>
      <w:pPr>
        <w:spacing w:line="360" w:lineRule="auto"/>
        <w:ind w:firstLine="420"/>
        <w:rPr>
          <w:rFonts w:ascii="宋体" w:hAnsi="宋体"/>
          <w:sz w:val="22"/>
        </w:rPr>
      </w:pPr>
      <w:r>
        <w:rPr>
          <w:rFonts w:hint="eastAsia" w:ascii="宋体" w:hAnsi="宋体"/>
          <w:sz w:val="22"/>
        </w:rPr>
        <w:t>二、响应文件所提供的一切材料都是真实、有效、合法的。</w:t>
      </w:r>
    </w:p>
    <w:p>
      <w:pPr>
        <w:spacing w:line="360" w:lineRule="auto"/>
        <w:ind w:firstLine="420"/>
        <w:rPr>
          <w:rFonts w:ascii="宋体" w:hAnsi="宋体"/>
          <w:sz w:val="22"/>
        </w:rPr>
      </w:pPr>
      <w:r>
        <w:rPr>
          <w:rFonts w:hint="eastAsia" w:ascii="宋体" w:hAnsi="宋体"/>
          <w:sz w:val="22"/>
        </w:rPr>
        <w:t>三、不与其他供应商相互串通投标报价，不排挤其他供应商的公平竞争，不损害采购单位或其他供应商的合法权益。</w:t>
      </w:r>
    </w:p>
    <w:p>
      <w:pPr>
        <w:spacing w:line="360" w:lineRule="auto"/>
        <w:ind w:firstLine="420"/>
        <w:rPr>
          <w:rFonts w:ascii="宋体" w:hAnsi="宋体"/>
          <w:sz w:val="22"/>
        </w:rPr>
      </w:pPr>
      <w:r>
        <w:rPr>
          <w:rFonts w:hint="eastAsia" w:ascii="宋体" w:hAnsi="宋体"/>
          <w:sz w:val="22"/>
        </w:rPr>
        <w:t>四、不与采购单位或招标代理机构串通投标，不损害国家利益，社会公共利益或其他人的合法权益。</w:t>
      </w:r>
    </w:p>
    <w:p>
      <w:pPr>
        <w:spacing w:line="360" w:lineRule="auto"/>
        <w:ind w:firstLine="420"/>
        <w:rPr>
          <w:rFonts w:ascii="宋体" w:hAnsi="宋体"/>
          <w:sz w:val="22"/>
        </w:rPr>
      </w:pPr>
      <w:r>
        <w:rPr>
          <w:rFonts w:hint="eastAsia" w:ascii="宋体" w:hAnsi="宋体"/>
          <w:sz w:val="22"/>
        </w:rPr>
        <w:t>五、不向采购单位或者评委成员行贿以牟取中标。</w:t>
      </w:r>
    </w:p>
    <w:p>
      <w:pPr>
        <w:spacing w:line="360" w:lineRule="auto"/>
        <w:ind w:firstLine="420"/>
        <w:rPr>
          <w:rFonts w:ascii="宋体" w:hAnsi="宋体"/>
          <w:sz w:val="22"/>
        </w:rPr>
      </w:pPr>
      <w:r>
        <w:rPr>
          <w:rFonts w:hint="eastAsia" w:ascii="宋体" w:hAnsi="宋体"/>
          <w:sz w:val="22"/>
        </w:rPr>
        <w:t>六、不以其他人名义投标或者以其他方式弄虚作假，骗取中标。</w:t>
      </w:r>
    </w:p>
    <w:p>
      <w:pPr>
        <w:spacing w:line="360" w:lineRule="auto"/>
        <w:ind w:firstLine="420"/>
        <w:rPr>
          <w:rFonts w:ascii="宋体" w:hAnsi="宋体"/>
          <w:sz w:val="22"/>
        </w:rPr>
      </w:pPr>
      <w:r>
        <w:rPr>
          <w:rFonts w:hint="eastAsia" w:ascii="宋体" w:hAnsi="宋体"/>
          <w:sz w:val="22"/>
        </w:rPr>
        <w:t>七、不在开标后进行虚假恶意投诉。</w:t>
      </w:r>
    </w:p>
    <w:p>
      <w:pPr>
        <w:spacing w:line="360" w:lineRule="auto"/>
        <w:ind w:firstLine="420"/>
        <w:rPr>
          <w:rFonts w:ascii="宋体" w:hAnsi="宋体"/>
          <w:sz w:val="22"/>
        </w:rPr>
      </w:pPr>
      <w:r>
        <w:rPr>
          <w:rFonts w:hint="eastAsia" w:ascii="宋体" w:hAnsi="宋体"/>
          <w:sz w:val="22"/>
        </w:rPr>
        <w:t>八、我单位没有被政府机关列入失信被执行人名单、重大税收违法案件当事人名单、政府采</w:t>
      </w:r>
    </w:p>
    <w:p>
      <w:pPr>
        <w:spacing w:line="360" w:lineRule="auto"/>
        <w:rPr>
          <w:rFonts w:ascii="宋体" w:hAnsi="宋体"/>
          <w:sz w:val="22"/>
        </w:rPr>
      </w:pPr>
      <w:r>
        <w:rPr>
          <w:rFonts w:hint="eastAsia" w:ascii="宋体" w:hAnsi="宋体"/>
          <w:sz w:val="22"/>
        </w:rPr>
        <w:t>购严重违法失信行为记录名单及其他不符合《中华人民共和国政府采购法》第二十二条规定条件</w:t>
      </w:r>
    </w:p>
    <w:p>
      <w:pPr>
        <w:spacing w:line="360" w:lineRule="auto"/>
        <w:rPr>
          <w:rFonts w:ascii="宋体" w:hAnsi="宋体"/>
          <w:sz w:val="22"/>
        </w:rPr>
      </w:pPr>
      <w:r>
        <w:rPr>
          <w:rFonts w:hint="eastAsia" w:ascii="宋体" w:hAnsi="宋体"/>
          <w:sz w:val="22"/>
        </w:rPr>
        <w:t>的情形：</w:t>
      </w:r>
    </w:p>
    <w:p>
      <w:pPr>
        <w:spacing w:line="360" w:lineRule="auto"/>
        <w:ind w:firstLine="420"/>
        <w:rPr>
          <w:rFonts w:ascii="宋体" w:hAnsi="宋体"/>
          <w:sz w:val="22"/>
        </w:rPr>
      </w:pPr>
      <w:r>
        <w:rPr>
          <w:rFonts w:hint="eastAsia" w:ascii="宋体" w:hAnsi="宋体"/>
          <w:sz w:val="22"/>
        </w:rPr>
        <w:t>九、没有被各地、各级财政部门禁止参加政府采购活动，且在限制期限内：</w:t>
      </w:r>
    </w:p>
    <w:p>
      <w:pPr>
        <w:spacing w:line="360" w:lineRule="auto"/>
        <w:ind w:firstLine="420"/>
        <w:rPr>
          <w:rFonts w:ascii="宋体" w:hAnsi="宋体"/>
          <w:sz w:val="22"/>
        </w:rPr>
      </w:pPr>
      <w:r>
        <w:rPr>
          <w:rFonts w:hint="eastAsia" w:ascii="宋体" w:hAnsi="宋体"/>
          <w:sz w:val="22"/>
        </w:rPr>
        <w:t>十、参与本项目政府采购活动 3 年内没有重大违法记录情况。</w:t>
      </w:r>
    </w:p>
    <w:p>
      <w:pPr>
        <w:spacing w:line="360" w:lineRule="auto"/>
        <w:ind w:firstLine="420"/>
        <w:rPr>
          <w:rFonts w:ascii="宋体" w:hAnsi="宋体"/>
          <w:sz w:val="22"/>
        </w:rPr>
      </w:pPr>
      <w:r>
        <w:rPr>
          <w:rFonts w:hint="eastAsia" w:ascii="宋体" w:hAnsi="宋体"/>
          <w:sz w:val="22"/>
        </w:rPr>
        <w:t>本公司若有违反本承诺内容的行为，愿意承担法律责任，包括不限于：愿意接受相关行政主</w:t>
      </w:r>
    </w:p>
    <w:p>
      <w:pPr>
        <w:spacing w:line="360" w:lineRule="auto"/>
        <w:rPr>
          <w:rFonts w:ascii="宋体" w:hAnsi="宋体"/>
          <w:sz w:val="22"/>
        </w:rPr>
      </w:pPr>
      <w:r>
        <w:rPr>
          <w:rFonts w:hint="eastAsia" w:ascii="宋体" w:hAnsi="宋体"/>
          <w:sz w:val="22"/>
        </w:rPr>
        <w:t>管部门作出的处罚；给采购单位造成损失的，依法承担相应的赔偿责任。</w:t>
      </w:r>
    </w:p>
    <w:p>
      <w:pPr>
        <w:spacing w:line="360" w:lineRule="auto"/>
        <w:ind w:left="5040"/>
        <w:rPr>
          <w:rFonts w:ascii="宋体" w:hAnsi="宋体"/>
          <w:sz w:val="22"/>
        </w:rPr>
      </w:pPr>
      <w:r>
        <w:rPr>
          <w:rFonts w:hint="eastAsia" w:ascii="宋体" w:hAnsi="宋体"/>
          <w:sz w:val="22"/>
        </w:rPr>
        <w:t>法定代表人（签字或盖章）：</w:t>
      </w:r>
    </w:p>
    <w:p>
      <w:pPr>
        <w:spacing w:line="360" w:lineRule="auto"/>
        <w:ind w:left="4620" w:firstLine="420"/>
        <w:rPr>
          <w:rFonts w:ascii="宋体" w:hAnsi="宋体"/>
          <w:sz w:val="22"/>
        </w:rPr>
      </w:pPr>
      <w:r>
        <w:rPr>
          <w:rFonts w:hint="eastAsia" w:ascii="宋体" w:hAnsi="宋体"/>
          <w:sz w:val="22"/>
        </w:rPr>
        <w:t>投标供应商（盖章）</w:t>
      </w:r>
    </w:p>
    <w:p>
      <w:pPr>
        <w:spacing w:line="360" w:lineRule="auto"/>
        <w:ind w:left="4620" w:firstLine="440" w:firstLineChars="200"/>
        <w:rPr>
          <w:rFonts w:ascii="宋体" w:hAnsi="宋体"/>
          <w:sz w:val="22"/>
        </w:rPr>
      </w:pPr>
      <w:r>
        <w:rPr>
          <w:rFonts w:hint="eastAsia" w:ascii="宋体" w:hAnsi="宋体"/>
          <w:sz w:val="22"/>
        </w:rPr>
        <w:t>承诺书签署日期：</w:t>
      </w:r>
      <w:r>
        <w:rPr>
          <w:rFonts w:ascii="宋体" w:hAnsi="宋体"/>
          <w:sz w:val="22"/>
        </w:rPr>
        <w:t xml:space="preserve"> </w:t>
      </w:r>
    </w:p>
    <w:p>
      <w:pPr>
        <w:spacing w:line="360" w:lineRule="auto"/>
        <w:rPr>
          <w:rFonts w:ascii="宋体" w:hAnsi="宋体"/>
          <w:b/>
          <w:sz w:val="22"/>
          <w:u w:val="single"/>
        </w:rPr>
      </w:pPr>
      <w:r>
        <w:rPr>
          <w:rFonts w:hint="eastAsia" w:ascii="宋体" w:hAnsi="宋体"/>
          <w:b/>
          <w:sz w:val="22"/>
          <w:u w:val="single"/>
        </w:rPr>
        <w:t>备注：▲投标供应商必须提供本承诺书，不提供按无效投标处理。</w:t>
      </w:r>
    </w:p>
    <w:p>
      <w:pPr>
        <w:autoSpaceDE w:val="0"/>
        <w:autoSpaceDN w:val="0"/>
        <w:adjustRightInd w:val="0"/>
        <w:spacing w:line="440" w:lineRule="atLeast"/>
        <w:rPr>
          <w:rFonts w:ascii="宋体" w:hAnsi="宋体" w:cs="仿宋_GB2312"/>
          <w:b/>
          <w:bCs/>
          <w:sz w:val="32"/>
          <w:szCs w:val="32"/>
        </w:rPr>
      </w:pPr>
      <w:r>
        <w:rPr>
          <w:rFonts w:ascii="宋体" w:hAnsi="宋体"/>
          <w:b/>
          <w:sz w:val="32"/>
          <w:szCs w:val="32"/>
        </w:rPr>
        <w:br w:type="page"/>
      </w: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一</w:t>
      </w:r>
      <w:r>
        <w:rPr>
          <w:rFonts w:hint="eastAsia" w:ascii="宋体" w:hAnsi="宋体"/>
          <w:b/>
          <w:sz w:val="32"/>
          <w:szCs w:val="32"/>
        </w:rPr>
        <w:t>）</w:t>
      </w:r>
    </w:p>
    <w:p>
      <w:pPr>
        <w:spacing w:line="360" w:lineRule="auto"/>
        <w:jc w:val="center"/>
        <w:rPr>
          <w:rFonts w:ascii="宋体" w:hAnsi="宋体"/>
          <w:sz w:val="36"/>
          <w:szCs w:val="36"/>
        </w:rPr>
      </w:pPr>
      <w:r>
        <w:rPr>
          <w:rFonts w:hint="eastAsia" w:ascii="宋体" w:hAnsi="宋体"/>
          <w:sz w:val="36"/>
          <w:szCs w:val="36"/>
        </w:rPr>
        <w:t>商 务 偏 离 表</w:t>
      </w:r>
      <w:r>
        <w:rPr>
          <w:rFonts w:hint="eastAsia" w:ascii="宋体"/>
          <w:b/>
          <w:bCs/>
          <w:sz w:val="36"/>
          <w:szCs w:val="36"/>
        </w:rPr>
        <w:t xml:space="preserve"> </w:t>
      </w:r>
    </w:p>
    <w:tbl>
      <w:tblPr>
        <w:tblStyle w:val="2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内   容</w:t>
            </w:r>
          </w:p>
        </w:tc>
        <w:tc>
          <w:tcPr>
            <w:tcW w:w="2664"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招标文件规范要求</w:t>
            </w:r>
          </w:p>
        </w:tc>
        <w:tc>
          <w:tcPr>
            <w:tcW w:w="211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投标文件对应规范</w:t>
            </w:r>
          </w:p>
        </w:tc>
        <w:tc>
          <w:tcPr>
            <w:tcW w:w="2126"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bl>
    <w:p>
      <w:pPr>
        <w:spacing w:line="360" w:lineRule="auto"/>
        <w:ind w:left="4620" w:hanging="4620"/>
        <w:jc w:val="left"/>
        <w:rPr>
          <w:rFonts w:ascii="宋体"/>
          <w:b/>
          <w:bCs/>
          <w:sz w:val="24"/>
        </w:rPr>
      </w:pPr>
      <w:r>
        <w:rPr>
          <w:rFonts w:hint="eastAsia" w:ascii="宋体" w:hAnsi="宋体"/>
          <w:sz w:val="22"/>
        </w:rPr>
        <w:t>供应商全称（盖章）：</w:t>
      </w:r>
      <w:r>
        <w:rPr>
          <w:rFonts w:hint="eastAsia" w:ascii="宋体" w:hAnsi="宋体"/>
          <w:sz w:val="22"/>
          <w:u w:val="single"/>
        </w:rPr>
        <w:t xml:space="preserve"> </w:t>
      </w:r>
      <w:r>
        <w:rPr>
          <w:rFonts w:hint="eastAsia" w:ascii="宋体"/>
          <w:b/>
          <w:bCs/>
          <w:sz w:val="24"/>
          <w:u w:val="single"/>
        </w:rPr>
        <w:t xml:space="preserve">                </w:t>
      </w:r>
      <w:r>
        <w:rPr>
          <w:rFonts w:hint="eastAsia" w:ascii="宋体"/>
          <w:b/>
          <w:bCs/>
          <w:sz w:val="32"/>
          <w:szCs w:val="32"/>
          <w:u w:val="single"/>
        </w:rPr>
        <w:t xml:space="preserve"> </w:t>
      </w:r>
    </w:p>
    <w:p>
      <w:pPr>
        <w:autoSpaceDE w:val="0"/>
        <w:autoSpaceDN w:val="0"/>
        <w:adjustRightInd w:val="0"/>
        <w:spacing w:line="440" w:lineRule="atLeast"/>
        <w:rPr>
          <w:rFonts w:ascii="宋体" w:hAnsi="宋体" w:cs="仿宋_GB2312"/>
          <w:b/>
          <w:bCs/>
          <w:sz w:val="32"/>
          <w:szCs w:val="32"/>
        </w:rPr>
      </w:pP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二</w:t>
      </w:r>
      <w:r>
        <w:rPr>
          <w:rFonts w:hint="eastAsia" w:ascii="宋体" w:hAnsi="宋体"/>
          <w:b/>
          <w:sz w:val="32"/>
          <w:szCs w:val="32"/>
        </w:rPr>
        <w:t>）</w:t>
      </w:r>
    </w:p>
    <w:p>
      <w:pPr>
        <w:spacing w:line="360" w:lineRule="auto"/>
        <w:jc w:val="center"/>
        <w:rPr>
          <w:rFonts w:ascii="宋体" w:hAnsi="宋体"/>
          <w:sz w:val="36"/>
          <w:szCs w:val="36"/>
        </w:rPr>
      </w:pPr>
      <w:r>
        <w:rPr>
          <w:rFonts w:hint="eastAsia" w:ascii="宋体" w:hAnsi="宋体"/>
          <w:sz w:val="36"/>
          <w:szCs w:val="36"/>
        </w:rPr>
        <w:t>技术偏离表</w:t>
      </w:r>
    </w:p>
    <w:tbl>
      <w:tblPr>
        <w:tblStyle w:val="2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内     容</w:t>
            </w:r>
          </w:p>
        </w:tc>
        <w:tc>
          <w:tcPr>
            <w:tcW w:w="23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招标文件规范要求</w:t>
            </w:r>
          </w:p>
        </w:tc>
        <w:tc>
          <w:tcPr>
            <w:tcW w:w="20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投标文件对应规范</w:t>
            </w:r>
          </w:p>
        </w:tc>
        <w:tc>
          <w:tcPr>
            <w:tcW w:w="2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rPr>
            </w:pPr>
            <w:r>
              <w:rPr>
                <w:rFonts w:ascii="宋体" w:hAnsi="宋体"/>
                <w:sz w:val="22"/>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rPr>
            </w:pPr>
          </w:p>
        </w:tc>
      </w:tr>
    </w:tbl>
    <w:p>
      <w:pPr>
        <w:pStyle w:val="15"/>
        <w:adjustRightInd w:val="0"/>
        <w:snapToGrid w:val="0"/>
        <w:spacing w:line="400" w:lineRule="exact"/>
        <w:rPr>
          <w:b/>
          <w:bCs/>
          <w:sz w:val="24"/>
          <w:szCs w:val="24"/>
          <w:u w:val="single"/>
        </w:rPr>
      </w:pPr>
      <w:r>
        <w:rPr>
          <w:rFonts w:hint="eastAsia" w:hAnsi="宋体"/>
          <w:sz w:val="22"/>
        </w:rPr>
        <w:t xml:space="preserve">供应商全称（盖章）： </w:t>
      </w:r>
      <w:r>
        <w:rPr>
          <w:rFonts w:hint="eastAsia"/>
          <w:b/>
          <w:bCs/>
          <w:sz w:val="24"/>
          <w:szCs w:val="24"/>
          <w:u w:val="single"/>
        </w:rPr>
        <w:t xml:space="preserve">    </w:t>
      </w:r>
    </w:p>
    <w:p>
      <w:pPr>
        <w:pStyle w:val="15"/>
        <w:adjustRightInd w:val="0"/>
        <w:snapToGrid w:val="0"/>
        <w:spacing w:line="400" w:lineRule="exact"/>
        <w:rPr>
          <w:rFonts w:hAnsi="宋体"/>
          <w:b/>
          <w:sz w:val="22"/>
          <w:szCs w:val="22"/>
          <w:u w:val="single"/>
        </w:rPr>
      </w:pPr>
    </w:p>
    <w:p>
      <w:pPr>
        <w:pStyle w:val="15"/>
        <w:adjustRightInd w:val="0"/>
        <w:snapToGrid w:val="0"/>
        <w:spacing w:line="400" w:lineRule="exact"/>
        <w:rPr>
          <w:b/>
          <w:bCs/>
          <w:sz w:val="22"/>
          <w:szCs w:val="22"/>
          <w:u w:val="single"/>
        </w:rPr>
      </w:pPr>
      <w:r>
        <w:rPr>
          <w:rFonts w:hint="eastAsia" w:hAnsi="宋体"/>
          <w:b/>
          <w:sz w:val="22"/>
          <w:szCs w:val="22"/>
          <w:u w:val="single"/>
        </w:rPr>
        <w:t>▲不提供此表格的将视为没有实质性响应招标文件。</w:t>
      </w:r>
    </w:p>
    <w:p>
      <w:pPr>
        <w:widowControl/>
        <w:jc w:val="left"/>
        <w:rPr>
          <w:rFonts w:ascii="宋体" w:hAnsi="宋体" w:cs="仿宋_GB2312"/>
          <w:sz w:val="32"/>
          <w:szCs w:val="32"/>
        </w:rPr>
        <w:sectPr>
          <w:footerReference r:id="rId11" w:type="default"/>
          <w:pgSz w:w="11906" w:h="16838"/>
          <w:pgMar w:top="1440" w:right="1106" w:bottom="1440" w:left="1622" w:header="720" w:footer="720" w:gutter="0"/>
          <w:cols w:space="720" w:num="1"/>
          <w:docGrid w:type="lines" w:linePitch="312" w:charSpace="0"/>
        </w:sectPr>
      </w:pPr>
    </w:p>
    <w:p>
      <w:pPr>
        <w:spacing w:line="440" w:lineRule="exact"/>
        <w:jc w:val="left"/>
        <w:rPr>
          <w:rFonts w:ascii="宋体" w:hAnsi="宋体"/>
          <w:b/>
          <w:sz w:val="32"/>
          <w:szCs w:val="32"/>
        </w:rPr>
      </w:pPr>
      <w:r>
        <w:rPr>
          <w:rFonts w:hint="eastAsia" w:ascii="宋体" w:hAnsi="宋体"/>
          <w:b/>
          <w:sz w:val="32"/>
          <w:szCs w:val="32"/>
        </w:rPr>
        <w:t>附件十一</w:t>
      </w:r>
    </w:p>
    <w:p>
      <w:pPr>
        <w:spacing w:line="360" w:lineRule="exact"/>
        <w:jc w:val="center"/>
        <w:rPr>
          <w:rFonts w:ascii="宋体"/>
          <w:b/>
          <w:bCs/>
          <w:sz w:val="32"/>
          <w:szCs w:val="32"/>
          <w:lang w:val="zh-CN"/>
        </w:rPr>
      </w:pPr>
      <w:r>
        <w:rPr>
          <w:rFonts w:hint="eastAsia" w:ascii="宋体"/>
          <w:b/>
          <w:bCs/>
          <w:sz w:val="32"/>
          <w:szCs w:val="32"/>
          <w:lang w:val="zh-CN"/>
        </w:rPr>
        <w:t>投标产品配置清单</w:t>
      </w:r>
    </w:p>
    <w:tbl>
      <w:tblPr>
        <w:tblStyle w:val="27"/>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序号</w:t>
            </w:r>
          </w:p>
        </w:tc>
        <w:tc>
          <w:tcPr>
            <w:tcW w:w="2171" w:type="dxa"/>
            <w:tcBorders>
              <w:top w:val="doub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名称</w:t>
            </w:r>
          </w:p>
        </w:tc>
        <w:tc>
          <w:tcPr>
            <w:tcW w:w="1687" w:type="dxa"/>
            <w:tcBorders>
              <w:top w:val="doub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型号</w:t>
            </w:r>
          </w:p>
        </w:tc>
        <w:tc>
          <w:tcPr>
            <w:tcW w:w="1580" w:type="dxa"/>
            <w:tcBorders>
              <w:top w:val="doub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品牌、产地</w:t>
            </w:r>
          </w:p>
        </w:tc>
        <w:tc>
          <w:tcPr>
            <w:tcW w:w="2984" w:type="dxa"/>
            <w:tcBorders>
              <w:top w:val="doub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主要规格</w:t>
            </w:r>
          </w:p>
        </w:tc>
        <w:tc>
          <w:tcPr>
            <w:tcW w:w="855" w:type="dxa"/>
            <w:tcBorders>
              <w:top w:val="doub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数量</w:t>
            </w:r>
          </w:p>
        </w:tc>
        <w:tc>
          <w:tcPr>
            <w:tcW w:w="1636" w:type="dxa"/>
            <w:tcBorders>
              <w:top w:val="double" w:color="auto" w:sz="4" w:space="0"/>
              <w:right w:val="sing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备注</w:t>
            </w:r>
          </w:p>
        </w:tc>
        <w:tc>
          <w:tcPr>
            <w:tcW w:w="1916" w:type="dxa"/>
            <w:tcBorders>
              <w:top w:val="double" w:color="auto" w:sz="4" w:space="0"/>
              <w:left w:val="single" w:color="auto" w:sz="4" w:space="0"/>
            </w:tcBorders>
            <w:vAlign w:val="center"/>
          </w:tcPr>
          <w:p>
            <w:pPr>
              <w:adjustRightInd w:val="0"/>
              <w:snapToGrid w:val="0"/>
              <w:spacing w:line="460" w:lineRule="atLeast"/>
              <w:jc w:val="center"/>
              <w:rPr>
                <w:rFonts w:ascii="宋体"/>
                <w:spacing w:val="20"/>
                <w:sz w:val="22"/>
              </w:rPr>
            </w:pPr>
            <w:r>
              <w:rPr>
                <w:rFonts w:hint="eastAsia" w:ascii="宋体"/>
                <w:spacing w:val="20"/>
                <w:sz w:val="22"/>
              </w:rPr>
              <w:t>实物图片</w:t>
            </w:r>
          </w:p>
          <w:p>
            <w:pPr>
              <w:adjustRightInd w:val="0"/>
              <w:snapToGrid w:val="0"/>
              <w:spacing w:line="460" w:lineRule="atLeast"/>
              <w:jc w:val="center"/>
              <w:rPr>
                <w:rFonts w:ascii="宋体"/>
                <w:spacing w:val="20"/>
                <w:sz w:val="22"/>
              </w:rPr>
            </w:pPr>
            <w:r>
              <w:rPr>
                <w:rFonts w:hint="eastAsia" w:ascii="宋体"/>
                <w:spacing w:val="20"/>
                <w:sz w:val="22"/>
              </w:rPr>
              <w:t>（如有）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pPr>
              <w:adjustRightInd w:val="0"/>
              <w:snapToGrid w:val="0"/>
              <w:spacing w:line="460" w:lineRule="atLeast"/>
              <w:jc w:val="center"/>
              <w:rPr>
                <w:rFonts w:ascii="宋体"/>
                <w:spacing w:val="20"/>
                <w:sz w:val="22"/>
              </w:rPr>
            </w:pPr>
          </w:p>
        </w:tc>
        <w:tc>
          <w:tcPr>
            <w:tcW w:w="2171" w:type="dxa"/>
            <w:vAlign w:val="center"/>
          </w:tcPr>
          <w:p>
            <w:pPr>
              <w:adjustRightInd w:val="0"/>
              <w:snapToGrid w:val="0"/>
              <w:spacing w:line="460" w:lineRule="atLeast"/>
              <w:jc w:val="center"/>
              <w:rPr>
                <w:rFonts w:ascii="宋体"/>
                <w:spacing w:val="20"/>
                <w:sz w:val="22"/>
              </w:rPr>
            </w:pPr>
          </w:p>
        </w:tc>
        <w:tc>
          <w:tcPr>
            <w:tcW w:w="1687" w:type="dxa"/>
            <w:vAlign w:val="center"/>
          </w:tcPr>
          <w:p>
            <w:pPr>
              <w:adjustRightInd w:val="0"/>
              <w:snapToGrid w:val="0"/>
              <w:spacing w:line="460" w:lineRule="atLeast"/>
              <w:jc w:val="center"/>
              <w:rPr>
                <w:rFonts w:ascii="宋体"/>
                <w:spacing w:val="20"/>
                <w:sz w:val="22"/>
              </w:rPr>
            </w:pPr>
          </w:p>
        </w:tc>
        <w:tc>
          <w:tcPr>
            <w:tcW w:w="1580" w:type="dxa"/>
            <w:vAlign w:val="center"/>
          </w:tcPr>
          <w:p>
            <w:pPr>
              <w:adjustRightInd w:val="0"/>
              <w:snapToGrid w:val="0"/>
              <w:spacing w:line="460" w:lineRule="atLeast"/>
              <w:jc w:val="center"/>
              <w:rPr>
                <w:rFonts w:ascii="宋体"/>
                <w:spacing w:val="20"/>
                <w:sz w:val="22"/>
              </w:rPr>
            </w:pPr>
          </w:p>
        </w:tc>
        <w:tc>
          <w:tcPr>
            <w:tcW w:w="2984" w:type="dxa"/>
            <w:vAlign w:val="center"/>
          </w:tcPr>
          <w:p>
            <w:pPr>
              <w:adjustRightInd w:val="0"/>
              <w:snapToGrid w:val="0"/>
              <w:spacing w:line="460" w:lineRule="atLeast"/>
              <w:jc w:val="center"/>
              <w:rPr>
                <w:rFonts w:ascii="宋体"/>
                <w:spacing w:val="20"/>
                <w:sz w:val="22"/>
              </w:rPr>
            </w:pPr>
          </w:p>
        </w:tc>
        <w:tc>
          <w:tcPr>
            <w:tcW w:w="855" w:type="dxa"/>
            <w:vAlign w:val="center"/>
          </w:tcPr>
          <w:p>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pPr>
              <w:adjustRightInd w:val="0"/>
              <w:snapToGrid w:val="0"/>
              <w:spacing w:line="460" w:lineRule="atLeast"/>
              <w:jc w:val="center"/>
              <w:rPr>
                <w:rFonts w:asci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pPr>
              <w:adjustRightInd w:val="0"/>
              <w:snapToGrid w:val="0"/>
              <w:spacing w:line="460" w:lineRule="atLeast"/>
              <w:jc w:val="center"/>
              <w:rPr>
                <w:rFonts w:ascii="宋体"/>
                <w:spacing w:val="20"/>
                <w:sz w:val="22"/>
              </w:rPr>
            </w:pPr>
          </w:p>
        </w:tc>
        <w:tc>
          <w:tcPr>
            <w:tcW w:w="2171" w:type="dxa"/>
            <w:tcBorders>
              <w:bottom w:val="double" w:color="auto" w:sz="4" w:space="0"/>
            </w:tcBorders>
            <w:vAlign w:val="center"/>
          </w:tcPr>
          <w:p>
            <w:pPr>
              <w:adjustRightInd w:val="0"/>
              <w:snapToGrid w:val="0"/>
              <w:spacing w:line="460" w:lineRule="atLeast"/>
              <w:jc w:val="center"/>
              <w:rPr>
                <w:rFonts w:ascii="宋体"/>
                <w:spacing w:val="20"/>
                <w:sz w:val="22"/>
              </w:rPr>
            </w:pPr>
          </w:p>
        </w:tc>
        <w:tc>
          <w:tcPr>
            <w:tcW w:w="1687" w:type="dxa"/>
            <w:tcBorders>
              <w:bottom w:val="double" w:color="auto" w:sz="4" w:space="0"/>
            </w:tcBorders>
            <w:vAlign w:val="center"/>
          </w:tcPr>
          <w:p>
            <w:pPr>
              <w:adjustRightInd w:val="0"/>
              <w:snapToGrid w:val="0"/>
              <w:spacing w:line="460" w:lineRule="atLeast"/>
              <w:jc w:val="center"/>
              <w:rPr>
                <w:rFonts w:ascii="宋体"/>
                <w:spacing w:val="20"/>
                <w:sz w:val="22"/>
              </w:rPr>
            </w:pPr>
          </w:p>
        </w:tc>
        <w:tc>
          <w:tcPr>
            <w:tcW w:w="1580" w:type="dxa"/>
            <w:tcBorders>
              <w:bottom w:val="double" w:color="auto" w:sz="4" w:space="0"/>
            </w:tcBorders>
            <w:vAlign w:val="center"/>
          </w:tcPr>
          <w:p>
            <w:pPr>
              <w:adjustRightInd w:val="0"/>
              <w:snapToGrid w:val="0"/>
              <w:spacing w:line="460" w:lineRule="atLeast"/>
              <w:jc w:val="center"/>
              <w:rPr>
                <w:rFonts w:ascii="宋体"/>
                <w:spacing w:val="20"/>
                <w:sz w:val="22"/>
              </w:rPr>
            </w:pPr>
          </w:p>
        </w:tc>
        <w:tc>
          <w:tcPr>
            <w:tcW w:w="2984" w:type="dxa"/>
            <w:tcBorders>
              <w:bottom w:val="double" w:color="auto" w:sz="4" w:space="0"/>
            </w:tcBorders>
            <w:vAlign w:val="center"/>
          </w:tcPr>
          <w:p>
            <w:pPr>
              <w:adjustRightInd w:val="0"/>
              <w:snapToGrid w:val="0"/>
              <w:spacing w:line="460" w:lineRule="atLeast"/>
              <w:jc w:val="center"/>
              <w:rPr>
                <w:rFonts w:ascii="宋体"/>
                <w:spacing w:val="20"/>
                <w:sz w:val="22"/>
              </w:rPr>
            </w:pPr>
          </w:p>
        </w:tc>
        <w:tc>
          <w:tcPr>
            <w:tcW w:w="855" w:type="dxa"/>
            <w:tcBorders>
              <w:bottom w:val="double" w:color="auto" w:sz="4" w:space="0"/>
            </w:tcBorders>
            <w:vAlign w:val="center"/>
          </w:tcPr>
          <w:p>
            <w:pPr>
              <w:adjustRightInd w:val="0"/>
              <w:snapToGrid w:val="0"/>
              <w:spacing w:line="460" w:lineRule="atLeast"/>
              <w:jc w:val="center"/>
              <w:rPr>
                <w:rFonts w:ascii="宋体"/>
                <w:spacing w:val="20"/>
                <w:sz w:val="22"/>
              </w:rPr>
            </w:pPr>
          </w:p>
        </w:tc>
        <w:tc>
          <w:tcPr>
            <w:tcW w:w="1636" w:type="dxa"/>
            <w:tcBorders>
              <w:bottom w:val="double" w:color="auto" w:sz="4" w:space="0"/>
              <w:right w:val="single" w:color="auto" w:sz="4" w:space="0"/>
            </w:tcBorders>
            <w:vAlign w:val="center"/>
          </w:tcPr>
          <w:p>
            <w:pPr>
              <w:adjustRightInd w:val="0"/>
              <w:snapToGrid w:val="0"/>
              <w:spacing w:line="460" w:lineRule="atLeast"/>
              <w:jc w:val="center"/>
              <w:rPr>
                <w:rFonts w:ascii="宋体"/>
                <w:spacing w:val="20"/>
                <w:sz w:val="22"/>
              </w:rPr>
            </w:pPr>
          </w:p>
        </w:tc>
        <w:tc>
          <w:tcPr>
            <w:tcW w:w="1916" w:type="dxa"/>
            <w:tcBorders>
              <w:left w:val="single" w:color="auto" w:sz="4" w:space="0"/>
              <w:bottom w:val="double" w:color="auto" w:sz="4" w:space="0"/>
            </w:tcBorders>
            <w:vAlign w:val="center"/>
          </w:tcPr>
          <w:p>
            <w:pPr>
              <w:adjustRightInd w:val="0"/>
              <w:snapToGrid w:val="0"/>
              <w:spacing w:line="460" w:lineRule="atLeast"/>
              <w:jc w:val="center"/>
              <w:rPr>
                <w:rFonts w:ascii="宋体"/>
                <w:spacing w:val="20"/>
                <w:sz w:val="22"/>
              </w:rPr>
            </w:pPr>
          </w:p>
        </w:tc>
      </w:tr>
    </w:tbl>
    <w:p>
      <w:pPr>
        <w:spacing w:line="360" w:lineRule="exact"/>
        <w:rPr>
          <w:rFonts w:ascii="宋体"/>
          <w:spacing w:val="20"/>
          <w:sz w:val="22"/>
        </w:rPr>
      </w:pPr>
      <w:r>
        <w:rPr>
          <w:rFonts w:hint="eastAsia" w:ascii="宋体"/>
          <w:spacing w:val="20"/>
          <w:sz w:val="22"/>
        </w:rPr>
        <w:t>供应商盖章：</w:t>
      </w:r>
    </w:p>
    <w:p>
      <w:pPr>
        <w:numPr>
          <w:ilvl w:val="0"/>
          <w:numId w:val="19"/>
        </w:numPr>
        <w:spacing w:line="360" w:lineRule="auto"/>
        <w:rPr>
          <w:rFonts w:ascii="宋体"/>
          <w:b/>
          <w:bCs/>
          <w:spacing w:val="20"/>
          <w:sz w:val="22"/>
          <w:u w:val="single"/>
        </w:rPr>
      </w:pPr>
      <w:r>
        <w:rPr>
          <w:rFonts w:hint="eastAsia" w:ascii="宋体"/>
          <w:b/>
          <w:bCs/>
          <w:spacing w:val="20"/>
          <w:sz w:val="22"/>
          <w:u w:val="single"/>
        </w:rPr>
        <w:t>注：</w:t>
      </w:r>
      <w:r>
        <w:rPr>
          <w:rFonts w:ascii="宋体"/>
          <w:b/>
          <w:bCs/>
          <w:spacing w:val="20"/>
          <w:sz w:val="22"/>
          <w:u w:val="single"/>
        </w:rPr>
        <w:t>1</w:t>
      </w:r>
      <w:r>
        <w:rPr>
          <w:rFonts w:hint="eastAsia" w:ascii="宋体"/>
          <w:b/>
          <w:bCs/>
          <w:spacing w:val="20"/>
          <w:sz w:val="22"/>
          <w:u w:val="single"/>
        </w:rPr>
        <w:t>、放置技术资信标中。本表相当于不带价格的明细报价表。</w:t>
      </w:r>
    </w:p>
    <w:p>
      <w:pPr>
        <w:rPr>
          <w:rFonts w:ascii="宋体" w:hAnsi="宋体"/>
          <w:b/>
          <w:sz w:val="32"/>
          <w:szCs w:val="32"/>
        </w:rPr>
      </w:pPr>
      <w:bookmarkStart w:id="58" w:name="_Toc24259_WPSOffice_Level3"/>
      <w:r>
        <w:rPr>
          <w:rFonts w:hint="eastAsia" w:ascii="宋体"/>
          <w:b/>
          <w:bCs/>
          <w:spacing w:val="20"/>
          <w:sz w:val="22"/>
          <w:u w:val="single"/>
        </w:rPr>
        <w:t>2、产品详细配置、技术应另页描述</w:t>
      </w:r>
      <w:bookmarkEnd w:id="58"/>
      <w:r>
        <w:rPr>
          <w:rFonts w:hint="eastAsia" w:ascii="宋体"/>
          <w:b/>
          <w:bCs/>
          <w:spacing w:val="20"/>
          <w:sz w:val="22"/>
          <w:u w:val="single"/>
        </w:rPr>
        <w:t>。</w:t>
      </w:r>
    </w:p>
    <w:p>
      <w:pPr>
        <w:rPr>
          <w:rFonts w:ascii="宋体" w:hAnsi="宋体"/>
          <w:b/>
          <w:bCs/>
          <w:sz w:val="32"/>
          <w:szCs w:val="32"/>
        </w:rPr>
        <w:sectPr>
          <w:headerReference r:id="rId12" w:type="default"/>
          <w:footerReference r:id="rId13" w:type="default"/>
          <w:pgSz w:w="16840" w:h="11907" w:orient="landscape"/>
          <w:pgMar w:top="1157" w:right="1440" w:bottom="1106" w:left="1440" w:header="720" w:footer="720" w:gutter="0"/>
          <w:cols w:space="720" w:num="1"/>
          <w:docGrid w:type="lines" w:linePitch="312" w:charSpace="0"/>
        </w:sectPr>
      </w:pPr>
    </w:p>
    <w:p>
      <w:pPr>
        <w:rPr>
          <w:sz w:val="36"/>
          <w:szCs w:val="36"/>
        </w:rPr>
      </w:pPr>
      <w:r>
        <w:rPr>
          <w:rFonts w:hint="eastAsia" w:ascii="宋体" w:hAnsi="宋体"/>
          <w:b/>
          <w:bCs/>
          <w:sz w:val="32"/>
          <w:szCs w:val="32"/>
        </w:rPr>
        <w:t>附件十</w:t>
      </w:r>
      <w:r>
        <w:rPr>
          <w:rFonts w:hint="eastAsia" w:hAnsi="宋体"/>
          <w:b/>
          <w:bCs/>
          <w:sz w:val="32"/>
          <w:szCs w:val="32"/>
        </w:rPr>
        <w:t>二</w:t>
      </w:r>
    </w:p>
    <w:p>
      <w:pPr>
        <w:pStyle w:val="15"/>
        <w:spacing w:line="440" w:lineRule="atLeast"/>
        <w:ind w:firstLine="1440" w:firstLineChars="400"/>
        <w:rPr>
          <w:rFonts w:hAnsi="Times New Roman"/>
          <w:sz w:val="36"/>
          <w:szCs w:val="36"/>
        </w:rPr>
      </w:pPr>
    </w:p>
    <w:p>
      <w:pPr>
        <w:pStyle w:val="15"/>
        <w:spacing w:line="440" w:lineRule="atLeast"/>
        <w:jc w:val="center"/>
        <w:rPr>
          <w:rFonts w:hAnsi="Times New Roman"/>
          <w:sz w:val="36"/>
          <w:szCs w:val="36"/>
        </w:rPr>
      </w:pPr>
      <w:r>
        <w:rPr>
          <w:rFonts w:hint="eastAsia" w:hAnsi="Times New Roman"/>
          <w:sz w:val="36"/>
          <w:szCs w:val="36"/>
        </w:rPr>
        <w:t>投标供应商认为有必要提供的其他材料或证明</w:t>
      </w:r>
    </w:p>
    <w:p/>
    <w:p/>
    <w:p>
      <w:pPr>
        <w:pStyle w:val="15"/>
        <w:adjustRightInd w:val="0"/>
        <w:snapToGrid w:val="0"/>
        <w:spacing w:line="400" w:lineRule="exact"/>
        <w:rPr>
          <w:rFonts w:ascii="Times New Roman" w:hAnsi="宋体"/>
          <w:sz w:val="22"/>
          <w:szCs w:val="22"/>
        </w:rPr>
      </w:pPr>
      <w:r>
        <w:rPr>
          <w:rFonts w:ascii="Times New Roman" w:hAnsi="宋体"/>
          <w:sz w:val="22"/>
          <w:szCs w:val="22"/>
        </w:rPr>
        <w:t xml:space="preserve"> </w:t>
      </w:r>
    </w:p>
    <w:p>
      <w:pPr>
        <w:autoSpaceDE w:val="0"/>
        <w:autoSpaceDN w:val="0"/>
        <w:adjustRightInd w:val="0"/>
        <w:snapToGrid w:val="0"/>
        <w:spacing w:line="360" w:lineRule="atLeast"/>
        <w:jc w:val="center"/>
        <w:textAlignment w:val="bottom"/>
        <w:rPr>
          <w:rFonts w:hAnsi="宋体" w:cs="宋体"/>
          <w:b/>
          <w:bCs/>
          <w:sz w:val="24"/>
        </w:rPr>
      </w:pPr>
      <w:r>
        <w:rPr>
          <w:rFonts w:hAnsi="宋体"/>
          <w:b/>
          <w:bCs/>
          <w:sz w:val="24"/>
        </w:rPr>
        <w:t xml:space="preserve"> </w:t>
      </w:r>
    </w:p>
    <w:p>
      <w:pPr>
        <w:widowControl/>
        <w:jc w:val="left"/>
        <w:rPr>
          <w:rFonts w:ascii="宋体" w:hAnsi="宋体"/>
          <w:b/>
          <w:bCs/>
          <w:sz w:val="32"/>
          <w:szCs w:val="32"/>
        </w:rPr>
        <w:sectPr>
          <w:headerReference r:id="rId14" w:type="default"/>
          <w:footerReference r:id="rId15" w:type="default"/>
          <w:pgSz w:w="11907" w:h="16840"/>
          <w:pgMar w:top="1440" w:right="1106" w:bottom="1440" w:left="1157" w:header="720" w:footer="720" w:gutter="0"/>
          <w:cols w:space="720" w:num="1"/>
          <w:docGrid w:type="lines" w:linePitch="312" w:charSpace="0"/>
        </w:sectPr>
      </w:pPr>
    </w:p>
    <w:p>
      <w:pPr>
        <w:spacing w:line="440" w:lineRule="exact"/>
        <w:jc w:val="left"/>
        <w:rPr>
          <w:rFonts w:ascii="宋体" w:hAnsi="宋体" w:eastAsia="宋体"/>
          <w:b/>
          <w:bCs/>
          <w:sz w:val="32"/>
          <w:szCs w:val="32"/>
        </w:rPr>
      </w:pPr>
      <w:r>
        <w:rPr>
          <w:rFonts w:hint="eastAsia" w:ascii="宋体" w:hAnsi="宋体"/>
          <w:b/>
          <w:bCs/>
          <w:sz w:val="32"/>
          <w:szCs w:val="32"/>
        </w:rPr>
        <w:t>附件十二</w:t>
      </w:r>
    </w:p>
    <w:p>
      <w:pPr>
        <w:spacing w:line="440" w:lineRule="exact"/>
        <w:jc w:val="center"/>
        <w:rPr>
          <w:rFonts w:ascii="宋体" w:hAnsi="宋体"/>
          <w:b/>
          <w:bCs/>
          <w:sz w:val="32"/>
          <w:szCs w:val="32"/>
        </w:rPr>
      </w:pPr>
      <w:r>
        <w:rPr>
          <w:rFonts w:hint="eastAsia" w:ascii="宋体" w:hAnsi="宋体"/>
          <w:b/>
          <w:bCs/>
          <w:sz w:val="32"/>
          <w:szCs w:val="32"/>
        </w:rPr>
        <w:t>评分对应表（参考）置于目录处</w:t>
      </w:r>
    </w:p>
    <w:p>
      <w:pPr>
        <w:spacing w:line="440" w:lineRule="exact"/>
        <w:ind w:firstLine="360"/>
        <w:jc w:val="right"/>
        <w:rPr>
          <w:rFonts w:ascii="宋体" w:hAnsi="宋体"/>
          <w:b/>
          <w:bCs/>
          <w:sz w:val="24"/>
        </w:rPr>
      </w:pPr>
      <w:r>
        <w:rPr>
          <w:rFonts w:hint="eastAsia" w:ascii="宋体" w:hAnsi="宋体"/>
          <w:b/>
          <w:bCs/>
          <w:sz w:val="24"/>
        </w:rPr>
        <w:t xml:space="preserve">                                  </w:t>
      </w:r>
    </w:p>
    <w:p>
      <w:pPr>
        <w:spacing w:line="440" w:lineRule="exact"/>
        <w:rPr>
          <w:rFonts w:ascii="宋体" w:hAnsi="宋体"/>
          <w:b/>
          <w:bCs/>
          <w:sz w:val="24"/>
        </w:rPr>
      </w:pPr>
      <w:r>
        <w:rPr>
          <w:rFonts w:hint="eastAsia" w:ascii="宋体" w:hAnsi="宋体"/>
          <w:b/>
          <w:bCs/>
          <w:sz w:val="24"/>
        </w:rPr>
        <w:t>供应商名称：                                     项目编号：</w:t>
      </w:r>
      <w:r>
        <w:rPr>
          <w:rFonts w:hint="eastAsia" w:ascii="宋体"/>
          <w:sz w:val="22"/>
        </w:rPr>
        <w:t xml:space="preserve"> </w:t>
      </w:r>
      <w:r>
        <w:rPr>
          <w:rFonts w:hint="eastAsia" w:ascii="宋体" w:hAnsi="宋体"/>
          <w:bCs/>
          <w:sz w:val="22"/>
          <w:szCs w:val="22"/>
          <w:lang w:eastAsia="zh-CN"/>
        </w:rPr>
        <w:t xml:space="preserve">TSCG202207017 </w:t>
      </w:r>
      <w:r>
        <w:rPr>
          <w:rFonts w:hint="eastAsia" w:ascii="宋体" w:hAnsi="宋体"/>
          <w:bCs/>
          <w:sz w:val="22"/>
          <w:szCs w:val="22"/>
        </w:rPr>
        <w:t xml:space="preserve"> </w:t>
      </w:r>
    </w:p>
    <w:tbl>
      <w:tblPr>
        <w:tblStyle w:val="27"/>
        <w:tblW w:w="10801" w:type="dxa"/>
        <w:jc w:val="center"/>
        <w:tblLayout w:type="fixed"/>
        <w:tblCellMar>
          <w:top w:w="0" w:type="dxa"/>
          <w:left w:w="108" w:type="dxa"/>
          <w:bottom w:w="0" w:type="dxa"/>
          <w:right w:w="108" w:type="dxa"/>
        </w:tblCellMar>
      </w:tblPr>
      <w:tblGrid>
        <w:gridCol w:w="832"/>
        <w:gridCol w:w="1828"/>
        <w:gridCol w:w="4052"/>
        <w:gridCol w:w="1511"/>
        <w:gridCol w:w="2578"/>
      </w:tblGrid>
      <w:tr>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ind w:firstLine="0" w:firstLineChars="0"/>
              <w:jc w:val="center"/>
              <w:rPr>
                <w:rFonts w:ascii="宋体" w:hAnsi="宋体"/>
                <w:b/>
                <w:bCs/>
                <w:sz w:val="22"/>
                <w:szCs w:val="22"/>
              </w:rPr>
            </w:pPr>
            <w:r>
              <w:rPr>
                <w:rFonts w:ascii="宋体" w:hAnsi="宋体"/>
                <w:b/>
                <w:bCs/>
                <w:sz w:val="22"/>
                <w:szCs w:val="22"/>
              </w:rPr>
              <w:t>序号</w:t>
            </w:r>
          </w:p>
        </w:tc>
        <w:tc>
          <w:tcPr>
            <w:tcW w:w="1828" w:type="dxa"/>
            <w:tcBorders>
              <w:top w:val="single" w:color="000000" w:sz="4" w:space="0"/>
              <w:left w:val="nil"/>
              <w:bottom w:val="single" w:color="000000" w:sz="4" w:space="0"/>
              <w:right w:val="single" w:color="000000" w:sz="4" w:space="0"/>
            </w:tcBorders>
            <w:vAlign w:val="center"/>
          </w:tcPr>
          <w:p>
            <w:pPr>
              <w:pStyle w:val="22"/>
              <w:ind w:firstLine="0" w:firstLineChars="0"/>
              <w:jc w:val="center"/>
              <w:rPr>
                <w:rFonts w:ascii="宋体" w:hAnsi="宋体"/>
                <w:b/>
                <w:bCs/>
                <w:sz w:val="22"/>
                <w:szCs w:val="22"/>
              </w:rPr>
            </w:pPr>
            <w:r>
              <w:rPr>
                <w:rFonts w:ascii="宋体" w:hAnsi="宋体"/>
                <w:b/>
                <w:bCs/>
                <w:sz w:val="22"/>
                <w:szCs w:val="22"/>
              </w:rPr>
              <w:t>评审内容</w:t>
            </w:r>
          </w:p>
        </w:tc>
        <w:tc>
          <w:tcPr>
            <w:tcW w:w="4052" w:type="dxa"/>
            <w:tcBorders>
              <w:top w:val="single" w:color="000000" w:sz="4" w:space="0"/>
              <w:left w:val="nil"/>
              <w:bottom w:val="single" w:color="000000" w:sz="4" w:space="0"/>
              <w:right w:val="single" w:color="000000" w:sz="4" w:space="0"/>
            </w:tcBorders>
            <w:vAlign w:val="center"/>
          </w:tcPr>
          <w:p>
            <w:pPr>
              <w:pStyle w:val="22"/>
              <w:ind w:firstLine="0" w:firstLineChars="0"/>
              <w:jc w:val="center"/>
              <w:rPr>
                <w:rFonts w:ascii="宋体" w:hAnsi="宋体"/>
                <w:b/>
                <w:bCs/>
                <w:sz w:val="22"/>
                <w:szCs w:val="22"/>
              </w:rPr>
            </w:pPr>
            <w:r>
              <w:rPr>
                <w:rFonts w:ascii="宋体" w:hAnsi="宋体"/>
                <w:b/>
                <w:bCs/>
                <w:sz w:val="22"/>
                <w:szCs w:val="22"/>
              </w:rPr>
              <w:t>评分标准</w:t>
            </w:r>
          </w:p>
        </w:tc>
        <w:tc>
          <w:tcPr>
            <w:tcW w:w="1511" w:type="dxa"/>
            <w:tcBorders>
              <w:top w:val="single" w:color="000000" w:sz="4" w:space="0"/>
              <w:left w:val="nil"/>
              <w:bottom w:val="single" w:color="000000" w:sz="4" w:space="0"/>
              <w:right w:val="single" w:color="000000" w:sz="4" w:space="0"/>
            </w:tcBorders>
            <w:vAlign w:val="center"/>
          </w:tcPr>
          <w:p>
            <w:pPr>
              <w:pStyle w:val="22"/>
              <w:ind w:firstLine="0" w:firstLineChars="0"/>
              <w:jc w:val="center"/>
              <w:rPr>
                <w:rFonts w:ascii="宋体" w:hAnsi="宋体"/>
                <w:b/>
                <w:bCs/>
                <w:sz w:val="22"/>
                <w:szCs w:val="22"/>
              </w:rPr>
            </w:pPr>
            <w:r>
              <w:rPr>
                <w:rFonts w:hint="eastAsia" w:ascii="宋体" w:hAnsi="宋体"/>
                <w:b/>
                <w:bCs/>
                <w:sz w:val="22"/>
                <w:szCs w:val="22"/>
              </w:rPr>
              <w:t>自评分</w:t>
            </w:r>
          </w:p>
        </w:tc>
        <w:tc>
          <w:tcPr>
            <w:tcW w:w="2578" w:type="dxa"/>
            <w:tcBorders>
              <w:top w:val="single" w:color="000000" w:sz="4" w:space="0"/>
              <w:left w:val="nil"/>
              <w:bottom w:val="single" w:color="000000" w:sz="4" w:space="0"/>
              <w:right w:val="single" w:color="000000" w:sz="4" w:space="0"/>
            </w:tcBorders>
            <w:vAlign w:val="center"/>
          </w:tcPr>
          <w:p>
            <w:pPr>
              <w:pStyle w:val="22"/>
              <w:ind w:firstLine="0" w:firstLineChars="0"/>
              <w:jc w:val="center"/>
              <w:rPr>
                <w:rFonts w:ascii="宋体" w:hAnsi="宋体"/>
                <w:b/>
                <w:bCs/>
                <w:sz w:val="22"/>
                <w:szCs w:val="22"/>
              </w:rPr>
            </w:pPr>
            <w:r>
              <w:rPr>
                <w:rFonts w:ascii="宋体" w:hAnsi="宋体"/>
                <w:b/>
                <w:bCs/>
                <w:sz w:val="22"/>
                <w:szCs w:val="22"/>
              </w:rPr>
              <w:t>页码</w:t>
            </w:r>
          </w:p>
        </w:tc>
      </w:tr>
      <w:tr>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2"/>
              <w:ind w:firstLine="0" w:firstLineChars="0"/>
              <w:jc w:val="center"/>
              <w:rPr>
                <w:rFonts w:ascii="宋体" w:hAnsi="宋体"/>
                <w:sz w:val="22"/>
                <w:szCs w:val="22"/>
              </w:rPr>
            </w:pPr>
            <w:r>
              <w:rPr>
                <w:rFonts w:ascii="宋体" w:hAnsi="宋体"/>
                <w:sz w:val="22"/>
                <w:szCs w:val="22"/>
              </w:rPr>
              <w:t>一</w:t>
            </w:r>
          </w:p>
        </w:tc>
        <w:tc>
          <w:tcPr>
            <w:tcW w:w="1828" w:type="dxa"/>
            <w:tcBorders>
              <w:top w:val="single" w:color="000000" w:sz="4" w:space="0"/>
              <w:left w:val="nil"/>
              <w:bottom w:val="single" w:color="000000" w:sz="4" w:space="0"/>
              <w:right w:val="single" w:color="000000" w:sz="4" w:space="0"/>
            </w:tcBorders>
            <w:vAlign w:val="center"/>
          </w:tcPr>
          <w:p>
            <w:pPr>
              <w:pStyle w:val="22"/>
              <w:ind w:firstLine="0" w:firstLineChars="0"/>
              <w:jc w:val="center"/>
              <w:rPr>
                <w:rFonts w:ascii="宋体" w:hAnsi="宋体"/>
                <w:sz w:val="22"/>
                <w:szCs w:val="22"/>
              </w:rPr>
            </w:pPr>
            <w:r>
              <w:rPr>
                <w:rFonts w:ascii="宋体" w:hAnsi="宋体"/>
                <w:sz w:val="22"/>
                <w:szCs w:val="22"/>
              </w:rPr>
              <w:t>技术分</w:t>
            </w: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pStyle w:val="22"/>
              <w:ind w:firstLine="0" w:firstLineChars="0"/>
              <w:jc w:val="center"/>
              <w:rPr>
                <w:rFonts w:ascii="宋体" w:hAnsi="宋体"/>
                <w:sz w:val="22"/>
                <w:szCs w:val="22"/>
              </w:rPr>
            </w:pPr>
            <w:r>
              <w:rPr>
                <w:rFonts w:ascii="宋体" w:hAnsi="宋体"/>
                <w:sz w:val="22"/>
              </w:rPr>
              <w:t>详见</w:t>
            </w:r>
            <w:r>
              <w:rPr>
                <w:rFonts w:hint="eastAsia" w:ascii="宋体" w:hAnsi="宋体"/>
                <w:sz w:val="22"/>
              </w:rPr>
              <w:t>投标</w:t>
            </w:r>
            <w:r>
              <w:rPr>
                <w:rFonts w:ascii="宋体" w:hAnsi="宋体"/>
                <w:sz w:val="22"/>
              </w:rPr>
              <w:t>文件第几页</w:t>
            </w:r>
          </w:p>
        </w:tc>
      </w:tr>
      <w:tr>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rPr>
            </w:pPr>
            <w:r>
              <w:rPr>
                <w:rFonts w:ascii="宋体" w:hAnsi="宋体"/>
                <w:sz w:val="22"/>
              </w:rPr>
              <w:t>1</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rPr>
            </w:pPr>
          </w:p>
        </w:tc>
        <w:tc>
          <w:tcPr>
            <w:tcW w:w="4052" w:type="dxa"/>
            <w:tcBorders>
              <w:top w:val="single" w:color="000000" w:sz="4" w:space="0"/>
              <w:left w:val="nil"/>
              <w:bottom w:val="nil"/>
              <w:right w:val="single" w:color="000000" w:sz="4" w:space="0"/>
            </w:tcBorders>
            <w:vAlign w:val="center"/>
          </w:tcPr>
          <w:p>
            <w:pPr>
              <w:pStyle w:val="22"/>
              <w:ind w:firstLine="480"/>
              <w:jc w:val="center"/>
            </w:pPr>
          </w:p>
        </w:tc>
        <w:tc>
          <w:tcPr>
            <w:tcW w:w="1511" w:type="dxa"/>
            <w:tcBorders>
              <w:top w:val="single" w:color="000000" w:sz="4" w:space="0"/>
              <w:left w:val="nil"/>
              <w:bottom w:val="nil"/>
              <w:right w:val="single" w:color="000000" w:sz="4" w:space="0"/>
            </w:tcBorders>
            <w:vAlign w:val="center"/>
          </w:tcPr>
          <w:p>
            <w:pPr>
              <w:pStyle w:val="22"/>
              <w:ind w:firstLine="480"/>
              <w:jc w:val="center"/>
            </w:pPr>
          </w:p>
        </w:tc>
        <w:tc>
          <w:tcPr>
            <w:tcW w:w="2578" w:type="dxa"/>
            <w:tcBorders>
              <w:top w:val="single" w:color="000000" w:sz="4" w:space="0"/>
              <w:left w:val="nil"/>
              <w:bottom w:val="nil"/>
              <w:right w:val="single" w:color="000000" w:sz="4" w:space="0"/>
            </w:tcBorders>
            <w:vAlign w:val="center"/>
          </w:tcPr>
          <w:p>
            <w:pPr>
              <w:jc w:val="center"/>
              <w:rPr>
                <w:rFonts w:ascii="宋体" w:hAnsi="宋体"/>
                <w:sz w:val="22"/>
              </w:rPr>
            </w:pPr>
            <w:r>
              <w:rPr>
                <w:rFonts w:ascii="宋体" w:hAnsi="宋体"/>
                <w:sz w:val="22"/>
              </w:rPr>
              <w:t>……</w:t>
            </w:r>
          </w:p>
        </w:tc>
      </w:tr>
      <w:tr>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rPr>
            </w:pPr>
            <w:r>
              <w:rPr>
                <w:rFonts w:ascii="宋体" w:hAnsi="宋体"/>
                <w:sz w:val="22"/>
              </w:rPr>
              <w:t>2</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rPr>
            </w:pPr>
          </w:p>
        </w:tc>
        <w:tc>
          <w:tcPr>
            <w:tcW w:w="4052" w:type="dxa"/>
            <w:tcBorders>
              <w:top w:val="single" w:color="000000" w:sz="4" w:space="0"/>
              <w:left w:val="nil"/>
              <w:bottom w:val="nil"/>
              <w:right w:val="single" w:color="000000" w:sz="4" w:space="0"/>
            </w:tcBorders>
            <w:vAlign w:val="center"/>
          </w:tcPr>
          <w:p>
            <w:pPr>
              <w:pStyle w:val="22"/>
              <w:ind w:firstLine="480"/>
              <w:jc w:val="center"/>
            </w:pPr>
          </w:p>
        </w:tc>
        <w:tc>
          <w:tcPr>
            <w:tcW w:w="1511" w:type="dxa"/>
            <w:tcBorders>
              <w:top w:val="single" w:color="000000" w:sz="4" w:space="0"/>
              <w:left w:val="nil"/>
              <w:bottom w:val="nil"/>
              <w:right w:val="single" w:color="000000" w:sz="4" w:space="0"/>
            </w:tcBorders>
            <w:vAlign w:val="center"/>
          </w:tcPr>
          <w:p>
            <w:pPr>
              <w:pStyle w:val="22"/>
              <w:ind w:firstLine="480"/>
              <w:jc w:val="center"/>
            </w:pPr>
          </w:p>
        </w:tc>
        <w:tc>
          <w:tcPr>
            <w:tcW w:w="2578" w:type="dxa"/>
            <w:tcBorders>
              <w:top w:val="single" w:color="000000" w:sz="4" w:space="0"/>
              <w:left w:val="nil"/>
              <w:bottom w:val="nil"/>
              <w:right w:val="single" w:color="000000" w:sz="4" w:space="0"/>
            </w:tcBorders>
            <w:vAlign w:val="center"/>
          </w:tcPr>
          <w:p>
            <w:pPr>
              <w:jc w:val="center"/>
            </w:pPr>
          </w:p>
        </w:tc>
      </w:tr>
      <w:tr>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2"/>
              </w:rPr>
            </w:pPr>
            <w:r>
              <w:rPr>
                <w:rFonts w:ascii="宋体" w:hAnsi="宋体"/>
                <w:sz w:val="22"/>
              </w:rPr>
              <w:t>……</w:t>
            </w: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828" w:type="dxa"/>
            <w:tcBorders>
              <w:top w:val="nil"/>
              <w:left w:val="nil"/>
              <w:bottom w:val="single" w:color="000000" w:sz="4" w:space="0"/>
              <w:right w:val="single" w:color="000000" w:sz="4" w:space="0"/>
            </w:tcBorders>
            <w:vAlign w:val="center"/>
          </w:tcPr>
          <w:p>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1511" w:type="dxa"/>
            <w:tcBorders>
              <w:top w:val="single" w:color="000000" w:sz="4" w:space="0"/>
              <w:left w:val="nil"/>
              <w:bottom w:val="single" w:color="000000" w:sz="4" w:space="0"/>
              <w:right w:val="single" w:color="000000" w:sz="4" w:space="0"/>
            </w:tcBorders>
            <w:vAlign w:val="center"/>
          </w:tcPr>
          <w:p>
            <w:pPr>
              <w:pStyle w:val="22"/>
              <w:ind w:firstLine="480"/>
              <w:jc w:val="center"/>
            </w:pPr>
          </w:p>
        </w:tc>
        <w:tc>
          <w:tcPr>
            <w:tcW w:w="2578" w:type="dxa"/>
            <w:tcBorders>
              <w:top w:val="single" w:color="000000" w:sz="4" w:space="0"/>
              <w:left w:val="nil"/>
              <w:bottom w:val="single" w:color="000000" w:sz="4" w:space="0"/>
              <w:right w:val="single" w:color="000000" w:sz="4" w:space="0"/>
            </w:tcBorders>
            <w:vAlign w:val="center"/>
          </w:tcPr>
          <w:p>
            <w:pPr>
              <w:jc w:val="center"/>
            </w:pPr>
          </w:p>
        </w:tc>
      </w:tr>
    </w:tbl>
    <w:p>
      <w:pPr>
        <w:spacing w:before="50" w:after="50"/>
        <w:rPr>
          <w:rFonts w:ascii="宋体" w:hAnsi="宋体"/>
          <w:b/>
          <w:bCs/>
          <w:sz w:val="24"/>
        </w:rPr>
      </w:pPr>
      <w:r>
        <w:rPr>
          <w:rFonts w:hint="eastAsia" w:ascii="宋体" w:hAnsi="宋体"/>
          <w:b/>
          <w:bCs/>
          <w:sz w:val="24"/>
        </w:rPr>
        <w:t>注：评分对应表主要用于作为专家评分的一个参考及查阅依据。</w:t>
      </w:r>
    </w:p>
    <w:p>
      <w:pPr>
        <w:tabs>
          <w:tab w:val="left" w:pos="1080"/>
        </w:tabs>
        <w:autoSpaceDE w:val="0"/>
        <w:autoSpaceDN w:val="0"/>
        <w:adjustRightInd w:val="0"/>
        <w:spacing w:line="500" w:lineRule="atLeast"/>
        <w:jc w:val="center"/>
        <w:textAlignment w:val="baseline"/>
        <w:rPr>
          <w:rFonts w:ascii="宋体"/>
          <w:b/>
          <w:bCs/>
          <w:sz w:val="36"/>
          <w:szCs w:val="36"/>
          <w:lang w:val="zh-CN"/>
        </w:rPr>
      </w:pPr>
      <w:r>
        <w:rPr>
          <w:rFonts w:hint="eastAsia" w:ascii="宋体" w:hAnsi="Calibri"/>
          <w:b/>
          <w:bCs/>
          <w:sz w:val="36"/>
          <w:szCs w:val="36"/>
          <w:lang w:val="zh-CN"/>
        </w:rPr>
        <w:br w:type="page"/>
      </w:r>
      <w:r>
        <w:rPr>
          <w:rFonts w:hint="eastAsia" w:ascii="宋体"/>
          <w:b/>
          <w:bCs/>
          <w:sz w:val="36"/>
          <w:szCs w:val="36"/>
          <w:lang w:val="zh-CN"/>
        </w:rPr>
        <w:t>第七部分   评标办法</w:t>
      </w:r>
    </w:p>
    <w:p>
      <w:pPr>
        <w:adjustRightInd w:val="0"/>
        <w:snapToGrid w:val="0"/>
        <w:spacing w:line="400" w:lineRule="exact"/>
        <w:ind w:firstLine="420"/>
        <w:rPr>
          <w:rFonts w:ascii="宋体" w:hAnsi="宋体"/>
          <w:sz w:val="22"/>
          <w:szCs w:val="22"/>
        </w:rPr>
      </w:pPr>
      <w:r>
        <w:rPr>
          <w:rFonts w:hint="eastAsia" w:ascii="宋体" w:hAnsi="宋体"/>
          <w:sz w:val="22"/>
          <w:szCs w:val="22"/>
        </w:rPr>
        <w:t>根据《中华人民共和国政府采购法》等有关政府采购法规，结合本次所要采购服务的实际，按照公平、公正、科学、择优的原则选择成交单位，特制定本评标办法。</w:t>
      </w:r>
    </w:p>
    <w:p>
      <w:pPr>
        <w:adjustRightInd w:val="0"/>
        <w:snapToGrid w:val="0"/>
        <w:spacing w:line="400" w:lineRule="exact"/>
        <w:jc w:val="center"/>
        <w:rPr>
          <w:rFonts w:ascii="宋体" w:hAnsi="宋体"/>
          <w:b/>
          <w:sz w:val="22"/>
          <w:szCs w:val="22"/>
        </w:rPr>
      </w:pPr>
      <w:r>
        <w:rPr>
          <w:rFonts w:hint="eastAsia" w:ascii="宋体" w:hAnsi="宋体"/>
          <w:b/>
          <w:sz w:val="22"/>
          <w:szCs w:val="22"/>
        </w:rPr>
        <w:t>一、总则</w:t>
      </w:r>
    </w:p>
    <w:p>
      <w:pPr>
        <w:adjustRightInd w:val="0"/>
        <w:snapToGrid w:val="0"/>
        <w:spacing w:line="400" w:lineRule="exact"/>
        <w:ind w:firstLine="420"/>
        <w:rPr>
          <w:rFonts w:ascii="宋体" w:hAnsi="宋体"/>
          <w:sz w:val="22"/>
          <w:szCs w:val="22"/>
        </w:rPr>
      </w:pPr>
      <w:r>
        <w:rPr>
          <w:rFonts w:hint="eastAsia" w:ascii="宋体" w:hAnsi="宋体" w:eastAsia="宋体" w:cs="Times New Roman"/>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sz w:val="22"/>
          <w:szCs w:val="22"/>
        </w:rPr>
        <w:t>。</w:t>
      </w:r>
    </w:p>
    <w:p>
      <w:pPr>
        <w:adjustRightInd w:val="0"/>
        <w:snapToGrid w:val="0"/>
        <w:spacing w:line="400" w:lineRule="exact"/>
        <w:jc w:val="center"/>
        <w:rPr>
          <w:rFonts w:ascii="宋体" w:hAnsi="宋体"/>
          <w:b/>
          <w:sz w:val="22"/>
          <w:szCs w:val="22"/>
        </w:rPr>
      </w:pPr>
      <w:r>
        <w:rPr>
          <w:rFonts w:hint="eastAsia" w:ascii="宋体" w:hAnsi="宋体"/>
          <w:b/>
          <w:sz w:val="22"/>
          <w:szCs w:val="22"/>
        </w:rPr>
        <w:t>二、评审组织</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sz w:val="22"/>
          <w:szCs w:val="22"/>
        </w:rPr>
        <w:t>标</w:t>
      </w:r>
      <w:r>
        <w:rPr>
          <w:rFonts w:hint="eastAsia" w:ascii="宋体" w:hAnsi="宋体" w:eastAsia="宋体" w:cs="Times New Roman"/>
          <w:sz w:val="22"/>
          <w:szCs w:val="22"/>
        </w:rPr>
        <w:t>全过程由采购管理部门全程监督</w:t>
      </w:r>
      <w:r>
        <w:rPr>
          <w:rFonts w:ascii="宋体" w:hAnsi="宋体" w:eastAsia="宋体" w:cs="Times New Roman"/>
          <w:sz w:val="22"/>
          <w:szCs w:val="22"/>
        </w:rPr>
        <w:t>整个开标、评标和定标过程。</w:t>
      </w:r>
    </w:p>
    <w:p>
      <w:pPr>
        <w:adjustRightInd w:val="0"/>
        <w:snapToGrid w:val="0"/>
        <w:spacing w:line="400" w:lineRule="exact"/>
        <w:jc w:val="center"/>
        <w:rPr>
          <w:rFonts w:ascii="宋体" w:hAnsi="宋体"/>
          <w:b/>
          <w:sz w:val="22"/>
          <w:szCs w:val="22"/>
        </w:rPr>
      </w:pPr>
      <w:r>
        <w:rPr>
          <w:rFonts w:hint="eastAsia" w:ascii="宋体" w:hAnsi="宋体"/>
          <w:b/>
          <w:sz w:val="22"/>
          <w:szCs w:val="22"/>
        </w:rPr>
        <w:t>三、</w:t>
      </w:r>
      <w:r>
        <w:rPr>
          <w:rFonts w:hint="eastAsia" w:ascii="宋体" w:hAnsi="宋体" w:eastAsia="宋体" w:cs="Times New Roman"/>
          <w:b/>
          <w:sz w:val="22"/>
          <w:szCs w:val="22"/>
        </w:rPr>
        <w:t>响应文件递交截止、磋商程序、磋商原则和方式</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w:t>
      </w:r>
      <w:r>
        <w:rPr>
          <w:rFonts w:hint="eastAsia" w:ascii="宋体"/>
          <w:sz w:val="22"/>
        </w:rPr>
        <w:t>开标准备</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1.2若磋商供应商在规定时间内无法解密或解密失败，</w:t>
      </w:r>
      <w:r>
        <w:rPr>
          <w:rFonts w:hint="eastAsia" w:ascii="宋体" w:hAnsi="宋体"/>
          <w:kern w:val="0"/>
          <w:sz w:val="22"/>
        </w:rPr>
        <w:t>投标无效。</w:t>
      </w:r>
      <w:r>
        <w:rPr>
          <w:rFonts w:hint="eastAsia" w:ascii="宋体" w:hAnsi="宋体" w:eastAsia="宋体" w:cs="Times New Roman"/>
          <w:sz w:val="22"/>
          <w:szCs w:val="22"/>
        </w:rPr>
        <w:t>。</w:t>
      </w:r>
    </w:p>
    <w:p>
      <w:pPr>
        <w:adjustRightInd w:val="0"/>
        <w:snapToGrid w:val="0"/>
        <w:spacing w:line="400" w:lineRule="exact"/>
        <w:ind w:firstLine="420"/>
      </w:pPr>
      <w:r>
        <w:rPr>
          <w:rFonts w:hint="eastAsia" w:ascii="宋体" w:hAnsi="宋体" w:eastAsia="宋体" w:cs="Times New Roman"/>
          <w:sz w:val="22"/>
          <w:szCs w:val="22"/>
        </w:rPr>
        <w:t>1.3所有二次报价询标流程，均在线上完成，请各供应商务必不要离开电脑太久，并留意手机短信。（请提前检查“政采云”内，关于‘项目采购’的岗位权限是否已勾选上。如有问题，请致电400-881-7190）。</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2、电子招投标开标及评审程序</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2.2投标文件解密结束，开启响应文件，磋商小组对资格和商务技术响应文件进行评审；</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2.3供应商按签到的前后顺序决定磋商的顺序，就价格、服务等认为需要磋商的内容进行磋商，供应商逐家回答磋商小组的提问，响应人作出最终承诺和最终报价。</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2.4在系统上公开资格和商务技术评审结果；</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2.5在系统上录入最终报价情况；</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2.6磋商小组对报价情况进行评审；</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2.7在系统上公布评审结果。</w:t>
      </w:r>
    </w:p>
    <w:p>
      <w:pPr>
        <w:adjustRightInd w:val="0"/>
        <w:snapToGrid w:val="0"/>
        <w:spacing w:line="400" w:lineRule="exact"/>
        <w:ind w:firstLine="420"/>
        <w:rPr>
          <w:rFonts w:ascii="宋体" w:hAnsi="宋体" w:eastAsia="宋体" w:cs="Times New Roman"/>
          <w:b/>
          <w:bCs/>
          <w:sz w:val="22"/>
          <w:szCs w:val="22"/>
        </w:rPr>
      </w:pPr>
      <w:r>
        <w:rPr>
          <w:rFonts w:hint="eastAsia" w:ascii="宋体" w:hAnsi="宋体" w:eastAsia="宋体" w:cs="Times New Roman"/>
          <w:b/>
          <w:bCs/>
          <w:sz w:val="22"/>
          <w:szCs w:val="22"/>
        </w:rPr>
        <w:t>特别说明：政采云公司如对电子化开标及评审程序有调整的，按调整后的程序操作。</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3、本次采购是根据竞争性磋商采购方式进行，各供应商第一次报价不公开。</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3.1如竞争性磋商小组认为竞争性磋商文件能够详细列明采购标的的技术、服务要求的，评审结束后，竞争性磋商小组可以直接对供应商进行打分评价。</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3.3对竞争性磋商文件作出的实质性变动是竞争性磋商文件的有效组成部分，竞争性磋商小组应当及时以书面形式同时通知所有参加磋商的供应商。</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3.4供应商应当按照竞争性磋商文件的变动情况和竞争性磋商小组的要求重新提交响应文件，并由其法定代表人或授权代表签字或者加盖公章。由授权代表签字的，应当附法定代表人授权书。</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4、评审原则和方法</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4.1竞争性磋商小组负责审查响应文件是否符合竞争性磋商文件的要求，并作出评价。竞争性磋商小组认为必要时，可向供应商进行质疑。竞争性磋商小组有权决定全部或部分供应商响应文件无效。</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4.2竞争性磋商小组将综合分析合格供应商的各项指标，而不是以单项指标的优劣评选出成交的供应商。</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4.4本次评审采用综合评分法，竞争性磋商小组根据竞争性磋商文件制定的评审办法对供应商进行评审排序，将综合得分第一名的供应商向采购单位推荐其为成交供应商。</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5、响应文件的澄清</w:t>
      </w:r>
    </w:p>
    <w:p>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5.1、为有利于对响应文件的比较和评议，必要时采购单位可要求供应商对响应文件进行澄清，并作出书面答复。书面答复须有供应商授权代表签字并作为响应文件内容的一部分。</w:t>
      </w:r>
    </w:p>
    <w:p>
      <w:pPr>
        <w:adjustRightInd w:val="0"/>
        <w:snapToGrid w:val="0"/>
        <w:spacing w:line="400" w:lineRule="exact"/>
        <w:jc w:val="center"/>
        <w:rPr>
          <w:rFonts w:ascii="宋体" w:hAnsi="宋体"/>
          <w:sz w:val="22"/>
          <w:szCs w:val="22"/>
        </w:rPr>
      </w:pPr>
      <w:r>
        <w:rPr>
          <w:rFonts w:hint="eastAsia" w:ascii="宋体" w:hAnsi="宋体"/>
          <w:b/>
          <w:sz w:val="22"/>
          <w:szCs w:val="22"/>
        </w:rPr>
        <w:t>四、评审细则</w:t>
      </w:r>
    </w:p>
    <w:p>
      <w:pPr>
        <w:adjustRightInd w:val="0"/>
        <w:snapToGrid w:val="0"/>
        <w:spacing w:line="400" w:lineRule="exact"/>
        <w:rPr>
          <w:rFonts w:ascii="宋体" w:hAnsi="宋体"/>
          <w:sz w:val="22"/>
          <w:szCs w:val="22"/>
        </w:rPr>
      </w:pPr>
      <w:r>
        <w:rPr>
          <w:rFonts w:hint="eastAsia" w:ascii="宋体" w:hAnsi="宋体"/>
          <w:sz w:val="22"/>
          <w:szCs w:val="22"/>
        </w:rPr>
        <w:t>（一）商务报价评分（40分）</w:t>
      </w:r>
    </w:p>
    <w:p>
      <w:pPr>
        <w:pStyle w:val="15"/>
        <w:adjustRightInd w:val="0"/>
        <w:snapToGrid w:val="0"/>
        <w:spacing w:line="420" w:lineRule="exact"/>
        <w:ind w:firstLine="440" w:firstLineChars="200"/>
        <w:rPr>
          <w:rFonts w:hAnsi="宋体"/>
          <w:sz w:val="22"/>
          <w:szCs w:val="22"/>
        </w:rPr>
      </w:pPr>
      <w:r>
        <w:rPr>
          <w:rFonts w:hint="eastAsia" w:hAnsi="宋体" w:cs="Arial"/>
          <w:kern w:val="0"/>
          <w:sz w:val="22"/>
        </w:rPr>
        <w:t>1、</w:t>
      </w:r>
      <w:r>
        <w:rPr>
          <w:rFonts w:hint="eastAsia" w:hAnsi="宋体" w:eastAsia="宋体" w:cs="Arial"/>
          <w:kern w:val="0"/>
          <w:sz w:val="22"/>
        </w:rPr>
        <w:t>以满足竞争性磋商文件要求且最后报价最低的有效供应商的价格为磋商基准价，得满分</w:t>
      </w:r>
      <w:r>
        <w:rPr>
          <w:rFonts w:hint="eastAsia" w:hAnsi="宋体"/>
          <w:sz w:val="22"/>
          <w:szCs w:val="22"/>
        </w:rPr>
        <w:t>为40分；商</w:t>
      </w:r>
      <w:r>
        <w:rPr>
          <w:rFonts w:hint="eastAsia" w:hAnsi="宋体" w:eastAsia="宋体" w:cs="Arial"/>
          <w:kern w:val="0"/>
          <w:sz w:val="22"/>
        </w:rPr>
        <w:t>务报价评分结算公式为：</w:t>
      </w:r>
    </w:p>
    <w:p>
      <w:pPr>
        <w:adjustRightInd w:val="0"/>
        <w:snapToGrid w:val="0"/>
        <w:spacing w:line="400" w:lineRule="exact"/>
        <w:ind w:firstLine="420"/>
        <w:rPr>
          <w:rFonts w:hint="eastAsia" w:ascii="宋体" w:cs="宋体"/>
          <w:bCs/>
          <w:sz w:val="22"/>
          <w:szCs w:val="22"/>
        </w:rPr>
      </w:pPr>
      <w:r>
        <w:rPr>
          <w:rFonts w:hint="eastAsia" w:ascii="宋体" w:hAnsi="宋体" w:eastAsia="宋体" w:cs="Arial"/>
          <w:kern w:val="0"/>
          <w:sz w:val="22"/>
        </w:rPr>
        <w:t>磋商报价得分=（磋商基准价/最后磋商报价</w:t>
      </w:r>
      <w:r>
        <w:rPr>
          <w:rFonts w:hint="eastAsia" w:ascii="宋体" w:hAnsi="宋体"/>
          <w:sz w:val="22"/>
          <w:szCs w:val="22"/>
        </w:rPr>
        <w:t>）×40%×10</w:t>
      </w:r>
      <w:r>
        <w:rPr>
          <w:rFonts w:hint="eastAsia" w:ascii="宋体" w:hAnsi="宋体" w:eastAsia="宋体" w:cs="Arial"/>
          <w:kern w:val="0"/>
          <w:sz w:val="22"/>
        </w:rPr>
        <w:t>0</w:t>
      </w:r>
      <w:r>
        <w:rPr>
          <w:rFonts w:hint="eastAsia" w:ascii="宋体" w:cs="宋体"/>
          <w:bCs/>
          <w:sz w:val="22"/>
          <w:szCs w:val="22"/>
        </w:rPr>
        <w:t>（四舍五入后保留小数2位）。</w:t>
      </w:r>
    </w:p>
    <w:p>
      <w:pPr>
        <w:widowControl/>
        <w:spacing w:line="400" w:lineRule="exact"/>
        <w:ind w:firstLine="440" w:firstLineChars="200"/>
      </w:pPr>
      <w:r>
        <w:rPr>
          <w:rFonts w:hint="eastAsia" w:ascii="宋体" w:hAnsi="宋体" w:cs="宋体"/>
          <w:color w:val="auto"/>
          <w:sz w:val="22"/>
          <w:szCs w:val="22"/>
        </w:rPr>
        <w:t>本项目根据《政府采购促进中小企业发展暂行办法》（财库﹝2020﹞46 号）第五条的规定；财政部、司法部《关于政府采购支持监狱企业发展有关问题的通知》（财库〔2014〕68号）的规定</w:t>
      </w:r>
      <w:r>
        <w:rPr>
          <w:rFonts w:hint="eastAsia" w:ascii="宋体" w:hAnsi="宋体" w:cs="宋体"/>
          <w:color w:val="auto"/>
          <w:sz w:val="22"/>
          <w:szCs w:val="22"/>
          <w:lang w:val="en-US" w:eastAsia="zh-CN"/>
        </w:rPr>
        <w:t>；《浙江省财政厅关于进一步加大政府采购支持中小企业力度助力扎实稳住经济 的通知》</w:t>
      </w:r>
      <w:r>
        <w:rPr>
          <w:rFonts w:hint="eastAsia" w:ascii="宋体" w:hAnsi="宋体" w:cs="宋体"/>
          <w:color w:val="auto"/>
          <w:sz w:val="22"/>
          <w:szCs w:val="22"/>
        </w:rPr>
        <w:t>对小微企业（含监狱企业、残疾人福利性单位）投标产品给予</w:t>
      </w:r>
      <w:r>
        <w:rPr>
          <w:rFonts w:hint="eastAsia" w:ascii="宋体" w:hAnsi="宋体" w:cs="宋体"/>
          <w:color w:val="auto"/>
          <w:sz w:val="22"/>
          <w:szCs w:val="22"/>
          <w:lang w:val="en-US" w:eastAsia="zh-CN"/>
        </w:rPr>
        <w:t>2</w:t>
      </w:r>
      <w:r>
        <w:rPr>
          <w:rFonts w:hint="eastAsia" w:ascii="宋体" w:hAnsi="宋体" w:cs="宋体"/>
          <w:color w:val="auto"/>
          <w:sz w:val="22"/>
          <w:szCs w:val="22"/>
        </w:rPr>
        <w:t>0%的评标价格扣除。（说明：标价格折扣计算以元人民币为单</w:t>
      </w:r>
      <w:bookmarkStart w:id="59" w:name="_GoBack"/>
      <w:bookmarkEnd w:id="59"/>
      <w:r>
        <w:rPr>
          <w:rFonts w:hint="eastAsia" w:ascii="宋体" w:hAnsi="宋体" w:cs="宋体"/>
          <w:color w:val="auto"/>
          <w:sz w:val="22"/>
          <w:szCs w:val="22"/>
        </w:rPr>
        <w:t>位，保留两位小数，第三位四舍五入进位。）</w:t>
      </w:r>
    </w:p>
    <w:p>
      <w:pPr>
        <w:adjustRightInd w:val="0"/>
        <w:snapToGrid w:val="0"/>
        <w:spacing w:line="400" w:lineRule="exact"/>
        <w:rPr>
          <w:rFonts w:ascii="宋体" w:hAnsi="宋体"/>
          <w:sz w:val="22"/>
          <w:szCs w:val="22"/>
        </w:rPr>
      </w:pPr>
      <w:r>
        <w:rPr>
          <w:rFonts w:hint="eastAsia" w:ascii="宋体" w:hAnsi="宋体"/>
          <w:sz w:val="22"/>
          <w:szCs w:val="22"/>
        </w:rPr>
        <w:t>（二）技术资信分评分（60分）</w:t>
      </w:r>
    </w:p>
    <w:tbl>
      <w:tblPr>
        <w:tblStyle w:val="27"/>
        <w:tblW w:w="9856"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08"/>
        <w:gridCol w:w="545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7" w:type="dxa"/>
            <w:vAlign w:val="center"/>
          </w:tcPr>
          <w:p>
            <w:pPr>
              <w:snapToGrid w:val="0"/>
              <w:jc w:val="center"/>
              <w:rPr>
                <w:rFonts w:ascii="宋体" w:hAnsi="宋体" w:eastAsia="宋体" w:cs="宋体"/>
                <w:b/>
                <w:sz w:val="22"/>
                <w:szCs w:val="22"/>
              </w:rPr>
            </w:pPr>
            <w:r>
              <w:rPr>
                <w:rFonts w:hint="eastAsia" w:ascii="宋体" w:hAnsi="宋体" w:eastAsia="宋体" w:cs="宋体"/>
                <w:b/>
                <w:sz w:val="22"/>
                <w:szCs w:val="22"/>
              </w:rPr>
              <w:t>序号</w:t>
            </w:r>
          </w:p>
        </w:tc>
        <w:tc>
          <w:tcPr>
            <w:tcW w:w="1908" w:type="dxa"/>
            <w:vAlign w:val="center"/>
          </w:tcPr>
          <w:p>
            <w:pPr>
              <w:snapToGrid w:val="0"/>
              <w:jc w:val="center"/>
              <w:rPr>
                <w:rFonts w:ascii="宋体" w:hAnsi="宋体" w:eastAsia="宋体" w:cs="宋体"/>
                <w:spacing w:val="-2"/>
                <w:sz w:val="22"/>
                <w:szCs w:val="22"/>
              </w:rPr>
            </w:pPr>
            <w:r>
              <w:rPr>
                <w:rFonts w:hint="eastAsia" w:ascii="宋体" w:hAnsi="宋体" w:eastAsia="宋体" w:cs="宋体"/>
                <w:b/>
                <w:sz w:val="22"/>
                <w:szCs w:val="22"/>
              </w:rPr>
              <w:t>评分内容</w:t>
            </w:r>
          </w:p>
        </w:tc>
        <w:tc>
          <w:tcPr>
            <w:tcW w:w="5452" w:type="dxa"/>
            <w:vAlign w:val="center"/>
          </w:tcPr>
          <w:p>
            <w:pPr>
              <w:snapToGrid w:val="0"/>
              <w:jc w:val="center"/>
              <w:rPr>
                <w:rFonts w:ascii="宋体" w:hAnsi="宋体" w:eastAsia="宋体" w:cs="宋体"/>
                <w:b/>
                <w:sz w:val="22"/>
                <w:szCs w:val="22"/>
              </w:rPr>
            </w:pPr>
            <w:r>
              <w:rPr>
                <w:rFonts w:hint="eastAsia" w:ascii="宋体" w:hAnsi="宋体" w:eastAsia="宋体" w:cs="宋体"/>
                <w:b/>
                <w:sz w:val="22"/>
                <w:szCs w:val="22"/>
              </w:rPr>
              <w:t>评分标准</w:t>
            </w:r>
          </w:p>
        </w:tc>
        <w:tc>
          <w:tcPr>
            <w:tcW w:w="1759" w:type="dxa"/>
            <w:vAlign w:val="center"/>
          </w:tcPr>
          <w:p>
            <w:pPr>
              <w:snapToGrid w:val="0"/>
              <w:jc w:val="center"/>
              <w:rPr>
                <w:rFonts w:ascii="宋体" w:hAnsi="宋体" w:eastAsia="宋体" w:cs="宋体"/>
                <w:b/>
                <w:sz w:val="22"/>
                <w:szCs w:val="22"/>
              </w:rPr>
            </w:pPr>
            <w:r>
              <w:rPr>
                <w:rFonts w:hint="eastAsia" w:ascii="宋体" w:hAnsi="宋体" w:eastAsia="宋体" w:cs="宋体"/>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37" w:type="dxa"/>
            <w:vAlign w:val="center"/>
          </w:tcPr>
          <w:p>
            <w:pPr>
              <w:numPr>
                <w:ilvl w:val="0"/>
                <w:numId w:val="20"/>
              </w:numPr>
              <w:snapToGrid w:val="0"/>
              <w:rPr>
                <w:rFonts w:ascii="宋体" w:hAnsi="宋体" w:eastAsia="宋体" w:cs="宋体"/>
                <w:spacing w:val="-2"/>
                <w:sz w:val="22"/>
                <w:szCs w:val="22"/>
              </w:rPr>
            </w:pPr>
          </w:p>
        </w:tc>
        <w:tc>
          <w:tcPr>
            <w:tcW w:w="1908" w:type="dxa"/>
            <w:vAlign w:val="center"/>
          </w:tcPr>
          <w:p>
            <w:pPr>
              <w:snapToGrid w:val="0"/>
              <w:jc w:val="center"/>
              <w:rPr>
                <w:rFonts w:ascii="宋体" w:hAnsi="宋体" w:eastAsia="宋体" w:cs="宋体"/>
                <w:sz w:val="22"/>
                <w:szCs w:val="22"/>
                <w:lang w:bidi="ar"/>
              </w:rPr>
            </w:pPr>
            <w:r>
              <w:rPr>
                <w:rFonts w:hint="eastAsia" w:ascii="宋体" w:hAnsi="宋体" w:eastAsia="宋体" w:cs="宋体"/>
                <w:sz w:val="22"/>
                <w:szCs w:val="22"/>
                <w:lang w:bidi="ar"/>
              </w:rPr>
              <w:t>业绩</w:t>
            </w:r>
          </w:p>
        </w:tc>
        <w:tc>
          <w:tcPr>
            <w:tcW w:w="5452" w:type="dxa"/>
            <w:vAlign w:val="center"/>
          </w:tcPr>
          <w:p>
            <w:pPr>
              <w:snapToGrid w:val="0"/>
              <w:rPr>
                <w:rFonts w:ascii="宋体" w:hAnsi="宋体" w:eastAsia="宋体" w:cs="宋体"/>
                <w:spacing w:val="-2"/>
                <w:sz w:val="22"/>
                <w:szCs w:val="22"/>
              </w:rPr>
            </w:pPr>
            <w:r>
              <w:rPr>
                <w:rFonts w:hint="eastAsia" w:ascii="宋体" w:hAnsi="宋体" w:eastAsia="宋体" w:cs="宋体"/>
                <w:sz w:val="22"/>
                <w:szCs w:val="22"/>
              </w:rPr>
              <w:t>供应商完成的类似项目业绩，每提供1个业绩得1分，最多3分，</w:t>
            </w:r>
            <w:r>
              <w:rPr>
                <w:rFonts w:hint="eastAsia" w:ascii="宋体" w:hAnsi="宋体" w:cs="宋体"/>
                <w:color w:val="000000"/>
                <w:szCs w:val="21"/>
              </w:rPr>
              <w:t>须提供</w:t>
            </w:r>
            <w:r>
              <w:rPr>
                <w:rFonts w:hint="eastAsia" w:ascii="宋体" w:hAnsi="宋体" w:cs="宋体"/>
                <w:color w:val="000000"/>
                <w:szCs w:val="18"/>
              </w:rPr>
              <w:t>合同或中标通知书（如有）、</w:t>
            </w:r>
            <w:r>
              <w:rPr>
                <w:rFonts w:hint="eastAsia"/>
                <w:color w:val="000000"/>
              </w:rPr>
              <w:t>验收通过相关证明材料</w:t>
            </w:r>
            <w:r>
              <w:rPr>
                <w:rFonts w:hint="eastAsia" w:ascii="宋体" w:hAnsi="宋体" w:cs="宋体"/>
                <w:color w:val="000000"/>
                <w:szCs w:val="21"/>
              </w:rPr>
              <w:t>，扫描件加盖电子公章，不提供不得分</w:t>
            </w:r>
            <w:r>
              <w:rPr>
                <w:rFonts w:hint="eastAsia" w:ascii="宋体" w:hAnsi="宋体" w:cs="宋体"/>
                <w:color w:val="000000"/>
                <w:szCs w:val="21"/>
                <w:lang w:eastAsia="zh-CN"/>
              </w:rPr>
              <w:t>。</w:t>
            </w:r>
          </w:p>
        </w:tc>
        <w:tc>
          <w:tcPr>
            <w:tcW w:w="1759" w:type="dxa"/>
            <w:vAlign w:val="center"/>
          </w:tcPr>
          <w:p>
            <w:pPr>
              <w:snapToGrid w:val="0"/>
              <w:jc w:val="center"/>
              <w:rPr>
                <w:rFonts w:ascii="宋体" w:hAnsi="宋体" w:eastAsia="宋体" w:cs="宋体"/>
                <w:sz w:val="22"/>
                <w:szCs w:val="22"/>
              </w:rPr>
            </w:pPr>
            <w:r>
              <w:rPr>
                <w:rFonts w:hint="eastAsia" w:ascii="宋体" w:hAnsi="宋体" w:eastAsia="宋体" w:cs="宋体"/>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rPr>
                <w:rFonts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p>
        </w:tc>
        <w:tc>
          <w:tcPr>
            <w:tcW w:w="1908" w:type="dxa"/>
            <w:vAlign w:val="center"/>
          </w:tcPr>
          <w:p>
            <w:pPr>
              <w:snapToGrid w:val="0"/>
              <w:jc w:val="center"/>
              <w:rPr>
                <w:rFonts w:ascii="宋体" w:hAnsi="宋体" w:eastAsia="宋体" w:cs="宋体"/>
                <w:sz w:val="22"/>
                <w:szCs w:val="22"/>
                <w:lang w:bidi="ar"/>
              </w:rPr>
            </w:pPr>
            <w:r>
              <w:rPr>
                <w:rFonts w:hint="eastAsia" w:ascii="宋体" w:hAnsi="宋体" w:eastAsia="宋体" w:cs="宋体"/>
                <w:sz w:val="22"/>
                <w:szCs w:val="22"/>
                <w:lang w:bidi="ar"/>
              </w:rPr>
              <w:t>技术参数方案</w:t>
            </w:r>
          </w:p>
        </w:tc>
        <w:tc>
          <w:tcPr>
            <w:tcW w:w="5452" w:type="dxa"/>
            <w:vAlign w:val="center"/>
          </w:tcPr>
          <w:p>
            <w:pPr>
              <w:snapToGrid w:val="0"/>
              <w:rPr>
                <w:rFonts w:ascii="宋体" w:hAnsi="宋体" w:eastAsia="宋体" w:cs="宋体"/>
                <w:sz w:val="22"/>
                <w:szCs w:val="22"/>
              </w:rPr>
            </w:pPr>
            <w:r>
              <w:rPr>
                <w:rFonts w:hint="eastAsia" w:ascii="宋体" w:hAnsi="宋体" w:eastAsia="宋体" w:cs="宋体"/>
                <w:sz w:val="22"/>
                <w:szCs w:val="22"/>
              </w:rPr>
              <w:t>根</w:t>
            </w:r>
            <w:r>
              <w:rPr>
                <w:rFonts w:hint="eastAsia" w:ascii="宋体" w:hAnsi="宋体" w:cs="Times New Roman"/>
                <w:color w:val="000000"/>
                <w:sz w:val="22"/>
              </w:rPr>
              <w:t>据供应商响应文件对竞争性磋商文件技术要求的响应程度： 所投产品的所有参数均满足竞争性磋商文件要求，无任何负偏离的得</w:t>
            </w:r>
            <w:r>
              <w:rPr>
                <w:rFonts w:hint="eastAsia" w:ascii="宋体" w:hAnsi="宋体" w:cs="Times New Roman"/>
                <w:color w:val="000000"/>
                <w:sz w:val="22"/>
                <w:lang w:val="en-US" w:eastAsia="zh-CN"/>
              </w:rPr>
              <w:t>36</w:t>
            </w:r>
            <w:r>
              <w:rPr>
                <w:rFonts w:hint="eastAsia" w:ascii="宋体" w:hAnsi="宋体" w:cs="Times New Roman"/>
                <w:color w:val="000000"/>
                <w:sz w:val="22"/>
              </w:rPr>
              <w:t>分；所投产品参数不满足竞争性磋商文件要求的，每项扣1分，扣完为止。所投产品参数不满足竞争性磋商文件要求的，每项扣1分，扣完为止。</w:t>
            </w:r>
          </w:p>
        </w:tc>
        <w:tc>
          <w:tcPr>
            <w:tcW w:w="1759" w:type="dxa"/>
            <w:vAlign w:val="center"/>
          </w:tcPr>
          <w:p>
            <w:pPr>
              <w:snapToGrid w:val="0"/>
              <w:jc w:val="center"/>
              <w:rPr>
                <w:rFonts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36</w:t>
            </w:r>
            <w:r>
              <w:rPr>
                <w:rFonts w:hint="eastAsia" w:ascii="宋体" w:hAnsi="宋体" w:eastAsia="宋体" w:cs="宋体"/>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rPr>
                <w:rFonts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w:t>
            </w:r>
          </w:p>
        </w:tc>
        <w:tc>
          <w:tcPr>
            <w:tcW w:w="1908" w:type="dxa"/>
            <w:vAlign w:val="center"/>
          </w:tcPr>
          <w:p>
            <w:pPr>
              <w:spacing w:line="320" w:lineRule="exact"/>
              <w:jc w:val="center"/>
              <w:rPr>
                <w:rFonts w:ascii="宋体" w:hAnsi="宋体" w:eastAsia="宋体" w:cs="宋体"/>
                <w:szCs w:val="21"/>
              </w:rPr>
            </w:pPr>
            <w:r>
              <w:rPr>
                <w:rFonts w:hint="eastAsia" w:ascii="宋体" w:hAnsi="宋体" w:eastAsia="宋体" w:cs="宋体"/>
                <w:szCs w:val="21"/>
              </w:rPr>
              <w:t>实施方案</w:t>
            </w:r>
          </w:p>
        </w:tc>
        <w:tc>
          <w:tcPr>
            <w:tcW w:w="5452" w:type="dxa"/>
            <w:vAlign w:val="center"/>
          </w:tcPr>
          <w:p>
            <w:pPr>
              <w:widowControl/>
              <w:snapToGrid w:val="0"/>
              <w:spacing w:line="340" w:lineRule="exact"/>
              <w:rPr>
                <w:rFonts w:hint="eastAsia" w:ascii="宋体" w:hAnsi="宋体" w:eastAsia="宋体" w:cs="宋体"/>
                <w:snapToGrid w:val="0"/>
                <w:color w:val="000000"/>
                <w:szCs w:val="21"/>
                <w:lang w:val="en-US" w:eastAsia="zh-CN" w:bidi="ar"/>
              </w:rPr>
            </w:pPr>
            <w:r>
              <w:rPr>
                <w:rFonts w:hint="eastAsia" w:ascii="宋体" w:hAnsi="宋体" w:cs="宋体"/>
                <w:bCs/>
                <w:color w:val="000000"/>
                <w:szCs w:val="21"/>
              </w:rPr>
              <w:t>评标委员会</w:t>
            </w:r>
            <w:r>
              <w:rPr>
                <w:rFonts w:hint="eastAsia" w:ascii="宋体" w:hAnsi="宋体" w:cs="宋体"/>
                <w:snapToGrid w:val="0"/>
                <w:color w:val="000000"/>
                <w:szCs w:val="21"/>
                <w:lang w:bidi="ar"/>
              </w:rPr>
              <w:t>根据投标人对本次招标的项目实施方案进行评审，项目实施方案内容齐全、完整，操作性强，满足项目需求</w:t>
            </w:r>
            <w:r>
              <w:rPr>
                <w:rFonts w:hint="eastAsia" w:ascii="宋体" w:hAnsi="宋体" w:cs="宋体"/>
                <w:snapToGrid w:val="0"/>
                <w:color w:val="000000"/>
                <w:szCs w:val="21"/>
                <w:lang w:eastAsia="zh-CN" w:bidi="ar"/>
              </w:rPr>
              <w:t>，</w:t>
            </w:r>
            <w:r>
              <w:rPr>
                <w:rFonts w:hint="eastAsia" w:ascii="宋体" w:hAnsi="宋体" w:cs="宋体"/>
                <w:snapToGrid w:val="0"/>
                <w:color w:val="000000"/>
                <w:szCs w:val="21"/>
                <w:lang w:val="en-US" w:eastAsia="zh-CN" w:bidi="ar"/>
              </w:rPr>
              <w:t>得满分6分。</w:t>
            </w:r>
          </w:p>
          <w:p>
            <w:pPr>
              <w:widowControl/>
              <w:snapToGrid w:val="0"/>
              <w:spacing w:line="340" w:lineRule="exact"/>
              <w:rPr>
                <w:rFonts w:hint="eastAsia" w:ascii="宋体" w:hAnsi="宋体" w:cs="宋体"/>
                <w:snapToGrid w:val="0"/>
                <w:color w:val="000000"/>
                <w:szCs w:val="21"/>
                <w:lang w:val="en-US" w:eastAsia="zh-CN" w:bidi="ar"/>
              </w:rPr>
            </w:pPr>
            <w:r>
              <w:rPr>
                <w:rFonts w:hint="eastAsia" w:ascii="宋体" w:hAnsi="宋体" w:cs="宋体"/>
                <w:snapToGrid w:val="0"/>
                <w:color w:val="000000"/>
                <w:szCs w:val="21"/>
                <w:lang w:bidi="ar"/>
              </w:rPr>
              <w:t>项目实施方案内容齐全、完整</w:t>
            </w:r>
            <w:r>
              <w:rPr>
                <w:rFonts w:hint="eastAsia" w:ascii="宋体" w:hAnsi="宋体" w:cs="宋体"/>
                <w:snapToGrid w:val="0"/>
                <w:color w:val="000000"/>
                <w:szCs w:val="21"/>
                <w:lang w:eastAsia="zh-CN" w:bidi="ar"/>
              </w:rPr>
              <w:t>的得</w:t>
            </w:r>
            <w:r>
              <w:rPr>
                <w:rFonts w:hint="eastAsia" w:ascii="宋体" w:hAnsi="宋体" w:cs="宋体"/>
                <w:snapToGrid w:val="0"/>
                <w:color w:val="000000"/>
                <w:szCs w:val="21"/>
                <w:lang w:val="en-US" w:eastAsia="zh-CN" w:bidi="ar"/>
              </w:rPr>
              <w:t>3分。</w:t>
            </w:r>
          </w:p>
          <w:p>
            <w:pPr>
              <w:widowControl/>
              <w:snapToGrid w:val="0"/>
              <w:spacing w:line="340" w:lineRule="exact"/>
              <w:rPr>
                <w:rFonts w:hint="eastAsia" w:ascii="宋体" w:hAnsi="宋体" w:cs="宋体"/>
                <w:snapToGrid w:val="0"/>
                <w:color w:val="000000"/>
                <w:szCs w:val="21"/>
                <w:lang w:bidi="ar"/>
              </w:rPr>
            </w:pPr>
            <w:r>
              <w:rPr>
                <w:rFonts w:hint="eastAsia" w:ascii="宋体" w:hAnsi="宋体" w:cs="宋体"/>
                <w:snapToGrid w:val="0"/>
                <w:color w:val="000000"/>
                <w:szCs w:val="21"/>
                <w:lang w:bidi="ar"/>
              </w:rPr>
              <w:t>项目实施方案操作性强，满足项目需求</w:t>
            </w:r>
            <w:r>
              <w:rPr>
                <w:rFonts w:hint="eastAsia" w:ascii="宋体" w:hAnsi="宋体" w:cs="宋体"/>
                <w:snapToGrid w:val="0"/>
                <w:color w:val="000000"/>
                <w:szCs w:val="21"/>
                <w:lang w:eastAsia="zh-CN" w:bidi="ar"/>
              </w:rPr>
              <w:t>得</w:t>
            </w:r>
            <w:r>
              <w:rPr>
                <w:rFonts w:hint="eastAsia" w:ascii="宋体" w:hAnsi="宋体" w:cs="宋体"/>
                <w:snapToGrid w:val="0"/>
                <w:color w:val="000000"/>
                <w:szCs w:val="21"/>
                <w:lang w:val="en-US" w:eastAsia="zh-CN" w:bidi="ar"/>
              </w:rPr>
              <w:t>3分。</w:t>
            </w:r>
          </w:p>
          <w:p>
            <w:pPr>
              <w:widowControl/>
              <w:snapToGrid w:val="0"/>
              <w:spacing w:line="340" w:lineRule="exact"/>
              <w:rPr>
                <w:rFonts w:ascii="宋体" w:hAnsi="宋体" w:eastAsia="宋体" w:cs="宋体"/>
                <w:sz w:val="22"/>
                <w:szCs w:val="22"/>
              </w:rPr>
            </w:pPr>
            <w:r>
              <w:rPr>
                <w:rFonts w:hint="eastAsia"/>
              </w:rPr>
              <w:t>未提供不得分。</w:t>
            </w:r>
          </w:p>
        </w:tc>
        <w:tc>
          <w:tcPr>
            <w:tcW w:w="1759" w:type="dxa"/>
            <w:vAlign w:val="center"/>
          </w:tcPr>
          <w:p>
            <w:pPr>
              <w:snapToGrid w:val="0"/>
              <w:jc w:val="center"/>
              <w:rPr>
                <w:rFonts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37" w:type="dxa"/>
            <w:vAlign w:val="center"/>
          </w:tcPr>
          <w:p>
            <w:pPr>
              <w:pStyle w:val="43"/>
              <w:spacing w:line="360" w:lineRule="auto"/>
              <w:jc w:val="both"/>
              <w:rPr>
                <w:rFonts w:ascii="宋体" w:hAnsi="宋体" w:cs="Times New Roman"/>
                <w:b w:val="0"/>
                <w:color w:val="auto"/>
                <w:kern w:val="2"/>
                <w:sz w:val="22"/>
                <w:szCs w:val="22"/>
              </w:rPr>
            </w:pPr>
            <w:r>
              <w:rPr>
                <w:rFonts w:hint="eastAsia" w:ascii="宋体" w:hAnsi="宋体" w:cs="Times New Roman"/>
                <w:b w:val="0"/>
                <w:color w:val="auto"/>
                <w:kern w:val="2"/>
                <w:sz w:val="22"/>
                <w:szCs w:val="22"/>
                <w:lang w:val="en-US" w:eastAsia="zh-CN"/>
              </w:rPr>
              <w:t>4</w:t>
            </w:r>
            <w:r>
              <w:rPr>
                <w:rFonts w:hint="eastAsia" w:ascii="宋体" w:hAnsi="宋体" w:cs="Times New Roman"/>
                <w:b w:val="0"/>
                <w:color w:val="auto"/>
                <w:kern w:val="2"/>
                <w:sz w:val="22"/>
                <w:szCs w:val="22"/>
              </w:rPr>
              <w:t>.</w:t>
            </w:r>
          </w:p>
        </w:tc>
        <w:tc>
          <w:tcPr>
            <w:tcW w:w="1908" w:type="dxa"/>
            <w:vAlign w:val="center"/>
          </w:tcPr>
          <w:p>
            <w:pPr>
              <w:pStyle w:val="43"/>
              <w:spacing w:line="360" w:lineRule="auto"/>
              <w:jc w:val="center"/>
              <w:rPr>
                <w:rFonts w:ascii="宋体" w:hAnsi="宋体" w:cs="Times New Roman"/>
                <w:b w:val="0"/>
                <w:color w:val="auto"/>
                <w:kern w:val="2"/>
                <w:sz w:val="22"/>
                <w:szCs w:val="22"/>
              </w:rPr>
            </w:pPr>
            <w:r>
              <w:rPr>
                <w:rFonts w:hint="eastAsia" w:ascii="宋体" w:hAnsi="宋体" w:cs="Times New Roman"/>
                <w:b w:val="0"/>
                <w:color w:val="auto"/>
                <w:kern w:val="2"/>
                <w:sz w:val="22"/>
                <w:szCs w:val="22"/>
              </w:rPr>
              <w:t>供货、安装、调试方案</w:t>
            </w:r>
          </w:p>
        </w:tc>
        <w:tc>
          <w:tcPr>
            <w:tcW w:w="5452" w:type="dxa"/>
            <w:vAlign w:val="center"/>
          </w:tcPr>
          <w:p>
            <w:pPr>
              <w:widowControl/>
              <w:snapToGrid w:val="0"/>
              <w:spacing w:line="340" w:lineRule="exact"/>
              <w:rPr>
                <w:rFonts w:hint="eastAsia" w:ascii="宋体" w:hAnsi="宋体" w:cs="宋体"/>
                <w:bCs/>
                <w:color w:val="000000"/>
                <w:szCs w:val="21"/>
                <w:lang w:eastAsia="zh-CN"/>
              </w:rPr>
            </w:pPr>
            <w:r>
              <w:rPr>
                <w:rFonts w:hint="eastAsia" w:ascii="宋体" w:hAnsi="宋体" w:cs="宋体"/>
                <w:bCs/>
                <w:color w:val="000000"/>
                <w:szCs w:val="21"/>
              </w:rPr>
              <w:t>根据投标人建议的</w:t>
            </w:r>
            <w:r>
              <w:rPr>
                <w:rFonts w:hint="eastAsia" w:ascii="宋体" w:hAnsi="宋体" w:cs="宋体"/>
                <w:bCs/>
                <w:color w:val="000000"/>
                <w:szCs w:val="21"/>
                <w:lang w:eastAsia="zh-CN"/>
              </w:rPr>
              <w:t>供货、</w:t>
            </w:r>
            <w:r>
              <w:rPr>
                <w:rFonts w:hint="eastAsia" w:ascii="宋体" w:hAnsi="宋体" w:cs="宋体"/>
                <w:bCs/>
                <w:color w:val="000000"/>
                <w:szCs w:val="21"/>
              </w:rPr>
              <w:t>安装、调试方案的合理可行性打分。方案合理、贴合项目需求的得</w:t>
            </w:r>
            <w:r>
              <w:rPr>
                <w:rFonts w:hint="eastAsia" w:ascii="宋体" w:hAnsi="宋体" w:cs="宋体"/>
                <w:bCs/>
                <w:color w:val="000000"/>
                <w:szCs w:val="21"/>
                <w:lang w:eastAsia="zh-CN"/>
              </w:rPr>
              <w:t>满分</w:t>
            </w:r>
            <w:r>
              <w:rPr>
                <w:rFonts w:hint="eastAsia" w:ascii="宋体" w:hAnsi="宋体" w:cs="宋体"/>
                <w:bCs/>
                <w:color w:val="000000"/>
                <w:szCs w:val="21"/>
                <w:lang w:val="en-US" w:eastAsia="zh-CN"/>
              </w:rPr>
              <w:t>3</w:t>
            </w:r>
            <w:r>
              <w:rPr>
                <w:rFonts w:hint="eastAsia" w:ascii="宋体" w:hAnsi="宋体" w:cs="宋体"/>
                <w:bCs/>
                <w:color w:val="000000"/>
                <w:szCs w:val="21"/>
              </w:rPr>
              <w:t>分</w:t>
            </w:r>
            <w:r>
              <w:rPr>
                <w:rFonts w:hint="eastAsia" w:ascii="宋体" w:hAnsi="宋体" w:cs="宋体"/>
                <w:bCs/>
                <w:color w:val="000000"/>
                <w:szCs w:val="21"/>
                <w:lang w:eastAsia="zh-CN"/>
              </w:rPr>
              <w:t>。</w:t>
            </w:r>
          </w:p>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rPr>
              <w:t>投标人建议的</w:t>
            </w:r>
            <w:r>
              <w:rPr>
                <w:rFonts w:hint="eastAsia" w:ascii="宋体" w:hAnsi="宋体" w:cs="宋体"/>
                <w:bCs/>
                <w:color w:val="000000"/>
                <w:szCs w:val="21"/>
                <w:lang w:eastAsia="zh-CN"/>
              </w:rPr>
              <w:t>供货</w:t>
            </w:r>
            <w:r>
              <w:rPr>
                <w:rFonts w:hint="eastAsia" w:ascii="宋体" w:hAnsi="宋体" w:cs="宋体"/>
                <w:bCs/>
                <w:color w:val="000000"/>
                <w:szCs w:val="21"/>
              </w:rPr>
              <w:t>方案合理、贴合项目需求</w:t>
            </w:r>
            <w:r>
              <w:rPr>
                <w:rFonts w:hint="eastAsia" w:ascii="宋体" w:hAnsi="宋体" w:cs="宋体"/>
                <w:bCs/>
                <w:color w:val="000000"/>
                <w:szCs w:val="21"/>
                <w:lang w:eastAsia="zh-CN"/>
              </w:rPr>
              <w:t>的得</w:t>
            </w:r>
            <w:r>
              <w:rPr>
                <w:rFonts w:hint="eastAsia" w:ascii="宋体" w:hAnsi="宋体" w:cs="宋体"/>
                <w:bCs/>
                <w:color w:val="000000"/>
                <w:szCs w:val="21"/>
                <w:lang w:val="en-US" w:eastAsia="zh-CN"/>
              </w:rPr>
              <w:t>1分。</w:t>
            </w:r>
          </w:p>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rPr>
              <w:t>投标人建议的安装方案合理、贴合项目需求</w:t>
            </w:r>
            <w:r>
              <w:rPr>
                <w:rFonts w:hint="eastAsia" w:ascii="宋体" w:hAnsi="宋体" w:cs="宋体"/>
                <w:bCs/>
                <w:color w:val="000000"/>
                <w:szCs w:val="21"/>
                <w:lang w:eastAsia="zh-CN"/>
              </w:rPr>
              <w:t>的得</w:t>
            </w:r>
            <w:r>
              <w:rPr>
                <w:rFonts w:hint="eastAsia" w:ascii="宋体" w:hAnsi="宋体" w:cs="宋体"/>
                <w:bCs/>
                <w:color w:val="000000"/>
                <w:szCs w:val="21"/>
                <w:lang w:val="en-US" w:eastAsia="zh-CN"/>
              </w:rPr>
              <w:t>1分。</w:t>
            </w:r>
          </w:p>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rPr>
              <w:t>投标人建议的调试方案合理、贴合项目需求</w:t>
            </w:r>
            <w:r>
              <w:rPr>
                <w:rFonts w:hint="eastAsia" w:ascii="宋体" w:hAnsi="宋体" w:cs="宋体"/>
                <w:bCs/>
                <w:color w:val="000000"/>
                <w:szCs w:val="21"/>
                <w:lang w:eastAsia="zh-CN"/>
              </w:rPr>
              <w:t>的得</w:t>
            </w:r>
            <w:r>
              <w:rPr>
                <w:rFonts w:hint="eastAsia" w:ascii="宋体" w:hAnsi="宋体" w:cs="宋体"/>
                <w:bCs/>
                <w:color w:val="000000"/>
                <w:szCs w:val="21"/>
                <w:lang w:val="en-US" w:eastAsia="zh-CN"/>
              </w:rPr>
              <w:t>1分。</w:t>
            </w:r>
          </w:p>
          <w:p>
            <w:pPr>
              <w:widowControl/>
              <w:snapToGrid w:val="0"/>
              <w:spacing w:line="340" w:lineRule="exact"/>
              <w:rPr>
                <w:rFonts w:hint="default" w:ascii="宋体" w:hAnsi="宋体" w:cs="宋体"/>
                <w:bCs/>
                <w:color w:val="000000"/>
                <w:szCs w:val="21"/>
                <w:lang w:val="en-US" w:eastAsia="zh-CN"/>
              </w:rPr>
            </w:pPr>
            <w:r>
              <w:rPr>
                <w:rFonts w:hint="eastAsia" w:ascii="宋体" w:hAnsi="宋体" w:cs="宋体"/>
                <w:bCs/>
                <w:color w:val="000000"/>
                <w:szCs w:val="21"/>
                <w:lang w:val="en-US" w:eastAsia="zh-CN"/>
              </w:rPr>
              <w:t>未提供不得分。</w:t>
            </w:r>
          </w:p>
        </w:tc>
        <w:tc>
          <w:tcPr>
            <w:tcW w:w="1759" w:type="dxa"/>
            <w:vAlign w:val="center"/>
          </w:tcPr>
          <w:p>
            <w:pPr>
              <w:pStyle w:val="43"/>
              <w:spacing w:line="360" w:lineRule="auto"/>
              <w:jc w:val="center"/>
              <w:rPr>
                <w:rFonts w:ascii="宋体" w:hAnsi="宋体" w:cs="Times New Roman"/>
                <w:b w:val="0"/>
                <w:color w:val="auto"/>
                <w:kern w:val="2"/>
                <w:sz w:val="22"/>
                <w:szCs w:val="22"/>
              </w:rPr>
            </w:pPr>
            <w:r>
              <w:rPr>
                <w:rFonts w:hint="eastAsia" w:ascii="宋体" w:hAnsi="宋体" w:cs="Times New Roman"/>
                <w:b w:val="0"/>
                <w:color w:val="auto"/>
                <w:kern w:val="2"/>
                <w:sz w:val="22"/>
                <w:szCs w:val="22"/>
              </w:rPr>
              <w:t>0-</w:t>
            </w:r>
            <w:r>
              <w:rPr>
                <w:rFonts w:hint="eastAsia" w:ascii="宋体" w:hAnsi="宋体" w:cs="Times New Roman"/>
                <w:b w:val="0"/>
                <w:color w:val="auto"/>
                <w:kern w:val="2"/>
                <w:sz w:val="22"/>
                <w:szCs w:val="22"/>
                <w:lang w:val="en-US" w:eastAsia="zh-CN"/>
              </w:rPr>
              <w:t>3</w:t>
            </w:r>
            <w:r>
              <w:rPr>
                <w:rFonts w:hint="eastAsia" w:ascii="宋体" w:hAnsi="宋体" w:cs="Times New Roman"/>
                <w:b w:val="0"/>
                <w:color w:val="auto"/>
                <w:kern w:val="2"/>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rPr>
                <w:rFonts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w:t>
            </w:r>
          </w:p>
        </w:tc>
        <w:tc>
          <w:tcPr>
            <w:tcW w:w="1908" w:type="dxa"/>
            <w:vAlign w:val="center"/>
          </w:tcPr>
          <w:p>
            <w:pPr>
              <w:pStyle w:val="43"/>
              <w:spacing w:line="360" w:lineRule="auto"/>
              <w:jc w:val="center"/>
              <w:rPr>
                <w:rFonts w:ascii="宋体" w:hAnsi="宋体" w:cs="Times New Roman"/>
                <w:b w:val="0"/>
                <w:color w:val="auto"/>
                <w:kern w:val="2"/>
                <w:sz w:val="22"/>
                <w:szCs w:val="22"/>
              </w:rPr>
            </w:pPr>
            <w:r>
              <w:rPr>
                <w:rFonts w:hint="eastAsia" w:ascii="宋体" w:hAnsi="宋体" w:cs="Times New Roman"/>
                <w:b w:val="0"/>
                <w:color w:val="auto"/>
                <w:kern w:val="2"/>
                <w:sz w:val="22"/>
                <w:szCs w:val="22"/>
              </w:rPr>
              <w:t>质量保障</w:t>
            </w:r>
          </w:p>
        </w:tc>
        <w:tc>
          <w:tcPr>
            <w:tcW w:w="5452" w:type="dxa"/>
            <w:vAlign w:val="center"/>
          </w:tcPr>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rPr>
              <w:t>评标委员会根据投标人提供的投标文件，对其针对本项目制定的质量保障措施方案进行评审</w:t>
            </w:r>
            <w:r>
              <w:rPr>
                <w:rFonts w:hint="eastAsia" w:ascii="宋体" w:hAnsi="宋体" w:cs="宋体"/>
                <w:bCs/>
                <w:color w:val="000000"/>
                <w:szCs w:val="21"/>
                <w:lang w:eastAsia="zh-CN"/>
              </w:rPr>
              <w:t>，</w:t>
            </w:r>
            <w:r>
              <w:rPr>
                <w:rFonts w:hint="eastAsia" w:ascii="宋体" w:hAnsi="宋体" w:cs="宋体"/>
                <w:bCs/>
                <w:color w:val="000000"/>
                <w:szCs w:val="21"/>
              </w:rPr>
              <w:t>质量保证措施</w:t>
            </w:r>
            <w:r>
              <w:rPr>
                <w:rFonts w:hint="eastAsia" w:ascii="宋体" w:hAnsi="宋体" w:cs="宋体"/>
                <w:bCs/>
                <w:color w:val="000000"/>
                <w:szCs w:val="21"/>
                <w:lang w:val="en-US" w:eastAsia="zh-CN"/>
              </w:rPr>
              <w:t>科学有效的，得满分3分。</w:t>
            </w:r>
          </w:p>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lang w:val="en-US" w:eastAsia="zh-CN"/>
              </w:rPr>
              <w:t>投标人提供的质量保证措施科学有效的得3分。</w:t>
            </w:r>
          </w:p>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lang w:val="en-US" w:eastAsia="zh-CN"/>
              </w:rPr>
              <w:t>投标人提供的质量保证措施欠佳的得2分。</w:t>
            </w:r>
          </w:p>
          <w:p>
            <w:pPr>
              <w:widowControl/>
              <w:snapToGrid w:val="0"/>
              <w:spacing w:line="340" w:lineRule="exact"/>
              <w:rPr>
                <w:rFonts w:hint="default" w:ascii="宋体" w:hAnsi="宋体" w:cs="宋体"/>
                <w:bCs/>
                <w:color w:val="000000"/>
                <w:szCs w:val="21"/>
                <w:lang w:val="en-US" w:eastAsia="zh-CN"/>
              </w:rPr>
            </w:pPr>
            <w:r>
              <w:rPr>
                <w:rFonts w:hint="eastAsia" w:ascii="宋体" w:hAnsi="宋体" w:cs="宋体"/>
                <w:bCs/>
                <w:color w:val="000000"/>
                <w:szCs w:val="21"/>
                <w:lang w:val="en-US" w:eastAsia="zh-CN"/>
              </w:rPr>
              <w:t>投标人提供的质量保证措施存在明显缺陷的得1分。</w:t>
            </w:r>
          </w:p>
          <w:p>
            <w:pPr>
              <w:widowControl/>
              <w:snapToGrid w:val="0"/>
              <w:spacing w:line="340" w:lineRule="exact"/>
              <w:rPr>
                <w:rFonts w:hint="eastAsia" w:ascii="宋体" w:hAnsi="宋体" w:cs="宋体"/>
                <w:bCs/>
                <w:color w:val="000000"/>
                <w:szCs w:val="21"/>
              </w:rPr>
            </w:pPr>
            <w:r>
              <w:rPr>
                <w:rFonts w:hint="eastAsia" w:ascii="宋体" w:hAnsi="宋体" w:cs="宋体"/>
                <w:bCs/>
                <w:color w:val="000000"/>
                <w:szCs w:val="21"/>
              </w:rPr>
              <w:t>未提供不得分。</w:t>
            </w:r>
          </w:p>
        </w:tc>
        <w:tc>
          <w:tcPr>
            <w:tcW w:w="1759" w:type="dxa"/>
            <w:vAlign w:val="center"/>
          </w:tcPr>
          <w:p>
            <w:pPr>
              <w:snapToGrid w:val="0"/>
              <w:jc w:val="center"/>
              <w:rPr>
                <w:rFonts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3</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rPr>
                <w:rFonts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w:t>
            </w:r>
          </w:p>
        </w:tc>
        <w:tc>
          <w:tcPr>
            <w:tcW w:w="1908" w:type="dxa"/>
            <w:vAlign w:val="center"/>
          </w:tcPr>
          <w:p>
            <w:pPr>
              <w:pStyle w:val="43"/>
              <w:spacing w:line="360" w:lineRule="auto"/>
              <w:jc w:val="center"/>
              <w:rPr>
                <w:rFonts w:ascii="宋体" w:hAnsi="宋体" w:cs="Times New Roman"/>
                <w:b w:val="0"/>
                <w:color w:val="auto"/>
                <w:kern w:val="2"/>
                <w:sz w:val="22"/>
                <w:szCs w:val="22"/>
              </w:rPr>
            </w:pPr>
            <w:r>
              <w:rPr>
                <w:rFonts w:hint="eastAsia" w:ascii="宋体" w:hAnsi="宋体" w:cs="Times New Roman"/>
                <w:b w:val="0"/>
                <w:color w:val="auto"/>
                <w:kern w:val="2"/>
                <w:sz w:val="22"/>
                <w:szCs w:val="22"/>
                <w:lang w:val="zh-CN"/>
              </w:rPr>
              <w:t>售后服务方案</w:t>
            </w:r>
          </w:p>
        </w:tc>
        <w:tc>
          <w:tcPr>
            <w:tcW w:w="5452" w:type="dxa"/>
            <w:vAlign w:val="center"/>
          </w:tcPr>
          <w:p>
            <w:pPr>
              <w:widowControl/>
              <w:snapToGrid w:val="0"/>
              <w:spacing w:line="340" w:lineRule="exact"/>
              <w:rPr>
                <w:rFonts w:hint="default" w:ascii="宋体" w:hAnsi="宋体" w:cs="宋体"/>
                <w:bCs/>
                <w:color w:val="000000"/>
                <w:szCs w:val="21"/>
                <w:lang w:val="en-US" w:eastAsia="zh-CN"/>
              </w:rPr>
            </w:pPr>
            <w:r>
              <w:rPr>
                <w:rFonts w:hint="eastAsia" w:ascii="宋体" w:hAnsi="宋体" w:cs="宋体"/>
                <w:bCs/>
                <w:color w:val="000000"/>
                <w:szCs w:val="21"/>
              </w:rPr>
              <w:t>评标委员会根据投标人提供的投标文件，对其针对本项目制定的</w:t>
            </w:r>
            <w:r>
              <w:rPr>
                <w:rFonts w:hint="eastAsia" w:ascii="宋体" w:hAnsi="宋体" w:cs="宋体"/>
                <w:bCs/>
                <w:color w:val="000000"/>
                <w:szCs w:val="21"/>
                <w:lang w:eastAsia="zh-CN"/>
              </w:rPr>
              <w:t>售后</w:t>
            </w:r>
            <w:r>
              <w:rPr>
                <w:rFonts w:hint="eastAsia" w:ascii="宋体" w:hAnsi="宋体" w:cs="宋体"/>
                <w:bCs/>
                <w:color w:val="000000"/>
                <w:szCs w:val="21"/>
              </w:rPr>
              <w:t>服务方案进行评审</w:t>
            </w:r>
            <w:r>
              <w:rPr>
                <w:rFonts w:hint="eastAsia" w:ascii="宋体" w:hAnsi="宋体" w:cs="宋体"/>
                <w:bCs/>
                <w:color w:val="000000"/>
                <w:szCs w:val="21"/>
                <w:lang w:eastAsia="zh-CN"/>
              </w:rPr>
              <w:t>，售后</w:t>
            </w:r>
            <w:r>
              <w:rPr>
                <w:rFonts w:hint="eastAsia" w:ascii="宋体" w:hAnsi="宋体" w:cs="宋体"/>
                <w:bCs/>
                <w:color w:val="000000"/>
                <w:szCs w:val="21"/>
              </w:rPr>
              <w:t>服务方案</w:t>
            </w:r>
            <w:r>
              <w:rPr>
                <w:rFonts w:hint="eastAsia" w:ascii="宋体" w:hAnsi="宋体" w:cs="宋体"/>
                <w:bCs/>
                <w:color w:val="000000"/>
                <w:szCs w:val="21"/>
                <w:lang w:val="en-US" w:eastAsia="zh-CN"/>
              </w:rPr>
              <w:t>科学有效，得满分3分。</w:t>
            </w:r>
          </w:p>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rPr>
              <w:t>根据投标人提供</w:t>
            </w:r>
            <w:r>
              <w:rPr>
                <w:rFonts w:hint="eastAsia" w:ascii="宋体" w:hAnsi="宋体" w:cs="宋体"/>
                <w:bCs/>
                <w:color w:val="000000"/>
                <w:szCs w:val="21"/>
                <w:lang w:eastAsia="zh-CN"/>
              </w:rPr>
              <w:t>售后</w:t>
            </w:r>
            <w:r>
              <w:rPr>
                <w:rFonts w:hint="eastAsia" w:ascii="宋体" w:hAnsi="宋体" w:cs="宋体"/>
                <w:bCs/>
                <w:color w:val="000000"/>
                <w:szCs w:val="21"/>
              </w:rPr>
              <w:t>服务方案</w:t>
            </w:r>
            <w:r>
              <w:rPr>
                <w:rFonts w:hint="eastAsia" w:ascii="宋体" w:hAnsi="宋体" w:cs="宋体"/>
                <w:bCs/>
                <w:color w:val="000000"/>
                <w:szCs w:val="21"/>
                <w:lang w:val="en-US" w:eastAsia="zh-CN"/>
              </w:rPr>
              <w:t>科学有效的得3分。</w:t>
            </w:r>
          </w:p>
          <w:p>
            <w:pPr>
              <w:widowControl/>
              <w:snapToGrid w:val="0"/>
              <w:spacing w:line="340" w:lineRule="exact"/>
              <w:rPr>
                <w:rFonts w:hint="eastAsia" w:ascii="宋体" w:hAnsi="宋体" w:cs="宋体"/>
                <w:bCs/>
                <w:color w:val="000000"/>
                <w:szCs w:val="21"/>
                <w:lang w:val="en-US" w:eastAsia="zh-CN"/>
              </w:rPr>
            </w:pPr>
            <w:r>
              <w:rPr>
                <w:rFonts w:hint="eastAsia" w:ascii="宋体" w:hAnsi="宋体" w:cs="宋体"/>
                <w:bCs/>
                <w:color w:val="000000"/>
                <w:szCs w:val="21"/>
              </w:rPr>
              <w:t>根据投标人提供</w:t>
            </w:r>
            <w:r>
              <w:rPr>
                <w:rFonts w:hint="eastAsia" w:ascii="宋体" w:hAnsi="宋体" w:cs="宋体"/>
                <w:bCs/>
                <w:color w:val="000000"/>
                <w:szCs w:val="21"/>
                <w:lang w:eastAsia="zh-CN"/>
              </w:rPr>
              <w:t>售后</w:t>
            </w:r>
            <w:r>
              <w:rPr>
                <w:rFonts w:hint="eastAsia" w:ascii="宋体" w:hAnsi="宋体" w:cs="宋体"/>
                <w:bCs/>
                <w:color w:val="000000"/>
                <w:szCs w:val="21"/>
              </w:rPr>
              <w:t>服务方案欠佳</w:t>
            </w:r>
            <w:r>
              <w:rPr>
                <w:rFonts w:hint="eastAsia" w:ascii="宋体" w:hAnsi="宋体" w:cs="宋体"/>
                <w:bCs/>
                <w:color w:val="000000"/>
                <w:szCs w:val="21"/>
                <w:lang w:eastAsia="zh-CN"/>
              </w:rPr>
              <w:t>的</w:t>
            </w:r>
            <w:r>
              <w:rPr>
                <w:rFonts w:hint="eastAsia" w:ascii="宋体" w:hAnsi="宋体" w:cs="宋体"/>
                <w:bCs/>
                <w:color w:val="000000"/>
                <w:szCs w:val="21"/>
                <w:lang w:val="en-US" w:eastAsia="zh-CN"/>
              </w:rPr>
              <w:t>得2分。</w:t>
            </w:r>
          </w:p>
          <w:p>
            <w:pPr>
              <w:widowControl/>
              <w:snapToGrid w:val="0"/>
              <w:spacing w:line="340" w:lineRule="exact"/>
              <w:rPr>
                <w:rFonts w:hint="default"/>
                <w:lang w:val="en-US" w:eastAsia="zh-CN"/>
              </w:rPr>
            </w:pPr>
            <w:r>
              <w:rPr>
                <w:rFonts w:hint="eastAsia" w:ascii="宋体" w:hAnsi="宋体" w:cs="宋体"/>
                <w:bCs/>
                <w:color w:val="000000"/>
                <w:szCs w:val="21"/>
              </w:rPr>
              <w:t>根据投标人提供</w:t>
            </w:r>
            <w:r>
              <w:rPr>
                <w:rFonts w:hint="eastAsia" w:ascii="宋体" w:hAnsi="宋体" w:cs="宋体"/>
                <w:bCs/>
                <w:color w:val="000000"/>
                <w:szCs w:val="21"/>
                <w:lang w:eastAsia="zh-CN"/>
              </w:rPr>
              <w:t>售后</w:t>
            </w:r>
            <w:r>
              <w:rPr>
                <w:rFonts w:hint="eastAsia" w:ascii="宋体" w:hAnsi="宋体" w:cs="宋体"/>
                <w:bCs/>
                <w:color w:val="000000"/>
                <w:szCs w:val="21"/>
              </w:rPr>
              <w:t>服务方案</w:t>
            </w:r>
            <w:r>
              <w:rPr>
                <w:rFonts w:hint="eastAsia" w:ascii="宋体" w:hAnsi="宋体" w:cs="宋体"/>
                <w:bCs/>
                <w:color w:val="000000"/>
                <w:szCs w:val="21"/>
                <w:lang w:eastAsia="zh-CN"/>
              </w:rPr>
              <w:t>存在</w:t>
            </w:r>
            <w:r>
              <w:rPr>
                <w:rFonts w:hint="eastAsia" w:ascii="宋体" w:hAnsi="宋体" w:cs="宋体"/>
                <w:bCs/>
                <w:color w:val="000000"/>
                <w:szCs w:val="21"/>
                <w:lang w:val="en-US" w:eastAsia="zh-CN"/>
              </w:rPr>
              <w:t>明显缺陷</w:t>
            </w:r>
            <w:r>
              <w:rPr>
                <w:rFonts w:hint="eastAsia" w:ascii="宋体" w:hAnsi="宋体" w:cs="宋体"/>
                <w:bCs/>
                <w:color w:val="000000"/>
                <w:szCs w:val="21"/>
              </w:rPr>
              <w:t>的</w:t>
            </w:r>
            <w:r>
              <w:rPr>
                <w:rFonts w:hint="eastAsia" w:ascii="宋体" w:hAnsi="宋体" w:cs="宋体"/>
                <w:bCs/>
                <w:color w:val="000000"/>
                <w:szCs w:val="21"/>
                <w:lang w:val="en-US" w:eastAsia="zh-CN"/>
              </w:rPr>
              <w:t>得1分。</w:t>
            </w:r>
          </w:p>
          <w:p>
            <w:pPr>
              <w:widowControl/>
              <w:snapToGrid w:val="0"/>
              <w:spacing w:line="340" w:lineRule="exact"/>
              <w:rPr>
                <w:rFonts w:hint="eastAsia" w:ascii="宋体" w:hAnsi="宋体" w:cs="宋体"/>
                <w:bCs/>
                <w:color w:val="000000"/>
                <w:szCs w:val="21"/>
              </w:rPr>
            </w:pPr>
            <w:r>
              <w:rPr>
                <w:rFonts w:hint="eastAsia" w:ascii="宋体" w:hAnsi="宋体" w:cs="宋体"/>
                <w:bCs/>
                <w:color w:val="000000"/>
                <w:szCs w:val="21"/>
              </w:rPr>
              <w:t>未提供不得分。</w:t>
            </w:r>
          </w:p>
        </w:tc>
        <w:tc>
          <w:tcPr>
            <w:tcW w:w="1759" w:type="dxa"/>
            <w:vAlign w:val="center"/>
          </w:tcPr>
          <w:p>
            <w:pPr>
              <w:snapToGrid w:val="0"/>
              <w:jc w:val="center"/>
              <w:rPr>
                <w:rFonts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3</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1908" w:type="dxa"/>
            <w:vAlign w:val="center"/>
          </w:tcPr>
          <w:p>
            <w:pPr>
              <w:pStyle w:val="43"/>
              <w:spacing w:line="360" w:lineRule="auto"/>
              <w:jc w:val="center"/>
              <w:rPr>
                <w:rFonts w:hint="eastAsia" w:ascii="宋体" w:hAnsi="宋体" w:cs="Times New Roman"/>
                <w:b w:val="0"/>
                <w:color w:val="auto"/>
                <w:kern w:val="2"/>
                <w:sz w:val="22"/>
                <w:szCs w:val="22"/>
                <w:lang w:val="zh-CN"/>
              </w:rPr>
            </w:pPr>
            <w:r>
              <w:rPr>
                <w:rFonts w:hint="eastAsia" w:ascii="宋体" w:hAnsi="宋体" w:cs="Times New Roman"/>
                <w:b w:val="0"/>
                <w:color w:val="auto"/>
                <w:kern w:val="2"/>
                <w:sz w:val="22"/>
                <w:szCs w:val="22"/>
                <w:lang w:val="zh-CN"/>
              </w:rPr>
              <w:t>质保期</w:t>
            </w:r>
          </w:p>
        </w:tc>
        <w:tc>
          <w:tcPr>
            <w:tcW w:w="5452" w:type="dxa"/>
            <w:vAlign w:val="center"/>
          </w:tcPr>
          <w:p>
            <w:pPr>
              <w:widowControl/>
              <w:snapToGrid w:val="0"/>
              <w:spacing w:line="340" w:lineRule="exact"/>
              <w:rPr>
                <w:rFonts w:hint="eastAsia" w:ascii="宋体" w:hAnsi="宋体" w:cs="宋体"/>
                <w:bCs/>
                <w:color w:val="000000"/>
                <w:szCs w:val="21"/>
              </w:rPr>
            </w:pPr>
            <w:r>
              <w:rPr>
                <w:rFonts w:hint="eastAsia" w:ascii="宋体" w:hAnsi="宋体" w:cs="宋体"/>
                <w:bCs/>
                <w:color w:val="000000"/>
                <w:szCs w:val="21"/>
              </w:rPr>
              <w:t>在原有</w:t>
            </w:r>
            <w:r>
              <w:rPr>
                <w:rFonts w:hint="eastAsia" w:ascii="宋体" w:hAnsi="宋体" w:cs="宋体"/>
                <w:bCs/>
                <w:color w:val="000000"/>
                <w:szCs w:val="21"/>
                <w:lang w:eastAsia="zh-CN"/>
              </w:rPr>
              <w:t>竞争性磋商招标文件</w:t>
            </w:r>
            <w:r>
              <w:rPr>
                <w:rFonts w:hint="eastAsia" w:ascii="宋体" w:hAnsi="宋体" w:cs="宋体"/>
                <w:bCs/>
                <w:color w:val="000000"/>
                <w:szCs w:val="21"/>
              </w:rPr>
              <w:t>要求二年质保基础上，承诺质保期每增加一年得</w:t>
            </w:r>
            <w:r>
              <w:rPr>
                <w:rFonts w:hint="eastAsia" w:ascii="宋体" w:hAnsi="宋体" w:cs="宋体"/>
                <w:bCs/>
                <w:color w:val="000000"/>
                <w:szCs w:val="21"/>
                <w:lang w:val="en-US" w:eastAsia="zh-CN"/>
              </w:rPr>
              <w:t>2</w:t>
            </w:r>
            <w:r>
              <w:rPr>
                <w:rFonts w:hint="eastAsia" w:ascii="宋体" w:hAnsi="宋体" w:cs="宋体"/>
                <w:bCs/>
                <w:color w:val="000000"/>
                <w:szCs w:val="21"/>
              </w:rPr>
              <w:t>分，最高得</w:t>
            </w:r>
            <w:r>
              <w:rPr>
                <w:rFonts w:hint="eastAsia" w:ascii="宋体" w:hAnsi="宋体" w:cs="宋体"/>
                <w:bCs/>
                <w:color w:val="000000"/>
                <w:szCs w:val="21"/>
                <w:lang w:val="en-US" w:eastAsia="zh-CN"/>
              </w:rPr>
              <w:t>6</w:t>
            </w:r>
            <w:r>
              <w:rPr>
                <w:rFonts w:hint="eastAsia" w:ascii="宋体" w:hAnsi="宋体" w:cs="宋体"/>
                <w:bCs/>
                <w:color w:val="000000"/>
                <w:szCs w:val="21"/>
              </w:rPr>
              <w:t>分。(提供承诺函做证明材料)</w:t>
            </w:r>
          </w:p>
        </w:tc>
        <w:tc>
          <w:tcPr>
            <w:tcW w:w="1759" w:type="dxa"/>
            <w:vAlign w:val="center"/>
          </w:tcPr>
          <w:p>
            <w:pPr>
              <w:snapToGrid w:val="0"/>
              <w:jc w:val="center"/>
              <w:rPr>
                <w:rFonts w:hint="default" w:ascii="宋体" w:hAnsi="宋体" w:cs="宋体" w:eastAsiaTheme="minorEastAsia"/>
                <w:color w:val="000000"/>
                <w:sz w:val="22"/>
                <w:szCs w:val="22"/>
                <w:lang w:val="en-US" w:eastAsia="zh-CN"/>
              </w:rPr>
            </w:pPr>
            <w:r>
              <w:rPr>
                <w:rFonts w:hint="eastAsia"/>
                <w:lang w:val="en-US" w:eastAsia="zh-CN"/>
              </w:rPr>
              <w:t>0-6分</w:t>
            </w:r>
          </w:p>
        </w:tc>
      </w:tr>
    </w:tbl>
    <w:p>
      <w:pPr>
        <w:ind w:left="-619" w:leftChars="-295" w:right="420" w:rightChars="200" w:firstLine="621" w:firstLineChars="281"/>
        <w:jc w:val="center"/>
        <w:rPr>
          <w:rFonts w:ascii="宋体" w:hAnsi="宋体"/>
          <w:b/>
          <w:sz w:val="22"/>
          <w:szCs w:val="22"/>
        </w:rPr>
      </w:pPr>
    </w:p>
    <w:p>
      <w:pPr>
        <w:pStyle w:val="43"/>
      </w:pPr>
    </w:p>
    <w:p>
      <w:pPr>
        <w:jc w:val="center"/>
        <w:rPr>
          <w:rFonts w:ascii="宋体" w:hAnsi="宋体"/>
          <w:b/>
          <w:sz w:val="22"/>
          <w:szCs w:val="22"/>
        </w:rPr>
      </w:pPr>
      <w:r>
        <w:rPr>
          <w:rFonts w:hint="eastAsia" w:ascii="宋体" w:hAnsi="宋体"/>
          <w:b/>
          <w:sz w:val="22"/>
          <w:szCs w:val="22"/>
        </w:rPr>
        <w:t>五、说明</w:t>
      </w:r>
    </w:p>
    <w:p>
      <w:pPr>
        <w:ind w:firstLine="420"/>
        <w:rPr>
          <w:rFonts w:ascii="宋体" w:hAnsi="宋体" w:eastAsia="宋体" w:cs="Times New Roman"/>
          <w:sz w:val="22"/>
          <w:szCs w:val="22"/>
        </w:rPr>
      </w:pPr>
      <w:r>
        <w:rPr>
          <w:rFonts w:hint="eastAsia" w:ascii="宋体" w:hAnsi="宋体"/>
          <w:sz w:val="22"/>
          <w:szCs w:val="22"/>
        </w:rPr>
        <w:t>1</w:t>
      </w:r>
      <w:r>
        <w:rPr>
          <w:rFonts w:hint="eastAsia" w:ascii="宋体" w:hAnsi="宋体" w:eastAsia="宋体" w:cs="Times New Roman"/>
          <w:sz w:val="22"/>
          <w:szCs w:val="22"/>
        </w:rPr>
        <w:t>、竞争性磋商小组推荐综合得分第一名的供应商为成交供应商，（如果得分相同，以报价低的优先；报价也相同，以抽签决定，并编写采购报告。）</w:t>
      </w:r>
    </w:p>
    <w:p>
      <w:pPr>
        <w:ind w:firstLine="420"/>
        <w:rPr>
          <w:rFonts w:ascii="宋体" w:hAnsi="宋体" w:eastAsia="宋体" w:cs="Times New Roman"/>
          <w:sz w:val="22"/>
          <w:szCs w:val="22"/>
        </w:rPr>
      </w:pPr>
      <w:r>
        <w:rPr>
          <w:rFonts w:hint="eastAsia" w:ascii="宋体" w:hAnsi="宋体" w:eastAsia="宋体" w:cs="Times New Roman"/>
          <w:sz w:val="22"/>
          <w:szCs w:val="22"/>
        </w:rPr>
        <w:t>2、所有分值计算保留小数点后二位，小数点后三位四舍五入。</w:t>
      </w:r>
    </w:p>
    <w:p>
      <w:pPr>
        <w:ind w:firstLine="420"/>
        <w:rPr>
          <w:rFonts w:ascii="宋体" w:hAnsi="宋体" w:eastAsia="宋体" w:cs="Times New Roman"/>
          <w:sz w:val="22"/>
          <w:szCs w:val="22"/>
        </w:rPr>
      </w:pPr>
      <w:r>
        <w:rPr>
          <w:rFonts w:hint="eastAsia" w:ascii="宋体" w:hAnsi="宋体" w:eastAsia="宋体" w:cs="Times New Roman"/>
          <w:sz w:val="22"/>
          <w:szCs w:val="22"/>
        </w:rPr>
        <w:t>3、最终得分为技术及资信分与商务分之和。</w:t>
      </w:r>
    </w:p>
    <w:p>
      <w:pPr>
        <w:ind w:firstLine="420"/>
        <w:rPr>
          <w:rFonts w:ascii="宋体" w:hAnsi="宋体" w:eastAsia="宋体" w:cs="Times New Roman"/>
          <w:sz w:val="22"/>
          <w:szCs w:val="22"/>
        </w:rPr>
      </w:pPr>
      <w:r>
        <w:rPr>
          <w:rFonts w:hint="eastAsia" w:ascii="宋体" w:hAnsi="宋体" w:eastAsia="宋体" w:cs="Times New Roman"/>
          <w:sz w:val="22"/>
          <w:szCs w:val="22"/>
        </w:rPr>
        <w:t>参见本竞争性磋商文件第三部分：“供应商须知”中的相关内容，未尽事宜按有关法律规定处理。</w:t>
      </w:r>
    </w:p>
    <w:p/>
    <w:p>
      <w:pPr>
        <w:pStyle w:val="44"/>
      </w:pPr>
    </w:p>
    <w:p/>
    <w:p>
      <w:pPr>
        <w:pStyle w:val="44"/>
      </w:pPr>
    </w:p>
    <w:p/>
    <w:p>
      <w:pPr>
        <w:pStyle w:val="44"/>
      </w:pPr>
    </w:p>
    <w:p/>
    <w:p>
      <w:pPr>
        <w:pStyle w:val="44"/>
      </w:pPr>
    </w:p>
    <w:p/>
    <w:p>
      <w:pPr>
        <w:pStyle w:val="44"/>
      </w:pPr>
    </w:p>
    <w:p/>
    <w:p>
      <w:pPr>
        <w:pStyle w:val="44"/>
      </w:pPr>
    </w:p>
    <w:p/>
    <w:p>
      <w:pPr>
        <w:pStyle w:val="44"/>
      </w:pPr>
    </w:p>
    <w:p/>
    <w:p>
      <w:pPr>
        <w:pStyle w:val="44"/>
      </w:pPr>
    </w:p>
    <w:p/>
    <w:p>
      <w:pPr>
        <w:pStyle w:val="44"/>
      </w:pPr>
    </w:p>
    <w:p/>
    <w:p>
      <w:pPr>
        <w:pStyle w:val="44"/>
      </w:pPr>
    </w:p>
    <w:p/>
    <w:p>
      <w:pPr>
        <w:pStyle w:val="44"/>
      </w:pPr>
    </w:p>
    <w:p/>
    <w:p>
      <w:pPr>
        <w:pStyle w:val="44"/>
      </w:pPr>
    </w:p>
    <w:p/>
    <w:p>
      <w:pPr>
        <w:pStyle w:val="44"/>
      </w:pPr>
    </w:p>
    <w:p/>
    <w:p/>
    <w:p>
      <w:pPr>
        <w:pStyle w:val="44"/>
      </w:pPr>
    </w:p>
    <w:p/>
    <w:p>
      <w:pPr>
        <w:pStyle w:val="97"/>
        <w:widowControl w:val="0"/>
        <w:snapToGrid w:val="0"/>
        <w:spacing w:line="480" w:lineRule="exact"/>
        <w:jc w:val="center"/>
        <w:rPr>
          <w:rFonts w:ascii="宋体" w:hAnsi="宋体" w:eastAsia="宋体" w:cs="宋体"/>
          <w:b/>
          <w:bCs/>
          <w:kern w:val="0"/>
          <w:sz w:val="22"/>
          <w:szCs w:val="22"/>
          <w:u w:val="single"/>
        </w:rPr>
      </w:pPr>
      <w:r>
        <w:rPr>
          <w:rFonts w:hint="eastAsia" w:ascii="宋体" w:hAnsi="宋体" w:eastAsia="宋体" w:cs="宋体"/>
          <w:b/>
          <w:bCs/>
          <w:sz w:val="32"/>
          <w:szCs w:val="32"/>
        </w:rPr>
        <w:t>政府采购活动现场确认声明书</w:t>
      </w:r>
    </w:p>
    <w:p>
      <w:pPr>
        <w:pStyle w:val="97"/>
        <w:widowControl w:val="0"/>
        <w:snapToGrid w:val="0"/>
        <w:spacing w:line="480" w:lineRule="exact"/>
        <w:jc w:val="both"/>
        <w:rPr>
          <w:rFonts w:ascii="宋体" w:hAnsi="宋体" w:eastAsia="宋体" w:cs="宋体"/>
          <w:sz w:val="22"/>
          <w:szCs w:val="22"/>
          <w:u w:val="single"/>
        </w:rPr>
      </w:pPr>
      <w:r>
        <w:rPr>
          <w:rFonts w:hint="eastAsia" w:ascii="宋体" w:hAnsi="宋体" w:eastAsia="宋体" w:cs="宋体"/>
          <w:kern w:val="0"/>
          <w:sz w:val="22"/>
          <w:szCs w:val="22"/>
          <w:u w:val="single"/>
        </w:rPr>
        <w:t>浙江华域高宇项目管理有限公司：</w:t>
      </w:r>
    </w:p>
    <w:p>
      <w:pPr>
        <w:pStyle w:val="97"/>
        <w:widowControl w:val="0"/>
        <w:snapToGrid w:val="0"/>
        <w:spacing w:line="480" w:lineRule="exact"/>
        <w:ind w:firstLine="464" w:firstLineChars="200"/>
        <w:jc w:val="both"/>
        <w:rPr>
          <w:rFonts w:ascii="宋体" w:hAnsi="宋体" w:eastAsia="宋体" w:cs="宋体"/>
          <w:spacing w:val="6"/>
          <w:sz w:val="22"/>
          <w:szCs w:val="22"/>
        </w:rPr>
      </w:pPr>
      <w:r>
        <w:rPr>
          <w:rFonts w:hint="eastAsia" w:ascii="宋体" w:hAnsi="宋体" w:eastAsia="宋体" w:cs="宋体"/>
          <w:spacing w:val="6"/>
          <w:sz w:val="22"/>
          <w:szCs w:val="22"/>
          <w:u w:val="single"/>
        </w:rPr>
        <w:t>本人经由                            （单位）负责人        （姓名）合法授权参加          项目（项目编号：</w:t>
      </w:r>
      <w:r>
        <w:rPr>
          <w:rFonts w:hint="eastAsia" w:ascii="宋体" w:hAnsi="宋体" w:eastAsia="宋体" w:cs="宋体"/>
          <w:spacing w:val="6"/>
          <w:sz w:val="22"/>
          <w:szCs w:val="22"/>
          <w:u w:val="single"/>
          <w:lang w:eastAsia="zh-CN"/>
        </w:rPr>
        <w:t xml:space="preserve">TSCG202207017 </w:t>
      </w:r>
      <w:r>
        <w:rPr>
          <w:rFonts w:hint="eastAsia" w:ascii="宋体" w:hAnsi="宋体" w:eastAsia="宋体" w:cs="宋体"/>
          <w:spacing w:val="6"/>
          <w:sz w:val="22"/>
          <w:szCs w:val="22"/>
          <w:u w:val="single"/>
        </w:rPr>
        <w:t xml:space="preserve">   ）</w:t>
      </w:r>
      <w:r>
        <w:rPr>
          <w:rFonts w:hint="eastAsia" w:ascii="宋体" w:hAnsi="宋体" w:eastAsia="宋体" w:cs="宋体"/>
          <w:spacing w:val="6"/>
          <w:sz w:val="22"/>
          <w:szCs w:val="22"/>
        </w:rPr>
        <w:t xml:space="preserve">政府采购活动，经与本单位法人代表（负责人）联系确认，现就有关公平竞争事项郑重声明如下： </w:t>
      </w:r>
    </w:p>
    <w:p>
      <w:pPr>
        <w:pStyle w:val="98"/>
        <w:widowControl/>
        <w:numPr>
          <w:ilvl w:val="0"/>
          <w:numId w:val="21"/>
        </w:numPr>
        <w:snapToGrid w:val="0"/>
        <w:spacing w:line="480" w:lineRule="exact"/>
        <w:ind w:firstLine="415" w:firstLineChars="189"/>
        <w:rPr>
          <w:rFonts w:hAnsi="宋体" w:eastAsia="宋体" w:cs="宋体"/>
          <w:color w:val="auto"/>
          <w:sz w:val="22"/>
        </w:rPr>
      </w:pPr>
      <w:r>
        <w:rPr>
          <w:rFonts w:hint="eastAsia" w:hAnsi="宋体" w:eastAsia="宋体" w:cs="宋体"/>
          <w:color w:val="auto"/>
          <w:sz w:val="22"/>
        </w:rPr>
        <w:t>本单位与采购人之间 □不存在利害关系 □存在下列利害关系：</w:t>
      </w:r>
    </w:p>
    <w:p>
      <w:pPr>
        <w:pStyle w:val="98"/>
        <w:snapToGrid w:val="0"/>
        <w:spacing w:line="480" w:lineRule="exact"/>
        <w:rPr>
          <w:rFonts w:hAnsi="宋体" w:eastAsia="宋体" w:cs="宋体"/>
          <w:color w:val="auto"/>
          <w:sz w:val="22"/>
        </w:rPr>
      </w:pPr>
      <w:r>
        <w:rPr>
          <w:rFonts w:hint="eastAsia" w:hAnsi="宋体" w:eastAsia="宋体" w:cs="宋体"/>
          <w:color w:val="auto"/>
          <w:sz w:val="22"/>
        </w:rPr>
        <w:t xml:space="preserve">  A.投资关系    B.行政隶属关系    C.业务指导关系</w:t>
      </w:r>
    </w:p>
    <w:p>
      <w:pPr>
        <w:pStyle w:val="98"/>
        <w:snapToGrid w:val="0"/>
        <w:spacing w:line="480" w:lineRule="exact"/>
        <w:rPr>
          <w:rFonts w:hAnsi="宋体" w:eastAsia="宋体" w:cs="宋体"/>
          <w:color w:val="auto"/>
          <w:sz w:val="22"/>
        </w:rPr>
      </w:pPr>
      <w:r>
        <w:rPr>
          <w:rFonts w:hint="eastAsia" w:hAnsi="宋体" w:eastAsia="宋体" w:cs="宋体"/>
          <w:color w:val="auto"/>
          <w:sz w:val="22"/>
        </w:rPr>
        <w:t xml:space="preserve">  D.其他可能影响采购公正的利害关系</w:t>
      </w:r>
      <w:r>
        <w:rPr>
          <w:rFonts w:hint="eastAsia" w:hAnsi="宋体" w:eastAsia="宋体" w:cs="宋体"/>
          <w:color w:val="auto"/>
          <w:sz w:val="22"/>
          <w:u w:val="single"/>
        </w:rPr>
        <w:t xml:space="preserve">（如有，请如实说明）                 </w:t>
      </w:r>
      <w:r>
        <w:rPr>
          <w:rFonts w:hint="eastAsia" w:hAnsi="宋体" w:eastAsia="宋体" w:cs="宋体"/>
          <w:color w:val="auto"/>
          <w:sz w:val="22"/>
        </w:rPr>
        <w:t>。</w:t>
      </w:r>
    </w:p>
    <w:p>
      <w:pPr>
        <w:pStyle w:val="98"/>
        <w:snapToGrid w:val="0"/>
        <w:spacing w:line="480" w:lineRule="exact"/>
        <w:rPr>
          <w:rFonts w:hAnsi="宋体" w:eastAsia="宋体" w:cs="宋体"/>
          <w:color w:val="auto"/>
          <w:sz w:val="22"/>
        </w:rPr>
      </w:pPr>
      <w:r>
        <w:rPr>
          <w:rFonts w:hint="eastAsia" w:hAnsi="宋体" w:eastAsia="宋体" w:cs="宋体"/>
          <w:color w:val="auto"/>
          <w:spacing w:val="6"/>
          <w:sz w:val="22"/>
        </w:rPr>
        <w:t xml:space="preserve">  二、</w:t>
      </w:r>
      <w:r>
        <w:rPr>
          <w:rFonts w:hint="eastAsia" w:hAnsi="宋体" w:eastAsia="宋体" w:cs="宋体"/>
          <w:color w:val="auto"/>
          <w:sz w:val="22"/>
        </w:rPr>
        <w:t>现已清楚知道参加本项目采购活动的其他所有供应商名称，本单位 □与其他所有供应商之间均不存在利害关系 □与</w:t>
      </w:r>
      <w:r>
        <w:rPr>
          <w:rFonts w:hint="eastAsia" w:hAnsi="宋体" w:eastAsia="宋体" w:cs="宋体"/>
          <w:color w:val="auto"/>
          <w:sz w:val="22"/>
          <w:u w:val="single"/>
        </w:rPr>
        <w:t xml:space="preserve">           （供应商名称）</w:t>
      </w:r>
      <w:r>
        <w:rPr>
          <w:rFonts w:hint="eastAsia" w:hAnsi="宋体" w:eastAsia="宋体" w:cs="宋体"/>
          <w:color w:val="auto"/>
          <w:sz w:val="22"/>
        </w:rPr>
        <w:t>之间存在下列利害关系：</w:t>
      </w:r>
    </w:p>
    <w:p>
      <w:pPr>
        <w:pStyle w:val="97"/>
        <w:widowControl w:val="0"/>
        <w:snapToGrid w:val="0"/>
        <w:spacing w:line="480" w:lineRule="exact"/>
        <w:jc w:val="both"/>
        <w:rPr>
          <w:rFonts w:ascii="宋体" w:hAnsi="宋体" w:eastAsia="宋体" w:cs="宋体"/>
          <w:kern w:val="0"/>
          <w:sz w:val="22"/>
          <w:szCs w:val="22"/>
        </w:rPr>
      </w:pPr>
      <w:r>
        <w:rPr>
          <w:rFonts w:hint="eastAsia" w:ascii="宋体" w:hAnsi="宋体" w:eastAsia="宋体" w:cs="宋体"/>
          <w:kern w:val="0"/>
          <w:sz w:val="22"/>
          <w:szCs w:val="22"/>
        </w:rPr>
        <w:t xml:space="preserve">  A.法定代表人或负责人或实际控制人是同一人</w:t>
      </w:r>
    </w:p>
    <w:p>
      <w:pPr>
        <w:pStyle w:val="97"/>
        <w:widowControl w:val="0"/>
        <w:snapToGrid w:val="0"/>
        <w:spacing w:line="480" w:lineRule="exact"/>
        <w:jc w:val="both"/>
        <w:rPr>
          <w:rFonts w:ascii="宋体" w:hAnsi="宋体" w:eastAsia="宋体" w:cs="宋体"/>
          <w:spacing w:val="6"/>
          <w:sz w:val="22"/>
          <w:szCs w:val="22"/>
        </w:rPr>
      </w:pPr>
      <w:r>
        <w:rPr>
          <w:rFonts w:hint="eastAsia" w:ascii="宋体" w:hAnsi="宋体" w:eastAsia="宋体" w:cs="宋体"/>
          <w:kern w:val="0"/>
          <w:sz w:val="22"/>
          <w:szCs w:val="22"/>
        </w:rPr>
        <w:t xml:space="preserve">  B.法定代表人或负责人或实际控制人是夫妻关系</w:t>
      </w:r>
    </w:p>
    <w:p>
      <w:pPr>
        <w:pStyle w:val="97"/>
        <w:widowControl w:val="0"/>
        <w:snapToGrid w:val="0"/>
        <w:spacing w:line="480" w:lineRule="exact"/>
        <w:jc w:val="both"/>
        <w:rPr>
          <w:rFonts w:ascii="宋体" w:hAnsi="宋体" w:eastAsia="宋体" w:cs="宋体"/>
          <w:spacing w:val="6"/>
          <w:sz w:val="22"/>
          <w:szCs w:val="22"/>
        </w:rPr>
      </w:pPr>
      <w:r>
        <w:rPr>
          <w:rFonts w:hint="eastAsia" w:ascii="宋体" w:hAnsi="宋体" w:eastAsia="宋体" w:cs="宋体"/>
          <w:kern w:val="0"/>
          <w:sz w:val="22"/>
          <w:szCs w:val="22"/>
        </w:rPr>
        <w:t xml:space="preserve">  C.法定代表人或负责人或实际控制人是直系血亲关系</w:t>
      </w:r>
    </w:p>
    <w:p>
      <w:pPr>
        <w:pStyle w:val="97"/>
        <w:widowControl w:val="0"/>
        <w:snapToGrid w:val="0"/>
        <w:spacing w:line="480" w:lineRule="exact"/>
        <w:jc w:val="both"/>
        <w:rPr>
          <w:rFonts w:ascii="宋体" w:hAnsi="宋体" w:eastAsia="宋体" w:cs="宋体"/>
          <w:spacing w:val="6"/>
          <w:sz w:val="22"/>
          <w:szCs w:val="22"/>
        </w:rPr>
      </w:pPr>
      <w:r>
        <w:rPr>
          <w:rFonts w:hint="eastAsia" w:ascii="宋体" w:hAnsi="宋体" w:eastAsia="宋体" w:cs="宋体"/>
          <w:kern w:val="0"/>
          <w:sz w:val="22"/>
          <w:szCs w:val="22"/>
        </w:rPr>
        <w:t xml:space="preserve">  D.法定代表人或负责人或实际控制人存在三代以内旁系血亲关系</w:t>
      </w:r>
    </w:p>
    <w:p>
      <w:pPr>
        <w:pStyle w:val="97"/>
        <w:widowControl w:val="0"/>
        <w:snapToGrid w:val="0"/>
        <w:spacing w:line="480" w:lineRule="exact"/>
        <w:jc w:val="both"/>
        <w:rPr>
          <w:rFonts w:ascii="宋体" w:hAnsi="宋体" w:eastAsia="宋体" w:cs="宋体"/>
          <w:kern w:val="0"/>
          <w:sz w:val="22"/>
          <w:szCs w:val="22"/>
        </w:rPr>
      </w:pPr>
      <w:r>
        <w:rPr>
          <w:rFonts w:hint="eastAsia" w:ascii="宋体" w:hAnsi="宋体" w:eastAsia="宋体" w:cs="宋体"/>
          <w:kern w:val="0"/>
          <w:sz w:val="22"/>
          <w:szCs w:val="22"/>
        </w:rPr>
        <w:t xml:space="preserve">  E.法定代表人或负责人或实际控制人存在近姻亲关系</w:t>
      </w:r>
    </w:p>
    <w:p>
      <w:pPr>
        <w:pStyle w:val="97"/>
        <w:widowControl w:val="0"/>
        <w:snapToGrid w:val="0"/>
        <w:spacing w:line="480" w:lineRule="exact"/>
        <w:jc w:val="both"/>
        <w:rPr>
          <w:rFonts w:ascii="宋体" w:hAnsi="宋体" w:eastAsia="宋体" w:cs="宋体"/>
          <w:kern w:val="0"/>
          <w:sz w:val="22"/>
          <w:szCs w:val="22"/>
        </w:rPr>
      </w:pPr>
      <w:r>
        <w:rPr>
          <w:rFonts w:hint="eastAsia" w:ascii="宋体" w:hAnsi="宋体" w:eastAsia="宋体" w:cs="宋体"/>
          <w:kern w:val="0"/>
          <w:sz w:val="22"/>
          <w:szCs w:val="22"/>
        </w:rPr>
        <w:t xml:space="preserve">  F.法定代表人或负责人或实际控制人存在股份控制或实际控制关系</w:t>
      </w:r>
    </w:p>
    <w:p>
      <w:pPr>
        <w:pStyle w:val="97"/>
        <w:widowControl w:val="0"/>
        <w:snapToGrid w:val="0"/>
        <w:spacing w:line="480" w:lineRule="exact"/>
        <w:jc w:val="both"/>
        <w:outlineLvl w:val="0"/>
        <w:rPr>
          <w:rFonts w:ascii="宋体" w:hAnsi="宋体" w:eastAsia="宋体" w:cs="宋体"/>
          <w:kern w:val="0"/>
          <w:sz w:val="22"/>
          <w:szCs w:val="22"/>
        </w:rPr>
      </w:pPr>
      <w:r>
        <w:rPr>
          <w:rFonts w:hint="eastAsia" w:ascii="宋体" w:hAnsi="宋体" w:eastAsia="宋体" w:cs="宋体"/>
          <w:kern w:val="0"/>
          <w:sz w:val="22"/>
          <w:szCs w:val="22"/>
        </w:rPr>
        <w:t xml:space="preserve">  G.存在共同直接或间接投资设立子公司、联营企业和合营企业情况</w:t>
      </w:r>
    </w:p>
    <w:p>
      <w:pPr>
        <w:pStyle w:val="97"/>
        <w:widowControl w:val="0"/>
        <w:snapToGrid w:val="0"/>
        <w:spacing w:line="480" w:lineRule="exact"/>
        <w:jc w:val="both"/>
        <w:rPr>
          <w:rFonts w:ascii="宋体" w:hAnsi="宋体" w:eastAsia="宋体" w:cs="宋体"/>
          <w:sz w:val="22"/>
          <w:szCs w:val="22"/>
        </w:rPr>
      </w:pPr>
      <w:r>
        <w:rPr>
          <w:rFonts w:hint="eastAsia" w:ascii="宋体" w:hAnsi="宋体" w:eastAsia="宋体" w:cs="宋体"/>
          <w:kern w:val="0"/>
          <w:sz w:val="22"/>
          <w:szCs w:val="22"/>
        </w:rPr>
        <w:t xml:space="preserve">  H.存在分级代理或代销关系、同一生产制造商关系、</w:t>
      </w:r>
      <w:r>
        <w:rPr>
          <w:rFonts w:hint="eastAsia" w:ascii="宋体" w:hAnsi="宋体" w:eastAsia="宋体" w:cs="宋体"/>
          <w:sz w:val="22"/>
          <w:szCs w:val="22"/>
        </w:rPr>
        <w:t>管理关系、重要业务（占主营业务收入50%以上）或重要财务往来关系（如融资）等其他实质性控制关系</w:t>
      </w:r>
    </w:p>
    <w:p>
      <w:pPr>
        <w:pStyle w:val="97"/>
        <w:widowControl w:val="0"/>
        <w:snapToGrid w:val="0"/>
        <w:spacing w:line="480" w:lineRule="exact"/>
        <w:jc w:val="both"/>
        <w:rPr>
          <w:rFonts w:ascii="宋体" w:hAnsi="宋体" w:eastAsia="宋体" w:cs="宋体"/>
          <w:spacing w:val="6"/>
          <w:sz w:val="22"/>
          <w:szCs w:val="22"/>
        </w:rPr>
      </w:pPr>
      <w:r>
        <w:rPr>
          <w:rFonts w:hint="eastAsia" w:ascii="宋体" w:hAnsi="宋体" w:eastAsia="宋体" w:cs="宋体"/>
          <w:sz w:val="22"/>
          <w:szCs w:val="22"/>
        </w:rPr>
        <w:t xml:space="preserve">    I</w:t>
      </w:r>
      <w:r>
        <w:rPr>
          <w:rFonts w:hint="eastAsia" w:ascii="宋体" w:hAnsi="宋体" w:eastAsia="宋体" w:cs="宋体"/>
          <w:kern w:val="0"/>
          <w:sz w:val="22"/>
          <w:szCs w:val="22"/>
        </w:rPr>
        <w:t>.</w:t>
      </w:r>
      <w:r>
        <w:rPr>
          <w:rFonts w:hint="eastAsia" w:ascii="宋体" w:hAnsi="宋体" w:eastAsia="宋体" w:cs="宋体"/>
          <w:sz w:val="22"/>
          <w:szCs w:val="22"/>
        </w:rPr>
        <w:t>其他利害关系情况</w:t>
      </w:r>
      <w:r>
        <w:rPr>
          <w:rFonts w:hint="eastAsia" w:ascii="宋体" w:hAnsi="宋体" w:eastAsia="宋体" w:cs="宋体"/>
          <w:kern w:val="0"/>
          <w:sz w:val="22"/>
          <w:szCs w:val="22"/>
        </w:rPr>
        <w:t>。</w:t>
      </w:r>
    </w:p>
    <w:p>
      <w:pPr>
        <w:pStyle w:val="98"/>
        <w:widowControl/>
        <w:numPr>
          <w:ilvl w:val="0"/>
          <w:numId w:val="22"/>
        </w:numPr>
        <w:snapToGrid w:val="0"/>
        <w:spacing w:line="480" w:lineRule="exact"/>
        <w:ind w:firstLine="415" w:firstLineChars="189"/>
        <w:rPr>
          <w:rFonts w:hAnsi="宋体" w:eastAsia="宋体" w:cs="宋体"/>
          <w:color w:val="auto"/>
          <w:sz w:val="22"/>
        </w:rPr>
      </w:pPr>
      <w:r>
        <w:rPr>
          <w:rFonts w:hint="eastAsia" w:hAnsi="宋体" w:eastAsia="宋体" w:cs="宋体"/>
          <w:color w:val="auto"/>
          <w:sz w:val="22"/>
        </w:rPr>
        <w:t>现已清楚知道并严格遵守政府采购法律法规和现场纪律。</w:t>
      </w:r>
    </w:p>
    <w:p>
      <w:pPr>
        <w:pStyle w:val="98"/>
        <w:widowControl/>
        <w:numPr>
          <w:ilvl w:val="0"/>
          <w:numId w:val="22"/>
        </w:numPr>
        <w:snapToGrid w:val="0"/>
        <w:spacing w:line="480" w:lineRule="exact"/>
        <w:ind w:firstLine="415" w:firstLineChars="189"/>
        <w:rPr>
          <w:rFonts w:hAnsi="宋体" w:eastAsia="宋体" w:cs="宋体"/>
          <w:color w:val="auto"/>
          <w:sz w:val="22"/>
        </w:rPr>
      </w:pPr>
      <w:r>
        <w:rPr>
          <w:rFonts w:hint="eastAsia" w:hAnsi="宋体" w:eastAsia="宋体" w:cs="宋体"/>
          <w:color w:val="auto"/>
          <w:sz w:val="22"/>
        </w:rPr>
        <w:t>我发现</w:t>
      </w:r>
      <w:r>
        <w:rPr>
          <w:rFonts w:hint="eastAsia" w:hAnsi="宋体" w:eastAsia="宋体" w:cs="宋体"/>
          <w:color w:val="auto"/>
          <w:sz w:val="22"/>
          <w:u w:val="single"/>
        </w:rPr>
        <w:t xml:space="preserve">           （供应商名称）</w:t>
      </w:r>
      <w:r>
        <w:rPr>
          <w:rFonts w:hint="eastAsia" w:hAnsi="宋体" w:eastAsia="宋体" w:cs="宋体"/>
          <w:color w:val="auto"/>
          <w:sz w:val="22"/>
        </w:rPr>
        <w:t>供应商之间存在或可能存在上述第二条第</w:t>
      </w:r>
      <w:r>
        <w:rPr>
          <w:rFonts w:hint="eastAsia" w:hAnsi="宋体" w:eastAsia="宋体" w:cs="宋体"/>
          <w:color w:val="auto"/>
          <w:sz w:val="22"/>
          <w:u w:val="single"/>
        </w:rPr>
        <w:t xml:space="preserve">         </w:t>
      </w:r>
      <w:r>
        <w:rPr>
          <w:rFonts w:hint="eastAsia" w:hAnsi="宋体" w:eastAsia="宋体" w:cs="宋体"/>
          <w:color w:val="auto"/>
          <w:sz w:val="22"/>
        </w:rPr>
        <w:t>项利害关系</w:t>
      </w:r>
    </w:p>
    <w:p>
      <w:pPr>
        <w:pStyle w:val="97"/>
        <w:widowControl w:val="0"/>
        <w:snapToGrid w:val="0"/>
        <w:spacing w:line="480" w:lineRule="exact"/>
        <w:ind w:firstLine="5280" w:firstLineChars="2400"/>
        <w:jc w:val="both"/>
        <w:rPr>
          <w:rFonts w:ascii="宋体" w:hAnsi="宋体" w:eastAsia="宋体" w:cs="宋体"/>
          <w:sz w:val="22"/>
          <w:szCs w:val="22"/>
        </w:rPr>
      </w:pPr>
      <w:r>
        <w:rPr>
          <w:rFonts w:hint="eastAsia" w:ascii="宋体" w:hAnsi="宋体" w:eastAsia="宋体" w:cs="宋体"/>
          <w:sz w:val="22"/>
          <w:szCs w:val="22"/>
        </w:rPr>
        <w:t>（供应商代表签名）</w:t>
      </w:r>
    </w:p>
    <w:p>
      <w:pPr>
        <w:pStyle w:val="97"/>
        <w:widowControl w:val="0"/>
        <w:snapToGrid w:val="0"/>
        <w:spacing w:line="480" w:lineRule="exact"/>
        <w:ind w:firstLine="440" w:firstLineChars="200"/>
        <w:jc w:val="both"/>
        <w:rPr>
          <w:rFonts w:ascii="宋体" w:hAnsi="宋体" w:eastAsia="宋体" w:cs="宋体"/>
          <w:sz w:val="22"/>
          <w:szCs w:val="22"/>
        </w:rPr>
      </w:pPr>
      <w:r>
        <w:rPr>
          <w:rFonts w:hint="eastAsia" w:ascii="宋体" w:hAnsi="宋体" w:eastAsia="宋体" w:cs="宋体"/>
          <w:sz w:val="22"/>
          <w:szCs w:val="22"/>
        </w:rPr>
        <w:t xml:space="preserve">                                              年  月   日</w:t>
      </w:r>
    </w:p>
    <w:p>
      <w:pPr>
        <w:snapToGrid w:val="0"/>
        <w:ind w:firstLine="442" w:firstLineChars="200"/>
        <w:rPr>
          <w:rFonts w:ascii="宋体" w:hAnsi="宋体" w:eastAsia="宋体" w:cs="宋体"/>
          <w:b/>
          <w:bCs/>
          <w:sz w:val="22"/>
        </w:rPr>
      </w:pPr>
    </w:p>
    <w:p>
      <w:pPr>
        <w:snapToGrid w:val="0"/>
        <w:ind w:firstLine="442" w:firstLineChars="200"/>
        <w:rPr>
          <w:rFonts w:ascii="宋体" w:hAnsi="宋体" w:eastAsia="宋体" w:cs="宋体"/>
          <w:b/>
          <w:bCs/>
          <w:sz w:val="22"/>
        </w:rPr>
      </w:pPr>
      <w:r>
        <w:rPr>
          <w:rFonts w:hint="eastAsia" w:ascii="宋体" w:hAnsi="宋体" w:eastAsia="宋体" w:cs="宋体"/>
          <w:b/>
          <w:bCs/>
          <w:sz w:val="22"/>
        </w:rPr>
        <w:t>注：投标文件解密结束后，各投标供应商签署《政府采购活动现场确认声明书》</w:t>
      </w:r>
    </w:p>
    <w:p>
      <w:pPr>
        <w:pStyle w:val="44"/>
      </w:pPr>
      <w:r>
        <w:rPr>
          <w:rFonts w:hint="eastAsia" w:ascii="宋体" w:hAnsi="宋体" w:cs="宋体"/>
          <w:b/>
          <w:bCs/>
          <w:sz w:val="22"/>
          <w:szCs w:val="24"/>
        </w:rPr>
        <w:t>若未在规定的时间内填写并予以回复的，则视为该供应商与本项目的采购人及其他参与投标的供应商之间不存在利害关系，由此引起的相关责任由投标供应商自负。</w:t>
      </w:r>
    </w:p>
    <w:sectPr>
      <w:headerReference r:id="rId16" w:type="default"/>
      <w:footerReference r:id="rId17"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24689"/>
    <w:multiLevelType w:val="singleLevel"/>
    <w:tmpl w:val="8B924689"/>
    <w:lvl w:ilvl="0" w:tentative="0">
      <w:start w:val="1"/>
      <w:numFmt w:val="decimal"/>
      <w:suff w:val="nothing"/>
      <w:lvlText w:val="%1、"/>
      <w:lvlJc w:val="left"/>
    </w:lvl>
  </w:abstractNum>
  <w:abstractNum w:abstractNumId="1">
    <w:nsid w:val="973A8C51"/>
    <w:multiLevelType w:val="singleLevel"/>
    <w:tmpl w:val="973A8C51"/>
    <w:lvl w:ilvl="0" w:tentative="0">
      <w:start w:val="1"/>
      <w:numFmt w:val="decimal"/>
      <w:suff w:val="nothing"/>
      <w:lvlText w:val="%1．"/>
      <w:lvlJc w:val="left"/>
    </w:lvl>
  </w:abstractNum>
  <w:abstractNum w:abstractNumId="2">
    <w:nsid w:val="B7FC6607"/>
    <w:multiLevelType w:val="singleLevel"/>
    <w:tmpl w:val="B7FC6607"/>
    <w:lvl w:ilvl="0" w:tentative="0">
      <w:start w:val="1"/>
      <w:numFmt w:val="decimal"/>
      <w:pStyle w:val="8"/>
      <w:lvlText w:val="%1."/>
      <w:lvlJc w:val="left"/>
      <w:pPr>
        <w:tabs>
          <w:tab w:val="left" w:pos="780"/>
        </w:tabs>
        <w:ind w:left="780" w:hanging="360"/>
      </w:pPr>
    </w:lvl>
  </w:abstractNum>
  <w:abstractNum w:abstractNumId="3">
    <w:nsid w:val="D289ACA6"/>
    <w:multiLevelType w:val="singleLevel"/>
    <w:tmpl w:val="D289ACA6"/>
    <w:lvl w:ilvl="0" w:tentative="0">
      <w:start w:val="1"/>
      <w:numFmt w:val="decimal"/>
      <w:suff w:val="nothing"/>
      <w:lvlText w:val="%1）"/>
      <w:lvlJc w:val="left"/>
    </w:lvl>
  </w:abstractNum>
  <w:abstractNum w:abstractNumId="4">
    <w:nsid w:val="DEA76196"/>
    <w:multiLevelType w:val="singleLevel"/>
    <w:tmpl w:val="DEA76196"/>
    <w:lvl w:ilvl="0" w:tentative="0">
      <w:start w:val="1"/>
      <w:numFmt w:val="decimal"/>
      <w:lvlText w:val="%1."/>
      <w:lvlJc w:val="left"/>
      <w:pPr>
        <w:ind w:left="425" w:hanging="425"/>
      </w:pPr>
      <w:rPr>
        <w:rFonts w:hint="default"/>
      </w:rPr>
    </w:lvl>
  </w:abstractNum>
  <w:abstractNum w:abstractNumId="5">
    <w:nsid w:val="E706DA38"/>
    <w:multiLevelType w:val="singleLevel"/>
    <w:tmpl w:val="E706DA38"/>
    <w:lvl w:ilvl="0" w:tentative="0">
      <w:start w:val="1"/>
      <w:numFmt w:val="decimal"/>
      <w:suff w:val="nothing"/>
      <w:lvlText w:val="%1、"/>
      <w:lvlJc w:val="left"/>
    </w:lvl>
  </w:abstractNum>
  <w:abstractNum w:abstractNumId="6">
    <w:nsid w:val="F2D21E1F"/>
    <w:multiLevelType w:val="singleLevel"/>
    <w:tmpl w:val="F2D21E1F"/>
    <w:lvl w:ilvl="0" w:tentative="0">
      <w:start w:val="6"/>
      <w:numFmt w:val="chineseCounting"/>
      <w:suff w:val="space"/>
      <w:lvlText w:val="第%1部分"/>
      <w:lvlJc w:val="left"/>
      <w:rPr>
        <w:rFonts w:hint="eastAsia"/>
      </w:rPr>
    </w:lvl>
  </w:abstractNum>
  <w:abstractNum w:abstractNumId="7">
    <w:nsid w:val="F670C2B1"/>
    <w:multiLevelType w:val="singleLevel"/>
    <w:tmpl w:val="F670C2B1"/>
    <w:lvl w:ilvl="0" w:tentative="0">
      <w:start w:val="1"/>
      <w:numFmt w:val="decimal"/>
      <w:suff w:val="nothing"/>
      <w:lvlText w:val="%1、"/>
      <w:lvlJc w:val="left"/>
    </w:lvl>
  </w:abstractNum>
  <w:abstractNum w:abstractNumId="8">
    <w:nsid w:val="00000016"/>
    <w:multiLevelType w:val="singleLevel"/>
    <w:tmpl w:val="00000016"/>
    <w:lvl w:ilvl="0" w:tentative="0">
      <w:start w:val="1"/>
      <w:numFmt w:val="decimal"/>
      <w:suff w:val="nothing"/>
      <w:lvlText w:val="（%1）"/>
      <w:lvlJc w:val="left"/>
    </w:lvl>
  </w:abstractNum>
  <w:abstractNum w:abstractNumId="9">
    <w:nsid w:val="1C0B1758"/>
    <w:multiLevelType w:val="singleLevel"/>
    <w:tmpl w:val="1C0B1758"/>
    <w:lvl w:ilvl="0" w:tentative="0">
      <w:start w:val="2"/>
      <w:numFmt w:val="decimal"/>
      <w:suff w:val="nothing"/>
      <w:lvlText w:val="%1、"/>
      <w:lvlJc w:val="left"/>
    </w:lvl>
  </w:abstractNum>
  <w:abstractNum w:abstractNumId="10">
    <w:nsid w:val="299320C1"/>
    <w:multiLevelType w:val="multilevel"/>
    <w:tmpl w:val="299320C1"/>
    <w:lvl w:ilvl="0" w:tentative="0">
      <w:start w:val="1"/>
      <w:numFmt w:val="decimal"/>
      <w:pStyle w:val="87"/>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37C59641"/>
    <w:multiLevelType w:val="singleLevel"/>
    <w:tmpl w:val="37C59641"/>
    <w:lvl w:ilvl="0" w:tentative="0">
      <w:start w:val="9"/>
      <w:numFmt w:val="chineseCounting"/>
      <w:suff w:val="space"/>
      <w:lvlText w:val="第%1条"/>
      <w:lvlJc w:val="left"/>
      <w:rPr>
        <w:rFonts w:hint="eastAsia"/>
      </w:rPr>
    </w:lvl>
  </w:abstractNum>
  <w:abstractNum w:abstractNumId="13">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7">
    <w:nsid w:val="648F1170"/>
    <w:multiLevelType w:val="multilevel"/>
    <w:tmpl w:val="648F11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A4D50DB"/>
    <w:multiLevelType w:val="multilevel"/>
    <w:tmpl w:val="6A4D50DB"/>
    <w:lvl w:ilvl="0" w:tentative="0">
      <w:start w:val="1"/>
      <w:numFmt w:val="decimal"/>
      <w:pStyle w:val="90"/>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AF5237"/>
    <w:multiLevelType w:val="multilevel"/>
    <w:tmpl w:val="6FAF5237"/>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0">
    <w:nsid w:val="7DFAA22C"/>
    <w:multiLevelType w:val="singleLevel"/>
    <w:tmpl w:val="7DFAA22C"/>
    <w:lvl w:ilvl="0" w:tentative="0">
      <w:start w:val="2"/>
      <w:numFmt w:val="chineseCounting"/>
      <w:suff w:val="space"/>
      <w:lvlText w:val="第%1部分"/>
      <w:lvlJc w:val="left"/>
      <w:rPr>
        <w:rFonts w:hint="eastAsia"/>
      </w:rPr>
    </w:lvl>
  </w:abstractNum>
  <w:num w:numId="1">
    <w:abstractNumId w:val="19"/>
  </w:num>
  <w:num w:numId="2">
    <w:abstractNumId w:val="16"/>
  </w:num>
  <w:num w:numId="3">
    <w:abstractNumId w:val="2"/>
  </w:num>
  <w:num w:numId="4">
    <w:abstractNumId w:val="10"/>
  </w:num>
  <w:num w:numId="5">
    <w:abstractNumId w:val="18"/>
  </w:num>
  <w:num w:numId="6">
    <w:abstractNumId w:val="8"/>
  </w:num>
  <w:num w:numId="7">
    <w:abstractNumId w:val="9"/>
  </w:num>
  <w:num w:numId="8">
    <w:abstractNumId w:val="20"/>
  </w:num>
  <w:num w:numId="9">
    <w:abstractNumId w:val="17"/>
  </w:num>
  <w:num w:numId="10">
    <w:abstractNumId w:val="5"/>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2"/>
  </w:num>
  <w:num w:numId="17">
    <w:abstractNumId w:val="3"/>
  </w:num>
  <w:num w:numId="18">
    <w:abstractNumId w:val="6"/>
  </w:num>
  <w:num w:numId="19">
    <w:abstractNumId w:val="11"/>
  </w:num>
  <w:num w:numId="20">
    <w:abstractNumId w:val="4"/>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DM2Y2U1NDExYTE4ZGNlNGQ0NzIxNzA0OTIxNTEifQ=="/>
  </w:docVars>
  <w:rsids>
    <w:rsidRoot w:val="00172A27"/>
    <w:rsid w:val="00002479"/>
    <w:rsid w:val="00006656"/>
    <w:rsid w:val="00006E75"/>
    <w:rsid w:val="00014C31"/>
    <w:rsid w:val="00015927"/>
    <w:rsid w:val="00016E85"/>
    <w:rsid w:val="00041696"/>
    <w:rsid w:val="000455BF"/>
    <w:rsid w:val="0004614B"/>
    <w:rsid w:val="0005282B"/>
    <w:rsid w:val="0005481F"/>
    <w:rsid w:val="000733A6"/>
    <w:rsid w:val="000748B8"/>
    <w:rsid w:val="000854B1"/>
    <w:rsid w:val="000859C4"/>
    <w:rsid w:val="000A1DC7"/>
    <w:rsid w:val="000A6476"/>
    <w:rsid w:val="000B78EC"/>
    <w:rsid w:val="000D1F68"/>
    <w:rsid w:val="000D2A4E"/>
    <w:rsid w:val="000E116D"/>
    <w:rsid w:val="000E377B"/>
    <w:rsid w:val="000E65BE"/>
    <w:rsid w:val="00140E0E"/>
    <w:rsid w:val="00150CD0"/>
    <w:rsid w:val="00164AE8"/>
    <w:rsid w:val="00167C8F"/>
    <w:rsid w:val="00172A27"/>
    <w:rsid w:val="001939C9"/>
    <w:rsid w:val="00195D91"/>
    <w:rsid w:val="001A4185"/>
    <w:rsid w:val="001A63E6"/>
    <w:rsid w:val="001B07E2"/>
    <w:rsid w:val="001B26AA"/>
    <w:rsid w:val="001C15EC"/>
    <w:rsid w:val="001D5555"/>
    <w:rsid w:val="001D5F83"/>
    <w:rsid w:val="001F5946"/>
    <w:rsid w:val="0021226C"/>
    <w:rsid w:val="00216F0A"/>
    <w:rsid w:val="00254ED5"/>
    <w:rsid w:val="002562A8"/>
    <w:rsid w:val="00256365"/>
    <w:rsid w:val="0026382A"/>
    <w:rsid w:val="00271B5D"/>
    <w:rsid w:val="0028146F"/>
    <w:rsid w:val="002826A8"/>
    <w:rsid w:val="00297F4B"/>
    <w:rsid w:val="002A2186"/>
    <w:rsid w:val="002A35B3"/>
    <w:rsid w:val="002A5BE5"/>
    <w:rsid w:val="002A5E20"/>
    <w:rsid w:val="002B1359"/>
    <w:rsid w:val="002B1D1A"/>
    <w:rsid w:val="002C3ABC"/>
    <w:rsid w:val="002D4910"/>
    <w:rsid w:val="002E30F7"/>
    <w:rsid w:val="003100E0"/>
    <w:rsid w:val="00310B37"/>
    <w:rsid w:val="0031268C"/>
    <w:rsid w:val="003144F5"/>
    <w:rsid w:val="00333B8F"/>
    <w:rsid w:val="003479AC"/>
    <w:rsid w:val="00355A35"/>
    <w:rsid w:val="0036769A"/>
    <w:rsid w:val="00374062"/>
    <w:rsid w:val="00376369"/>
    <w:rsid w:val="00377FB7"/>
    <w:rsid w:val="0039159D"/>
    <w:rsid w:val="003956EF"/>
    <w:rsid w:val="00396B27"/>
    <w:rsid w:val="003A2466"/>
    <w:rsid w:val="003B40A1"/>
    <w:rsid w:val="003C36D1"/>
    <w:rsid w:val="003E277A"/>
    <w:rsid w:val="003E2E64"/>
    <w:rsid w:val="003E5811"/>
    <w:rsid w:val="004005B7"/>
    <w:rsid w:val="00410DE6"/>
    <w:rsid w:val="00413BF1"/>
    <w:rsid w:val="00414010"/>
    <w:rsid w:val="004147CC"/>
    <w:rsid w:val="0041503D"/>
    <w:rsid w:val="004214C9"/>
    <w:rsid w:val="00430037"/>
    <w:rsid w:val="00431DF9"/>
    <w:rsid w:val="00432088"/>
    <w:rsid w:val="00435B13"/>
    <w:rsid w:val="00442E20"/>
    <w:rsid w:val="00444FD9"/>
    <w:rsid w:val="00452FE8"/>
    <w:rsid w:val="004541B6"/>
    <w:rsid w:val="00454B1B"/>
    <w:rsid w:val="00457FAF"/>
    <w:rsid w:val="00464EF5"/>
    <w:rsid w:val="004676EB"/>
    <w:rsid w:val="0047210E"/>
    <w:rsid w:val="00475399"/>
    <w:rsid w:val="00477B25"/>
    <w:rsid w:val="004851A8"/>
    <w:rsid w:val="00492538"/>
    <w:rsid w:val="00495314"/>
    <w:rsid w:val="004A7431"/>
    <w:rsid w:val="004C7FDA"/>
    <w:rsid w:val="004D461D"/>
    <w:rsid w:val="004E0923"/>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D1474"/>
    <w:rsid w:val="005D1896"/>
    <w:rsid w:val="005D40E8"/>
    <w:rsid w:val="005D44F2"/>
    <w:rsid w:val="005D613F"/>
    <w:rsid w:val="005E12FE"/>
    <w:rsid w:val="005E28B7"/>
    <w:rsid w:val="005E489C"/>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AB"/>
    <w:rsid w:val="006630C7"/>
    <w:rsid w:val="006677CE"/>
    <w:rsid w:val="006729B7"/>
    <w:rsid w:val="00675C81"/>
    <w:rsid w:val="006804B0"/>
    <w:rsid w:val="006836A3"/>
    <w:rsid w:val="0069058E"/>
    <w:rsid w:val="006A1BC7"/>
    <w:rsid w:val="006A4F61"/>
    <w:rsid w:val="006A7B2B"/>
    <w:rsid w:val="006B1740"/>
    <w:rsid w:val="006D0D40"/>
    <w:rsid w:val="006D6CDF"/>
    <w:rsid w:val="006E51BD"/>
    <w:rsid w:val="006E5498"/>
    <w:rsid w:val="006F1027"/>
    <w:rsid w:val="006F63F9"/>
    <w:rsid w:val="00700B5E"/>
    <w:rsid w:val="00704D3D"/>
    <w:rsid w:val="007135C8"/>
    <w:rsid w:val="00717979"/>
    <w:rsid w:val="007211DA"/>
    <w:rsid w:val="0073240C"/>
    <w:rsid w:val="00740FC6"/>
    <w:rsid w:val="007419C8"/>
    <w:rsid w:val="00752CD4"/>
    <w:rsid w:val="00753DD1"/>
    <w:rsid w:val="00756DFA"/>
    <w:rsid w:val="00756DFD"/>
    <w:rsid w:val="00756E83"/>
    <w:rsid w:val="007640E4"/>
    <w:rsid w:val="0079025D"/>
    <w:rsid w:val="007B3D34"/>
    <w:rsid w:val="007C6EDD"/>
    <w:rsid w:val="007E743B"/>
    <w:rsid w:val="008033A8"/>
    <w:rsid w:val="00810FDB"/>
    <w:rsid w:val="00812589"/>
    <w:rsid w:val="00813EC1"/>
    <w:rsid w:val="00817CD8"/>
    <w:rsid w:val="00817D84"/>
    <w:rsid w:val="008302B5"/>
    <w:rsid w:val="00830418"/>
    <w:rsid w:val="008326E6"/>
    <w:rsid w:val="00833906"/>
    <w:rsid w:val="00841F63"/>
    <w:rsid w:val="008451B8"/>
    <w:rsid w:val="00846168"/>
    <w:rsid w:val="00861570"/>
    <w:rsid w:val="00867E91"/>
    <w:rsid w:val="0087139A"/>
    <w:rsid w:val="008726C7"/>
    <w:rsid w:val="00893AD8"/>
    <w:rsid w:val="00896358"/>
    <w:rsid w:val="008C1F35"/>
    <w:rsid w:val="008C28FC"/>
    <w:rsid w:val="008C3A24"/>
    <w:rsid w:val="008C5C3B"/>
    <w:rsid w:val="008C7B03"/>
    <w:rsid w:val="008D3FE6"/>
    <w:rsid w:val="008D519A"/>
    <w:rsid w:val="008D547B"/>
    <w:rsid w:val="008F0330"/>
    <w:rsid w:val="008F786D"/>
    <w:rsid w:val="00916F6D"/>
    <w:rsid w:val="009237D6"/>
    <w:rsid w:val="00935391"/>
    <w:rsid w:val="0095158A"/>
    <w:rsid w:val="00962B28"/>
    <w:rsid w:val="009634A8"/>
    <w:rsid w:val="0099104D"/>
    <w:rsid w:val="0099384C"/>
    <w:rsid w:val="009945D5"/>
    <w:rsid w:val="009B30C5"/>
    <w:rsid w:val="009C1772"/>
    <w:rsid w:val="009D4C98"/>
    <w:rsid w:val="009D57BA"/>
    <w:rsid w:val="009D69F3"/>
    <w:rsid w:val="009E31C0"/>
    <w:rsid w:val="00A2134A"/>
    <w:rsid w:val="00A215AB"/>
    <w:rsid w:val="00A21A4F"/>
    <w:rsid w:val="00A270F7"/>
    <w:rsid w:val="00A306D4"/>
    <w:rsid w:val="00A30D57"/>
    <w:rsid w:val="00A367AF"/>
    <w:rsid w:val="00A418EB"/>
    <w:rsid w:val="00A70820"/>
    <w:rsid w:val="00A83D4E"/>
    <w:rsid w:val="00A87F63"/>
    <w:rsid w:val="00A96B41"/>
    <w:rsid w:val="00AA561B"/>
    <w:rsid w:val="00AA57EA"/>
    <w:rsid w:val="00AA7982"/>
    <w:rsid w:val="00AA7D02"/>
    <w:rsid w:val="00AB06AB"/>
    <w:rsid w:val="00AD123C"/>
    <w:rsid w:val="00AD783C"/>
    <w:rsid w:val="00AF1E6D"/>
    <w:rsid w:val="00AF5356"/>
    <w:rsid w:val="00AF7076"/>
    <w:rsid w:val="00B01117"/>
    <w:rsid w:val="00B058C9"/>
    <w:rsid w:val="00B21EB5"/>
    <w:rsid w:val="00B23CD9"/>
    <w:rsid w:val="00B24EA7"/>
    <w:rsid w:val="00B352F6"/>
    <w:rsid w:val="00B359F2"/>
    <w:rsid w:val="00B37447"/>
    <w:rsid w:val="00B42312"/>
    <w:rsid w:val="00B47ADF"/>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30B7"/>
    <w:rsid w:val="00BE7BFE"/>
    <w:rsid w:val="00BF46B2"/>
    <w:rsid w:val="00C018A5"/>
    <w:rsid w:val="00C02BA8"/>
    <w:rsid w:val="00C03AF4"/>
    <w:rsid w:val="00C0742E"/>
    <w:rsid w:val="00C10E7A"/>
    <w:rsid w:val="00C114C4"/>
    <w:rsid w:val="00C12E72"/>
    <w:rsid w:val="00C137EF"/>
    <w:rsid w:val="00C13F39"/>
    <w:rsid w:val="00C43D34"/>
    <w:rsid w:val="00C4625E"/>
    <w:rsid w:val="00C87510"/>
    <w:rsid w:val="00C93522"/>
    <w:rsid w:val="00CA0517"/>
    <w:rsid w:val="00CA1277"/>
    <w:rsid w:val="00CA46C2"/>
    <w:rsid w:val="00CB13E2"/>
    <w:rsid w:val="00CB336C"/>
    <w:rsid w:val="00CC1EFE"/>
    <w:rsid w:val="00CC447D"/>
    <w:rsid w:val="00CC487A"/>
    <w:rsid w:val="00CD0952"/>
    <w:rsid w:val="00CD23D9"/>
    <w:rsid w:val="00CF0119"/>
    <w:rsid w:val="00CF4DE4"/>
    <w:rsid w:val="00CF64F0"/>
    <w:rsid w:val="00D05A88"/>
    <w:rsid w:val="00D06CF7"/>
    <w:rsid w:val="00D13E66"/>
    <w:rsid w:val="00D162CF"/>
    <w:rsid w:val="00D22AE0"/>
    <w:rsid w:val="00D266CF"/>
    <w:rsid w:val="00D26F90"/>
    <w:rsid w:val="00D27265"/>
    <w:rsid w:val="00D358AB"/>
    <w:rsid w:val="00D36C28"/>
    <w:rsid w:val="00D42264"/>
    <w:rsid w:val="00D46336"/>
    <w:rsid w:val="00D46B98"/>
    <w:rsid w:val="00D63185"/>
    <w:rsid w:val="00D74E69"/>
    <w:rsid w:val="00D83457"/>
    <w:rsid w:val="00D84E08"/>
    <w:rsid w:val="00D862FC"/>
    <w:rsid w:val="00DA1E5B"/>
    <w:rsid w:val="00DA2399"/>
    <w:rsid w:val="00DC4031"/>
    <w:rsid w:val="00DE25B0"/>
    <w:rsid w:val="00DF1CD0"/>
    <w:rsid w:val="00E012AA"/>
    <w:rsid w:val="00E03307"/>
    <w:rsid w:val="00E2482A"/>
    <w:rsid w:val="00E307D9"/>
    <w:rsid w:val="00E3636F"/>
    <w:rsid w:val="00E4399C"/>
    <w:rsid w:val="00E46A16"/>
    <w:rsid w:val="00E46A4A"/>
    <w:rsid w:val="00E6139A"/>
    <w:rsid w:val="00E7430A"/>
    <w:rsid w:val="00E762B6"/>
    <w:rsid w:val="00E76B7C"/>
    <w:rsid w:val="00E80C6F"/>
    <w:rsid w:val="00E91D49"/>
    <w:rsid w:val="00E93DDA"/>
    <w:rsid w:val="00E93FDD"/>
    <w:rsid w:val="00EA6208"/>
    <w:rsid w:val="00ED04A5"/>
    <w:rsid w:val="00ED33BE"/>
    <w:rsid w:val="00ED4631"/>
    <w:rsid w:val="00ED697F"/>
    <w:rsid w:val="00EE0B12"/>
    <w:rsid w:val="00EF1725"/>
    <w:rsid w:val="00F108A2"/>
    <w:rsid w:val="00F11242"/>
    <w:rsid w:val="00F14725"/>
    <w:rsid w:val="00F15718"/>
    <w:rsid w:val="00F3112D"/>
    <w:rsid w:val="00F331C4"/>
    <w:rsid w:val="00F34C4C"/>
    <w:rsid w:val="00F3767E"/>
    <w:rsid w:val="00F5364D"/>
    <w:rsid w:val="00F55A88"/>
    <w:rsid w:val="00F60542"/>
    <w:rsid w:val="00F614BD"/>
    <w:rsid w:val="00F7124E"/>
    <w:rsid w:val="00F72543"/>
    <w:rsid w:val="00F746E3"/>
    <w:rsid w:val="00F840E5"/>
    <w:rsid w:val="00F8466F"/>
    <w:rsid w:val="00F90FEA"/>
    <w:rsid w:val="00F916AA"/>
    <w:rsid w:val="00FB17FF"/>
    <w:rsid w:val="00FC1F2A"/>
    <w:rsid w:val="00FD116B"/>
    <w:rsid w:val="00FD19B5"/>
    <w:rsid w:val="00FD7754"/>
    <w:rsid w:val="00FF6CF3"/>
    <w:rsid w:val="011661C8"/>
    <w:rsid w:val="01243755"/>
    <w:rsid w:val="012D40FB"/>
    <w:rsid w:val="01466323"/>
    <w:rsid w:val="018956BE"/>
    <w:rsid w:val="01AD6B33"/>
    <w:rsid w:val="01C21E02"/>
    <w:rsid w:val="01DE7BAE"/>
    <w:rsid w:val="02071FAC"/>
    <w:rsid w:val="020871DD"/>
    <w:rsid w:val="0210580B"/>
    <w:rsid w:val="023B1CCF"/>
    <w:rsid w:val="024E6DB1"/>
    <w:rsid w:val="02507945"/>
    <w:rsid w:val="02510D8D"/>
    <w:rsid w:val="0254538A"/>
    <w:rsid w:val="02672FE9"/>
    <w:rsid w:val="026A1E41"/>
    <w:rsid w:val="027642BB"/>
    <w:rsid w:val="028E2EA4"/>
    <w:rsid w:val="02970D2B"/>
    <w:rsid w:val="02B44793"/>
    <w:rsid w:val="02E15B78"/>
    <w:rsid w:val="02E1742E"/>
    <w:rsid w:val="02EB5541"/>
    <w:rsid w:val="02F0175E"/>
    <w:rsid w:val="02F23FB1"/>
    <w:rsid w:val="031F63BF"/>
    <w:rsid w:val="03265180"/>
    <w:rsid w:val="03452566"/>
    <w:rsid w:val="034A5176"/>
    <w:rsid w:val="036C3D2A"/>
    <w:rsid w:val="03724AB0"/>
    <w:rsid w:val="03774D25"/>
    <w:rsid w:val="038B0753"/>
    <w:rsid w:val="03AB47B9"/>
    <w:rsid w:val="03B12173"/>
    <w:rsid w:val="03B46D44"/>
    <w:rsid w:val="03C81EB9"/>
    <w:rsid w:val="03D75F1C"/>
    <w:rsid w:val="03D9591F"/>
    <w:rsid w:val="03E34AEF"/>
    <w:rsid w:val="03F153F7"/>
    <w:rsid w:val="040408BE"/>
    <w:rsid w:val="04344B81"/>
    <w:rsid w:val="0463723E"/>
    <w:rsid w:val="046A3F2A"/>
    <w:rsid w:val="04A46316"/>
    <w:rsid w:val="04B14D67"/>
    <w:rsid w:val="04B31786"/>
    <w:rsid w:val="04BD0DFC"/>
    <w:rsid w:val="04C91AEC"/>
    <w:rsid w:val="04E67A8F"/>
    <w:rsid w:val="04F432ED"/>
    <w:rsid w:val="0512539C"/>
    <w:rsid w:val="051D5B1F"/>
    <w:rsid w:val="054371AB"/>
    <w:rsid w:val="05470C58"/>
    <w:rsid w:val="054B2DFC"/>
    <w:rsid w:val="0560458D"/>
    <w:rsid w:val="05690F54"/>
    <w:rsid w:val="057D2A61"/>
    <w:rsid w:val="058546E3"/>
    <w:rsid w:val="058922BB"/>
    <w:rsid w:val="058A3138"/>
    <w:rsid w:val="059573DB"/>
    <w:rsid w:val="05AA54F0"/>
    <w:rsid w:val="05C217A3"/>
    <w:rsid w:val="05D53026"/>
    <w:rsid w:val="05D835C3"/>
    <w:rsid w:val="05DB6A9D"/>
    <w:rsid w:val="05DF4635"/>
    <w:rsid w:val="06040449"/>
    <w:rsid w:val="062874C0"/>
    <w:rsid w:val="062C7D30"/>
    <w:rsid w:val="063517AC"/>
    <w:rsid w:val="064224FE"/>
    <w:rsid w:val="064F0456"/>
    <w:rsid w:val="06542C51"/>
    <w:rsid w:val="0686195B"/>
    <w:rsid w:val="06A40375"/>
    <w:rsid w:val="06C96B53"/>
    <w:rsid w:val="06DA76A6"/>
    <w:rsid w:val="070044A0"/>
    <w:rsid w:val="071A1A15"/>
    <w:rsid w:val="0736260C"/>
    <w:rsid w:val="073A4D43"/>
    <w:rsid w:val="07465C79"/>
    <w:rsid w:val="074E1FF0"/>
    <w:rsid w:val="079C0106"/>
    <w:rsid w:val="07A019A5"/>
    <w:rsid w:val="07A82060"/>
    <w:rsid w:val="07B151DF"/>
    <w:rsid w:val="07BD4721"/>
    <w:rsid w:val="07BE7067"/>
    <w:rsid w:val="07D000D6"/>
    <w:rsid w:val="07D164DC"/>
    <w:rsid w:val="07ED0F1B"/>
    <w:rsid w:val="07ED7B83"/>
    <w:rsid w:val="08177BFB"/>
    <w:rsid w:val="084367D4"/>
    <w:rsid w:val="0848193D"/>
    <w:rsid w:val="085F5E6F"/>
    <w:rsid w:val="086F3C10"/>
    <w:rsid w:val="087A5675"/>
    <w:rsid w:val="087F4F63"/>
    <w:rsid w:val="088445CA"/>
    <w:rsid w:val="08854BC4"/>
    <w:rsid w:val="08AD3E7A"/>
    <w:rsid w:val="08C873E5"/>
    <w:rsid w:val="08D259A6"/>
    <w:rsid w:val="08E6788B"/>
    <w:rsid w:val="09081661"/>
    <w:rsid w:val="091E4A80"/>
    <w:rsid w:val="091F194C"/>
    <w:rsid w:val="09256402"/>
    <w:rsid w:val="09347107"/>
    <w:rsid w:val="09492C72"/>
    <w:rsid w:val="09580489"/>
    <w:rsid w:val="0972268D"/>
    <w:rsid w:val="09745A6F"/>
    <w:rsid w:val="099A348C"/>
    <w:rsid w:val="09AB4B27"/>
    <w:rsid w:val="09B8779A"/>
    <w:rsid w:val="09CD7540"/>
    <w:rsid w:val="09E77C5F"/>
    <w:rsid w:val="09F00B1C"/>
    <w:rsid w:val="09F022C4"/>
    <w:rsid w:val="09F127BB"/>
    <w:rsid w:val="0A1B2806"/>
    <w:rsid w:val="0A2A1557"/>
    <w:rsid w:val="0A39575A"/>
    <w:rsid w:val="0A3A7378"/>
    <w:rsid w:val="0A4B6BED"/>
    <w:rsid w:val="0A5B5145"/>
    <w:rsid w:val="0A820371"/>
    <w:rsid w:val="0A941A9B"/>
    <w:rsid w:val="0A9458FA"/>
    <w:rsid w:val="0AC92F16"/>
    <w:rsid w:val="0AD80FC2"/>
    <w:rsid w:val="0AE23FDD"/>
    <w:rsid w:val="0AEE1AA0"/>
    <w:rsid w:val="0AFD00AF"/>
    <w:rsid w:val="0B06722F"/>
    <w:rsid w:val="0B2A0ADC"/>
    <w:rsid w:val="0B425692"/>
    <w:rsid w:val="0B5D3FA7"/>
    <w:rsid w:val="0B663FE4"/>
    <w:rsid w:val="0BBF0626"/>
    <w:rsid w:val="0BE75DFE"/>
    <w:rsid w:val="0BF51C5A"/>
    <w:rsid w:val="0BF916F0"/>
    <w:rsid w:val="0C2C0005"/>
    <w:rsid w:val="0C406BBF"/>
    <w:rsid w:val="0C551044"/>
    <w:rsid w:val="0C574869"/>
    <w:rsid w:val="0C796E65"/>
    <w:rsid w:val="0C9A1E39"/>
    <w:rsid w:val="0C9C2A71"/>
    <w:rsid w:val="0CA44A19"/>
    <w:rsid w:val="0CB845C4"/>
    <w:rsid w:val="0CD30297"/>
    <w:rsid w:val="0CE001F6"/>
    <w:rsid w:val="0CED42B7"/>
    <w:rsid w:val="0CF140FA"/>
    <w:rsid w:val="0CF31B3A"/>
    <w:rsid w:val="0D0D40E4"/>
    <w:rsid w:val="0D19146D"/>
    <w:rsid w:val="0D1C34D0"/>
    <w:rsid w:val="0D1D6FAA"/>
    <w:rsid w:val="0D2124C7"/>
    <w:rsid w:val="0D335085"/>
    <w:rsid w:val="0D3E0FA6"/>
    <w:rsid w:val="0D443E75"/>
    <w:rsid w:val="0D4F29F0"/>
    <w:rsid w:val="0D542171"/>
    <w:rsid w:val="0D677097"/>
    <w:rsid w:val="0D6913B0"/>
    <w:rsid w:val="0D955DE9"/>
    <w:rsid w:val="0DB2420A"/>
    <w:rsid w:val="0DB81E51"/>
    <w:rsid w:val="0DD14872"/>
    <w:rsid w:val="0DD468DC"/>
    <w:rsid w:val="0E011379"/>
    <w:rsid w:val="0E12064D"/>
    <w:rsid w:val="0E24055F"/>
    <w:rsid w:val="0E2664F1"/>
    <w:rsid w:val="0E2A3239"/>
    <w:rsid w:val="0E3C3443"/>
    <w:rsid w:val="0E4762DC"/>
    <w:rsid w:val="0E732BB9"/>
    <w:rsid w:val="0E74101E"/>
    <w:rsid w:val="0E8B043C"/>
    <w:rsid w:val="0EB62316"/>
    <w:rsid w:val="0EBA1BDF"/>
    <w:rsid w:val="0EDD4E1E"/>
    <w:rsid w:val="0EE619C8"/>
    <w:rsid w:val="0EE75620"/>
    <w:rsid w:val="0EED1247"/>
    <w:rsid w:val="0EED39AD"/>
    <w:rsid w:val="0EF45919"/>
    <w:rsid w:val="0F0A4F0B"/>
    <w:rsid w:val="0F3E6A4C"/>
    <w:rsid w:val="0F5F6058"/>
    <w:rsid w:val="0F760441"/>
    <w:rsid w:val="0F866B6F"/>
    <w:rsid w:val="0F884120"/>
    <w:rsid w:val="0F88424E"/>
    <w:rsid w:val="0F9D0225"/>
    <w:rsid w:val="0FA05331"/>
    <w:rsid w:val="0FAD2FDB"/>
    <w:rsid w:val="0FC17DB6"/>
    <w:rsid w:val="0FCF4323"/>
    <w:rsid w:val="0FD0377A"/>
    <w:rsid w:val="0FD850C3"/>
    <w:rsid w:val="0FF14FD3"/>
    <w:rsid w:val="0FF35410"/>
    <w:rsid w:val="0FFD464E"/>
    <w:rsid w:val="101161C0"/>
    <w:rsid w:val="101358F3"/>
    <w:rsid w:val="102B1DDB"/>
    <w:rsid w:val="102C5EBC"/>
    <w:rsid w:val="102D26D6"/>
    <w:rsid w:val="1057019A"/>
    <w:rsid w:val="106D0892"/>
    <w:rsid w:val="108E7739"/>
    <w:rsid w:val="10925802"/>
    <w:rsid w:val="109F13C8"/>
    <w:rsid w:val="10A462FC"/>
    <w:rsid w:val="10A87933"/>
    <w:rsid w:val="10B93774"/>
    <w:rsid w:val="10BF410A"/>
    <w:rsid w:val="10D67EA8"/>
    <w:rsid w:val="10F974F3"/>
    <w:rsid w:val="112A3887"/>
    <w:rsid w:val="1139537F"/>
    <w:rsid w:val="116F0DC7"/>
    <w:rsid w:val="11AC2AC8"/>
    <w:rsid w:val="11BC43D5"/>
    <w:rsid w:val="11D13B4A"/>
    <w:rsid w:val="11E17F41"/>
    <w:rsid w:val="12373D7C"/>
    <w:rsid w:val="12877198"/>
    <w:rsid w:val="128C6186"/>
    <w:rsid w:val="129C3353"/>
    <w:rsid w:val="129F74AD"/>
    <w:rsid w:val="12B8170E"/>
    <w:rsid w:val="13021765"/>
    <w:rsid w:val="131E6E81"/>
    <w:rsid w:val="13285E5F"/>
    <w:rsid w:val="13376915"/>
    <w:rsid w:val="133D4C4F"/>
    <w:rsid w:val="135D53D8"/>
    <w:rsid w:val="135F7841"/>
    <w:rsid w:val="13707D0F"/>
    <w:rsid w:val="13833F28"/>
    <w:rsid w:val="13B266FA"/>
    <w:rsid w:val="13DF7E95"/>
    <w:rsid w:val="13EF483C"/>
    <w:rsid w:val="13F51833"/>
    <w:rsid w:val="13FA31A3"/>
    <w:rsid w:val="13FE0DE6"/>
    <w:rsid w:val="13FF2080"/>
    <w:rsid w:val="140C2170"/>
    <w:rsid w:val="142525F6"/>
    <w:rsid w:val="14262BBC"/>
    <w:rsid w:val="143B6859"/>
    <w:rsid w:val="14461E9D"/>
    <w:rsid w:val="144D6507"/>
    <w:rsid w:val="14626397"/>
    <w:rsid w:val="14670D03"/>
    <w:rsid w:val="1470197E"/>
    <w:rsid w:val="14722D5A"/>
    <w:rsid w:val="147818BD"/>
    <w:rsid w:val="14864ED2"/>
    <w:rsid w:val="14A031F7"/>
    <w:rsid w:val="14AC75D1"/>
    <w:rsid w:val="14E50979"/>
    <w:rsid w:val="14EA44AE"/>
    <w:rsid w:val="14FB33B0"/>
    <w:rsid w:val="150115A9"/>
    <w:rsid w:val="15176E68"/>
    <w:rsid w:val="15457079"/>
    <w:rsid w:val="1560004E"/>
    <w:rsid w:val="157978A7"/>
    <w:rsid w:val="158560F0"/>
    <w:rsid w:val="158D32A4"/>
    <w:rsid w:val="158E3B60"/>
    <w:rsid w:val="15C673AA"/>
    <w:rsid w:val="15DD6AE4"/>
    <w:rsid w:val="16007076"/>
    <w:rsid w:val="16081B79"/>
    <w:rsid w:val="160A1024"/>
    <w:rsid w:val="1619180F"/>
    <w:rsid w:val="1619332D"/>
    <w:rsid w:val="162C3EA9"/>
    <w:rsid w:val="16353308"/>
    <w:rsid w:val="16696C3A"/>
    <w:rsid w:val="168230EE"/>
    <w:rsid w:val="16B42C6D"/>
    <w:rsid w:val="16B44038"/>
    <w:rsid w:val="16CA6421"/>
    <w:rsid w:val="16E3253A"/>
    <w:rsid w:val="16FF332A"/>
    <w:rsid w:val="170F2220"/>
    <w:rsid w:val="17277D08"/>
    <w:rsid w:val="173D7F05"/>
    <w:rsid w:val="17576637"/>
    <w:rsid w:val="1786162A"/>
    <w:rsid w:val="17A9546E"/>
    <w:rsid w:val="17BD5739"/>
    <w:rsid w:val="17D145A4"/>
    <w:rsid w:val="180C6776"/>
    <w:rsid w:val="182021D4"/>
    <w:rsid w:val="18220E96"/>
    <w:rsid w:val="182512BF"/>
    <w:rsid w:val="1865122A"/>
    <w:rsid w:val="186D2733"/>
    <w:rsid w:val="187A78B1"/>
    <w:rsid w:val="18B349D2"/>
    <w:rsid w:val="18CE4126"/>
    <w:rsid w:val="18F6152C"/>
    <w:rsid w:val="18F660E1"/>
    <w:rsid w:val="190218BC"/>
    <w:rsid w:val="19044C8D"/>
    <w:rsid w:val="19095170"/>
    <w:rsid w:val="190B3EB3"/>
    <w:rsid w:val="191047E7"/>
    <w:rsid w:val="19137BB8"/>
    <w:rsid w:val="191B12AB"/>
    <w:rsid w:val="19225D94"/>
    <w:rsid w:val="193970B7"/>
    <w:rsid w:val="193F0E28"/>
    <w:rsid w:val="194505FE"/>
    <w:rsid w:val="19457F63"/>
    <w:rsid w:val="19522332"/>
    <w:rsid w:val="19576828"/>
    <w:rsid w:val="197410CF"/>
    <w:rsid w:val="198E3481"/>
    <w:rsid w:val="199A7C9F"/>
    <w:rsid w:val="19A810CA"/>
    <w:rsid w:val="19AA32E6"/>
    <w:rsid w:val="19D743D6"/>
    <w:rsid w:val="19DD1B54"/>
    <w:rsid w:val="19E9387A"/>
    <w:rsid w:val="19F8389D"/>
    <w:rsid w:val="1A126FFF"/>
    <w:rsid w:val="1A175AD1"/>
    <w:rsid w:val="1A6F52BC"/>
    <w:rsid w:val="1A7E6AE3"/>
    <w:rsid w:val="1A8104CE"/>
    <w:rsid w:val="1A962D35"/>
    <w:rsid w:val="1AA63E86"/>
    <w:rsid w:val="1AB80C4F"/>
    <w:rsid w:val="1ABC5AEC"/>
    <w:rsid w:val="1ABD2642"/>
    <w:rsid w:val="1AC014C6"/>
    <w:rsid w:val="1AC937CA"/>
    <w:rsid w:val="1ADA2738"/>
    <w:rsid w:val="1AF2282B"/>
    <w:rsid w:val="1AFD0871"/>
    <w:rsid w:val="1B2714BF"/>
    <w:rsid w:val="1B332452"/>
    <w:rsid w:val="1B3542FB"/>
    <w:rsid w:val="1B372BF3"/>
    <w:rsid w:val="1B4D0258"/>
    <w:rsid w:val="1B4F322C"/>
    <w:rsid w:val="1B526935"/>
    <w:rsid w:val="1B666C5A"/>
    <w:rsid w:val="1B72638E"/>
    <w:rsid w:val="1B88418F"/>
    <w:rsid w:val="1B8E7098"/>
    <w:rsid w:val="1B8F351E"/>
    <w:rsid w:val="1B911640"/>
    <w:rsid w:val="1B9334AB"/>
    <w:rsid w:val="1B95436C"/>
    <w:rsid w:val="1BC673F4"/>
    <w:rsid w:val="1BDB4749"/>
    <w:rsid w:val="1BE542F6"/>
    <w:rsid w:val="1BE61271"/>
    <w:rsid w:val="1BE74FE9"/>
    <w:rsid w:val="1C080823"/>
    <w:rsid w:val="1C0F3379"/>
    <w:rsid w:val="1C190772"/>
    <w:rsid w:val="1C2A2148"/>
    <w:rsid w:val="1C3B1844"/>
    <w:rsid w:val="1C3F0B2B"/>
    <w:rsid w:val="1C3F5535"/>
    <w:rsid w:val="1C517832"/>
    <w:rsid w:val="1C5F5C93"/>
    <w:rsid w:val="1C6918C8"/>
    <w:rsid w:val="1C6D3625"/>
    <w:rsid w:val="1C853160"/>
    <w:rsid w:val="1C8614EE"/>
    <w:rsid w:val="1CA95FA5"/>
    <w:rsid w:val="1CDE50C9"/>
    <w:rsid w:val="1CDE6FC2"/>
    <w:rsid w:val="1CF540E9"/>
    <w:rsid w:val="1D1F1816"/>
    <w:rsid w:val="1D241315"/>
    <w:rsid w:val="1D5D6BFA"/>
    <w:rsid w:val="1D76469C"/>
    <w:rsid w:val="1D7A5A02"/>
    <w:rsid w:val="1D857F3C"/>
    <w:rsid w:val="1DC0717D"/>
    <w:rsid w:val="1DDC1F50"/>
    <w:rsid w:val="1DE85F85"/>
    <w:rsid w:val="1E2B70E6"/>
    <w:rsid w:val="1E334108"/>
    <w:rsid w:val="1E4C7E68"/>
    <w:rsid w:val="1E52330B"/>
    <w:rsid w:val="1E60092A"/>
    <w:rsid w:val="1E656D52"/>
    <w:rsid w:val="1E6C0F09"/>
    <w:rsid w:val="1E98461D"/>
    <w:rsid w:val="1EA67F90"/>
    <w:rsid w:val="1ED72245"/>
    <w:rsid w:val="1EF34087"/>
    <w:rsid w:val="1EF61FE3"/>
    <w:rsid w:val="1F165A39"/>
    <w:rsid w:val="1F2E4D87"/>
    <w:rsid w:val="1F370402"/>
    <w:rsid w:val="1F4965B4"/>
    <w:rsid w:val="1F657758"/>
    <w:rsid w:val="1F7A1381"/>
    <w:rsid w:val="1FA92E7A"/>
    <w:rsid w:val="1FC15ED6"/>
    <w:rsid w:val="1FDE3E7F"/>
    <w:rsid w:val="1FDF0BF0"/>
    <w:rsid w:val="1FF931A4"/>
    <w:rsid w:val="1FFB3074"/>
    <w:rsid w:val="20216B08"/>
    <w:rsid w:val="204D10CE"/>
    <w:rsid w:val="20572904"/>
    <w:rsid w:val="207260A6"/>
    <w:rsid w:val="20801DCF"/>
    <w:rsid w:val="209B4C6C"/>
    <w:rsid w:val="209F4C92"/>
    <w:rsid w:val="20AC0D84"/>
    <w:rsid w:val="20BF1892"/>
    <w:rsid w:val="20BF1B00"/>
    <w:rsid w:val="20C646ED"/>
    <w:rsid w:val="20F054FC"/>
    <w:rsid w:val="20FD1BD5"/>
    <w:rsid w:val="211232C3"/>
    <w:rsid w:val="21220770"/>
    <w:rsid w:val="212E34D3"/>
    <w:rsid w:val="21493133"/>
    <w:rsid w:val="215B2A68"/>
    <w:rsid w:val="217162CA"/>
    <w:rsid w:val="217429A0"/>
    <w:rsid w:val="21B453CD"/>
    <w:rsid w:val="21B65314"/>
    <w:rsid w:val="21D51C02"/>
    <w:rsid w:val="2204765C"/>
    <w:rsid w:val="220B4FC1"/>
    <w:rsid w:val="220E5787"/>
    <w:rsid w:val="221233F7"/>
    <w:rsid w:val="22261B58"/>
    <w:rsid w:val="22363ABA"/>
    <w:rsid w:val="224145D9"/>
    <w:rsid w:val="22421B7E"/>
    <w:rsid w:val="22423D4D"/>
    <w:rsid w:val="225C52DB"/>
    <w:rsid w:val="22983240"/>
    <w:rsid w:val="22A273FF"/>
    <w:rsid w:val="22B85E94"/>
    <w:rsid w:val="22C2587A"/>
    <w:rsid w:val="22CE1777"/>
    <w:rsid w:val="22D51980"/>
    <w:rsid w:val="22E471BA"/>
    <w:rsid w:val="22F83FEB"/>
    <w:rsid w:val="23005679"/>
    <w:rsid w:val="2308424D"/>
    <w:rsid w:val="23201166"/>
    <w:rsid w:val="23220A0D"/>
    <w:rsid w:val="23340988"/>
    <w:rsid w:val="23345488"/>
    <w:rsid w:val="233F3F0D"/>
    <w:rsid w:val="23420420"/>
    <w:rsid w:val="23431403"/>
    <w:rsid w:val="234E1DDC"/>
    <w:rsid w:val="236B3B35"/>
    <w:rsid w:val="237C05A4"/>
    <w:rsid w:val="239C0FFB"/>
    <w:rsid w:val="23AB6F51"/>
    <w:rsid w:val="23B54A00"/>
    <w:rsid w:val="23BF5B07"/>
    <w:rsid w:val="23C11C5C"/>
    <w:rsid w:val="24042E63"/>
    <w:rsid w:val="240A0711"/>
    <w:rsid w:val="24212C3A"/>
    <w:rsid w:val="244758B5"/>
    <w:rsid w:val="245E4322"/>
    <w:rsid w:val="24677CF2"/>
    <w:rsid w:val="246D1F1E"/>
    <w:rsid w:val="24814E6B"/>
    <w:rsid w:val="248C507E"/>
    <w:rsid w:val="24997B76"/>
    <w:rsid w:val="24B214DF"/>
    <w:rsid w:val="24C55441"/>
    <w:rsid w:val="24CD25BB"/>
    <w:rsid w:val="24EA2442"/>
    <w:rsid w:val="250B023F"/>
    <w:rsid w:val="2517658C"/>
    <w:rsid w:val="251972A9"/>
    <w:rsid w:val="25571864"/>
    <w:rsid w:val="256F3E21"/>
    <w:rsid w:val="25751D88"/>
    <w:rsid w:val="25831D72"/>
    <w:rsid w:val="259F5720"/>
    <w:rsid w:val="25A5447F"/>
    <w:rsid w:val="25A617AE"/>
    <w:rsid w:val="25B814E1"/>
    <w:rsid w:val="25E178B5"/>
    <w:rsid w:val="26082254"/>
    <w:rsid w:val="261772AA"/>
    <w:rsid w:val="26590D71"/>
    <w:rsid w:val="265B0FE1"/>
    <w:rsid w:val="26696967"/>
    <w:rsid w:val="266B0064"/>
    <w:rsid w:val="268B074F"/>
    <w:rsid w:val="26910958"/>
    <w:rsid w:val="26BC42F5"/>
    <w:rsid w:val="26EB3CF0"/>
    <w:rsid w:val="270E0153"/>
    <w:rsid w:val="270E40AA"/>
    <w:rsid w:val="27181169"/>
    <w:rsid w:val="271E6FB9"/>
    <w:rsid w:val="2737249E"/>
    <w:rsid w:val="27436E82"/>
    <w:rsid w:val="275A67FD"/>
    <w:rsid w:val="275F095E"/>
    <w:rsid w:val="27654608"/>
    <w:rsid w:val="27797AB1"/>
    <w:rsid w:val="279E3F73"/>
    <w:rsid w:val="279E6FF6"/>
    <w:rsid w:val="27B3359B"/>
    <w:rsid w:val="27CD1F3C"/>
    <w:rsid w:val="27CD689D"/>
    <w:rsid w:val="27E320D9"/>
    <w:rsid w:val="27E3760C"/>
    <w:rsid w:val="27EB6534"/>
    <w:rsid w:val="27EE36C4"/>
    <w:rsid w:val="27F12FBB"/>
    <w:rsid w:val="27F1607E"/>
    <w:rsid w:val="280349D7"/>
    <w:rsid w:val="2811796B"/>
    <w:rsid w:val="2817182A"/>
    <w:rsid w:val="28261BB8"/>
    <w:rsid w:val="28335EBE"/>
    <w:rsid w:val="2853664C"/>
    <w:rsid w:val="28550493"/>
    <w:rsid w:val="28552D17"/>
    <w:rsid w:val="28601E8A"/>
    <w:rsid w:val="288362E8"/>
    <w:rsid w:val="28896366"/>
    <w:rsid w:val="2895052E"/>
    <w:rsid w:val="289736D6"/>
    <w:rsid w:val="28985AC2"/>
    <w:rsid w:val="289C331B"/>
    <w:rsid w:val="28E43CDE"/>
    <w:rsid w:val="28E63CF2"/>
    <w:rsid w:val="28F5126C"/>
    <w:rsid w:val="29154883"/>
    <w:rsid w:val="292D7DCD"/>
    <w:rsid w:val="294E1229"/>
    <w:rsid w:val="29521386"/>
    <w:rsid w:val="2958769B"/>
    <w:rsid w:val="297B758F"/>
    <w:rsid w:val="297C6FB2"/>
    <w:rsid w:val="298E38FB"/>
    <w:rsid w:val="29921C14"/>
    <w:rsid w:val="299D5118"/>
    <w:rsid w:val="29BE47B1"/>
    <w:rsid w:val="29CA5A85"/>
    <w:rsid w:val="29CC67D1"/>
    <w:rsid w:val="29DA6910"/>
    <w:rsid w:val="29F217F2"/>
    <w:rsid w:val="29F808E9"/>
    <w:rsid w:val="2A012A6E"/>
    <w:rsid w:val="2A0C5DDF"/>
    <w:rsid w:val="2A2B33FF"/>
    <w:rsid w:val="2A304FCF"/>
    <w:rsid w:val="2A531D90"/>
    <w:rsid w:val="2A541BFD"/>
    <w:rsid w:val="2A5E6C51"/>
    <w:rsid w:val="2A8074A3"/>
    <w:rsid w:val="2A8517F1"/>
    <w:rsid w:val="2A9D30F3"/>
    <w:rsid w:val="2AC72F37"/>
    <w:rsid w:val="2ADC66BD"/>
    <w:rsid w:val="2B151A29"/>
    <w:rsid w:val="2B193FC0"/>
    <w:rsid w:val="2B2A5BCC"/>
    <w:rsid w:val="2B3214D4"/>
    <w:rsid w:val="2B6677EB"/>
    <w:rsid w:val="2B773505"/>
    <w:rsid w:val="2B7C7736"/>
    <w:rsid w:val="2BAB0499"/>
    <w:rsid w:val="2BB1692C"/>
    <w:rsid w:val="2BB172BF"/>
    <w:rsid w:val="2BDD6474"/>
    <w:rsid w:val="2BEA6049"/>
    <w:rsid w:val="2C053F31"/>
    <w:rsid w:val="2C3F64D6"/>
    <w:rsid w:val="2C48645E"/>
    <w:rsid w:val="2C8A3730"/>
    <w:rsid w:val="2C8E46BB"/>
    <w:rsid w:val="2CAD13E0"/>
    <w:rsid w:val="2CC42329"/>
    <w:rsid w:val="2CC45CC4"/>
    <w:rsid w:val="2CD51280"/>
    <w:rsid w:val="2CFE588F"/>
    <w:rsid w:val="2CFF7734"/>
    <w:rsid w:val="2D2467C2"/>
    <w:rsid w:val="2D4E62A1"/>
    <w:rsid w:val="2D5462C2"/>
    <w:rsid w:val="2D5F44D3"/>
    <w:rsid w:val="2D62568F"/>
    <w:rsid w:val="2D676C30"/>
    <w:rsid w:val="2D822A3D"/>
    <w:rsid w:val="2D951C26"/>
    <w:rsid w:val="2D993F70"/>
    <w:rsid w:val="2DA15059"/>
    <w:rsid w:val="2DB955A0"/>
    <w:rsid w:val="2DC053F7"/>
    <w:rsid w:val="2DC21CCF"/>
    <w:rsid w:val="2DC82EEC"/>
    <w:rsid w:val="2DEC04BA"/>
    <w:rsid w:val="2DEE7D7B"/>
    <w:rsid w:val="2E106AAA"/>
    <w:rsid w:val="2E624ED5"/>
    <w:rsid w:val="2E796377"/>
    <w:rsid w:val="2E7F4945"/>
    <w:rsid w:val="2EA23E74"/>
    <w:rsid w:val="2EC93E41"/>
    <w:rsid w:val="2ECA0B93"/>
    <w:rsid w:val="2F102AEF"/>
    <w:rsid w:val="2F1E6A16"/>
    <w:rsid w:val="2F256289"/>
    <w:rsid w:val="2F3D41D5"/>
    <w:rsid w:val="2F445100"/>
    <w:rsid w:val="2F4D2A21"/>
    <w:rsid w:val="2F6A0B86"/>
    <w:rsid w:val="2F6D2FFD"/>
    <w:rsid w:val="2F7C0DC0"/>
    <w:rsid w:val="2F8640AD"/>
    <w:rsid w:val="2F881D30"/>
    <w:rsid w:val="2F8A7474"/>
    <w:rsid w:val="2F8D7E33"/>
    <w:rsid w:val="2FA22FDD"/>
    <w:rsid w:val="2FB238C3"/>
    <w:rsid w:val="2FD1710B"/>
    <w:rsid w:val="2FE504B7"/>
    <w:rsid w:val="2FEF2E6C"/>
    <w:rsid w:val="2FF75DF6"/>
    <w:rsid w:val="301816D1"/>
    <w:rsid w:val="302C3EDF"/>
    <w:rsid w:val="30320F9B"/>
    <w:rsid w:val="303711F7"/>
    <w:rsid w:val="303A4ACA"/>
    <w:rsid w:val="305B1182"/>
    <w:rsid w:val="305D1CCE"/>
    <w:rsid w:val="305E4A0C"/>
    <w:rsid w:val="30752DA6"/>
    <w:rsid w:val="308710A4"/>
    <w:rsid w:val="30912A6D"/>
    <w:rsid w:val="30966CE7"/>
    <w:rsid w:val="30AD74CF"/>
    <w:rsid w:val="30B55DD1"/>
    <w:rsid w:val="30F02BD1"/>
    <w:rsid w:val="310C0AD0"/>
    <w:rsid w:val="31132938"/>
    <w:rsid w:val="3114789C"/>
    <w:rsid w:val="311722F5"/>
    <w:rsid w:val="311D76D2"/>
    <w:rsid w:val="312E26C2"/>
    <w:rsid w:val="312F6DB8"/>
    <w:rsid w:val="31375428"/>
    <w:rsid w:val="31464C62"/>
    <w:rsid w:val="3154062A"/>
    <w:rsid w:val="315B4A26"/>
    <w:rsid w:val="316505E8"/>
    <w:rsid w:val="316B5D6B"/>
    <w:rsid w:val="3171622A"/>
    <w:rsid w:val="319F31B6"/>
    <w:rsid w:val="31AB370F"/>
    <w:rsid w:val="31B609AA"/>
    <w:rsid w:val="31BD6EAD"/>
    <w:rsid w:val="31FA63F4"/>
    <w:rsid w:val="324F7BB6"/>
    <w:rsid w:val="32775632"/>
    <w:rsid w:val="3283005E"/>
    <w:rsid w:val="32A3414C"/>
    <w:rsid w:val="32A95302"/>
    <w:rsid w:val="32B34312"/>
    <w:rsid w:val="32B563C3"/>
    <w:rsid w:val="32D22AAA"/>
    <w:rsid w:val="32D3116D"/>
    <w:rsid w:val="32D46BDF"/>
    <w:rsid w:val="32DB1B8F"/>
    <w:rsid w:val="32F97CD5"/>
    <w:rsid w:val="32FA0C51"/>
    <w:rsid w:val="32FF4295"/>
    <w:rsid w:val="33101B57"/>
    <w:rsid w:val="33353669"/>
    <w:rsid w:val="334A2082"/>
    <w:rsid w:val="334D4B04"/>
    <w:rsid w:val="335F1FA1"/>
    <w:rsid w:val="33634795"/>
    <w:rsid w:val="336F00EB"/>
    <w:rsid w:val="33711628"/>
    <w:rsid w:val="33AB014B"/>
    <w:rsid w:val="33B230EA"/>
    <w:rsid w:val="33C86452"/>
    <w:rsid w:val="33DB6CCF"/>
    <w:rsid w:val="34066E74"/>
    <w:rsid w:val="34081E12"/>
    <w:rsid w:val="34190852"/>
    <w:rsid w:val="343A32E7"/>
    <w:rsid w:val="34456A7E"/>
    <w:rsid w:val="344A7E45"/>
    <w:rsid w:val="344D2F56"/>
    <w:rsid w:val="34587F41"/>
    <w:rsid w:val="345D2C7E"/>
    <w:rsid w:val="34665F56"/>
    <w:rsid w:val="34924FC4"/>
    <w:rsid w:val="34C21B8F"/>
    <w:rsid w:val="34C5119C"/>
    <w:rsid w:val="35115864"/>
    <w:rsid w:val="352132A8"/>
    <w:rsid w:val="353A5EDD"/>
    <w:rsid w:val="35583F76"/>
    <w:rsid w:val="358F2980"/>
    <w:rsid w:val="35903655"/>
    <w:rsid w:val="35924F3A"/>
    <w:rsid w:val="359F765C"/>
    <w:rsid w:val="35B939CB"/>
    <w:rsid w:val="35EC69C3"/>
    <w:rsid w:val="36103A89"/>
    <w:rsid w:val="36115539"/>
    <w:rsid w:val="362A1D29"/>
    <w:rsid w:val="36446861"/>
    <w:rsid w:val="364B233B"/>
    <w:rsid w:val="365B3550"/>
    <w:rsid w:val="367F0C5B"/>
    <w:rsid w:val="36861FAD"/>
    <w:rsid w:val="36AD7E4C"/>
    <w:rsid w:val="36AF3D05"/>
    <w:rsid w:val="36D45A97"/>
    <w:rsid w:val="36E8727B"/>
    <w:rsid w:val="36ED73BD"/>
    <w:rsid w:val="36F30888"/>
    <w:rsid w:val="36FE64ED"/>
    <w:rsid w:val="371A4D75"/>
    <w:rsid w:val="373108D4"/>
    <w:rsid w:val="3762330F"/>
    <w:rsid w:val="377B3BAC"/>
    <w:rsid w:val="37AE0570"/>
    <w:rsid w:val="37AE4516"/>
    <w:rsid w:val="37B879C4"/>
    <w:rsid w:val="37C80CBF"/>
    <w:rsid w:val="37CF0BB3"/>
    <w:rsid w:val="37D451C8"/>
    <w:rsid w:val="37E0537C"/>
    <w:rsid w:val="37E1079C"/>
    <w:rsid w:val="37F04D2F"/>
    <w:rsid w:val="37F30E4E"/>
    <w:rsid w:val="37F8487A"/>
    <w:rsid w:val="37FD0952"/>
    <w:rsid w:val="37FE4B49"/>
    <w:rsid w:val="38143841"/>
    <w:rsid w:val="38282D4D"/>
    <w:rsid w:val="38411385"/>
    <w:rsid w:val="3870629E"/>
    <w:rsid w:val="38A85D8D"/>
    <w:rsid w:val="38B24BC5"/>
    <w:rsid w:val="38B94C45"/>
    <w:rsid w:val="38BC2C05"/>
    <w:rsid w:val="38D5699F"/>
    <w:rsid w:val="38D65704"/>
    <w:rsid w:val="38DC74A7"/>
    <w:rsid w:val="38E100C2"/>
    <w:rsid w:val="390741F4"/>
    <w:rsid w:val="390A4620"/>
    <w:rsid w:val="39203F8F"/>
    <w:rsid w:val="39582851"/>
    <w:rsid w:val="397C648E"/>
    <w:rsid w:val="398259F2"/>
    <w:rsid w:val="39830F07"/>
    <w:rsid w:val="39905D4A"/>
    <w:rsid w:val="39D11041"/>
    <w:rsid w:val="39E34343"/>
    <w:rsid w:val="39F73541"/>
    <w:rsid w:val="3A016262"/>
    <w:rsid w:val="3A174DE2"/>
    <w:rsid w:val="3A35728B"/>
    <w:rsid w:val="3A3C3DC7"/>
    <w:rsid w:val="3A926509"/>
    <w:rsid w:val="3AE71281"/>
    <w:rsid w:val="3AEF0890"/>
    <w:rsid w:val="3AFE561F"/>
    <w:rsid w:val="3B200FE2"/>
    <w:rsid w:val="3B46533D"/>
    <w:rsid w:val="3B501A8F"/>
    <w:rsid w:val="3B682D5E"/>
    <w:rsid w:val="3B9C3C56"/>
    <w:rsid w:val="3BBA28BA"/>
    <w:rsid w:val="3BBE7E61"/>
    <w:rsid w:val="3C0123CD"/>
    <w:rsid w:val="3C0C1C5B"/>
    <w:rsid w:val="3C0D4E3C"/>
    <w:rsid w:val="3C1E3FFF"/>
    <w:rsid w:val="3C2E4B74"/>
    <w:rsid w:val="3C4679CD"/>
    <w:rsid w:val="3C4D13F4"/>
    <w:rsid w:val="3C5357A3"/>
    <w:rsid w:val="3C586AFE"/>
    <w:rsid w:val="3C774586"/>
    <w:rsid w:val="3C8B5092"/>
    <w:rsid w:val="3C9E1CF4"/>
    <w:rsid w:val="3CC16A39"/>
    <w:rsid w:val="3CC80A7A"/>
    <w:rsid w:val="3CC90259"/>
    <w:rsid w:val="3CFB02FD"/>
    <w:rsid w:val="3D102D73"/>
    <w:rsid w:val="3D16557E"/>
    <w:rsid w:val="3D25198E"/>
    <w:rsid w:val="3D2B3DE3"/>
    <w:rsid w:val="3D457D8D"/>
    <w:rsid w:val="3D493642"/>
    <w:rsid w:val="3D793A53"/>
    <w:rsid w:val="3D976558"/>
    <w:rsid w:val="3DBC7D0E"/>
    <w:rsid w:val="3DC76955"/>
    <w:rsid w:val="3DE0100D"/>
    <w:rsid w:val="3DE250CD"/>
    <w:rsid w:val="3DE8227C"/>
    <w:rsid w:val="3DF8596C"/>
    <w:rsid w:val="3E122CDE"/>
    <w:rsid w:val="3E2241BA"/>
    <w:rsid w:val="3E3146F2"/>
    <w:rsid w:val="3E5566D4"/>
    <w:rsid w:val="3E5959DA"/>
    <w:rsid w:val="3E8E68AE"/>
    <w:rsid w:val="3E8F07CB"/>
    <w:rsid w:val="3E90021E"/>
    <w:rsid w:val="3ED53889"/>
    <w:rsid w:val="3EE94729"/>
    <w:rsid w:val="3F265BE8"/>
    <w:rsid w:val="3F2D0E1A"/>
    <w:rsid w:val="3F361F2E"/>
    <w:rsid w:val="3F3C08E5"/>
    <w:rsid w:val="3F5235EF"/>
    <w:rsid w:val="3F542A99"/>
    <w:rsid w:val="3FA41611"/>
    <w:rsid w:val="3FAB28A3"/>
    <w:rsid w:val="3FDB6F47"/>
    <w:rsid w:val="3FDD0D6E"/>
    <w:rsid w:val="404A0617"/>
    <w:rsid w:val="404C1345"/>
    <w:rsid w:val="406202E6"/>
    <w:rsid w:val="407401D4"/>
    <w:rsid w:val="40876843"/>
    <w:rsid w:val="40896EEE"/>
    <w:rsid w:val="408F7CD8"/>
    <w:rsid w:val="409C4AF1"/>
    <w:rsid w:val="40A57752"/>
    <w:rsid w:val="40AB3DBD"/>
    <w:rsid w:val="40BB02E7"/>
    <w:rsid w:val="40CF4E36"/>
    <w:rsid w:val="40D02754"/>
    <w:rsid w:val="40DD5B87"/>
    <w:rsid w:val="40E37C31"/>
    <w:rsid w:val="410C54D9"/>
    <w:rsid w:val="41173547"/>
    <w:rsid w:val="413B2EA5"/>
    <w:rsid w:val="41693476"/>
    <w:rsid w:val="41811624"/>
    <w:rsid w:val="4198423B"/>
    <w:rsid w:val="419D7174"/>
    <w:rsid w:val="41A21455"/>
    <w:rsid w:val="41A77051"/>
    <w:rsid w:val="41B96BE3"/>
    <w:rsid w:val="41E80D0F"/>
    <w:rsid w:val="41F32E35"/>
    <w:rsid w:val="41FC26D8"/>
    <w:rsid w:val="42014067"/>
    <w:rsid w:val="420D11AC"/>
    <w:rsid w:val="42257689"/>
    <w:rsid w:val="423E7F3E"/>
    <w:rsid w:val="42406199"/>
    <w:rsid w:val="424443C9"/>
    <w:rsid w:val="426C63F2"/>
    <w:rsid w:val="42891AF3"/>
    <w:rsid w:val="42C11AE6"/>
    <w:rsid w:val="42C7679B"/>
    <w:rsid w:val="42E00F90"/>
    <w:rsid w:val="42E46F22"/>
    <w:rsid w:val="42F979F6"/>
    <w:rsid w:val="42FB6149"/>
    <w:rsid w:val="43094E58"/>
    <w:rsid w:val="430B529D"/>
    <w:rsid w:val="431D23A7"/>
    <w:rsid w:val="433A730B"/>
    <w:rsid w:val="434A67A6"/>
    <w:rsid w:val="434F61BB"/>
    <w:rsid w:val="437C2D69"/>
    <w:rsid w:val="43824658"/>
    <w:rsid w:val="438837DF"/>
    <w:rsid w:val="439F39E9"/>
    <w:rsid w:val="43A975CD"/>
    <w:rsid w:val="43AD01AE"/>
    <w:rsid w:val="43DB3F23"/>
    <w:rsid w:val="43EA2BEF"/>
    <w:rsid w:val="440B1E39"/>
    <w:rsid w:val="44160914"/>
    <w:rsid w:val="444C63B2"/>
    <w:rsid w:val="445275C2"/>
    <w:rsid w:val="44593733"/>
    <w:rsid w:val="445F2A31"/>
    <w:rsid w:val="44671DAC"/>
    <w:rsid w:val="44705E35"/>
    <w:rsid w:val="44927BB2"/>
    <w:rsid w:val="44AE3D02"/>
    <w:rsid w:val="44B65390"/>
    <w:rsid w:val="44BC2283"/>
    <w:rsid w:val="44D82741"/>
    <w:rsid w:val="44D96CE5"/>
    <w:rsid w:val="44E528CA"/>
    <w:rsid w:val="44EB16B7"/>
    <w:rsid w:val="44ED5C79"/>
    <w:rsid w:val="44F22646"/>
    <w:rsid w:val="44F95F4B"/>
    <w:rsid w:val="450734AC"/>
    <w:rsid w:val="45084CA0"/>
    <w:rsid w:val="453A21AF"/>
    <w:rsid w:val="457156B7"/>
    <w:rsid w:val="457E572B"/>
    <w:rsid w:val="4586246A"/>
    <w:rsid w:val="458C4710"/>
    <w:rsid w:val="459458FA"/>
    <w:rsid w:val="45A47F8C"/>
    <w:rsid w:val="45A53A2B"/>
    <w:rsid w:val="45C0656A"/>
    <w:rsid w:val="45C32D3A"/>
    <w:rsid w:val="45C641DB"/>
    <w:rsid w:val="45D554C1"/>
    <w:rsid w:val="45DD2C6A"/>
    <w:rsid w:val="45F27E71"/>
    <w:rsid w:val="46065148"/>
    <w:rsid w:val="460E3E5D"/>
    <w:rsid w:val="463B5D1A"/>
    <w:rsid w:val="46503583"/>
    <w:rsid w:val="465223F7"/>
    <w:rsid w:val="46550770"/>
    <w:rsid w:val="46633D18"/>
    <w:rsid w:val="466B3126"/>
    <w:rsid w:val="46707A4B"/>
    <w:rsid w:val="4690077B"/>
    <w:rsid w:val="469B050A"/>
    <w:rsid w:val="46B522AF"/>
    <w:rsid w:val="46EA58B1"/>
    <w:rsid w:val="46F2567E"/>
    <w:rsid w:val="46F73840"/>
    <w:rsid w:val="47195A34"/>
    <w:rsid w:val="47412DD5"/>
    <w:rsid w:val="47434C2D"/>
    <w:rsid w:val="47675349"/>
    <w:rsid w:val="479617D9"/>
    <w:rsid w:val="479D43B4"/>
    <w:rsid w:val="47A02CBA"/>
    <w:rsid w:val="47A95B9D"/>
    <w:rsid w:val="47CF57AA"/>
    <w:rsid w:val="47D80F2B"/>
    <w:rsid w:val="47E016ED"/>
    <w:rsid w:val="48065BEB"/>
    <w:rsid w:val="482C011A"/>
    <w:rsid w:val="48303B9C"/>
    <w:rsid w:val="48477DBB"/>
    <w:rsid w:val="485779D7"/>
    <w:rsid w:val="48594C7C"/>
    <w:rsid w:val="48603449"/>
    <w:rsid w:val="486313D3"/>
    <w:rsid w:val="48633B75"/>
    <w:rsid w:val="4865631E"/>
    <w:rsid w:val="48717A8C"/>
    <w:rsid w:val="48814B3B"/>
    <w:rsid w:val="48904B42"/>
    <w:rsid w:val="48B75C12"/>
    <w:rsid w:val="48BF1A3C"/>
    <w:rsid w:val="48C14619"/>
    <w:rsid w:val="48C65B5D"/>
    <w:rsid w:val="48E531C2"/>
    <w:rsid w:val="48EA6EB5"/>
    <w:rsid w:val="48F5118D"/>
    <w:rsid w:val="4922114E"/>
    <w:rsid w:val="49224E17"/>
    <w:rsid w:val="492F1D3A"/>
    <w:rsid w:val="493B39E1"/>
    <w:rsid w:val="4957194D"/>
    <w:rsid w:val="495866F2"/>
    <w:rsid w:val="49642047"/>
    <w:rsid w:val="498905A4"/>
    <w:rsid w:val="498D3578"/>
    <w:rsid w:val="499A42F0"/>
    <w:rsid w:val="499E651A"/>
    <w:rsid w:val="49BF04D0"/>
    <w:rsid w:val="49C53687"/>
    <w:rsid w:val="49DC5897"/>
    <w:rsid w:val="49E01E0C"/>
    <w:rsid w:val="49E04D5D"/>
    <w:rsid w:val="49F217E5"/>
    <w:rsid w:val="49FE0EDF"/>
    <w:rsid w:val="4A036BAE"/>
    <w:rsid w:val="4A0D5D17"/>
    <w:rsid w:val="4A1C7F0B"/>
    <w:rsid w:val="4A4D7B08"/>
    <w:rsid w:val="4A803EAC"/>
    <w:rsid w:val="4A874012"/>
    <w:rsid w:val="4A9401EE"/>
    <w:rsid w:val="4AA0783A"/>
    <w:rsid w:val="4AA46965"/>
    <w:rsid w:val="4AA71EC4"/>
    <w:rsid w:val="4AAE7950"/>
    <w:rsid w:val="4AB22A8F"/>
    <w:rsid w:val="4AB40B67"/>
    <w:rsid w:val="4ADD4540"/>
    <w:rsid w:val="4AE44E4E"/>
    <w:rsid w:val="4AEE1091"/>
    <w:rsid w:val="4AEF6A17"/>
    <w:rsid w:val="4AFB281A"/>
    <w:rsid w:val="4B151BB4"/>
    <w:rsid w:val="4B4B0868"/>
    <w:rsid w:val="4B626E7F"/>
    <w:rsid w:val="4B7D6ED4"/>
    <w:rsid w:val="4B8951B5"/>
    <w:rsid w:val="4B8C0719"/>
    <w:rsid w:val="4B8F29F3"/>
    <w:rsid w:val="4BCF0C76"/>
    <w:rsid w:val="4BD9235C"/>
    <w:rsid w:val="4BE24406"/>
    <w:rsid w:val="4C0364A2"/>
    <w:rsid w:val="4C18585B"/>
    <w:rsid w:val="4C1C7E88"/>
    <w:rsid w:val="4C26046F"/>
    <w:rsid w:val="4C28053F"/>
    <w:rsid w:val="4C527758"/>
    <w:rsid w:val="4C6C11E2"/>
    <w:rsid w:val="4C7D6E7A"/>
    <w:rsid w:val="4CBF0B23"/>
    <w:rsid w:val="4CC91253"/>
    <w:rsid w:val="4CC95826"/>
    <w:rsid w:val="4CD72ECF"/>
    <w:rsid w:val="4CE80145"/>
    <w:rsid w:val="4CEB1D06"/>
    <w:rsid w:val="4CFD1026"/>
    <w:rsid w:val="4D151ABA"/>
    <w:rsid w:val="4D20747A"/>
    <w:rsid w:val="4D3676B3"/>
    <w:rsid w:val="4D5161C7"/>
    <w:rsid w:val="4DBE1745"/>
    <w:rsid w:val="4DC94490"/>
    <w:rsid w:val="4DD17035"/>
    <w:rsid w:val="4DD94074"/>
    <w:rsid w:val="4DE51A95"/>
    <w:rsid w:val="4E016FBE"/>
    <w:rsid w:val="4E1470AE"/>
    <w:rsid w:val="4E1A470D"/>
    <w:rsid w:val="4E294D5A"/>
    <w:rsid w:val="4E3E401C"/>
    <w:rsid w:val="4E463B41"/>
    <w:rsid w:val="4E68562C"/>
    <w:rsid w:val="4E89337E"/>
    <w:rsid w:val="4E8B4500"/>
    <w:rsid w:val="4E8D7FB5"/>
    <w:rsid w:val="4EAA5F5B"/>
    <w:rsid w:val="4EAC4F2B"/>
    <w:rsid w:val="4EC27EAA"/>
    <w:rsid w:val="4EDA3A9C"/>
    <w:rsid w:val="4EEE4DAD"/>
    <w:rsid w:val="4F056692"/>
    <w:rsid w:val="4F213F67"/>
    <w:rsid w:val="4F2754BC"/>
    <w:rsid w:val="4F2834D1"/>
    <w:rsid w:val="4F2B3870"/>
    <w:rsid w:val="4F341EEA"/>
    <w:rsid w:val="4F7E7804"/>
    <w:rsid w:val="4F8D7062"/>
    <w:rsid w:val="4FB65CCD"/>
    <w:rsid w:val="4FB972A9"/>
    <w:rsid w:val="4FBD4E00"/>
    <w:rsid w:val="4FBF73EF"/>
    <w:rsid w:val="4FC765AD"/>
    <w:rsid w:val="4FE87180"/>
    <w:rsid w:val="4FEE4C58"/>
    <w:rsid w:val="4FF7503E"/>
    <w:rsid w:val="500C2B1D"/>
    <w:rsid w:val="500E6291"/>
    <w:rsid w:val="501D1B02"/>
    <w:rsid w:val="50426F73"/>
    <w:rsid w:val="504C6E7E"/>
    <w:rsid w:val="505963C8"/>
    <w:rsid w:val="506444BC"/>
    <w:rsid w:val="506F336C"/>
    <w:rsid w:val="507D45CC"/>
    <w:rsid w:val="50852AB2"/>
    <w:rsid w:val="50AA556A"/>
    <w:rsid w:val="50AE34A0"/>
    <w:rsid w:val="50B045AB"/>
    <w:rsid w:val="50C3182D"/>
    <w:rsid w:val="50EE17C7"/>
    <w:rsid w:val="511A4A72"/>
    <w:rsid w:val="512E3212"/>
    <w:rsid w:val="513A3F91"/>
    <w:rsid w:val="51584F85"/>
    <w:rsid w:val="516516EA"/>
    <w:rsid w:val="516D78D9"/>
    <w:rsid w:val="51712F79"/>
    <w:rsid w:val="518439F6"/>
    <w:rsid w:val="518A1123"/>
    <w:rsid w:val="518D6E5A"/>
    <w:rsid w:val="51AE4F6C"/>
    <w:rsid w:val="51DD2D75"/>
    <w:rsid w:val="51E73F79"/>
    <w:rsid w:val="51F07536"/>
    <w:rsid w:val="52245FD8"/>
    <w:rsid w:val="52391092"/>
    <w:rsid w:val="524C467F"/>
    <w:rsid w:val="524D493D"/>
    <w:rsid w:val="526A4BA2"/>
    <w:rsid w:val="52804F75"/>
    <w:rsid w:val="528B71DF"/>
    <w:rsid w:val="5297553C"/>
    <w:rsid w:val="52AC7175"/>
    <w:rsid w:val="52B8695C"/>
    <w:rsid w:val="52DE00A3"/>
    <w:rsid w:val="52E11458"/>
    <w:rsid w:val="52E465D9"/>
    <w:rsid w:val="52E71655"/>
    <w:rsid w:val="52E7511B"/>
    <w:rsid w:val="52FD7EFE"/>
    <w:rsid w:val="53122C69"/>
    <w:rsid w:val="53131A85"/>
    <w:rsid w:val="53182862"/>
    <w:rsid w:val="53221C47"/>
    <w:rsid w:val="532E10FB"/>
    <w:rsid w:val="534E343B"/>
    <w:rsid w:val="53607807"/>
    <w:rsid w:val="539536DF"/>
    <w:rsid w:val="53AB108E"/>
    <w:rsid w:val="53BF2F7A"/>
    <w:rsid w:val="53E05450"/>
    <w:rsid w:val="53F8030D"/>
    <w:rsid w:val="53FD6839"/>
    <w:rsid w:val="54104D89"/>
    <w:rsid w:val="54131AEA"/>
    <w:rsid w:val="54414D20"/>
    <w:rsid w:val="54482638"/>
    <w:rsid w:val="5449280C"/>
    <w:rsid w:val="54591907"/>
    <w:rsid w:val="546C5A12"/>
    <w:rsid w:val="548E2C25"/>
    <w:rsid w:val="549B2CF5"/>
    <w:rsid w:val="54B06087"/>
    <w:rsid w:val="54C660D7"/>
    <w:rsid w:val="54F20E3F"/>
    <w:rsid w:val="55002C08"/>
    <w:rsid w:val="551D2E67"/>
    <w:rsid w:val="55626EC9"/>
    <w:rsid w:val="556D77A6"/>
    <w:rsid w:val="557A014E"/>
    <w:rsid w:val="55A30DB3"/>
    <w:rsid w:val="55AC0995"/>
    <w:rsid w:val="55C638F9"/>
    <w:rsid w:val="55C90F81"/>
    <w:rsid w:val="55D35E71"/>
    <w:rsid w:val="560209A1"/>
    <w:rsid w:val="560C5155"/>
    <w:rsid w:val="561378FD"/>
    <w:rsid w:val="561E238A"/>
    <w:rsid w:val="56314C40"/>
    <w:rsid w:val="56330AF6"/>
    <w:rsid w:val="5637484F"/>
    <w:rsid w:val="563F2BD8"/>
    <w:rsid w:val="564207ED"/>
    <w:rsid w:val="566409F3"/>
    <w:rsid w:val="56720525"/>
    <w:rsid w:val="5679539B"/>
    <w:rsid w:val="56895743"/>
    <w:rsid w:val="56CB1014"/>
    <w:rsid w:val="56EC5CB9"/>
    <w:rsid w:val="56F1515A"/>
    <w:rsid w:val="56F651E7"/>
    <w:rsid w:val="57430DA8"/>
    <w:rsid w:val="57477DA6"/>
    <w:rsid w:val="57570875"/>
    <w:rsid w:val="57815C18"/>
    <w:rsid w:val="578F3442"/>
    <w:rsid w:val="57911D3D"/>
    <w:rsid w:val="57A3286D"/>
    <w:rsid w:val="57AD2F20"/>
    <w:rsid w:val="57CE79F7"/>
    <w:rsid w:val="57DF7856"/>
    <w:rsid w:val="57E14725"/>
    <w:rsid w:val="57E70D1E"/>
    <w:rsid w:val="57FB24E4"/>
    <w:rsid w:val="581C7EAE"/>
    <w:rsid w:val="584E295E"/>
    <w:rsid w:val="585A70CB"/>
    <w:rsid w:val="585C401C"/>
    <w:rsid w:val="58633250"/>
    <w:rsid w:val="5865477E"/>
    <w:rsid w:val="587D7954"/>
    <w:rsid w:val="58A33730"/>
    <w:rsid w:val="58A673CC"/>
    <w:rsid w:val="58BC2BFA"/>
    <w:rsid w:val="58BF7267"/>
    <w:rsid w:val="58C3414D"/>
    <w:rsid w:val="58E379E1"/>
    <w:rsid w:val="58F05189"/>
    <w:rsid w:val="58F8181A"/>
    <w:rsid w:val="58F93D12"/>
    <w:rsid w:val="590846E9"/>
    <w:rsid w:val="59131427"/>
    <w:rsid w:val="59377A33"/>
    <w:rsid w:val="593D3036"/>
    <w:rsid w:val="594576F1"/>
    <w:rsid w:val="595A3E8D"/>
    <w:rsid w:val="597E0EEE"/>
    <w:rsid w:val="5999290C"/>
    <w:rsid w:val="599A45D3"/>
    <w:rsid w:val="599C38A9"/>
    <w:rsid w:val="59AD11E3"/>
    <w:rsid w:val="59DF76D7"/>
    <w:rsid w:val="5A257CEA"/>
    <w:rsid w:val="5A5578EB"/>
    <w:rsid w:val="5A954F7C"/>
    <w:rsid w:val="5ABF2AEC"/>
    <w:rsid w:val="5ACA28A7"/>
    <w:rsid w:val="5ADC6441"/>
    <w:rsid w:val="5AEF4B29"/>
    <w:rsid w:val="5AF81998"/>
    <w:rsid w:val="5B092532"/>
    <w:rsid w:val="5B115AF1"/>
    <w:rsid w:val="5B2522C1"/>
    <w:rsid w:val="5B2A3601"/>
    <w:rsid w:val="5B300758"/>
    <w:rsid w:val="5B3244A2"/>
    <w:rsid w:val="5B411DB7"/>
    <w:rsid w:val="5B45039B"/>
    <w:rsid w:val="5B647768"/>
    <w:rsid w:val="5B735C64"/>
    <w:rsid w:val="5B7841B7"/>
    <w:rsid w:val="5B8A7735"/>
    <w:rsid w:val="5B9D2507"/>
    <w:rsid w:val="5BB54D8E"/>
    <w:rsid w:val="5BB81272"/>
    <w:rsid w:val="5BD41D4F"/>
    <w:rsid w:val="5BF572D1"/>
    <w:rsid w:val="5BFE5BD6"/>
    <w:rsid w:val="5C1A183E"/>
    <w:rsid w:val="5C273FF1"/>
    <w:rsid w:val="5C280962"/>
    <w:rsid w:val="5C3013D7"/>
    <w:rsid w:val="5C4D2A65"/>
    <w:rsid w:val="5C73537A"/>
    <w:rsid w:val="5C754B8D"/>
    <w:rsid w:val="5C756E89"/>
    <w:rsid w:val="5C8B0840"/>
    <w:rsid w:val="5C964AD9"/>
    <w:rsid w:val="5C9E3C58"/>
    <w:rsid w:val="5CB63792"/>
    <w:rsid w:val="5CBD6CED"/>
    <w:rsid w:val="5CD43B14"/>
    <w:rsid w:val="5CD517A8"/>
    <w:rsid w:val="5CEB3BD7"/>
    <w:rsid w:val="5CF20A35"/>
    <w:rsid w:val="5D145698"/>
    <w:rsid w:val="5D1523DC"/>
    <w:rsid w:val="5D276B29"/>
    <w:rsid w:val="5D326441"/>
    <w:rsid w:val="5D4F4E2F"/>
    <w:rsid w:val="5D4F4F9F"/>
    <w:rsid w:val="5D4F601E"/>
    <w:rsid w:val="5D512978"/>
    <w:rsid w:val="5D641565"/>
    <w:rsid w:val="5D785016"/>
    <w:rsid w:val="5D8004E5"/>
    <w:rsid w:val="5D841CBA"/>
    <w:rsid w:val="5D8A3A29"/>
    <w:rsid w:val="5D8C00F8"/>
    <w:rsid w:val="5D905553"/>
    <w:rsid w:val="5D920A56"/>
    <w:rsid w:val="5DB37E05"/>
    <w:rsid w:val="5DB65E37"/>
    <w:rsid w:val="5DBA1B10"/>
    <w:rsid w:val="5DBB200B"/>
    <w:rsid w:val="5DC50E6F"/>
    <w:rsid w:val="5DC76DA7"/>
    <w:rsid w:val="5DDC5CDC"/>
    <w:rsid w:val="5E017EE7"/>
    <w:rsid w:val="5E0A61E9"/>
    <w:rsid w:val="5E0C06DC"/>
    <w:rsid w:val="5E181564"/>
    <w:rsid w:val="5E313656"/>
    <w:rsid w:val="5E377DD2"/>
    <w:rsid w:val="5E393EDA"/>
    <w:rsid w:val="5E3E5BF0"/>
    <w:rsid w:val="5E53082D"/>
    <w:rsid w:val="5E6D1FB7"/>
    <w:rsid w:val="5E6E3C84"/>
    <w:rsid w:val="5E8E6757"/>
    <w:rsid w:val="5EA12A5B"/>
    <w:rsid w:val="5EA67AA0"/>
    <w:rsid w:val="5ECA0FB6"/>
    <w:rsid w:val="5ED15AF4"/>
    <w:rsid w:val="5EE16876"/>
    <w:rsid w:val="5EE331B3"/>
    <w:rsid w:val="5EEA7216"/>
    <w:rsid w:val="5EF36C5E"/>
    <w:rsid w:val="5EF37A03"/>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5FE50710"/>
    <w:rsid w:val="60147D37"/>
    <w:rsid w:val="60501329"/>
    <w:rsid w:val="6052350C"/>
    <w:rsid w:val="6057564A"/>
    <w:rsid w:val="605D2A22"/>
    <w:rsid w:val="606F55BD"/>
    <w:rsid w:val="60841B82"/>
    <w:rsid w:val="60C92770"/>
    <w:rsid w:val="60DE6B61"/>
    <w:rsid w:val="60DF59BB"/>
    <w:rsid w:val="60EC4488"/>
    <w:rsid w:val="60ED1D05"/>
    <w:rsid w:val="61014D96"/>
    <w:rsid w:val="61061BA6"/>
    <w:rsid w:val="61176EE7"/>
    <w:rsid w:val="6130324B"/>
    <w:rsid w:val="614457D6"/>
    <w:rsid w:val="61471E39"/>
    <w:rsid w:val="61541FAA"/>
    <w:rsid w:val="61706C21"/>
    <w:rsid w:val="61736CA9"/>
    <w:rsid w:val="61813521"/>
    <w:rsid w:val="618970E5"/>
    <w:rsid w:val="618E7131"/>
    <w:rsid w:val="6192725F"/>
    <w:rsid w:val="619A2136"/>
    <w:rsid w:val="61A8364C"/>
    <w:rsid w:val="61AD20C2"/>
    <w:rsid w:val="61B3034C"/>
    <w:rsid w:val="61B32230"/>
    <w:rsid w:val="61DC0282"/>
    <w:rsid w:val="62031E6E"/>
    <w:rsid w:val="62356047"/>
    <w:rsid w:val="6260107E"/>
    <w:rsid w:val="62726C0F"/>
    <w:rsid w:val="627F48EE"/>
    <w:rsid w:val="62AD2160"/>
    <w:rsid w:val="62BD502E"/>
    <w:rsid w:val="62D056AB"/>
    <w:rsid w:val="62DF6F58"/>
    <w:rsid w:val="62DF7F84"/>
    <w:rsid w:val="62E17841"/>
    <w:rsid w:val="62E42B32"/>
    <w:rsid w:val="62F66C5A"/>
    <w:rsid w:val="62F93E29"/>
    <w:rsid w:val="63022E47"/>
    <w:rsid w:val="6331655A"/>
    <w:rsid w:val="63516234"/>
    <w:rsid w:val="63660AF8"/>
    <w:rsid w:val="63764F64"/>
    <w:rsid w:val="637E49AD"/>
    <w:rsid w:val="638569F4"/>
    <w:rsid w:val="63C0148B"/>
    <w:rsid w:val="63C93FBE"/>
    <w:rsid w:val="63CF5E53"/>
    <w:rsid w:val="63D72CBA"/>
    <w:rsid w:val="63DE69AC"/>
    <w:rsid w:val="63E02383"/>
    <w:rsid w:val="642148BB"/>
    <w:rsid w:val="6448283B"/>
    <w:rsid w:val="64562104"/>
    <w:rsid w:val="64653759"/>
    <w:rsid w:val="646F05FD"/>
    <w:rsid w:val="64746749"/>
    <w:rsid w:val="647A4966"/>
    <w:rsid w:val="647E0B22"/>
    <w:rsid w:val="64853361"/>
    <w:rsid w:val="64A07AA2"/>
    <w:rsid w:val="64A13643"/>
    <w:rsid w:val="64A50307"/>
    <w:rsid w:val="64A55D36"/>
    <w:rsid w:val="64A66F47"/>
    <w:rsid w:val="64B57BE0"/>
    <w:rsid w:val="64CA49F3"/>
    <w:rsid w:val="64CB035E"/>
    <w:rsid w:val="64E22C89"/>
    <w:rsid w:val="64FE3ED8"/>
    <w:rsid w:val="65254B7D"/>
    <w:rsid w:val="65270A2D"/>
    <w:rsid w:val="653126DD"/>
    <w:rsid w:val="65500021"/>
    <w:rsid w:val="655B39D3"/>
    <w:rsid w:val="657751B4"/>
    <w:rsid w:val="657809E0"/>
    <w:rsid w:val="65954C67"/>
    <w:rsid w:val="65A84314"/>
    <w:rsid w:val="65AB24D7"/>
    <w:rsid w:val="65B20028"/>
    <w:rsid w:val="65C07C91"/>
    <w:rsid w:val="65C12BDE"/>
    <w:rsid w:val="65D324D6"/>
    <w:rsid w:val="65E40CA8"/>
    <w:rsid w:val="65E45739"/>
    <w:rsid w:val="66192421"/>
    <w:rsid w:val="66310A20"/>
    <w:rsid w:val="66520752"/>
    <w:rsid w:val="6659462E"/>
    <w:rsid w:val="666D1E03"/>
    <w:rsid w:val="66856BF5"/>
    <w:rsid w:val="66DE03E4"/>
    <w:rsid w:val="66E67791"/>
    <w:rsid w:val="66FA2AD8"/>
    <w:rsid w:val="6729763B"/>
    <w:rsid w:val="674A0FC0"/>
    <w:rsid w:val="6755677A"/>
    <w:rsid w:val="675D568B"/>
    <w:rsid w:val="6777502A"/>
    <w:rsid w:val="678131BA"/>
    <w:rsid w:val="67894558"/>
    <w:rsid w:val="67A64922"/>
    <w:rsid w:val="67A94F4C"/>
    <w:rsid w:val="67BD3370"/>
    <w:rsid w:val="67D11217"/>
    <w:rsid w:val="67D751E9"/>
    <w:rsid w:val="67E0356A"/>
    <w:rsid w:val="67EE032A"/>
    <w:rsid w:val="67F32432"/>
    <w:rsid w:val="68110987"/>
    <w:rsid w:val="682C60B1"/>
    <w:rsid w:val="684F48FD"/>
    <w:rsid w:val="687875DB"/>
    <w:rsid w:val="687B2025"/>
    <w:rsid w:val="68AE6D93"/>
    <w:rsid w:val="68B7230A"/>
    <w:rsid w:val="68D56032"/>
    <w:rsid w:val="68E80D06"/>
    <w:rsid w:val="68ED5241"/>
    <w:rsid w:val="68FA126D"/>
    <w:rsid w:val="68FE0797"/>
    <w:rsid w:val="69027338"/>
    <w:rsid w:val="69156B2E"/>
    <w:rsid w:val="691B39EB"/>
    <w:rsid w:val="69282F1F"/>
    <w:rsid w:val="69410B62"/>
    <w:rsid w:val="694E3952"/>
    <w:rsid w:val="695A6EA6"/>
    <w:rsid w:val="698A0D67"/>
    <w:rsid w:val="69991952"/>
    <w:rsid w:val="69B32893"/>
    <w:rsid w:val="69C6464B"/>
    <w:rsid w:val="69E14647"/>
    <w:rsid w:val="69EC0E58"/>
    <w:rsid w:val="69F308DD"/>
    <w:rsid w:val="69F45014"/>
    <w:rsid w:val="6A1341FD"/>
    <w:rsid w:val="6A2D67DA"/>
    <w:rsid w:val="6A704F19"/>
    <w:rsid w:val="6A750417"/>
    <w:rsid w:val="6AB826E5"/>
    <w:rsid w:val="6ABC1B90"/>
    <w:rsid w:val="6AC66A6D"/>
    <w:rsid w:val="6AD57BEE"/>
    <w:rsid w:val="6AF12F2B"/>
    <w:rsid w:val="6AFB638B"/>
    <w:rsid w:val="6B005B4C"/>
    <w:rsid w:val="6B195F5E"/>
    <w:rsid w:val="6B1A1AC1"/>
    <w:rsid w:val="6B286E99"/>
    <w:rsid w:val="6B323514"/>
    <w:rsid w:val="6B4A5CE7"/>
    <w:rsid w:val="6B4D2289"/>
    <w:rsid w:val="6B510BFA"/>
    <w:rsid w:val="6B5878BC"/>
    <w:rsid w:val="6B672E75"/>
    <w:rsid w:val="6B6C1C06"/>
    <w:rsid w:val="6B7063BA"/>
    <w:rsid w:val="6B822625"/>
    <w:rsid w:val="6B8A2D5E"/>
    <w:rsid w:val="6C035EE4"/>
    <w:rsid w:val="6C0726FA"/>
    <w:rsid w:val="6C2017B1"/>
    <w:rsid w:val="6C216AE5"/>
    <w:rsid w:val="6C473C3C"/>
    <w:rsid w:val="6C474A32"/>
    <w:rsid w:val="6C4F762E"/>
    <w:rsid w:val="6C561048"/>
    <w:rsid w:val="6C8C190A"/>
    <w:rsid w:val="6C9872EB"/>
    <w:rsid w:val="6CAD2335"/>
    <w:rsid w:val="6CBB4393"/>
    <w:rsid w:val="6CBC5F45"/>
    <w:rsid w:val="6D02572A"/>
    <w:rsid w:val="6D135F70"/>
    <w:rsid w:val="6D1E4EB1"/>
    <w:rsid w:val="6D2D0346"/>
    <w:rsid w:val="6D443E48"/>
    <w:rsid w:val="6D453755"/>
    <w:rsid w:val="6D4B5932"/>
    <w:rsid w:val="6D80377B"/>
    <w:rsid w:val="6D8F1E73"/>
    <w:rsid w:val="6DA92893"/>
    <w:rsid w:val="6DAB4392"/>
    <w:rsid w:val="6DB21CB6"/>
    <w:rsid w:val="6DC33DE6"/>
    <w:rsid w:val="6DC74F9B"/>
    <w:rsid w:val="6DCC022B"/>
    <w:rsid w:val="6DD421AE"/>
    <w:rsid w:val="6DE44A7F"/>
    <w:rsid w:val="6E054DDB"/>
    <w:rsid w:val="6E0E3C8F"/>
    <w:rsid w:val="6E133DC7"/>
    <w:rsid w:val="6E360575"/>
    <w:rsid w:val="6E3E39E4"/>
    <w:rsid w:val="6E65726F"/>
    <w:rsid w:val="6E7656F6"/>
    <w:rsid w:val="6E7C2320"/>
    <w:rsid w:val="6E865F1C"/>
    <w:rsid w:val="6E892CE9"/>
    <w:rsid w:val="6E9F4019"/>
    <w:rsid w:val="6EA760B2"/>
    <w:rsid w:val="6EB84D1B"/>
    <w:rsid w:val="6EC06D60"/>
    <w:rsid w:val="6ED00F12"/>
    <w:rsid w:val="6EDC1FE0"/>
    <w:rsid w:val="6EFB226A"/>
    <w:rsid w:val="6F203155"/>
    <w:rsid w:val="6F4D24E7"/>
    <w:rsid w:val="6F56531B"/>
    <w:rsid w:val="6FAC6952"/>
    <w:rsid w:val="6FAE5A25"/>
    <w:rsid w:val="6FB00B3E"/>
    <w:rsid w:val="6FB822FE"/>
    <w:rsid w:val="6FB96EE5"/>
    <w:rsid w:val="6FEE6B24"/>
    <w:rsid w:val="6FF06302"/>
    <w:rsid w:val="6FFC1E95"/>
    <w:rsid w:val="70004A37"/>
    <w:rsid w:val="70145815"/>
    <w:rsid w:val="70193687"/>
    <w:rsid w:val="70451769"/>
    <w:rsid w:val="706B600D"/>
    <w:rsid w:val="706F4FF5"/>
    <w:rsid w:val="707F6C32"/>
    <w:rsid w:val="70BF1AFC"/>
    <w:rsid w:val="70DA523A"/>
    <w:rsid w:val="70F824DD"/>
    <w:rsid w:val="711204C3"/>
    <w:rsid w:val="71163705"/>
    <w:rsid w:val="71285DE2"/>
    <w:rsid w:val="712F63E6"/>
    <w:rsid w:val="71455D64"/>
    <w:rsid w:val="71595041"/>
    <w:rsid w:val="716464AF"/>
    <w:rsid w:val="716B13F9"/>
    <w:rsid w:val="717604C9"/>
    <w:rsid w:val="71763D26"/>
    <w:rsid w:val="71775FF0"/>
    <w:rsid w:val="718C272C"/>
    <w:rsid w:val="71A861A9"/>
    <w:rsid w:val="71AA7A2E"/>
    <w:rsid w:val="72035AD5"/>
    <w:rsid w:val="720F175F"/>
    <w:rsid w:val="722303A6"/>
    <w:rsid w:val="72440C7F"/>
    <w:rsid w:val="72644A41"/>
    <w:rsid w:val="726D024C"/>
    <w:rsid w:val="728C0282"/>
    <w:rsid w:val="728F7B9B"/>
    <w:rsid w:val="729B3D29"/>
    <w:rsid w:val="729F16E9"/>
    <w:rsid w:val="72AE13F3"/>
    <w:rsid w:val="72B721FA"/>
    <w:rsid w:val="72C9287B"/>
    <w:rsid w:val="72C94DF5"/>
    <w:rsid w:val="72CC6D61"/>
    <w:rsid w:val="72D412E5"/>
    <w:rsid w:val="72DF2BDC"/>
    <w:rsid w:val="72E54C89"/>
    <w:rsid w:val="730A4ECD"/>
    <w:rsid w:val="73190E04"/>
    <w:rsid w:val="734931B7"/>
    <w:rsid w:val="735633C3"/>
    <w:rsid w:val="735C21F1"/>
    <w:rsid w:val="735D6F11"/>
    <w:rsid w:val="737B7E1C"/>
    <w:rsid w:val="737E6143"/>
    <w:rsid w:val="738E1CBC"/>
    <w:rsid w:val="739F08C2"/>
    <w:rsid w:val="73C80378"/>
    <w:rsid w:val="73DD3416"/>
    <w:rsid w:val="74320F36"/>
    <w:rsid w:val="7433327B"/>
    <w:rsid w:val="74374FD2"/>
    <w:rsid w:val="745C74DD"/>
    <w:rsid w:val="74653C7B"/>
    <w:rsid w:val="746E6A74"/>
    <w:rsid w:val="74872C81"/>
    <w:rsid w:val="7488077B"/>
    <w:rsid w:val="74946551"/>
    <w:rsid w:val="749E5641"/>
    <w:rsid w:val="74AB4D71"/>
    <w:rsid w:val="74BA4A1A"/>
    <w:rsid w:val="74D1126D"/>
    <w:rsid w:val="74DC29FE"/>
    <w:rsid w:val="74E4574A"/>
    <w:rsid w:val="74EF0C65"/>
    <w:rsid w:val="74F9415D"/>
    <w:rsid w:val="753F3906"/>
    <w:rsid w:val="755C374C"/>
    <w:rsid w:val="758B15F3"/>
    <w:rsid w:val="759A6122"/>
    <w:rsid w:val="75B855F0"/>
    <w:rsid w:val="75C82341"/>
    <w:rsid w:val="75DD2979"/>
    <w:rsid w:val="75DF329A"/>
    <w:rsid w:val="75E65C18"/>
    <w:rsid w:val="75E94149"/>
    <w:rsid w:val="75F4329D"/>
    <w:rsid w:val="762C2C4A"/>
    <w:rsid w:val="766E7396"/>
    <w:rsid w:val="768D4E38"/>
    <w:rsid w:val="76B17FF0"/>
    <w:rsid w:val="76C47EB6"/>
    <w:rsid w:val="76D47A4A"/>
    <w:rsid w:val="76ED76A8"/>
    <w:rsid w:val="77024A53"/>
    <w:rsid w:val="77075425"/>
    <w:rsid w:val="77185B7F"/>
    <w:rsid w:val="77242EBC"/>
    <w:rsid w:val="7730259A"/>
    <w:rsid w:val="776A7D31"/>
    <w:rsid w:val="7774123D"/>
    <w:rsid w:val="77A13816"/>
    <w:rsid w:val="77A1509D"/>
    <w:rsid w:val="77AB455C"/>
    <w:rsid w:val="77C23303"/>
    <w:rsid w:val="78191BAF"/>
    <w:rsid w:val="78774540"/>
    <w:rsid w:val="78961451"/>
    <w:rsid w:val="78A22A5F"/>
    <w:rsid w:val="78B23347"/>
    <w:rsid w:val="78C74A2E"/>
    <w:rsid w:val="78D50A4B"/>
    <w:rsid w:val="78EB2F2B"/>
    <w:rsid w:val="78ED7923"/>
    <w:rsid w:val="78EF2314"/>
    <w:rsid w:val="791D5C40"/>
    <w:rsid w:val="79294A12"/>
    <w:rsid w:val="79303A24"/>
    <w:rsid w:val="79367CDE"/>
    <w:rsid w:val="79394779"/>
    <w:rsid w:val="793F6537"/>
    <w:rsid w:val="794709FB"/>
    <w:rsid w:val="795C3B14"/>
    <w:rsid w:val="795D7F6C"/>
    <w:rsid w:val="796324AB"/>
    <w:rsid w:val="79B6434A"/>
    <w:rsid w:val="79BF6679"/>
    <w:rsid w:val="79C0491A"/>
    <w:rsid w:val="79D8186D"/>
    <w:rsid w:val="79D85D05"/>
    <w:rsid w:val="7A130D12"/>
    <w:rsid w:val="7A2860D9"/>
    <w:rsid w:val="7A296460"/>
    <w:rsid w:val="7A3E1684"/>
    <w:rsid w:val="7A4153ED"/>
    <w:rsid w:val="7A815907"/>
    <w:rsid w:val="7A8F1CF2"/>
    <w:rsid w:val="7AAB456B"/>
    <w:rsid w:val="7ABB2C6E"/>
    <w:rsid w:val="7ABB61CC"/>
    <w:rsid w:val="7AE678F9"/>
    <w:rsid w:val="7AEC2086"/>
    <w:rsid w:val="7B15666E"/>
    <w:rsid w:val="7B1F6A9C"/>
    <w:rsid w:val="7B2B51A4"/>
    <w:rsid w:val="7B301819"/>
    <w:rsid w:val="7B541D66"/>
    <w:rsid w:val="7B5B3330"/>
    <w:rsid w:val="7B605044"/>
    <w:rsid w:val="7B68051B"/>
    <w:rsid w:val="7B6D1DBE"/>
    <w:rsid w:val="7B950D1B"/>
    <w:rsid w:val="7BB82541"/>
    <w:rsid w:val="7BC9163E"/>
    <w:rsid w:val="7BCA3CA3"/>
    <w:rsid w:val="7BDE0FB9"/>
    <w:rsid w:val="7BE13F9D"/>
    <w:rsid w:val="7BE219A5"/>
    <w:rsid w:val="7BE452A1"/>
    <w:rsid w:val="7BF66D82"/>
    <w:rsid w:val="7C0A46A1"/>
    <w:rsid w:val="7C1F352E"/>
    <w:rsid w:val="7C220001"/>
    <w:rsid w:val="7C2A5990"/>
    <w:rsid w:val="7C645794"/>
    <w:rsid w:val="7C85644F"/>
    <w:rsid w:val="7C9D5474"/>
    <w:rsid w:val="7C9E71B5"/>
    <w:rsid w:val="7CCB20BA"/>
    <w:rsid w:val="7CEC167B"/>
    <w:rsid w:val="7CF27A3E"/>
    <w:rsid w:val="7D090B29"/>
    <w:rsid w:val="7D0A0B7B"/>
    <w:rsid w:val="7D48334D"/>
    <w:rsid w:val="7D583FF4"/>
    <w:rsid w:val="7D6671F5"/>
    <w:rsid w:val="7D7C53CD"/>
    <w:rsid w:val="7D826FFC"/>
    <w:rsid w:val="7D831032"/>
    <w:rsid w:val="7D8D44D5"/>
    <w:rsid w:val="7D8F646F"/>
    <w:rsid w:val="7DB712AF"/>
    <w:rsid w:val="7DC0777E"/>
    <w:rsid w:val="7DDF4B26"/>
    <w:rsid w:val="7E195701"/>
    <w:rsid w:val="7E2331BA"/>
    <w:rsid w:val="7E37676D"/>
    <w:rsid w:val="7E4A75BA"/>
    <w:rsid w:val="7E5E42E0"/>
    <w:rsid w:val="7E5F0EBC"/>
    <w:rsid w:val="7E637C3B"/>
    <w:rsid w:val="7E6E17B5"/>
    <w:rsid w:val="7E81304E"/>
    <w:rsid w:val="7E8915D1"/>
    <w:rsid w:val="7EA41C6D"/>
    <w:rsid w:val="7ECE6E95"/>
    <w:rsid w:val="7EFA2227"/>
    <w:rsid w:val="7F05783B"/>
    <w:rsid w:val="7F09178D"/>
    <w:rsid w:val="7F1E164C"/>
    <w:rsid w:val="7F4A7452"/>
    <w:rsid w:val="7F7E54A5"/>
    <w:rsid w:val="7F84355C"/>
    <w:rsid w:val="7F91198B"/>
    <w:rsid w:val="7F9C16E1"/>
    <w:rsid w:val="7FA0614C"/>
    <w:rsid w:val="7FB404FE"/>
    <w:rsid w:val="7FB90B63"/>
    <w:rsid w:val="7FBD3613"/>
    <w:rsid w:val="7FEA2B76"/>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99"/>
    <w:pPr>
      <w:keepNext/>
      <w:pageBreakBefore/>
      <w:widowControl/>
      <w:numPr>
        <w:ilvl w:val="0"/>
        <w:numId w:val="1"/>
      </w:numPr>
      <w:spacing w:before="240" w:after="120"/>
      <w:jc w:val="left"/>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9"/>
    <w:unhideWhenUsed/>
    <w:qFormat/>
    <w:uiPriority w:val="0"/>
    <w:pPr>
      <w:keepNext/>
      <w:keepLines/>
      <w:numPr>
        <w:ilvl w:val="2"/>
        <w:numId w:val="2"/>
      </w:numPr>
      <w:spacing w:line="416" w:lineRule="auto"/>
      <w:outlineLvl w:val="2"/>
    </w:pPr>
    <w:rPr>
      <w:b/>
      <w:bCs/>
      <w:sz w:val="32"/>
      <w:szCs w:val="32"/>
    </w:rPr>
  </w:style>
  <w:style w:type="paragraph" w:styleId="2">
    <w:name w:val="heading 4"/>
    <w:basedOn w:val="1"/>
    <w:next w:val="1"/>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6">
    <w:name w:val="heading 5"/>
    <w:basedOn w:val="1"/>
    <w:next w:val="1"/>
    <w:unhideWhenUsed/>
    <w:qFormat/>
    <w:uiPriority w:val="9"/>
    <w:pPr>
      <w:keepNext/>
      <w:keepLines/>
      <w:spacing w:before="120" w:after="120" w:line="360" w:lineRule="auto"/>
      <w:outlineLvl w:val="4"/>
    </w:pPr>
    <w:rPr>
      <w:rFonts w:eastAsia="宋体" w:asciiTheme="minorHAnsi" w:hAnsiTheme="minorHAnsi"/>
      <w:sz w:val="28"/>
    </w:rPr>
  </w:style>
  <w:style w:type="paragraph" w:styleId="7">
    <w:name w:val="heading 6"/>
    <w:basedOn w:val="1"/>
    <w:next w:val="1"/>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List Number 2"/>
    <w:basedOn w:val="1"/>
    <w:semiHidden/>
    <w:unhideWhenUsed/>
    <w:qFormat/>
    <w:uiPriority w:val="0"/>
    <w:pPr>
      <w:numPr>
        <w:ilvl w:val="0"/>
        <w:numId w:val="3"/>
      </w:numPr>
    </w:pPr>
  </w:style>
  <w:style w:type="paragraph" w:styleId="9">
    <w:name w:val="table of authorities"/>
    <w:basedOn w:val="1"/>
    <w:next w:val="1"/>
    <w:qFormat/>
    <w:uiPriority w:val="0"/>
    <w:pPr>
      <w:ind w:left="420" w:leftChars="200"/>
    </w:pPr>
  </w:style>
  <w:style w:type="paragraph" w:styleId="10">
    <w:name w:val="annotation text"/>
    <w:basedOn w:val="1"/>
    <w:link w:val="100"/>
    <w:unhideWhenUsed/>
    <w:qFormat/>
    <w:uiPriority w:val="99"/>
    <w:pPr>
      <w:jc w:val="left"/>
    </w:p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spacing w:line="312" w:lineRule="auto"/>
      <w:ind w:firstLine="420"/>
    </w:pPr>
  </w:style>
  <w:style w:type="paragraph" w:styleId="13">
    <w:name w:val="toc 6"/>
    <w:basedOn w:val="1"/>
    <w:next w:val="1"/>
    <w:qFormat/>
    <w:uiPriority w:val="0"/>
    <w:pPr>
      <w:ind w:left="1050"/>
      <w:jc w:val="left"/>
    </w:pPr>
    <w:rPr>
      <w:rFonts w:ascii="Century Gothic" w:hAnsi="Century Gothic"/>
      <w:sz w:val="18"/>
      <w:szCs w:val="18"/>
    </w:rPr>
  </w:style>
  <w:style w:type="paragraph" w:styleId="14">
    <w:name w:val="Body Text Indent"/>
    <w:basedOn w:val="1"/>
    <w:qFormat/>
    <w:uiPriority w:val="99"/>
    <w:pPr>
      <w:ind w:left="420" w:leftChars="200"/>
    </w:pPr>
    <w:rPr>
      <w:kern w:val="0"/>
      <w:sz w:val="20"/>
      <w:szCs w:val="20"/>
    </w:rPr>
  </w:style>
  <w:style w:type="paragraph" w:styleId="15">
    <w:name w:val="Plain Text"/>
    <w:basedOn w:val="1"/>
    <w:next w:val="1"/>
    <w:link w:val="52"/>
    <w:qFormat/>
    <w:uiPriority w:val="0"/>
    <w:rPr>
      <w:rFonts w:ascii="宋体" w:hAnsi="Courier New"/>
      <w:szCs w:val="20"/>
    </w:rPr>
  </w:style>
  <w:style w:type="paragraph" w:styleId="16">
    <w:name w:val="Date"/>
    <w:basedOn w:val="1"/>
    <w:next w:val="1"/>
    <w:qFormat/>
    <w:uiPriority w:val="0"/>
    <w:pPr>
      <w:ind w:left="100" w:leftChars="2500"/>
    </w:pPr>
    <w:rPr>
      <w:szCs w:val="20"/>
    </w:rPr>
  </w:style>
  <w:style w:type="paragraph" w:styleId="17">
    <w:name w:val="Body Text Indent 2"/>
    <w:basedOn w:val="1"/>
    <w:link w:val="53"/>
    <w:qFormat/>
    <w:uiPriority w:val="0"/>
    <w:pPr>
      <w:widowControl/>
      <w:spacing w:line="480" w:lineRule="atLeast"/>
      <w:ind w:firstLine="480"/>
    </w:pPr>
    <w:rPr>
      <w:rFonts w:ascii="宋体" w:hAnsi="Calibri"/>
      <w:kern w:val="0"/>
      <w:sz w:val="24"/>
      <w:szCs w:val="20"/>
    </w:rPr>
  </w:style>
  <w:style w:type="paragraph" w:styleId="18">
    <w:name w:val="Balloon Text"/>
    <w:basedOn w:val="1"/>
    <w:link w:val="54"/>
    <w:qFormat/>
    <w:uiPriority w:val="0"/>
    <w:rPr>
      <w:sz w:val="18"/>
      <w:szCs w:val="18"/>
    </w:rPr>
  </w:style>
  <w:style w:type="paragraph" w:styleId="19">
    <w:name w:val="footer"/>
    <w:basedOn w:val="1"/>
    <w:link w:val="51"/>
    <w:unhideWhenUsed/>
    <w:qFormat/>
    <w:uiPriority w:val="0"/>
    <w:pPr>
      <w:tabs>
        <w:tab w:val="center" w:pos="4153"/>
        <w:tab w:val="right" w:pos="8306"/>
      </w:tabs>
      <w:snapToGrid w:val="0"/>
      <w:jc w:val="left"/>
    </w:pPr>
    <w:rPr>
      <w:sz w:val="18"/>
      <w:szCs w:val="18"/>
    </w:rPr>
  </w:style>
  <w:style w:type="paragraph" w:styleId="20">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spacing w:before="120" w:after="120"/>
      <w:jc w:val="left"/>
    </w:pPr>
    <w:rPr>
      <w:rFonts w:ascii="Century Gothic" w:hAnsi="Century Gothic"/>
      <w:b/>
      <w:bCs/>
      <w:caps/>
      <w:sz w:val="20"/>
      <w:szCs w:val="20"/>
    </w:rPr>
  </w:style>
  <w:style w:type="paragraph" w:styleId="22">
    <w:name w:val="Body Text Indent 3"/>
    <w:basedOn w:val="1"/>
    <w:link w:val="55"/>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3">
    <w:name w:val="Normal (Web)"/>
    <w:basedOn w:val="1"/>
    <w:qFormat/>
    <w:uiPriority w:val="99"/>
    <w:pPr>
      <w:spacing w:beforeAutospacing="1" w:afterAutospacing="1"/>
      <w:jc w:val="left"/>
    </w:pPr>
    <w:rPr>
      <w:rFonts w:cs="Times New Roman"/>
      <w:kern w:val="0"/>
      <w:sz w:val="24"/>
    </w:rPr>
  </w:style>
  <w:style w:type="paragraph" w:styleId="24">
    <w:name w:val="Title"/>
    <w:basedOn w:val="1"/>
    <w:next w:val="1"/>
    <w:qFormat/>
    <w:uiPriority w:val="0"/>
    <w:pPr>
      <w:jc w:val="center"/>
      <w:outlineLvl w:val="0"/>
    </w:pPr>
    <w:rPr>
      <w:rFonts w:ascii="Cambria" w:hAnsi="Cambria"/>
      <w:b/>
      <w:bCs/>
      <w:kern w:val="0"/>
      <w:sz w:val="32"/>
      <w:szCs w:val="32"/>
    </w:rPr>
  </w:style>
  <w:style w:type="paragraph" w:styleId="25">
    <w:name w:val="annotation subject"/>
    <w:basedOn w:val="10"/>
    <w:next w:val="10"/>
    <w:link w:val="101"/>
    <w:semiHidden/>
    <w:unhideWhenUsed/>
    <w:qFormat/>
    <w:uiPriority w:val="0"/>
    <w:rPr>
      <w:b/>
      <w:bCs/>
    </w:rPr>
  </w:style>
  <w:style w:type="paragraph" w:styleId="26">
    <w:name w:val="Body Text First Indent 2"/>
    <w:basedOn w:val="14"/>
    <w:unhideWhenUsed/>
    <w:qFormat/>
    <w:uiPriority w:val="99"/>
    <w:pPr>
      <w:ind w:firstLine="420" w:firstLineChars="200"/>
    </w:pPr>
  </w:style>
  <w:style w:type="table" w:styleId="28">
    <w:name w:val="Table Grid"/>
    <w:basedOn w:val="27"/>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style>
  <w:style w:type="character" w:styleId="31">
    <w:name w:val="FollowedHyperlink"/>
    <w:basedOn w:val="29"/>
    <w:qFormat/>
    <w:uiPriority w:val="0"/>
    <w:rPr>
      <w:color w:val="4A4A4A"/>
      <w:u w:val="none"/>
    </w:rPr>
  </w:style>
  <w:style w:type="character" w:styleId="32">
    <w:name w:val="Emphasis"/>
    <w:basedOn w:val="29"/>
    <w:qFormat/>
    <w:uiPriority w:val="0"/>
  </w:style>
  <w:style w:type="character" w:styleId="33">
    <w:name w:val="HTML Definition"/>
    <w:basedOn w:val="29"/>
    <w:qFormat/>
    <w:uiPriority w:val="0"/>
  </w:style>
  <w:style w:type="character" w:styleId="34">
    <w:name w:val="HTML Typewriter"/>
    <w:basedOn w:val="29"/>
    <w:qFormat/>
    <w:uiPriority w:val="0"/>
    <w:rPr>
      <w:rFonts w:hint="default"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basedOn w:val="29"/>
    <w:qFormat/>
    <w:uiPriority w:val="99"/>
    <w:rPr>
      <w:rFonts w:cs="Times New Roman"/>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annotation reference"/>
    <w:basedOn w:val="29"/>
    <w:semiHidden/>
    <w:unhideWhenUsed/>
    <w:qFormat/>
    <w:uiPriority w:val="0"/>
    <w:rPr>
      <w:sz w:val="21"/>
      <w:szCs w:val="21"/>
    </w:rPr>
  </w:style>
  <w:style w:type="character" w:styleId="40">
    <w:name w:val="HTML Cite"/>
    <w:basedOn w:val="29"/>
    <w:qFormat/>
    <w:uiPriority w:val="0"/>
  </w:style>
  <w:style w:type="character" w:styleId="41">
    <w:name w:val="HTML Keyboard"/>
    <w:basedOn w:val="29"/>
    <w:qFormat/>
    <w:uiPriority w:val="0"/>
    <w:rPr>
      <w:rFonts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paragraph" w:customStyle="1" w:styleId="43">
    <w:name w:val="表格文字"/>
    <w:basedOn w:val="15"/>
    <w:next w:val="11"/>
    <w:qFormat/>
    <w:uiPriority w:val="0"/>
    <w:pPr>
      <w:jc w:val="left"/>
      <w:textAlignment w:val="top"/>
    </w:pPr>
    <w:rPr>
      <w:rFonts w:ascii="仿宋_GB2312" w:hAnsi="Calibri" w:eastAsia="宋体" w:cs="宋体"/>
      <w:b/>
      <w:color w:val="000000"/>
      <w:kern w:val="0"/>
      <w:sz w:val="18"/>
      <w:szCs w:val="21"/>
    </w:rPr>
  </w:style>
  <w:style w:type="paragraph" w:customStyle="1" w:styleId="44">
    <w:name w:val="_Style 3"/>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1"/>
    <w:basedOn w:val="1"/>
    <w:qFormat/>
    <w:uiPriority w:val="0"/>
    <w:pPr>
      <w:widowControl/>
      <w:ind w:firstLine="420"/>
      <w:jc w:val="left"/>
    </w:pPr>
    <w:rPr>
      <w:kern w:val="0"/>
      <w:szCs w:val="20"/>
    </w:rPr>
  </w:style>
  <w:style w:type="paragraph" w:customStyle="1" w:styleId="46">
    <w:name w:val="Normal Indent1"/>
    <w:basedOn w:val="1"/>
    <w:qFormat/>
    <w:uiPriority w:val="0"/>
    <w:pPr>
      <w:widowControl/>
      <w:ind w:firstLine="420"/>
      <w:jc w:val="left"/>
    </w:pPr>
    <w:rPr>
      <w:kern w:val="0"/>
      <w:szCs w:val="20"/>
    </w:rPr>
  </w:style>
  <w:style w:type="paragraph" w:customStyle="1" w:styleId="47">
    <w:name w:val="Fließtext"/>
    <w:basedOn w:val="1"/>
    <w:qFormat/>
    <w:uiPriority w:val="0"/>
    <w:pPr>
      <w:overflowPunct w:val="0"/>
      <w:autoSpaceDE w:val="0"/>
      <w:autoSpaceDN w:val="0"/>
      <w:adjustRightInd w:val="0"/>
      <w:textAlignment w:val="baseline"/>
    </w:pPr>
    <w:rPr>
      <w:kern w:val="28"/>
    </w:rPr>
  </w:style>
  <w:style w:type="paragraph" w:customStyle="1" w:styleId="48">
    <w:name w:val="_Style 1"/>
    <w:qFormat/>
    <w:uiPriority w:val="99"/>
    <w:rPr>
      <w:rFonts w:ascii="Calibri" w:hAnsi="Calibri" w:eastAsia="宋体" w:cs="Times New Roman"/>
      <w:kern w:val="2"/>
      <w:sz w:val="28"/>
      <w:szCs w:val="22"/>
      <w:lang w:val="en-US" w:eastAsia="zh-CN" w:bidi="ar-SA"/>
    </w:rPr>
  </w:style>
  <w:style w:type="character" w:customStyle="1" w:styleId="49">
    <w:name w:val="标题 3 Char"/>
    <w:basedOn w:val="29"/>
    <w:link w:val="5"/>
    <w:qFormat/>
    <w:uiPriority w:val="0"/>
    <w:rPr>
      <w:rFonts w:eastAsiaTheme="minorEastAsia" w:cstheme="minorBidi"/>
      <w:b/>
      <w:bCs/>
      <w:kern w:val="2"/>
      <w:sz w:val="32"/>
      <w:szCs w:val="32"/>
    </w:rPr>
  </w:style>
  <w:style w:type="character" w:customStyle="1" w:styleId="50">
    <w:name w:val="页眉 Char"/>
    <w:basedOn w:val="29"/>
    <w:link w:val="20"/>
    <w:qFormat/>
    <w:uiPriority w:val="0"/>
    <w:rPr>
      <w:kern w:val="2"/>
      <w:sz w:val="18"/>
      <w:szCs w:val="18"/>
    </w:rPr>
  </w:style>
  <w:style w:type="character" w:customStyle="1" w:styleId="51">
    <w:name w:val="页脚 Char"/>
    <w:basedOn w:val="29"/>
    <w:link w:val="19"/>
    <w:qFormat/>
    <w:uiPriority w:val="0"/>
    <w:rPr>
      <w:kern w:val="2"/>
      <w:sz w:val="18"/>
      <w:szCs w:val="18"/>
    </w:rPr>
  </w:style>
  <w:style w:type="character" w:customStyle="1" w:styleId="52">
    <w:name w:val="纯文本 Char"/>
    <w:basedOn w:val="29"/>
    <w:link w:val="15"/>
    <w:qFormat/>
    <w:uiPriority w:val="0"/>
    <w:rPr>
      <w:rFonts w:ascii="宋体" w:hAnsi="Courier New" w:eastAsiaTheme="minorEastAsia" w:cstheme="minorBidi"/>
      <w:kern w:val="2"/>
      <w:sz w:val="21"/>
    </w:rPr>
  </w:style>
  <w:style w:type="character" w:customStyle="1" w:styleId="53">
    <w:name w:val="正文文本缩进 2 Char"/>
    <w:basedOn w:val="29"/>
    <w:link w:val="17"/>
    <w:qFormat/>
    <w:uiPriority w:val="0"/>
    <w:rPr>
      <w:rFonts w:ascii="宋体" w:hAnsi="Calibri" w:eastAsiaTheme="minorEastAsia" w:cstheme="minorBidi"/>
      <w:sz w:val="24"/>
    </w:rPr>
  </w:style>
  <w:style w:type="character" w:customStyle="1" w:styleId="54">
    <w:name w:val="批注框文本 Char"/>
    <w:basedOn w:val="29"/>
    <w:link w:val="18"/>
    <w:qFormat/>
    <w:uiPriority w:val="0"/>
    <w:rPr>
      <w:rFonts w:eastAsiaTheme="minorEastAsia" w:cstheme="minorBidi"/>
      <w:kern w:val="2"/>
      <w:sz w:val="18"/>
      <w:szCs w:val="18"/>
    </w:rPr>
  </w:style>
  <w:style w:type="character" w:customStyle="1" w:styleId="55">
    <w:name w:val="正文文本缩进 3 Char"/>
    <w:basedOn w:val="29"/>
    <w:link w:val="22"/>
    <w:qFormat/>
    <w:uiPriority w:val="0"/>
    <w:rPr>
      <w:rFonts w:ascii="Calibri" w:hAnsi="Calibri" w:eastAsia="黑体" w:cstheme="minorBidi"/>
      <w:color w:val="000000"/>
      <w:kern w:val="2"/>
      <w:sz w:val="24"/>
      <w:szCs w:val="24"/>
    </w:rPr>
  </w:style>
  <w:style w:type="paragraph" w:customStyle="1" w:styleId="5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7">
    <w:name w:val="样式 标题 3 + (中文) 黑体 小四 非加粗 段前: 7.8 磅 段后: 0 磅 行距: 固定值 20 磅"/>
    <w:basedOn w:val="5"/>
    <w:qFormat/>
    <w:uiPriority w:val="0"/>
    <w:pPr>
      <w:numPr>
        <w:ilvl w:val="0"/>
        <w:numId w:val="0"/>
      </w:numPr>
      <w:tabs>
        <w:tab w:val="clear" w:pos="720"/>
      </w:tabs>
      <w:spacing w:line="400" w:lineRule="exact"/>
    </w:pPr>
    <w:rPr>
      <w:rFonts w:eastAsia="黑体" w:cs="宋体"/>
      <w:b w:val="0"/>
      <w:bCs w:val="0"/>
      <w:sz w:val="24"/>
      <w:szCs w:val="20"/>
    </w:rPr>
  </w:style>
  <w:style w:type="paragraph" w:styleId="58">
    <w:name w:val="List Paragraph"/>
    <w:basedOn w:val="1"/>
    <w:unhideWhenUsed/>
    <w:qFormat/>
    <w:uiPriority w:val="99"/>
    <w:pPr>
      <w:ind w:firstLine="420" w:firstLineChars="200"/>
    </w:pPr>
  </w:style>
  <w:style w:type="paragraph" w:customStyle="1" w:styleId="59">
    <w:name w:val="表内文字"/>
    <w:basedOn w:val="1"/>
    <w:qFormat/>
    <w:uiPriority w:val="0"/>
    <w:pPr>
      <w:spacing w:line="500" w:lineRule="atLeast"/>
      <w:jc w:val="center"/>
    </w:pPr>
    <w:rPr>
      <w:rFonts w:ascii="Arial" w:hAnsi="Arial" w:eastAsia="楷体_GB2312" w:cs="Arial"/>
      <w:sz w:val="28"/>
    </w:rPr>
  </w:style>
  <w:style w:type="character" w:customStyle="1" w:styleId="60">
    <w:name w:val="纯文本 字符1"/>
    <w:basedOn w:val="29"/>
    <w:semiHidden/>
    <w:qFormat/>
    <w:locked/>
    <w:uiPriority w:val="0"/>
    <w:rPr>
      <w:rFonts w:ascii="宋体" w:hAnsi="Courier New" w:cs="Courier New"/>
      <w:szCs w:val="21"/>
    </w:rPr>
  </w:style>
  <w:style w:type="paragraph" w:customStyle="1" w:styleId="61">
    <w:name w:val="正文段"/>
    <w:basedOn w:val="1"/>
    <w:qFormat/>
    <w:uiPriority w:val="0"/>
    <w:pPr>
      <w:widowControl/>
      <w:snapToGrid w:val="0"/>
      <w:spacing w:after="156" w:afterLines="50"/>
      <w:ind w:firstLine="200" w:firstLineChars="200"/>
    </w:pPr>
    <w:rPr>
      <w:kern w:val="0"/>
      <w:sz w:val="24"/>
      <w:szCs w:val="20"/>
    </w:rPr>
  </w:style>
  <w:style w:type="character" w:customStyle="1" w:styleId="62">
    <w:name w:val="hover4"/>
    <w:basedOn w:val="29"/>
    <w:qFormat/>
    <w:uiPriority w:val="0"/>
    <w:rPr>
      <w:color w:val="999999"/>
    </w:rPr>
  </w:style>
  <w:style w:type="paragraph" w:customStyle="1" w:styleId="63">
    <w:name w:val="Body Text Indent 21"/>
    <w:basedOn w:val="1"/>
    <w:qFormat/>
    <w:uiPriority w:val="0"/>
    <w:pPr>
      <w:widowControl/>
      <w:spacing w:line="480" w:lineRule="atLeast"/>
      <w:ind w:firstLine="480"/>
    </w:pPr>
    <w:rPr>
      <w:rFonts w:ascii="宋体"/>
      <w:kern w:val="0"/>
      <w:sz w:val="24"/>
      <w:szCs w:val="20"/>
    </w:rPr>
  </w:style>
  <w:style w:type="paragraph" w:customStyle="1" w:styleId="64">
    <w:name w:val="Plain Text1"/>
    <w:basedOn w:val="1"/>
    <w:qFormat/>
    <w:uiPriority w:val="0"/>
    <w:rPr>
      <w:rFonts w:ascii="宋体" w:hAnsi="Courier New"/>
      <w:szCs w:val="20"/>
    </w:rPr>
  </w:style>
  <w:style w:type="paragraph" w:customStyle="1" w:styleId="65">
    <w:name w:val="正文2"/>
    <w:basedOn w:val="1"/>
    <w:qFormat/>
    <w:uiPriority w:val="0"/>
    <w:pPr>
      <w:spacing w:before="156" w:line="360" w:lineRule="auto"/>
      <w:ind w:firstLine="510" w:firstLineChars="200"/>
    </w:pPr>
    <w:rPr>
      <w:sz w:val="24"/>
      <w:szCs w:val="20"/>
    </w:rPr>
  </w:style>
  <w:style w:type="paragraph" w:customStyle="1" w:styleId="66">
    <w:name w:val="正文1"/>
    <w:qFormat/>
    <w:uiPriority w:val="0"/>
    <w:pPr>
      <w:jc w:val="both"/>
    </w:pPr>
    <w:rPr>
      <w:rFonts w:ascii="Calibri" w:hAnsi="Calibri" w:eastAsia="宋体" w:cs="宋体"/>
      <w:kern w:val="2"/>
      <w:sz w:val="21"/>
      <w:szCs w:val="21"/>
      <w:lang w:val="en-US" w:eastAsia="zh-CN" w:bidi="ar-SA"/>
    </w:rPr>
  </w:style>
  <w:style w:type="character" w:customStyle="1" w:styleId="67">
    <w:name w:val="font01"/>
    <w:basedOn w:val="29"/>
    <w:qFormat/>
    <w:uiPriority w:val="0"/>
    <w:rPr>
      <w:rFonts w:hint="eastAsia" w:ascii="宋体" w:hAnsi="宋体" w:eastAsia="宋体" w:cs="宋体"/>
      <w:color w:val="000000"/>
      <w:sz w:val="22"/>
      <w:szCs w:val="22"/>
      <w:u w:val="none"/>
    </w:rPr>
  </w:style>
  <w:style w:type="paragraph" w:customStyle="1" w:styleId="68">
    <w:name w:val="[Normal]"/>
    <w:qFormat/>
    <w:uiPriority w:val="0"/>
    <w:rPr>
      <w:rFonts w:ascii="宋体" w:hAnsi="宋体" w:eastAsia="Calibri" w:cs="Times New Roman"/>
      <w:sz w:val="24"/>
      <w:szCs w:val="22"/>
      <w:lang w:val="zh-CN" w:eastAsia="zh-CN" w:bidi="ar-SA"/>
    </w:rPr>
  </w:style>
  <w:style w:type="character" w:customStyle="1" w:styleId="69">
    <w:name w:val="font61"/>
    <w:basedOn w:val="29"/>
    <w:qFormat/>
    <w:uiPriority w:val="0"/>
    <w:rPr>
      <w:rFonts w:ascii="Arial" w:hAnsi="Arial" w:cs="Arial"/>
      <w:color w:val="000000"/>
      <w:sz w:val="20"/>
      <w:szCs w:val="20"/>
      <w:u w:val="none"/>
    </w:rPr>
  </w:style>
  <w:style w:type="character" w:customStyle="1" w:styleId="70">
    <w:name w:val="font11"/>
    <w:basedOn w:val="29"/>
    <w:qFormat/>
    <w:uiPriority w:val="0"/>
    <w:rPr>
      <w:rFonts w:hint="eastAsia" w:ascii="宋体" w:hAnsi="宋体" w:eastAsia="宋体" w:cs="宋体"/>
      <w:color w:val="000000"/>
      <w:sz w:val="20"/>
      <w:szCs w:val="20"/>
      <w:u w:val="none"/>
    </w:rPr>
  </w:style>
  <w:style w:type="paragraph" w:customStyle="1" w:styleId="71">
    <w:name w:val="纯文本1"/>
    <w:basedOn w:val="1"/>
    <w:qFormat/>
    <w:uiPriority w:val="0"/>
    <w:pPr>
      <w:adjustRightInd w:val="0"/>
      <w:textAlignment w:val="baseline"/>
    </w:pPr>
    <w:rPr>
      <w:rFonts w:ascii="宋体" w:hAnsi="Courier New" w:eastAsia="楷体_GB2312"/>
      <w:sz w:val="28"/>
    </w:rPr>
  </w:style>
  <w:style w:type="character" w:customStyle="1" w:styleId="72">
    <w:name w:val="font191"/>
    <w:basedOn w:val="29"/>
    <w:qFormat/>
    <w:uiPriority w:val="0"/>
    <w:rPr>
      <w:rFonts w:hint="eastAsia" w:ascii="宋体" w:hAnsi="宋体" w:eastAsia="宋体" w:cs="宋体"/>
      <w:color w:val="FF0000"/>
      <w:sz w:val="22"/>
      <w:szCs w:val="22"/>
      <w:u w:val="none"/>
    </w:rPr>
  </w:style>
  <w:style w:type="character" w:customStyle="1" w:styleId="73">
    <w:name w:val="font71"/>
    <w:basedOn w:val="29"/>
    <w:qFormat/>
    <w:uiPriority w:val="0"/>
    <w:rPr>
      <w:rFonts w:hint="eastAsia" w:ascii="宋体" w:hAnsi="宋体" w:eastAsia="宋体" w:cs="宋体"/>
      <w:color w:val="000000"/>
      <w:sz w:val="22"/>
      <w:szCs w:val="22"/>
      <w:u w:val="none"/>
    </w:rPr>
  </w:style>
  <w:style w:type="character" w:customStyle="1" w:styleId="74">
    <w:name w:val="font41"/>
    <w:basedOn w:val="29"/>
    <w:qFormat/>
    <w:uiPriority w:val="0"/>
    <w:rPr>
      <w:rFonts w:hint="eastAsia" w:ascii="宋体" w:hAnsi="宋体" w:eastAsia="宋体" w:cs="宋体"/>
      <w:color w:val="000000"/>
      <w:sz w:val="22"/>
      <w:szCs w:val="22"/>
      <w:u w:val="none"/>
    </w:rPr>
  </w:style>
  <w:style w:type="character" w:customStyle="1" w:styleId="75">
    <w:name w:val="font151"/>
    <w:basedOn w:val="29"/>
    <w:qFormat/>
    <w:uiPriority w:val="0"/>
    <w:rPr>
      <w:rFonts w:hint="eastAsia" w:ascii="宋体" w:hAnsi="宋体" w:eastAsia="宋体" w:cs="宋体"/>
      <w:color w:val="FF0000"/>
      <w:sz w:val="22"/>
      <w:szCs w:val="22"/>
      <w:u w:val="none"/>
    </w:rPr>
  </w:style>
  <w:style w:type="character" w:customStyle="1" w:styleId="76">
    <w:name w:val="font21"/>
    <w:basedOn w:val="29"/>
    <w:qFormat/>
    <w:uiPriority w:val="0"/>
    <w:rPr>
      <w:rFonts w:hint="eastAsia" w:ascii="宋体" w:hAnsi="宋体" w:eastAsia="宋体" w:cs="宋体"/>
      <w:color w:val="000000"/>
      <w:sz w:val="18"/>
      <w:szCs w:val="18"/>
      <w:u w:val="none"/>
    </w:rPr>
  </w:style>
  <w:style w:type="character" w:customStyle="1" w:styleId="77">
    <w:name w:val="font141"/>
    <w:basedOn w:val="29"/>
    <w:qFormat/>
    <w:uiPriority w:val="0"/>
    <w:rPr>
      <w:rFonts w:hint="eastAsia" w:ascii="宋体" w:hAnsi="宋体" w:eastAsia="宋体" w:cs="宋体"/>
      <w:color w:val="FF0000"/>
      <w:sz w:val="18"/>
      <w:szCs w:val="18"/>
      <w:u w:val="none"/>
    </w:rPr>
  </w:style>
  <w:style w:type="character" w:customStyle="1" w:styleId="78">
    <w:name w:val="font31"/>
    <w:basedOn w:val="29"/>
    <w:qFormat/>
    <w:uiPriority w:val="0"/>
    <w:rPr>
      <w:rFonts w:hint="eastAsia" w:ascii="宋体" w:hAnsi="宋体" w:eastAsia="宋体" w:cs="宋体"/>
      <w:color w:val="000000"/>
      <w:sz w:val="22"/>
      <w:szCs w:val="22"/>
      <w:u w:val="none"/>
    </w:rPr>
  </w:style>
  <w:style w:type="paragraph" w:customStyle="1" w:styleId="79">
    <w:name w:val="正文首行缩进 21"/>
    <w:basedOn w:val="80"/>
    <w:qFormat/>
    <w:uiPriority w:val="0"/>
    <w:pPr>
      <w:ind w:firstLine="420"/>
    </w:pPr>
    <w:rPr>
      <w:rFonts w:eastAsia="宋体" w:cs="宋体"/>
    </w:rPr>
  </w:style>
  <w:style w:type="paragraph" w:customStyle="1" w:styleId="80">
    <w:name w:val="正文文本缩进1"/>
    <w:basedOn w:val="1"/>
    <w:next w:val="1"/>
    <w:qFormat/>
    <w:uiPriority w:val="0"/>
    <w:pPr>
      <w:spacing w:after="120"/>
      <w:ind w:left="420" w:leftChars="200"/>
    </w:pPr>
    <w:rPr>
      <w:color w:val="000000"/>
      <w:szCs w:val="21"/>
    </w:rPr>
  </w:style>
  <w:style w:type="paragraph" w:customStyle="1" w:styleId="81">
    <w:name w:val="正文首行缩进 211"/>
    <w:basedOn w:val="1"/>
    <w:qFormat/>
    <w:uiPriority w:val="0"/>
    <w:pPr>
      <w:spacing w:after="120"/>
      <w:ind w:left="420" w:leftChars="200" w:firstLine="420"/>
    </w:pPr>
    <w:rPr>
      <w:rFonts w:cs="宋体"/>
      <w:color w:val="000000"/>
      <w:szCs w:val="21"/>
    </w:rPr>
  </w:style>
  <w:style w:type="character" w:customStyle="1" w:styleId="82">
    <w:name w:val="font51"/>
    <w:basedOn w:val="29"/>
    <w:qFormat/>
    <w:uiPriority w:val="0"/>
    <w:rPr>
      <w:rFonts w:ascii="宋体" w:hAnsi="宋体" w:eastAsia="宋体" w:cs="宋体"/>
      <w:color w:val="000000"/>
      <w:sz w:val="22"/>
      <w:szCs w:val="22"/>
      <w:u w:val="none"/>
    </w:rPr>
  </w:style>
  <w:style w:type="character" w:customStyle="1" w:styleId="83">
    <w:name w:val="font91"/>
    <w:basedOn w:val="29"/>
    <w:qFormat/>
    <w:uiPriority w:val="0"/>
    <w:rPr>
      <w:rFonts w:ascii="Arial" w:hAnsi="Arial" w:cs="Arial"/>
      <w:color w:val="000000"/>
      <w:sz w:val="22"/>
      <w:szCs w:val="22"/>
      <w:u w:val="none"/>
    </w:rPr>
  </w:style>
  <w:style w:type="paragraph" w:customStyle="1" w:styleId="84">
    <w:name w:val="一级"/>
    <w:basedOn w:val="1"/>
    <w:next w:val="1"/>
    <w:qFormat/>
    <w:uiPriority w:val="0"/>
    <w:pPr>
      <w:spacing w:before="360" w:after="360" w:line="400" w:lineRule="exact"/>
      <w:outlineLvl w:val="1"/>
    </w:pPr>
    <w:rPr>
      <w:rFonts w:eastAsia="黑体"/>
      <w:sz w:val="28"/>
      <w:szCs w:val="22"/>
    </w:rPr>
  </w:style>
  <w:style w:type="paragraph" w:customStyle="1" w:styleId="85">
    <w:name w:val="正文空格"/>
    <w:basedOn w:val="1"/>
    <w:next w:val="1"/>
    <w:qFormat/>
    <w:uiPriority w:val="0"/>
    <w:pPr>
      <w:spacing w:line="400" w:lineRule="exact"/>
      <w:ind w:firstLine="200" w:firstLineChars="200"/>
    </w:pPr>
    <w:rPr>
      <w:sz w:val="24"/>
      <w:szCs w:val="22"/>
    </w:rPr>
  </w:style>
  <w:style w:type="paragraph" w:customStyle="1" w:styleId="86">
    <w:name w:val="图片"/>
    <w:basedOn w:val="1"/>
    <w:qFormat/>
    <w:uiPriority w:val="0"/>
    <w:pPr>
      <w:spacing w:line="360" w:lineRule="auto"/>
      <w:jc w:val="center"/>
    </w:pPr>
    <w:rPr>
      <w:rFonts w:eastAsia="宋体" w:asciiTheme="minorEastAsia" w:hAnsiTheme="minorEastAsia"/>
      <w:sz w:val="24"/>
    </w:rPr>
  </w:style>
  <w:style w:type="paragraph" w:customStyle="1" w:styleId="87">
    <w:name w:val="图片标题"/>
    <w:basedOn w:val="88"/>
    <w:qFormat/>
    <w:uiPriority w:val="0"/>
    <w:pPr>
      <w:numPr>
        <w:ilvl w:val="0"/>
        <w:numId w:val="4"/>
      </w:numPr>
      <w:spacing w:line="360" w:lineRule="auto"/>
      <w:jc w:val="center"/>
    </w:pPr>
    <w:rPr>
      <w:rFonts w:eastAsia="黑体"/>
      <w:b/>
    </w:rPr>
  </w:style>
  <w:style w:type="paragraph" w:customStyle="1" w:styleId="88">
    <w:name w:val="表格"/>
    <w:basedOn w:val="1"/>
    <w:qFormat/>
    <w:uiPriority w:val="0"/>
    <w:rPr>
      <w:rFonts w:asciiTheme="minorEastAsia" w:hAnsiTheme="minorEastAsia"/>
      <w:szCs w:val="22"/>
    </w:rPr>
  </w:style>
  <w:style w:type="paragraph" w:customStyle="1" w:styleId="89">
    <w:name w:val="列表格式"/>
    <w:basedOn w:val="8"/>
    <w:qFormat/>
    <w:uiPriority w:val="0"/>
    <w:pPr>
      <w:numPr>
        <w:numId w:val="0"/>
      </w:numPr>
      <w:tabs>
        <w:tab w:val="left" w:pos="360"/>
      </w:tabs>
      <w:spacing w:line="360" w:lineRule="auto"/>
      <w:jc w:val="left"/>
    </w:pPr>
    <w:rPr>
      <w:rFonts w:eastAsia="宋体" w:cs="Times New Roman"/>
      <w:sz w:val="24"/>
    </w:rPr>
  </w:style>
  <w:style w:type="paragraph" w:customStyle="1" w:styleId="90">
    <w:name w:val="表格标题"/>
    <w:basedOn w:val="1"/>
    <w:qFormat/>
    <w:uiPriority w:val="0"/>
    <w:pPr>
      <w:numPr>
        <w:ilvl w:val="0"/>
        <w:numId w:val="5"/>
      </w:numPr>
      <w:ind w:left="0" w:firstLine="0"/>
      <w:jc w:val="center"/>
    </w:pPr>
    <w:rPr>
      <w:rFonts w:ascii="宋体" w:hAnsi="宋体" w:eastAsia="黑体" w:cs="Times New Roman"/>
      <w:b/>
    </w:rPr>
  </w:style>
  <w:style w:type="paragraph" w:customStyle="1" w:styleId="91">
    <w:name w:val="表格表头"/>
    <w:basedOn w:val="1"/>
    <w:qFormat/>
    <w:uiPriority w:val="0"/>
    <w:pPr>
      <w:jc w:val="center"/>
    </w:pPr>
    <w:rPr>
      <w:rFonts w:ascii="宋体" w:hAnsi="宋体" w:eastAsia="黑体" w:cs="Times New Roman"/>
    </w:rPr>
  </w:style>
  <w:style w:type="paragraph" w:customStyle="1" w:styleId="92">
    <w:name w:val="表格正文"/>
    <w:basedOn w:val="1"/>
    <w:qFormat/>
    <w:uiPriority w:val="0"/>
    <w:pPr>
      <w:jc w:val="left"/>
    </w:pPr>
    <w:rPr>
      <w:rFonts w:ascii="Arial" w:hAnsi="Arial" w:cs="宋体"/>
      <w:szCs w:val="20"/>
    </w:rPr>
  </w:style>
  <w:style w:type="paragraph" w:styleId="93">
    <w:name w:val="No Spacing"/>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4">
    <w:name w:val="表格内容"/>
    <w:basedOn w:val="1"/>
    <w:qFormat/>
    <w:uiPriority w:val="2"/>
    <w:pPr>
      <w:jc w:val="center"/>
    </w:pPr>
  </w:style>
  <w:style w:type="paragraph" w:customStyle="1" w:styleId="95">
    <w:name w:val="Table Paragraph"/>
    <w:basedOn w:val="1"/>
    <w:qFormat/>
    <w:uiPriority w:val="1"/>
    <w:rPr>
      <w:rFonts w:ascii="宋体" w:hAnsi="宋体" w:eastAsia="宋体" w:cs="宋体"/>
      <w:lang w:val="zh-CN" w:bidi="zh-CN"/>
    </w:rPr>
  </w:style>
  <w:style w:type="paragraph" w:customStyle="1" w:styleId="96">
    <w:name w:val="正文缩进11"/>
    <w:basedOn w:val="1"/>
    <w:qFormat/>
    <w:uiPriority w:val="0"/>
    <w:pPr>
      <w:widowControl/>
      <w:ind w:firstLine="420"/>
      <w:jc w:val="left"/>
    </w:pPr>
    <w:rPr>
      <w:kern w:val="0"/>
      <w:szCs w:val="20"/>
    </w:rPr>
  </w:style>
  <w:style w:type="paragraph" w:customStyle="1" w:styleId="97">
    <w:name w:val="纯文本11"/>
    <w:basedOn w:val="1"/>
    <w:qFormat/>
    <w:uiPriority w:val="0"/>
    <w:pPr>
      <w:widowControl/>
      <w:jc w:val="left"/>
    </w:pPr>
    <w:rPr>
      <w:rFonts w:hAnsi="Courier New" w:cs="Courier New"/>
      <w:szCs w:val="21"/>
    </w:rPr>
  </w:style>
  <w:style w:type="paragraph" w:customStyle="1" w:styleId="98">
    <w:name w:val="正文11"/>
    <w:basedOn w:val="1"/>
    <w:qFormat/>
    <w:uiPriority w:val="0"/>
    <w:pPr>
      <w:adjustRightInd w:val="0"/>
      <w:spacing w:line="360" w:lineRule="atLeast"/>
      <w:jc w:val="left"/>
      <w:textAlignment w:val="baseline"/>
    </w:pPr>
    <w:rPr>
      <w:rFonts w:ascii="宋体"/>
      <w:color w:val="000000"/>
      <w:sz w:val="24"/>
    </w:rPr>
  </w:style>
  <w:style w:type="paragraph" w:customStyle="1" w:styleId="99">
    <w:name w:val="正文文本1"/>
    <w:basedOn w:val="1"/>
    <w:qFormat/>
    <w:uiPriority w:val="0"/>
    <w:pPr>
      <w:shd w:val="clear" w:color="auto" w:fill="FFFFFF"/>
      <w:spacing w:line="437" w:lineRule="auto"/>
    </w:pPr>
    <w:rPr>
      <w:rFonts w:ascii="黑体" w:hAnsi="黑体" w:eastAsia="黑体" w:cs="黑体"/>
      <w:sz w:val="46"/>
      <w:szCs w:val="46"/>
      <w:lang w:val="zh-CN" w:bidi="zh-CN"/>
    </w:rPr>
  </w:style>
  <w:style w:type="character" w:customStyle="1" w:styleId="100">
    <w:name w:val="批注文字 Char"/>
    <w:basedOn w:val="29"/>
    <w:link w:val="10"/>
    <w:qFormat/>
    <w:uiPriority w:val="99"/>
    <w:rPr>
      <w:rFonts w:eastAsiaTheme="minorEastAsia" w:cstheme="minorBidi"/>
      <w:kern w:val="2"/>
      <w:sz w:val="21"/>
      <w:szCs w:val="24"/>
    </w:rPr>
  </w:style>
  <w:style w:type="character" w:customStyle="1" w:styleId="101">
    <w:name w:val="批注主题 Char"/>
    <w:basedOn w:val="100"/>
    <w:link w:val="25"/>
    <w:semiHidden/>
    <w:qFormat/>
    <w:uiPriority w:val="0"/>
    <w:rPr>
      <w:rFonts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浙江华域高宇项目管理有限公司</Company>
  <Pages>62</Pages>
  <Words>40601</Words>
  <Characters>45049</Characters>
  <Lines>359</Lines>
  <Paragraphs>101</Paragraphs>
  <TotalTime>3</TotalTime>
  <ScaleCrop>false</ScaleCrop>
  <LinksUpToDate>false</LinksUpToDate>
  <CharactersWithSpaces>47831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2019-03-28T07:01:00Z</dcterms:created>
  <dc:creator>NTKO</dc:creator>
  <cp:lastModifiedBy>高森森sen</cp:lastModifiedBy>
  <cp:lastPrinted>2022-07-14T06:38:00Z</cp:lastPrinted>
  <dcterms:modified xsi:type="dcterms:W3CDTF">2022-07-14T08:04:51Z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5AE8098F08294E508797CD4120F4B644</vt:lpwstr>
  </property>
  <property fmtid="{D5CDD505-2E9C-101B-9397-08002B2CF9AE}" pid="4" name="commondata">
    <vt:lpwstr>eyJoZGlkIjoiNjRlMDM2Y2U1NDExYTE4ZGNlNGQ0NzIxNzA0OTIxNTEifQ==</vt:lpwstr>
  </property>
</Properties>
</file>