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_GB2312"/>
          <w:b/>
          <w:color w:val="000000"/>
          <w:sz w:val="44"/>
          <w:szCs w:val="44"/>
        </w:rPr>
      </w:pPr>
    </w:p>
    <w:p>
      <w:pPr>
        <w:adjustRightInd/>
        <w:spacing w:line="360" w:lineRule="auto"/>
        <w:jc w:val="center"/>
        <w:rPr>
          <w:rFonts w:hint="eastAsia" w:ascii="仿宋" w:hAnsi="仿宋" w:eastAsia="仿宋" w:cs="仿宋_GB2312"/>
          <w:b/>
          <w:color w:val="0000FF"/>
          <w:sz w:val="44"/>
          <w:szCs w:val="44"/>
        </w:rPr>
      </w:pPr>
      <w:r>
        <w:rPr>
          <w:rFonts w:hint="eastAsia" w:ascii="仿宋" w:hAnsi="仿宋" w:eastAsia="仿宋" w:cs="仿宋_GB2312"/>
          <w:b/>
          <w:color w:val="0000FF"/>
          <w:sz w:val="44"/>
          <w:szCs w:val="44"/>
        </w:rPr>
        <w:t>杭州市萧山区第一人民医院医共体总院</w:t>
      </w:r>
    </w:p>
    <w:p>
      <w:pPr>
        <w:adjustRightInd/>
        <w:spacing w:line="360" w:lineRule="auto"/>
        <w:jc w:val="center"/>
        <w:rPr>
          <w:rFonts w:ascii="仿宋" w:hAnsi="仿宋" w:eastAsia="仿宋" w:cs="仿宋_GB2312"/>
          <w:b/>
          <w:color w:val="0000FF"/>
          <w:sz w:val="44"/>
          <w:szCs w:val="44"/>
        </w:rPr>
      </w:pPr>
      <w:r>
        <w:rPr>
          <w:rFonts w:hint="eastAsia" w:ascii="仿宋" w:hAnsi="仿宋" w:eastAsia="仿宋" w:cs="仿宋_GB2312"/>
          <w:b/>
          <w:color w:val="0000FF"/>
          <w:sz w:val="44"/>
          <w:szCs w:val="44"/>
        </w:rPr>
        <w:t>（杭州市萧山区第一人民医院）物业（保洁）综合服务政府采购项目</w:t>
      </w:r>
    </w:p>
    <w:p>
      <w:pPr>
        <w:adjustRightInd/>
        <w:spacing w:line="360" w:lineRule="auto"/>
        <w:jc w:val="center"/>
        <w:rPr>
          <w:rFonts w:ascii="仿宋" w:hAnsi="仿宋" w:eastAsia="仿宋" w:cs="仿宋_GB2312"/>
          <w:b/>
          <w:color w:val="000000"/>
          <w:sz w:val="24"/>
        </w:rPr>
      </w:pPr>
      <w:r>
        <w:rPr>
          <w:rFonts w:ascii="仿宋" w:hAnsi="仿宋" w:eastAsia="仿宋" w:cs="仿宋_GB2312"/>
          <w:b/>
          <w:color w:val="000000"/>
          <w:sz w:val="56"/>
          <w:szCs w:val="72"/>
        </w:rPr>
        <w:t>招标文件</w:t>
      </w:r>
      <w:r>
        <w:rPr>
          <w:rFonts w:ascii="仿宋" w:hAnsi="仿宋" w:eastAsia="仿宋" w:cs="仿宋_GB2312"/>
          <w:b/>
          <w:color w:val="000000"/>
          <w:sz w:val="56"/>
          <w:szCs w:val="72"/>
        </w:rPr>
        <w:br w:type="textWrapping"/>
      </w:r>
      <w:r>
        <w:rPr>
          <w:rFonts w:hint="eastAsia" w:ascii="仿宋" w:hAnsi="仿宋" w:eastAsia="仿宋" w:cs="仿宋_GB2312"/>
          <w:b/>
          <w:color w:val="000000"/>
          <w:sz w:val="56"/>
          <w:szCs w:val="72"/>
        </w:rPr>
        <w:t>（</w:t>
      </w:r>
      <w:r>
        <w:rPr>
          <w:rFonts w:ascii="仿宋" w:hAnsi="仿宋" w:eastAsia="仿宋" w:cs="仿宋_GB2312"/>
          <w:b/>
          <w:color w:val="000000"/>
          <w:sz w:val="56"/>
          <w:szCs w:val="72"/>
        </w:rPr>
        <w:t>电子招投标</w:t>
      </w:r>
      <w:r>
        <w:rPr>
          <w:rFonts w:hint="eastAsia" w:ascii="仿宋" w:hAnsi="仿宋" w:eastAsia="仿宋" w:cs="仿宋_GB2312"/>
          <w:b/>
          <w:color w:val="000000"/>
          <w:sz w:val="56"/>
          <w:szCs w:val="72"/>
        </w:rPr>
        <w:t>）</w:t>
      </w:r>
    </w:p>
    <w:p>
      <w:pPr>
        <w:snapToGrid w:val="0"/>
        <w:spacing w:line="360" w:lineRule="auto"/>
        <w:jc w:val="center"/>
        <w:rPr>
          <w:rFonts w:hint="default" w:ascii="仿宋" w:hAnsi="仿宋" w:eastAsia="仿宋" w:cs="仿宋_GB2312"/>
          <w:color w:val="0000FF"/>
          <w:sz w:val="30"/>
          <w:szCs w:val="30"/>
          <w:lang w:val="en-US" w:eastAsia="zh-CN"/>
        </w:rPr>
      </w:pPr>
      <w:r>
        <w:rPr>
          <w:rFonts w:hint="eastAsia" w:ascii="仿宋" w:hAnsi="仿宋" w:eastAsia="仿宋" w:cs="仿宋_GB2312"/>
          <w:color w:val="0000FF"/>
          <w:sz w:val="30"/>
          <w:szCs w:val="30"/>
        </w:rPr>
        <w:t>编号:XZCG2021-GK-ZCY</w:t>
      </w:r>
      <w:r>
        <w:rPr>
          <w:rFonts w:hint="eastAsia" w:ascii="仿宋" w:hAnsi="仿宋" w:eastAsia="仿宋" w:cs="仿宋_GB2312"/>
          <w:color w:val="0000FF"/>
          <w:sz w:val="30"/>
          <w:szCs w:val="30"/>
          <w:lang w:val="en-US" w:eastAsia="zh-CN"/>
        </w:rPr>
        <w:t>063</w:t>
      </w:r>
    </w:p>
    <w:p>
      <w:pPr>
        <w:adjustRightInd/>
        <w:spacing w:line="360" w:lineRule="auto"/>
        <w:rPr>
          <w:rFonts w:ascii="仿宋" w:hAnsi="仿宋" w:eastAsia="仿宋" w:cs="仿宋_GB2312"/>
          <w:color w:val="000000"/>
          <w:sz w:val="28"/>
          <w:szCs w:val="20"/>
        </w:rPr>
      </w:pPr>
    </w:p>
    <w:p>
      <w:pPr>
        <w:adjustRightInd/>
        <w:spacing w:line="360" w:lineRule="auto"/>
        <w:rPr>
          <w:rFonts w:ascii="仿宋" w:hAnsi="仿宋" w:eastAsia="仿宋" w:cs="仿宋_GB2312"/>
          <w:color w:val="000000"/>
          <w:sz w:val="28"/>
          <w:szCs w:val="20"/>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color w:val="000000"/>
          <w:sz w:val="24"/>
        </w:rPr>
      </w:pPr>
      <w:bookmarkStart w:id="594" w:name="_GoBack"/>
      <w:bookmarkEnd w:id="594"/>
    </w:p>
    <w:p>
      <w:pPr>
        <w:spacing w:line="360" w:lineRule="auto"/>
        <w:jc w:val="center"/>
        <w:rPr>
          <w:rFonts w:ascii="仿宋" w:hAnsi="仿宋" w:eastAsia="仿宋" w:cs="仿宋_GB2312"/>
          <w:color w:val="000000"/>
          <w:sz w:val="24"/>
        </w:rPr>
      </w:pPr>
    </w:p>
    <w:p>
      <w:pPr>
        <w:spacing w:line="360" w:lineRule="auto"/>
        <w:rPr>
          <w:rFonts w:ascii="仿宋" w:hAnsi="仿宋" w:eastAsia="仿宋" w:cs="仿宋_GB2312"/>
          <w:color w:val="000000"/>
          <w:sz w:val="32"/>
          <w:szCs w:val="32"/>
        </w:rPr>
      </w:pPr>
    </w:p>
    <w:p>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color w:val="0000FF"/>
          <w:sz w:val="32"/>
          <w:szCs w:val="32"/>
        </w:rPr>
        <w:t>杭州市萧山区第一人民医院医共体总院</w:t>
      </w:r>
    </w:p>
    <w:p>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color w:val="0000FF"/>
          <w:sz w:val="32"/>
          <w:szCs w:val="32"/>
        </w:rPr>
        <w:t>（杭州市萧山区第一人民医院）</w:t>
      </w:r>
    </w:p>
    <w:p>
      <w:pPr>
        <w:snapToGrid w:val="0"/>
        <w:spacing w:line="360" w:lineRule="auto"/>
        <w:jc w:val="center"/>
        <w:rPr>
          <w:rFonts w:ascii="仿宋" w:hAnsi="仿宋" w:eastAsia="仿宋" w:cs="仿宋_GB2312"/>
          <w:bCs/>
          <w:color w:val="0000FF"/>
          <w:sz w:val="32"/>
          <w:szCs w:val="32"/>
        </w:rPr>
      </w:pPr>
      <w:r>
        <w:rPr>
          <w:rFonts w:hint="eastAsia" w:ascii="仿宋" w:hAnsi="仿宋" w:eastAsia="仿宋" w:cs="仿宋_GB2312"/>
          <w:bCs/>
          <w:color w:val="0000FF"/>
          <w:sz w:val="32"/>
          <w:szCs w:val="32"/>
        </w:rPr>
        <w:t>杭州市公共资源交易中心萧山分中心</w:t>
      </w:r>
    </w:p>
    <w:p>
      <w:pPr>
        <w:spacing w:line="360" w:lineRule="auto"/>
        <w:jc w:val="center"/>
        <w:rPr>
          <w:rFonts w:ascii="仿宋" w:hAnsi="仿宋" w:eastAsia="仿宋" w:cs="仿宋_GB2312"/>
          <w:bCs/>
          <w:color w:val="000000"/>
          <w:sz w:val="32"/>
          <w:szCs w:val="32"/>
        </w:rPr>
      </w:pPr>
      <w:r>
        <w:rPr>
          <w:rFonts w:hint="eastAsia" w:ascii="仿宋_GB2312" w:hAnsi="仿宋_GB2312" w:eastAsia="仿宋_GB2312" w:cs="仿宋_GB2312"/>
          <w:bCs/>
          <w:color w:val="0000FF"/>
          <w:sz w:val="32"/>
          <w:szCs w:val="32"/>
        </w:rPr>
        <w:t>2021年11月</w:t>
      </w:r>
      <w:r>
        <w:rPr>
          <w:rFonts w:hint="eastAsia" w:ascii="仿宋_GB2312" w:hAnsi="仿宋_GB2312" w:eastAsia="仿宋_GB2312" w:cs="仿宋_GB2312"/>
          <w:bCs/>
          <w:color w:val="0000FF"/>
          <w:sz w:val="32"/>
          <w:szCs w:val="32"/>
          <w:lang w:val="en-US" w:eastAsia="zh-CN"/>
        </w:rPr>
        <w:t>17</w:t>
      </w:r>
      <w:r>
        <w:rPr>
          <w:rFonts w:hint="eastAsia" w:ascii="仿宋_GB2312" w:hAnsi="仿宋_GB2312" w:eastAsia="仿宋_GB2312" w:cs="仿宋_GB2312"/>
          <w:bCs/>
          <w:color w:val="0000FF"/>
          <w:sz w:val="32"/>
          <w:szCs w:val="32"/>
        </w:rPr>
        <w:t>日</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pStyle w:val="2"/>
      </w:pPr>
      <w:bookmarkStart w:id="3" w:name="第一部分"/>
      <w:r>
        <w:rPr>
          <w:rFonts w:hint="eastAsia"/>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_GB2312" w:hAnsi="仿宋" w:eastAsia="仿宋_GB2312" w:cs="仿宋_GB2312"/>
          <w:sz w:val="24"/>
          <w:u w:val="single"/>
        </w:rPr>
        <w:t>杭州市萧山区第一人民医院医共体总院（杭州市萧山区第一人民医院）物业（保洁）综合服务政府采购项目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68"/>
          <w:rFonts w:hint="eastAsia" w:ascii="仿宋_GB2312" w:hAnsi="仿宋" w:eastAsia="仿宋_GB2312"/>
          <w:sz w:val="24"/>
          <w:szCs w:val="24"/>
        </w:rPr>
        <w:t>https://www.zcygov.cn/）获取（下载）招标文件，并于</w:t>
      </w:r>
      <w:r>
        <w:rPr>
          <w:rStyle w:val="68"/>
          <w:rFonts w:hint="eastAsia" w:ascii="仿宋_GB2312" w:hAnsi="仿宋" w:eastAsia="仿宋_GB2312"/>
          <w:sz w:val="24"/>
          <w:szCs w:val="24"/>
          <w:u w:val="single"/>
        </w:rPr>
        <w:t>2021年</w:t>
      </w:r>
      <w:r>
        <w:rPr>
          <w:rStyle w:val="68"/>
          <w:rFonts w:hint="eastAsia" w:ascii="仿宋_GB2312" w:hAnsi="仿宋" w:eastAsia="仿宋_GB2312"/>
          <w:sz w:val="24"/>
          <w:szCs w:val="24"/>
        </w:rPr>
        <w:fldChar w:fldCharType="end"/>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rPr>
        <w:t xml:space="preserve"> 日 </w:t>
      </w:r>
      <w:r>
        <w:rPr>
          <w:rFonts w:hint="eastAsia" w:ascii="仿宋_GB2312" w:hAnsi="仿宋" w:eastAsia="仿宋_GB2312"/>
          <w:sz w:val="24"/>
          <w:u w:val="single"/>
          <w:lang w:val="en-US" w:eastAsia="zh-CN"/>
        </w:rPr>
        <w:t>09</w:t>
      </w:r>
      <w:r>
        <w:rPr>
          <w:rFonts w:hint="eastAsia" w:ascii="仿宋_GB2312" w:hAnsi="仿宋" w:eastAsia="仿宋_GB2312"/>
          <w:bCs/>
          <w:sz w:val="24"/>
          <w:u w:val="single"/>
        </w:rPr>
        <w:t xml:space="preserve">点 </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 xml:space="preserve"> 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3"/>
        <w:numPr>
          <w:ilvl w:val="0"/>
          <w:numId w:val="0"/>
        </w:numPr>
        <w:rPr>
          <w:rFonts w:ascii="黑体" w:hAnsi="黑体" w:cs="宋体"/>
          <w:sz w:val="24"/>
          <w:szCs w:val="28"/>
        </w:rPr>
      </w:pPr>
      <w:bookmarkStart w:id="11" w:name="_Toc28359079"/>
      <w:bookmarkStart w:id="12" w:name="_Toc35393621"/>
      <w:bookmarkStart w:id="13" w:name="_Toc35393790"/>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olor w:val="FF0000"/>
          <w:sz w:val="24"/>
          <w:szCs w:val="28"/>
          <w:lang w:val="en-US" w:eastAsia="zh-CN"/>
        </w:rPr>
      </w:pPr>
      <w:r>
        <w:rPr>
          <w:rFonts w:hint="eastAsia" w:ascii="仿宋" w:hAnsi="仿宋" w:eastAsia="仿宋"/>
          <w:sz w:val="24"/>
          <w:szCs w:val="28"/>
        </w:rPr>
        <w:t>项目编号：</w:t>
      </w:r>
      <w:r>
        <w:rPr>
          <w:rFonts w:hint="eastAsia" w:ascii="仿宋" w:hAnsi="仿宋" w:eastAsia="仿宋"/>
          <w:color w:val="0000FF"/>
          <w:sz w:val="24"/>
          <w:szCs w:val="28"/>
        </w:rPr>
        <w:t>XZCG2021-GK-ZCY</w:t>
      </w:r>
      <w:r>
        <w:rPr>
          <w:rFonts w:hint="eastAsia" w:ascii="仿宋" w:hAnsi="仿宋" w:eastAsia="仿宋"/>
          <w:color w:val="0000FF"/>
          <w:sz w:val="24"/>
          <w:szCs w:val="28"/>
          <w:lang w:val="en-US" w:eastAsia="zh-CN"/>
        </w:rPr>
        <w:t>063</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项目名称：</w:t>
      </w:r>
      <w:r>
        <w:rPr>
          <w:rFonts w:hint="eastAsia" w:ascii="仿宋" w:hAnsi="仿宋" w:eastAsia="仿宋"/>
          <w:color w:val="0000FF"/>
          <w:sz w:val="24"/>
          <w:szCs w:val="28"/>
        </w:rPr>
        <w:t>杭州市萧山区第一人民医院医共体总院（杭州市萧山区第一人民医院）物业（保洁）综合服务政府采购项目</w:t>
      </w:r>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w:t>
      </w:r>
      <w:r>
        <w:rPr>
          <w:rFonts w:hint="eastAsia" w:ascii="仿宋" w:hAnsi="仿宋" w:eastAsia="仿宋"/>
          <w:color w:val="0000FF"/>
          <w:sz w:val="24"/>
          <w:szCs w:val="28"/>
        </w:rPr>
        <w:t>9900000元</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w:t>
      </w:r>
      <w:r>
        <w:rPr>
          <w:rFonts w:hint="eastAsia" w:ascii="仿宋" w:hAnsi="仿宋" w:eastAsia="仿宋"/>
          <w:color w:val="0000FF"/>
          <w:sz w:val="24"/>
          <w:szCs w:val="28"/>
        </w:rPr>
        <w:t>9600000</w:t>
      </w:r>
      <w:r>
        <w:rPr>
          <w:rFonts w:ascii="仿宋" w:hAnsi="仿宋" w:eastAsia="仿宋"/>
          <w:color w:val="0000FF"/>
          <w:sz w:val="24"/>
          <w:szCs w:val="28"/>
        </w:rPr>
        <w:t>元</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采购需求：</w:t>
      </w:r>
      <w:r>
        <w:rPr>
          <w:rFonts w:hint="eastAsia" w:ascii="仿宋" w:hAnsi="仿宋" w:eastAsia="仿宋"/>
          <w:color w:val="0000FF"/>
          <w:sz w:val="24"/>
          <w:szCs w:val="28"/>
        </w:rPr>
        <w:t>具体要求详见招标需求</w:t>
      </w:r>
    </w:p>
    <w:p>
      <w:pPr>
        <w:pStyle w:val="15"/>
        <w:spacing w:line="360" w:lineRule="auto"/>
        <w:ind w:firstLine="480"/>
        <w:rPr>
          <w:rFonts w:ascii="仿宋_GB2312" w:hAnsi="仿宋" w:eastAsia="仿宋_GB2312" w:cs="仿宋_GB2312"/>
          <w:color w:val="FF0000"/>
          <w:sz w:val="24"/>
        </w:rPr>
      </w:pPr>
      <w:r>
        <w:rPr>
          <w:rFonts w:hint="eastAsia" w:ascii="仿宋_GB2312" w:hAnsi="仿宋" w:eastAsia="仿宋_GB2312" w:cs="仿宋_GB2312"/>
          <w:color w:val="FF0000"/>
          <w:sz w:val="24"/>
        </w:rPr>
        <w:t>标项名称: 杭州市萧山区第一人民医院医共体总院（杭州市萧山区第一人民医院）物业（保洁）综合服务政府采购项目</w:t>
      </w:r>
    </w:p>
    <w:p>
      <w:pPr>
        <w:pStyle w:val="15"/>
        <w:spacing w:line="360" w:lineRule="auto"/>
        <w:ind w:firstLine="480" w:firstLineChars="200"/>
        <w:rPr>
          <w:rFonts w:ascii="仿宋_GB2312" w:hAnsi="仿宋" w:eastAsia="仿宋_GB2312" w:cs="仿宋_GB2312"/>
          <w:color w:val="FF0000"/>
          <w:sz w:val="24"/>
        </w:rPr>
      </w:pPr>
      <w:r>
        <w:rPr>
          <w:rFonts w:hint="eastAsia" w:ascii="仿宋_GB2312" w:hAnsi="仿宋" w:eastAsia="仿宋_GB2312" w:cs="仿宋_GB2312"/>
          <w:color w:val="FF0000"/>
          <w:sz w:val="24"/>
        </w:rPr>
        <w:t xml:space="preserve">数量: 1  </w:t>
      </w:r>
    </w:p>
    <w:p>
      <w:pPr>
        <w:pStyle w:val="15"/>
        <w:spacing w:line="360" w:lineRule="auto"/>
        <w:ind w:firstLine="480"/>
        <w:rPr>
          <w:rFonts w:ascii="仿宋_GB2312" w:hAnsi="仿宋" w:eastAsia="仿宋_GB2312" w:cs="仿宋_GB2312"/>
          <w:color w:val="FF0000"/>
          <w:sz w:val="24"/>
          <w:highlight w:val="none"/>
        </w:rPr>
      </w:pPr>
      <w:r>
        <w:rPr>
          <w:rFonts w:hint="eastAsia" w:ascii="仿宋_GB2312" w:hAnsi="仿宋" w:eastAsia="仿宋_GB2312" w:cs="仿宋_GB2312"/>
          <w:color w:val="FF0000"/>
          <w:sz w:val="24"/>
        </w:rPr>
        <w:t>预算金额（元）:</w:t>
      </w:r>
      <w:r>
        <w:rPr>
          <w:rFonts w:hint="eastAsia" w:ascii="仿宋_GB2312" w:hAnsi="仿宋" w:eastAsia="仿宋_GB2312" w:cs="仿宋_GB2312"/>
          <w:color w:val="FF0000"/>
          <w:sz w:val="24"/>
          <w:highlight w:val="none"/>
        </w:rPr>
        <w:t>9900000元</w:t>
      </w:r>
    </w:p>
    <w:p>
      <w:pPr>
        <w:pStyle w:val="15"/>
        <w:spacing w:line="360" w:lineRule="auto"/>
        <w:ind w:firstLine="480"/>
        <w:rPr>
          <w:rFonts w:ascii="仿宋_GB2312" w:hAnsi="仿宋" w:eastAsia="仿宋_GB2312" w:cs="仿宋_GB2312"/>
          <w:color w:val="FF0000"/>
          <w:sz w:val="24"/>
        </w:rPr>
      </w:pPr>
      <w:r>
        <w:rPr>
          <w:rFonts w:hint="eastAsia" w:ascii="仿宋_GB2312" w:hAnsi="仿宋" w:eastAsia="仿宋_GB2312" w:cs="仿宋_GB2312"/>
          <w:color w:val="FF0000"/>
          <w:sz w:val="24"/>
        </w:rPr>
        <w:t>简要规格描述或项目基本概况介绍、用途：具体要求详见招标需求</w:t>
      </w:r>
    </w:p>
    <w:p>
      <w:pPr>
        <w:pStyle w:val="15"/>
        <w:spacing w:line="360" w:lineRule="auto"/>
        <w:ind w:firstLine="480"/>
        <w:rPr>
          <w:rFonts w:ascii="仿宋_GB2312" w:hAnsi="仿宋" w:eastAsia="仿宋_GB2312" w:cs="仿宋_GB2312"/>
          <w:color w:val="FF0000"/>
          <w:sz w:val="24"/>
        </w:rPr>
      </w:pPr>
      <w:r>
        <w:rPr>
          <w:rFonts w:hint="eastAsia" w:ascii="仿宋_GB2312" w:hAnsi="仿宋" w:eastAsia="仿宋_GB2312" w:cs="仿宋_GB2312"/>
          <w:color w:val="FF0000"/>
          <w:sz w:val="24"/>
        </w:rPr>
        <w:t xml:space="preserve">备注： </w:t>
      </w:r>
    </w:p>
    <w:p>
      <w:pPr>
        <w:spacing w:line="360" w:lineRule="auto"/>
        <w:ind w:firstLine="480"/>
        <w:rPr>
          <w:rFonts w:ascii="仿宋_GB2312" w:hAnsi="仿宋" w:eastAsia="仿宋_GB2312"/>
          <w:bCs/>
          <w:sz w:val="24"/>
        </w:rPr>
      </w:pPr>
      <w:r>
        <w:rPr>
          <w:rFonts w:hint="eastAsia" w:ascii="仿宋_GB2312" w:hAnsi="仿宋" w:eastAsia="仿宋_GB2312"/>
          <w:b/>
          <w:sz w:val="24"/>
        </w:rPr>
        <w:t>合同履约期限：</w:t>
      </w:r>
      <w:r>
        <w:rPr>
          <w:rFonts w:hint="eastAsia" w:ascii="仿宋" w:hAnsi="仿宋" w:eastAsia="仿宋"/>
          <w:color w:val="0000FF"/>
          <w:sz w:val="24"/>
          <w:szCs w:val="28"/>
        </w:rPr>
        <w:t>详见招标文件</w:t>
      </w:r>
    </w:p>
    <w:p>
      <w:pPr>
        <w:spacing w:line="360" w:lineRule="auto"/>
        <w:ind w:firstLine="480"/>
        <w:rPr>
          <w:rFonts w:ascii="仿宋_GB2312" w:hAnsi="仿宋" w:eastAsia="仿宋_GB2312"/>
          <w:b/>
          <w:sz w:val="24"/>
        </w:rPr>
      </w:pPr>
      <w:r>
        <w:rPr>
          <w:rFonts w:hint="eastAsia" w:ascii="仿宋_GB2312" w:hAnsi="仿宋" w:eastAsia="仿宋_GB2312"/>
          <w:b/>
          <w:sz w:val="24"/>
        </w:rPr>
        <w:t>本项目是否接受联合体投标：（ ）是；（√）否</w:t>
      </w:r>
    </w:p>
    <w:p>
      <w:pPr>
        <w:pStyle w:val="3"/>
        <w:numPr>
          <w:ilvl w:val="0"/>
          <w:numId w:val="0"/>
        </w:numPr>
        <w:rPr>
          <w:rFonts w:ascii="黑体" w:hAnsi="黑体" w:cs="宋体"/>
          <w:sz w:val="24"/>
          <w:szCs w:val="28"/>
        </w:rPr>
      </w:pPr>
      <w:r>
        <w:rPr>
          <w:rFonts w:hint="eastAsia" w:ascii="黑体" w:hAnsi="黑体" w:cs="宋体"/>
          <w:sz w:val="24"/>
          <w:szCs w:val="28"/>
        </w:rPr>
        <w:t>二、</w:t>
      </w:r>
      <w:bookmarkStart w:id="16" w:name="_Toc35393622"/>
      <w:bookmarkStart w:id="17" w:name="_Toc35393791"/>
      <w:bookmarkStart w:id="18" w:name="_Toc28359003"/>
      <w:bookmarkStart w:id="19" w:name="_Toc28359080"/>
      <w:r>
        <w:rPr>
          <w:rFonts w:hint="eastAsia" w:ascii="黑体" w:hAnsi="黑体" w:cs="宋体"/>
          <w:sz w:val="24"/>
          <w:szCs w:val="28"/>
        </w:rPr>
        <w:t>申请人的资格要求：</w:t>
      </w:r>
      <w:bookmarkEnd w:id="16"/>
      <w:bookmarkEnd w:id="17"/>
      <w:bookmarkEnd w:id="18"/>
      <w:bookmarkEnd w:id="19"/>
    </w:p>
    <w:p>
      <w:pPr>
        <w:spacing w:line="360" w:lineRule="auto"/>
        <w:ind w:firstLine="480" w:firstLineChars="200"/>
        <w:rPr>
          <w:rFonts w:ascii="仿宋_GB2312" w:hAnsi="仿宋" w:eastAsia="仿宋_GB2312"/>
          <w:sz w:val="24"/>
        </w:rPr>
      </w:pPr>
      <w:bookmarkStart w:id="20" w:name="_Toc28359004"/>
      <w:bookmarkStart w:id="21" w:name="_Toc35393623"/>
      <w:bookmarkStart w:id="22" w:name="_Toc35393792"/>
      <w:bookmarkStart w:id="23" w:name="_Toc28359081"/>
      <w:r>
        <w:rPr>
          <w:rFonts w:hint="eastAsia" w:ascii="仿宋_GB2312" w:hAnsi="仿宋" w:eastAsia="仿宋_GB2312"/>
          <w:sz w:val="24"/>
        </w:rPr>
        <w:t>1.满足《中华人民共和国政府采购法》第二十二条规定；</w:t>
      </w:r>
    </w:p>
    <w:p>
      <w:pPr>
        <w:pStyle w:val="3"/>
        <w:numPr>
          <w:ilvl w:val="0"/>
          <w:numId w:val="0"/>
        </w:numPr>
        <w:ind w:left="432"/>
        <w:rPr>
          <w:b w:val="0"/>
          <w:bCs w:val="0"/>
          <w:sz w:val="24"/>
          <w:szCs w:val="24"/>
          <w:lang w:val="en-US"/>
        </w:rPr>
      </w:pPr>
      <w:r>
        <w:rPr>
          <w:b w:val="0"/>
          <w:bCs w:val="0"/>
          <w:sz w:val="24"/>
          <w:szCs w:val="24"/>
          <w:lang w:val="en-US"/>
        </w:rPr>
        <w:t>2.单位负责人为同一人或者存在直接控股、管理关系的不同供应商，不得参加同一合同项下的政府采购活动。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3.落实政府采购政策需满足的资格要求：</w:t>
      </w:r>
    </w:p>
    <w:p>
      <w:pPr>
        <w:spacing w:line="360" w:lineRule="auto"/>
        <w:ind w:firstLine="482" w:firstLineChars="200"/>
        <w:rPr>
          <w:rFonts w:ascii="仿宋_GB2312" w:hAnsi="仿宋" w:eastAsia="仿宋_GB2312"/>
          <w:sz w:val="24"/>
          <w:highlight w:val="yellow"/>
        </w:rPr>
      </w:pPr>
      <w:r>
        <w:rPr>
          <w:rFonts w:hint="eastAsia" w:ascii="仿宋_GB2312" w:hAnsi="仿宋" w:eastAsia="仿宋_GB2312"/>
          <w:b/>
          <w:sz w:val="24"/>
        </w:rPr>
        <w:t>（√ ）</w:t>
      </w:r>
      <w:r>
        <w:rPr>
          <w:rFonts w:hint="eastAsia" w:ascii="仿宋_GB2312" w:hAnsi="仿宋" w:eastAsia="仿宋_GB2312"/>
          <w:sz w:val="24"/>
          <w:highlight w:val="yellow"/>
        </w:rPr>
        <w:t>无；</w:t>
      </w:r>
    </w:p>
    <w:p>
      <w:pPr>
        <w:spacing w:line="360" w:lineRule="auto"/>
        <w:ind w:firstLine="482" w:firstLineChars="200"/>
        <w:rPr>
          <w:rFonts w:ascii="仿宋_GB2312" w:hAnsi="仿宋" w:eastAsia="仿宋_GB2312"/>
          <w:sz w:val="24"/>
          <w:highlight w:val="yellow"/>
        </w:rPr>
      </w:pPr>
      <w:r>
        <w:rPr>
          <w:rFonts w:hint="eastAsia" w:ascii="仿宋_GB2312" w:hAnsi="仿宋" w:eastAsia="仿宋_GB2312"/>
          <w:b/>
          <w:sz w:val="24"/>
        </w:rPr>
        <w:t>（ ）</w:t>
      </w:r>
      <w:r>
        <w:rPr>
          <w:rFonts w:hint="eastAsia" w:ascii="仿宋_GB2312" w:hAnsi="仿宋" w:eastAsia="仿宋_GB2312" w:cs="Arial"/>
          <w:kern w:val="0"/>
          <w:sz w:val="24"/>
        </w:rPr>
        <w:t>专</w:t>
      </w:r>
      <w:r>
        <w:rPr>
          <w:rFonts w:hint="eastAsia" w:ascii="仿宋_GB2312" w:hAnsi="仿宋" w:eastAsia="仿宋_GB2312"/>
          <w:sz w:val="24"/>
          <w:highlight w:val="yellow"/>
        </w:rPr>
        <w:t>门面向中小企业</w:t>
      </w:r>
    </w:p>
    <w:p>
      <w:pPr>
        <w:spacing w:line="360" w:lineRule="auto"/>
        <w:ind w:firstLine="901" w:firstLineChars="374"/>
        <w:rPr>
          <w:rFonts w:ascii="仿宋_GB2312" w:hAnsi="仿宋" w:eastAsia="仿宋_GB2312"/>
          <w:sz w:val="24"/>
          <w:highlight w:val="yellow"/>
          <w:u w:val="single"/>
        </w:rPr>
      </w:pPr>
      <w:r>
        <w:rPr>
          <w:rFonts w:hint="eastAsia" w:ascii="仿宋_GB2312" w:hAnsi="仿宋" w:eastAsia="仿宋_GB2312"/>
          <w:b/>
          <w:sz w:val="24"/>
        </w:rPr>
        <w:t>（ ）</w:t>
      </w:r>
      <w:r>
        <w:rPr>
          <w:rFonts w:hint="eastAsia" w:ascii="仿宋_GB2312" w:hAnsi="仿宋" w:eastAsia="仿宋_GB2312"/>
          <w:sz w:val="24"/>
          <w:highlight w:val="yellow"/>
        </w:rPr>
        <w:t>货物全部由符合政策要求的中小企业制造，提供中小企业声明函；</w:t>
      </w:r>
    </w:p>
    <w:p>
      <w:pPr>
        <w:spacing w:line="360" w:lineRule="auto"/>
        <w:ind w:firstLine="901" w:firstLineChars="374"/>
        <w:rPr>
          <w:rFonts w:ascii="仿宋_GB2312" w:hAnsi="仿宋" w:eastAsia="仿宋_GB2312"/>
          <w:sz w:val="24"/>
          <w:highlight w:val="yellow"/>
        </w:rPr>
      </w:pPr>
      <w:r>
        <w:rPr>
          <w:rFonts w:hint="eastAsia" w:ascii="仿宋_GB2312" w:hAnsi="仿宋" w:eastAsia="仿宋_GB2312"/>
          <w:b/>
          <w:sz w:val="24"/>
        </w:rPr>
        <w:t>（ ）</w:t>
      </w:r>
      <w:r>
        <w:rPr>
          <w:rFonts w:hint="eastAsia" w:ascii="仿宋_GB2312" w:hAnsi="仿宋" w:eastAsia="仿宋_GB2312"/>
          <w:sz w:val="24"/>
          <w:highlight w:val="yellow"/>
        </w:rPr>
        <w:t>货物全部由符合政策要求的小微企业制造，提供中小企业声明函；</w:t>
      </w:r>
    </w:p>
    <w:p>
      <w:pPr>
        <w:spacing w:line="360" w:lineRule="auto"/>
        <w:ind w:firstLine="901" w:firstLineChars="374"/>
        <w:rPr>
          <w:rFonts w:ascii="仿宋_GB2312" w:hAnsi="仿宋" w:eastAsia="仿宋_GB2312"/>
          <w:sz w:val="24"/>
          <w:highlight w:val="yellow"/>
        </w:rPr>
      </w:pPr>
      <w:r>
        <w:rPr>
          <w:rFonts w:hint="eastAsia" w:ascii="仿宋_GB2312" w:hAnsi="仿宋" w:eastAsia="仿宋_GB2312"/>
          <w:b/>
          <w:sz w:val="24"/>
        </w:rPr>
        <w:t>（ ）</w:t>
      </w:r>
      <w:r>
        <w:rPr>
          <w:rFonts w:hint="eastAsia" w:ascii="仿宋_GB2312" w:hAnsi="仿宋" w:eastAsia="仿宋_GB2312"/>
          <w:sz w:val="24"/>
          <w:highlight w:val="yellow"/>
        </w:rPr>
        <w:t>服务全部由符合政策要求的中小企业承接，提供中小企业声明函；</w:t>
      </w:r>
    </w:p>
    <w:p>
      <w:pPr>
        <w:spacing w:line="360" w:lineRule="auto"/>
        <w:ind w:firstLine="901" w:firstLineChars="374"/>
        <w:rPr>
          <w:rFonts w:ascii="仿宋_GB2312" w:hAnsi="仿宋" w:eastAsia="仿宋_GB2312"/>
          <w:sz w:val="24"/>
          <w:highlight w:val="yellow"/>
        </w:rPr>
      </w:pPr>
      <w:r>
        <w:rPr>
          <w:rFonts w:hint="eastAsia" w:ascii="仿宋_GB2312" w:hAnsi="仿宋" w:eastAsia="仿宋_GB2312"/>
          <w:b/>
          <w:sz w:val="24"/>
        </w:rPr>
        <w:t>（ ）</w:t>
      </w:r>
      <w:r>
        <w:rPr>
          <w:rFonts w:hint="eastAsia" w:ascii="仿宋_GB2312" w:hAnsi="仿宋" w:eastAsia="仿宋_GB2312"/>
          <w:sz w:val="24"/>
          <w:highlight w:val="yellow"/>
        </w:rPr>
        <w:t>服务全部由符合政策要求的小微企业承接，提供中小企业声明函；</w:t>
      </w:r>
    </w:p>
    <w:p>
      <w:pPr>
        <w:spacing w:line="360" w:lineRule="auto"/>
        <w:ind w:firstLine="482" w:firstLineChars="200"/>
        <w:rPr>
          <w:rFonts w:ascii="仿宋" w:hAnsi="仿宋" w:eastAsia="仿宋"/>
          <w:sz w:val="24"/>
          <w:highlight w:val="yellow"/>
        </w:rPr>
      </w:pPr>
      <w:r>
        <w:rPr>
          <w:rFonts w:hint="eastAsia" w:ascii="仿宋_GB2312" w:hAnsi="仿宋" w:eastAsia="仿宋_GB2312"/>
          <w:b/>
          <w:sz w:val="24"/>
        </w:rPr>
        <w:t>（ ）</w:t>
      </w:r>
      <w:r>
        <w:rPr>
          <w:rFonts w:hint="eastAsia" w:ascii="仿宋_GB2312" w:hAnsi="仿宋" w:eastAsia="仿宋_GB2312"/>
          <w:sz w:val="24"/>
          <w:highlight w:val="yellow"/>
        </w:rPr>
        <w:t>要求以联合体形式参加，提供联合协议和中小企业声明函，联合协议中中小企业合同金额应当达到%，小微企业合同金额应当达到%;</w:t>
      </w:r>
      <w:r>
        <w:rPr>
          <w:rFonts w:hint="eastAsia" w:ascii="仿宋" w:hAnsi="仿宋" w:eastAsia="仿宋" w:cs="宋体"/>
          <w:color w:val="333333"/>
          <w:spacing w:val="8"/>
          <w:kern w:val="0"/>
          <w:sz w:val="24"/>
          <w:highlight w:val="yellow"/>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yellow"/>
        </w:rPr>
        <w:t>；</w:t>
      </w:r>
    </w:p>
    <w:p>
      <w:pPr>
        <w:spacing w:line="360" w:lineRule="auto"/>
        <w:ind w:firstLine="482" w:firstLineChars="200"/>
        <w:rPr>
          <w:rFonts w:ascii="仿宋" w:hAnsi="仿宋" w:eastAsia="仿宋"/>
          <w:sz w:val="24"/>
        </w:rPr>
      </w:pPr>
      <w:r>
        <w:rPr>
          <w:rFonts w:hint="eastAsia" w:ascii="仿宋_GB2312" w:hAnsi="仿宋" w:eastAsia="仿宋_GB2312"/>
          <w:b/>
          <w:sz w:val="24"/>
        </w:rPr>
        <w:t>（ ）</w:t>
      </w:r>
      <w:r>
        <w:rPr>
          <w:rFonts w:hint="eastAsia" w:ascii="仿宋" w:hAnsi="仿宋" w:eastAsia="仿宋"/>
          <w:sz w:val="24"/>
          <w:highlight w:val="yellow"/>
        </w:rPr>
        <w:t>要求合同分包，提供分包意向协议和中小企业声明函，分包意向协议中中小企业合同金额应当达到</w:t>
      </w:r>
      <w:r>
        <w:rPr>
          <w:rFonts w:hint="eastAsia" w:ascii="仿宋_GB2312" w:hAnsi="仿宋" w:eastAsia="仿宋_GB2312"/>
          <w:sz w:val="24"/>
          <w:highlight w:val="yellow"/>
        </w:rPr>
        <w:t>达到% ，小微企业合同金额应当达到% ;</w:t>
      </w:r>
      <w:r>
        <w:rPr>
          <w:rFonts w:hint="eastAsia" w:ascii="仿宋" w:hAnsi="仿宋" w:eastAsia="仿宋" w:cs="宋体"/>
          <w:color w:val="333333"/>
          <w:spacing w:val="8"/>
          <w:kern w:val="0"/>
          <w:sz w:val="24"/>
          <w:highlight w:val="yellow"/>
        </w:rPr>
        <w:t>如果供应商本身提供所有标的均由中小企业制造、承建或承接，视同符合了资格条件，无需再向中小企业分包，无需提供分包意向协议</w:t>
      </w:r>
      <w:r>
        <w:rPr>
          <w:rFonts w:hint="eastAsia" w:ascii="仿宋" w:hAnsi="仿宋" w:eastAsia="仿宋"/>
          <w:sz w:val="24"/>
          <w:highlight w:val="yellow"/>
        </w:rPr>
        <w:t>；</w:t>
      </w:r>
    </w:p>
    <w:p>
      <w:pPr>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.本项目的特定资格要求：无。</w:t>
      </w:r>
    </w:p>
    <w:p>
      <w:pPr>
        <w:pStyle w:val="3"/>
        <w:numPr>
          <w:ilvl w:val="0"/>
          <w:numId w:val="0"/>
        </w:numPr>
        <w:rPr>
          <w:rFonts w:ascii="黑体" w:hAnsi="黑体" w:cs="宋体"/>
          <w:sz w:val="24"/>
          <w:szCs w:val="28"/>
        </w:rPr>
      </w:pPr>
      <w:r>
        <w:rPr>
          <w:rFonts w:hint="eastAsia" w:ascii="黑体" w:hAnsi="黑体" w:cs="宋体"/>
          <w:sz w:val="24"/>
          <w:szCs w:val="28"/>
        </w:rPr>
        <w:t>三、获取招标文件</w:t>
      </w:r>
      <w:bookmarkEnd w:id="20"/>
      <w:bookmarkEnd w:id="21"/>
      <w:bookmarkEnd w:id="22"/>
      <w:bookmarkEnd w:id="23"/>
    </w:p>
    <w:p>
      <w:pPr>
        <w:spacing w:line="360" w:lineRule="auto"/>
        <w:ind w:firstLine="482" w:firstLineChars="200"/>
        <w:rPr>
          <w:rFonts w:ascii="仿宋_GB2312" w:hAnsi="仿宋" w:eastAsia="仿宋_GB2312"/>
          <w:sz w:val="24"/>
        </w:rPr>
      </w:pPr>
      <w:bookmarkStart w:id="24" w:name="_Toc28359005"/>
      <w:bookmarkStart w:id="25" w:name="_Toc28359082"/>
      <w:bookmarkStart w:id="26" w:name="_Toc35393624"/>
      <w:bookmarkStart w:id="27" w:name="_Toc35393793"/>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2021</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rPr>
        <w:t xml:space="preserve"> 日</w:t>
      </w:r>
      <w:r>
        <w:rPr>
          <w:rFonts w:hint="eastAsia" w:ascii="仿宋_GB2312" w:hAnsi="仿宋" w:eastAsia="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政采云平台（https://www.zcygov.cn/）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highlight w:val="yellow"/>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pPr>
        <w:pStyle w:val="3"/>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color w:val="FF0000"/>
          <w:sz w:val="24"/>
          <w:u w:val="single"/>
        </w:rPr>
        <w:t>2021年</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 xml:space="preserve"> 月</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 xml:space="preserve"> 日 </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 xml:space="preserve">点 </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color w:val="FF0000"/>
          <w:sz w:val="24"/>
          <w:u w:val="single"/>
        </w:rPr>
        <w:t>2021年</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 xml:space="preserve"> 月</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 xml:space="preserve"> 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 xml:space="preserve"> 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 xml:space="preserve"> 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 w:hAnsi="仿宋" w:eastAsia="仿宋"/>
          <w:color w:val="0000FF"/>
          <w:sz w:val="24"/>
          <w:szCs w:val="28"/>
        </w:rPr>
        <w:t>政采云平台网上递交</w:t>
      </w:r>
    </w:p>
    <w:p>
      <w:pPr>
        <w:pStyle w:val="3"/>
        <w:numPr>
          <w:ilvl w:val="0"/>
          <w:numId w:val="0"/>
        </w:numPr>
        <w:rPr>
          <w:rFonts w:ascii="黑体" w:hAnsi="黑体" w:cs="宋体"/>
          <w:sz w:val="24"/>
          <w:szCs w:val="28"/>
        </w:rPr>
      </w:pPr>
      <w:bookmarkStart w:id="28" w:name="_Toc35393794"/>
      <w:bookmarkStart w:id="29" w:name="_Toc35393625"/>
      <w:bookmarkStart w:id="30" w:name="_Toc28359007"/>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rPr>
          <w:rFonts w:ascii="仿宋_GB2312" w:hAnsi="仿宋" w:eastAsia="仿宋_GB2312"/>
          <w:sz w:val="24"/>
        </w:rPr>
      </w:pPr>
      <w:bookmarkStart w:id="34" w:name="_Toc35393796"/>
      <w:bookmarkStart w:id="35" w:name="_Toc28359008"/>
      <w:bookmarkStart w:id="36" w:name="_Toc28359085"/>
      <w:bookmarkStart w:id="37" w:name="_Toc35393627"/>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 需要落实的政府采购政策：包括节约资源、保护环境、</w:t>
      </w:r>
      <w:r>
        <w:rPr>
          <w:rFonts w:hint="eastAsia" w:ascii="仿宋_GB2312" w:hAnsi="仿宋" w:eastAsia="仿宋_GB2312"/>
          <w:sz w:val="24"/>
          <w:highlight w:val="yellow"/>
        </w:rPr>
        <w:t>支持创新、</w:t>
      </w:r>
      <w:r>
        <w:rPr>
          <w:rFonts w:hint="eastAsia" w:ascii="仿宋_GB2312" w:hAnsi="仿宋" w:eastAsia="仿宋_GB2312"/>
          <w:sz w:val="24"/>
        </w:rPr>
        <w:t>促进中小企业发展等。详见招标文件的第二部分总则。</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3"/>
        <w:numPr>
          <w:ilvl w:val="0"/>
          <w:numId w:val="0"/>
        </w:numPr>
        <w:rPr>
          <w:rFonts w:ascii="黑体" w:hAnsi="黑体" w:cs="宋体"/>
          <w:sz w:val="24"/>
          <w:szCs w:val="28"/>
        </w:rPr>
      </w:pPr>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widowControl/>
        <w:spacing w:line="360" w:lineRule="auto"/>
        <w:jc w:val="left"/>
        <w:rPr>
          <w:rFonts w:ascii="仿宋_GB2312" w:eastAsia="仿宋_GB2312"/>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采购人信息</w:t>
      </w:r>
    </w:p>
    <w:p>
      <w:pPr>
        <w:spacing w:line="360" w:lineRule="auto"/>
        <w:jc w:val="left"/>
        <w:rPr>
          <w:rFonts w:ascii="仿宋" w:hAnsi="仿宋" w:eastAsia="仿宋"/>
          <w:sz w:val="24"/>
          <w:szCs w:val="28"/>
        </w:rPr>
      </w:pPr>
      <w:bookmarkStart w:id="38" w:name="_Toc28359086"/>
      <w:bookmarkStart w:id="39" w:name="_Toc28359009"/>
      <w:r>
        <w:rPr>
          <w:rFonts w:hint="eastAsia" w:ascii="仿宋" w:hAnsi="仿宋" w:eastAsia="仿宋"/>
          <w:sz w:val="24"/>
          <w:szCs w:val="28"/>
        </w:rPr>
        <w:t>名 称：杭州市萧山区第一人民医院医共体总院（杭州市萧山区第一人民医院）</w:t>
      </w:r>
    </w:p>
    <w:p>
      <w:pPr>
        <w:spacing w:line="360" w:lineRule="auto"/>
        <w:jc w:val="left"/>
        <w:rPr>
          <w:rFonts w:ascii="仿宋" w:hAnsi="仿宋" w:eastAsia="仿宋"/>
          <w:sz w:val="24"/>
          <w:szCs w:val="28"/>
        </w:rPr>
      </w:pPr>
      <w:r>
        <w:rPr>
          <w:rFonts w:hint="eastAsia" w:ascii="仿宋" w:hAnsi="仿宋" w:eastAsia="仿宋"/>
          <w:sz w:val="24"/>
          <w:szCs w:val="28"/>
        </w:rPr>
        <w:t xml:space="preserve">地址：浙江省杭州市萧山区城厢街道市心南路199号  </w:t>
      </w:r>
    </w:p>
    <w:p>
      <w:pPr>
        <w:spacing w:line="360" w:lineRule="auto"/>
        <w:jc w:val="left"/>
        <w:rPr>
          <w:rFonts w:hint="default" w:ascii="仿宋" w:hAnsi="仿宋" w:eastAsia="仿宋"/>
          <w:sz w:val="24"/>
          <w:szCs w:val="28"/>
          <w:lang w:val="en-US" w:eastAsia="zh-CN"/>
        </w:rPr>
      </w:pPr>
      <w:r>
        <w:rPr>
          <w:rFonts w:ascii="仿宋" w:hAnsi="仿宋" w:eastAsia="仿宋"/>
          <w:sz w:val="24"/>
          <w:szCs w:val="28"/>
        </w:rPr>
        <w:t>传真</w:t>
      </w:r>
      <w:r>
        <w:rPr>
          <w:rFonts w:hint="eastAsia" w:ascii="仿宋" w:hAnsi="仿宋" w:eastAsia="仿宋"/>
          <w:sz w:val="24"/>
          <w:szCs w:val="28"/>
        </w:rPr>
        <w:t>：</w:t>
      </w:r>
      <w:r>
        <w:rPr>
          <w:rFonts w:hint="eastAsia" w:ascii="仿宋" w:hAnsi="仿宋" w:eastAsia="仿宋"/>
          <w:sz w:val="24"/>
          <w:szCs w:val="28"/>
          <w:lang w:val="en-US" w:eastAsia="zh-CN"/>
        </w:rPr>
        <w:t>0571-83807019</w:t>
      </w:r>
    </w:p>
    <w:p>
      <w:pPr>
        <w:spacing w:line="360" w:lineRule="auto"/>
        <w:jc w:val="left"/>
        <w:rPr>
          <w:rFonts w:ascii="仿宋" w:hAnsi="仿宋" w:eastAsia="仿宋"/>
          <w:sz w:val="24"/>
          <w:szCs w:val="28"/>
        </w:rPr>
      </w:pPr>
      <w:r>
        <w:rPr>
          <w:rFonts w:ascii="仿宋" w:hAnsi="仿宋" w:eastAsia="仿宋"/>
          <w:sz w:val="24"/>
          <w:szCs w:val="28"/>
        </w:rPr>
        <w:t>项目联系人</w:t>
      </w:r>
      <w:r>
        <w:rPr>
          <w:rFonts w:hint="eastAsia" w:ascii="仿宋" w:hAnsi="仿宋" w:eastAsia="仿宋"/>
          <w:sz w:val="24"/>
          <w:szCs w:val="28"/>
        </w:rPr>
        <w:t xml:space="preserve">（询问）：俞婉莲  </w:t>
      </w:r>
    </w:p>
    <w:p>
      <w:pPr>
        <w:spacing w:line="360" w:lineRule="auto"/>
        <w:jc w:val="left"/>
        <w:rPr>
          <w:rFonts w:ascii="仿宋" w:hAnsi="仿宋" w:eastAsia="仿宋"/>
          <w:sz w:val="24"/>
          <w:szCs w:val="28"/>
          <w:highlight w:val="none"/>
        </w:rPr>
      </w:pPr>
      <w:r>
        <w:rPr>
          <w:rFonts w:ascii="仿宋" w:hAnsi="仿宋" w:eastAsia="仿宋"/>
          <w:sz w:val="24"/>
          <w:szCs w:val="28"/>
        </w:rPr>
        <w:t>项目联系方式</w:t>
      </w:r>
      <w:r>
        <w:rPr>
          <w:rFonts w:hint="eastAsia" w:ascii="仿宋" w:hAnsi="仿宋" w:eastAsia="仿宋"/>
          <w:sz w:val="24"/>
          <w:szCs w:val="28"/>
        </w:rPr>
        <w:t>（询问）：0571-83807146 、</w:t>
      </w:r>
      <w:r>
        <w:rPr>
          <w:rFonts w:hint="eastAsia" w:ascii="仿宋" w:hAnsi="仿宋" w:eastAsia="仿宋"/>
          <w:sz w:val="24"/>
          <w:szCs w:val="28"/>
          <w:highlight w:val="none"/>
        </w:rPr>
        <w:t>手机:18969979355</w:t>
      </w:r>
    </w:p>
    <w:p>
      <w:pPr>
        <w:spacing w:line="360" w:lineRule="auto"/>
        <w:jc w:val="left"/>
        <w:rPr>
          <w:rFonts w:ascii="仿宋" w:hAnsi="仿宋" w:eastAsia="仿宋"/>
          <w:color w:val="FF0000"/>
          <w:sz w:val="24"/>
          <w:szCs w:val="28"/>
          <w:highlight w:val="green"/>
        </w:rPr>
      </w:pPr>
      <w:r>
        <w:rPr>
          <w:rFonts w:hint="eastAsia" w:ascii="仿宋" w:hAnsi="仿宋" w:eastAsia="仿宋"/>
          <w:sz w:val="24"/>
          <w:szCs w:val="28"/>
        </w:rPr>
        <w:t>联系邮箱：3277844806@qq.com</w:t>
      </w:r>
    </w:p>
    <w:p>
      <w:pPr>
        <w:spacing w:line="360" w:lineRule="auto"/>
        <w:jc w:val="left"/>
        <w:rPr>
          <w:rFonts w:ascii="仿宋" w:hAnsi="仿宋" w:eastAsia="仿宋"/>
          <w:sz w:val="24"/>
          <w:szCs w:val="28"/>
        </w:rPr>
      </w:pPr>
      <w:r>
        <w:rPr>
          <w:rFonts w:hint="eastAsia" w:ascii="仿宋" w:hAnsi="仿宋" w:eastAsia="仿宋"/>
          <w:sz w:val="24"/>
          <w:szCs w:val="28"/>
        </w:rPr>
        <w:t>质疑联系人：孔国飞</w:t>
      </w:r>
    </w:p>
    <w:p>
      <w:pPr>
        <w:spacing w:line="360" w:lineRule="auto"/>
        <w:jc w:val="left"/>
        <w:rPr>
          <w:rFonts w:ascii="仿宋" w:hAnsi="仿宋" w:eastAsia="仿宋"/>
          <w:color w:val="0000FF"/>
          <w:sz w:val="24"/>
          <w:szCs w:val="28"/>
        </w:rPr>
      </w:pPr>
      <w:r>
        <w:rPr>
          <w:rFonts w:ascii="仿宋" w:hAnsi="仿宋" w:eastAsia="仿宋"/>
          <w:sz w:val="24"/>
          <w:szCs w:val="28"/>
        </w:rPr>
        <w:t>质疑联系方式</w:t>
      </w:r>
      <w:r>
        <w:rPr>
          <w:rFonts w:hint="eastAsia" w:ascii="仿宋" w:hAnsi="仿宋" w:eastAsia="仿宋"/>
          <w:sz w:val="24"/>
          <w:szCs w:val="28"/>
        </w:rPr>
        <w:t xml:space="preserve">：0571-83807076 </w:t>
      </w:r>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38"/>
      <w:bookmarkEnd w:id="39"/>
    </w:p>
    <w:p>
      <w:pPr>
        <w:spacing w:line="360" w:lineRule="auto"/>
        <w:jc w:val="left"/>
        <w:rPr>
          <w:rFonts w:ascii="仿宋" w:hAnsi="仿宋" w:eastAsia="仿宋" w:cs="仿宋"/>
          <w:sz w:val="24"/>
          <w:szCs w:val="28"/>
        </w:rPr>
      </w:pPr>
      <w:r>
        <w:rPr>
          <w:rFonts w:hint="eastAsia" w:ascii="仿宋" w:hAnsi="仿宋" w:eastAsia="仿宋" w:cs="仿宋"/>
          <w:sz w:val="24"/>
          <w:szCs w:val="28"/>
        </w:rPr>
        <w:t>名称：杭州市公共资源交易中心萧山分中心</w:t>
      </w:r>
    </w:p>
    <w:p>
      <w:pPr>
        <w:spacing w:line="360" w:lineRule="auto"/>
        <w:jc w:val="left"/>
        <w:rPr>
          <w:rFonts w:ascii="仿宋" w:hAnsi="仿宋" w:eastAsia="仿宋" w:cs="仿宋"/>
          <w:sz w:val="24"/>
          <w:szCs w:val="28"/>
        </w:rPr>
      </w:pPr>
      <w:r>
        <w:rPr>
          <w:rFonts w:hint="eastAsia" w:ascii="仿宋" w:hAnsi="仿宋" w:eastAsia="仿宋" w:cs="仿宋"/>
          <w:sz w:val="24"/>
          <w:szCs w:val="28"/>
        </w:rPr>
        <w:t>地　址：杭州市萧山区博学路</w:t>
      </w:r>
      <w:r>
        <w:rPr>
          <w:rFonts w:ascii="仿宋" w:hAnsi="仿宋" w:eastAsia="仿宋" w:cs="仿宋"/>
          <w:sz w:val="24"/>
          <w:szCs w:val="28"/>
        </w:rPr>
        <w:t>618</w:t>
      </w:r>
      <w:r>
        <w:rPr>
          <w:rFonts w:hint="eastAsia" w:ascii="仿宋" w:hAnsi="仿宋" w:eastAsia="仿宋" w:cs="仿宋"/>
          <w:sz w:val="24"/>
          <w:szCs w:val="28"/>
        </w:rPr>
        <w:t>号萧山区行政服务中心</w:t>
      </w:r>
      <w:r>
        <w:rPr>
          <w:rFonts w:ascii="仿宋" w:hAnsi="仿宋" w:eastAsia="仿宋" w:cs="仿宋"/>
          <w:sz w:val="24"/>
          <w:szCs w:val="28"/>
        </w:rPr>
        <w:t>4</w:t>
      </w:r>
      <w:r>
        <w:rPr>
          <w:rFonts w:hint="eastAsia" w:ascii="仿宋" w:hAnsi="仿宋" w:eastAsia="仿宋" w:cs="仿宋"/>
          <w:sz w:val="24"/>
          <w:szCs w:val="28"/>
        </w:rPr>
        <w:t>楼</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w:t>
      </w:r>
      <w:r>
        <w:rPr>
          <w:rFonts w:ascii="仿宋" w:hAnsi="仿宋" w:eastAsia="仿宋" w:cs="仿宋"/>
          <w:sz w:val="24"/>
          <w:szCs w:val="28"/>
        </w:rPr>
        <w:t>0571-82899066</w:t>
      </w:r>
      <w:r>
        <w:rPr>
          <w:rFonts w:hint="eastAsia" w:ascii="仿宋" w:hAnsi="仿宋" w:eastAsia="仿宋" w:cs="仿宋"/>
          <w:sz w:val="24"/>
          <w:szCs w:val="28"/>
        </w:rPr>
        <w:t>（窗口）</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项目联系人（询问）：周艳菁</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w:t>
      </w:r>
      <w:r>
        <w:rPr>
          <w:rFonts w:ascii="仿宋" w:hAnsi="仿宋" w:eastAsia="仿宋" w:cs="仿宋"/>
          <w:sz w:val="24"/>
          <w:szCs w:val="28"/>
        </w:rPr>
        <w:t>0571-82899335</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质疑联系人：鲁明铭</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质疑联系方式：</w:t>
      </w:r>
      <w:r>
        <w:rPr>
          <w:rFonts w:ascii="仿宋" w:hAnsi="仿宋" w:eastAsia="仿宋" w:cs="仿宋"/>
          <w:sz w:val="24"/>
          <w:szCs w:val="28"/>
        </w:rPr>
        <w:t>0571-82899077 ,</w:t>
      </w:r>
      <w:r>
        <w:rPr>
          <w:rFonts w:hint="eastAsia" w:ascii="仿宋" w:hAnsi="仿宋" w:eastAsia="仿宋" w:cs="仿宋"/>
          <w:sz w:val="24"/>
          <w:szCs w:val="28"/>
        </w:rPr>
        <w:t>邮箱：</w:t>
      </w:r>
      <w:r>
        <w:fldChar w:fldCharType="begin"/>
      </w:r>
      <w:r>
        <w:instrText xml:space="preserve"> HYPERLINK "mailto:382733636@qq.com" </w:instrText>
      </w:r>
      <w:r>
        <w:fldChar w:fldCharType="separate"/>
      </w:r>
      <w:r>
        <w:rPr>
          <w:rStyle w:val="68"/>
          <w:rFonts w:ascii="仿宋" w:hAnsi="仿宋" w:eastAsia="仿宋" w:cs="仿宋"/>
          <w:sz w:val="24"/>
          <w:szCs w:val="28"/>
        </w:rPr>
        <w:t>382733636@qq.com</w:t>
      </w:r>
      <w:r>
        <w:rPr>
          <w:rStyle w:val="68"/>
          <w:rFonts w:ascii="仿宋" w:hAnsi="仿宋" w:eastAsia="仿宋" w:cs="仿宋"/>
          <w:sz w:val="24"/>
          <w:szCs w:val="28"/>
        </w:rPr>
        <w:fldChar w:fldCharType="end"/>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p>
    <w:p>
      <w:pPr>
        <w:spacing w:line="360" w:lineRule="auto"/>
        <w:jc w:val="left"/>
        <w:rPr>
          <w:rFonts w:ascii="仿宋" w:hAnsi="仿宋" w:eastAsia="仿宋"/>
          <w:color w:val="0000FF"/>
          <w:sz w:val="24"/>
          <w:szCs w:val="28"/>
        </w:rPr>
      </w:pPr>
      <w:r>
        <w:rPr>
          <w:rFonts w:ascii="仿宋" w:hAnsi="仿宋" w:eastAsia="仿宋"/>
          <w:sz w:val="24"/>
          <w:szCs w:val="28"/>
        </w:rPr>
        <w:t>名</w:t>
      </w:r>
      <w:r>
        <w:rPr>
          <w:rFonts w:ascii="Calibri" w:hAnsi="Calibri" w:eastAsia="仿宋" w:cs="Calibri"/>
          <w:sz w:val="24"/>
          <w:szCs w:val="28"/>
        </w:rPr>
        <w:t>   </w:t>
      </w:r>
      <w:r>
        <w:rPr>
          <w:rFonts w:ascii="仿宋" w:hAnsi="仿宋" w:eastAsia="仿宋"/>
          <w:sz w:val="24"/>
          <w:szCs w:val="28"/>
        </w:rPr>
        <w:t xml:space="preserve"> 称：</w:t>
      </w:r>
      <w:r>
        <w:rPr>
          <w:rFonts w:ascii="仿宋" w:hAnsi="仿宋" w:eastAsia="仿宋"/>
          <w:color w:val="0000FF"/>
          <w:sz w:val="24"/>
          <w:szCs w:val="28"/>
        </w:rPr>
        <w:t>萧山区财政局</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地</w:t>
      </w:r>
      <w:r>
        <w:rPr>
          <w:rFonts w:ascii="Calibri" w:hAnsi="Calibri" w:eastAsia="仿宋" w:cs="Calibri"/>
          <w:sz w:val="24"/>
          <w:szCs w:val="28"/>
        </w:rPr>
        <w:t>   </w:t>
      </w:r>
      <w:r>
        <w:rPr>
          <w:rFonts w:ascii="仿宋" w:hAnsi="仿宋" w:eastAsia="仿宋"/>
          <w:sz w:val="24"/>
          <w:szCs w:val="28"/>
        </w:rPr>
        <w:t xml:space="preserve"> 址：</w:t>
      </w:r>
      <w:r>
        <w:rPr>
          <w:rFonts w:ascii="仿宋" w:hAnsi="仿宋" w:eastAsia="仿宋"/>
          <w:color w:val="0000FF"/>
          <w:sz w:val="24"/>
          <w:szCs w:val="28"/>
        </w:rPr>
        <w:t>萧山区人民路318号</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传</w:t>
      </w:r>
      <w:r>
        <w:rPr>
          <w:rFonts w:ascii="Calibri" w:hAnsi="Calibri" w:eastAsia="仿宋" w:cs="Calibri"/>
          <w:sz w:val="24"/>
          <w:szCs w:val="28"/>
        </w:rPr>
        <w:t>  </w:t>
      </w:r>
      <w:r>
        <w:rPr>
          <w:rFonts w:ascii="仿宋" w:hAnsi="仿宋" w:eastAsia="仿宋"/>
          <w:sz w:val="24"/>
          <w:szCs w:val="28"/>
        </w:rPr>
        <w:t>真：</w:t>
      </w:r>
      <w:r>
        <w:rPr>
          <w:rFonts w:ascii="仿宋" w:hAnsi="仿宋" w:eastAsia="仿宋"/>
          <w:color w:val="0000FF"/>
          <w:sz w:val="24"/>
          <w:szCs w:val="28"/>
        </w:rPr>
        <w:t>0571-82752687</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联系人 ：</w:t>
      </w:r>
      <w:r>
        <w:rPr>
          <w:rFonts w:ascii="仿宋" w:hAnsi="仿宋" w:eastAsia="仿宋"/>
          <w:color w:val="0000FF"/>
          <w:sz w:val="24"/>
          <w:szCs w:val="28"/>
        </w:rPr>
        <w:t>陈先生</w:t>
      </w:r>
      <w:r>
        <w:rPr>
          <w:rFonts w:ascii="Calibri" w:hAnsi="Calibri" w:eastAsia="仿宋" w:cs="Calibri"/>
          <w:color w:val="0000FF"/>
          <w:sz w:val="24"/>
          <w:szCs w:val="28"/>
        </w:rPr>
        <w:t>        </w:t>
      </w:r>
    </w:p>
    <w:p>
      <w:pPr>
        <w:spacing w:line="360" w:lineRule="auto"/>
        <w:jc w:val="left"/>
        <w:rPr>
          <w:rFonts w:ascii="Calibri" w:hAnsi="Calibri" w:eastAsia="仿宋" w:cs="Calibri"/>
          <w:sz w:val="24"/>
          <w:szCs w:val="28"/>
        </w:rPr>
      </w:pPr>
      <w:r>
        <w:rPr>
          <w:rFonts w:ascii="仿宋" w:hAnsi="仿宋" w:eastAsia="仿宋"/>
          <w:sz w:val="24"/>
          <w:szCs w:val="28"/>
        </w:rPr>
        <w:t>监督投诉电话：</w:t>
      </w:r>
      <w:r>
        <w:rPr>
          <w:rFonts w:ascii="仿宋" w:hAnsi="仿宋" w:eastAsia="仿宋"/>
          <w:color w:val="0000FF"/>
          <w:sz w:val="24"/>
          <w:szCs w:val="28"/>
        </w:rPr>
        <w:t>0571-82752687</w:t>
      </w:r>
      <w:r>
        <w:rPr>
          <w:rFonts w:ascii="Calibri" w:hAnsi="Calibri" w:eastAsia="仿宋" w:cs="Calibri"/>
          <w:color w:val="0000FF"/>
          <w:sz w:val="24"/>
          <w:szCs w:val="28"/>
        </w:rPr>
        <w:t>      </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56"/>
        <w:jc w:val="both"/>
        <w:rPr>
          <w:lang w:val="en-US"/>
        </w:rPr>
      </w:pPr>
    </w:p>
    <w:p>
      <w:pPr>
        <w:pStyle w:val="2"/>
      </w:pPr>
      <w:r>
        <w:br w:type="page"/>
      </w:r>
      <w:r>
        <w:rPr>
          <w:rFonts w:hint="eastAsia"/>
        </w:rPr>
        <w:t>第二部分</w:t>
      </w:r>
      <w:bookmarkEnd w:id="8"/>
      <w:r>
        <w:rPr>
          <w:rFonts w:hint="eastAsia"/>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《投标（开标）一览表》是报价的唯一载体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r>
              <w:rPr>
                <w:rFonts w:hint="eastAsia" w:ascii="仿宋_GB2312" w:hAnsi="仿宋" w:eastAsia="仿宋_GB2312"/>
                <w:sz w:val="24"/>
              </w:rPr>
              <w:t>同意将非主体、非关键性的工作分包。</w:t>
            </w:r>
          </w:p>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根据招标文件第四部分评标标准提供。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FF"/>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FF"/>
                <w:sz w:val="24"/>
              </w:rPr>
            </w:pPr>
            <w:r>
              <w:rPr>
                <w:rFonts w:hint="eastAsia" w:ascii="仿宋" w:hAnsi="仿宋" w:eastAsia="仿宋"/>
                <w:color w:val="0000FF"/>
                <w:sz w:val="24"/>
              </w:rPr>
              <w:t>（√）A不要求提供。</w:t>
            </w:r>
          </w:p>
          <w:p>
            <w:pPr>
              <w:spacing w:line="360" w:lineRule="auto"/>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p>
            <w:pPr>
              <w:snapToGrid w:val="0"/>
              <w:spacing w:line="360" w:lineRule="auto"/>
              <w:jc w:val="center"/>
              <w:rPr>
                <w:rFonts w:ascii="仿宋" w:hAnsi="仿宋" w:eastAsia="仿宋" w:cs="仿宋_GB2312"/>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1"/>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pPr>
              <w:pStyle w:val="31"/>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pPr>
              <w:pStyle w:val="31"/>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项目采购-电子招投标操作指南</w:t>
            </w:r>
            <w:r>
              <w:rPr>
                <w:rFonts w:hint="eastAsia" w:ascii="仿宋" w:hAnsi="仿宋" w:eastAsia="仿宋"/>
                <w:sz w:val="24"/>
              </w:rPr>
              <w:t>及本招标文件要求递交</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pPr>
              <w:spacing w:line="360" w:lineRule="auto"/>
              <w:rPr>
                <w:rFonts w:ascii="仿宋" w:hAnsi="仿宋" w:eastAsia="仿宋"/>
                <w:b/>
                <w:sz w:val="24"/>
              </w:rPr>
            </w:pPr>
            <w:r>
              <w:rPr>
                <w:rFonts w:hint="eastAsia" w:ascii="仿宋" w:hAnsi="仿宋" w:eastAsia="仿宋"/>
                <w:b/>
                <w:color w:val="0000FF"/>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7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Cs/>
                <w:color w:val="000000"/>
                <w:sz w:val="24"/>
              </w:rPr>
            </w:pPr>
            <w:r>
              <w:rPr>
                <w:rFonts w:hint="eastAsia" w:ascii="仿宋" w:hAnsi="仿宋" w:eastAsia="仿宋"/>
                <w:b/>
                <w:color w:val="0000FF"/>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FF"/>
                <w:sz w:val="24"/>
              </w:rPr>
            </w:pPr>
            <w:r>
              <w:rPr>
                <w:rFonts w:hint="eastAsia" w:ascii="仿宋" w:hAnsi="仿宋" w:eastAsia="仿宋"/>
                <w:color w:val="0000FF"/>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0000FF"/>
                <w:sz w:val="24"/>
              </w:rPr>
            </w:pPr>
            <w:r>
              <w:rPr>
                <w:rFonts w:hint="eastAsia" w:ascii="仿宋" w:hAnsi="仿宋" w:eastAsia="仿宋"/>
                <w:color w:val="0000FF"/>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投标</w:t>
            </w:r>
            <w:r>
              <w:rPr>
                <w:rFonts w:ascii="仿宋" w:hAnsi="仿宋" w:eastAsia="仿宋"/>
                <w:b/>
                <w:color w:val="0000FF"/>
                <w:sz w:val="24"/>
              </w:rPr>
              <w:t>保证金</w:t>
            </w:r>
          </w:p>
          <w:p>
            <w:pPr>
              <w:spacing w:line="360" w:lineRule="auto"/>
              <w:rPr>
                <w:rFonts w:ascii="仿宋" w:hAnsi="仿宋" w:eastAsia="仿宋" w:cs="仿宋_GB2312"/>
                <w:b/>
                <w:color w:val="000000"/>
                <w:sz w:val="24"/>
              </w:rPr>
            </w:pPr>
            <w:r>
              <w:rPr>
                <w:rFonts w:ascii="仿宋" w:hAnsi="仿宋" w:eastAsia="仿宋"/>
                <w:b/>
                <w:color w:val="0000FF"/>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0000FF"/>
                <w:sz w:val="24"/>
              </w:rPr>
            </w:pPr>
            <w:r>
              <w:rPr>
                <w:rFonts w:hint="eastAsia" w:ascii="仿宋" w:hAnsi="仿宋" w:eastAsia="仿宋" w:cs="仿宋_GB2312"/>
                <w:color w:val="0000FF"/>
                <w:sz w:val="24"/>
              </w:rPr>
              <w:t>投标保证金：不收取。</w:t>
            </w:r>
          </w:p>
          <w:p>
            <w:pPr>
              <w:pStyle w:val="15"/>
              <w:spacing w:line="360" w:lineRule="auto"/>
              <w:ind w:firstLine="434" w:firstLineChars="181"/>
              <w:rPr>
                <w:rFonts w:ascii="仿宋" w:hAnsi="仿宋" w:eastAsia="仿宋" w:cs="仿宋_GB2312"/>
                <w:color w:val="0000FF"/>
                <w:sz w:val="24"/>
              </w:rPr>
            </w:pPr>
            <w:r>
              <w:rPr>
                <w:rFonts w:ascii="仿宋" w:hAnsi="仿宋" w:eastAsia="仿宋" w:cs="仿宋_GB2312"/>
                <w:color w:val="0000FF"/>
                <w:sz w:val="24"/>
              </w:rPr>
              <w:t>履约保证金</w:t>
            </w:r>
            <w:r>
              <w:rPr>
                <w:rFonts w:hint="eastAsia" w:ascii="仿宋" w:hAnsi="仿宋" w:eastAsia="仿宋" w:cs="仿宋_GB2312"/>
                <w:color w:val="0000FF"/>
                <w:sz w:val="24"/>
              </w:rPr>
              <w:t>：收取5%</w:t>
            </w:r>
          </w:p>
          <w:p>
            <w:pPr>
              <w:pStyle w:val="15"/>
              <w:spacing w:line="360" w:lineRule="auto"/>
              <w:ind w:firstLine="434" w:firstLineChars="181"/>
              <w:rPr>
                <w:rFonts w:ascii="仿宋" w:hAnsi="仿宋" w:eastAsia="仿宋" w:cs="仿宋_GB2312"/>
                <w:color w:val="0000FF"/>
                <w:sz w:val="24"/>
              </w:rPr>
            </w:pPr>
            <w:r>
              <w:rPr>
                <w:rFonts w:hint="eastAsia" w:ascii="仿宋" w:hAnsi="仿宋" w:eastAsia="仿宋" w:cs="仿宋_GB2312"/>
                <w:color w:val="0000FF"/>
                <w:sz w:val="24"/>
              </w:rPr>
              <w:t>供应商应当以支票、汇票、本票或者金融机构、担保机构出具的保函等非现金形式提交。</w:t>
            </w:r>
          </w:p>
          <w:p>
            <w:pPr>
              <w:pStyle w:val="15"/>
              <w:spacing w:line="360" w:lineRule="auto"/>
              <w:ind w:firstLine="434" w:firstLineChars="181"/>
              <w:rPr>
                <w:rFonts w:ascii="仿宋" w:hAnsi="仿宋" w:eastAsia="仿宋" w:cs="仿宋_GB2312"/>
                <w:color w:val="0000FF"/>
                <w:sz w:val="24"/>
              </w:rPr>
            </w:pPr>
            <w:r>
              <w:rPr>
                <w:rFonts w:hint="eastAsia" w:ascii="仿宋" w:hAnsi="仿宋" w:eastAsia="仿宋" w:cs="仿宋_GB2312"/>
                <w:color w:val="0000FF"/>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资格</w:t>
            </w:r>
            <w:r>
              <w:rPr>
                <w:rFonts w:ascii="仿宋" w:hAnsi="仿宋" w:eastAsia="仿宋"/>
                <w:b/>
                <w:color w:val="0000FF"/>
                <w:sz w:val="24"/>
              </w:rPr>
              <w:t>审查</w:t>
            </w:r>
            <w:r>
              <w:rPr>
                <w:rFonts w:hint="eastAsia" w:ascii="仿宋" w:hAnsi="仿宋" w:eastAsia="仿宋"/>
                <w:b/>
                <w:color w:val="0000FF"/>
                <w:sz w:val="24"/>
              </w:rPr>
              <w:t>及</w:t>
            </w:r>
            <w:r>
              <w:rPr>
                <w:rFonts w:ascii="仿宋" w:hAnsi="仿宋" w:eastAsia="仿宋"/>
                <w:b/>
                <w:color w:val="0000FF"/>
                <w:sz w:val="24"/>
              </w:rPr>
              <w:t>信用信息</w:t>
            </w:r>
            <w:r>
              <w:rPr>
                <w:rFonts w:hint="eastAsia" w:ascii="仿宋" w:hAnsi="仿宋" w:eastAsia="仿宋"/>
                <w:b/>
                <w:color w:val="0000FF"/>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sz w:val="24"/>
              </w:rPr>
            </w:pPr>
            <w:r>
              <w:rPr>
                <w:rFonts w:hint="eastAsia" w:ascii="仿宋" w:hAnsi="仿宋" w:eastAsia="仿宋" w:cs="仿宋_GB2312"/>
                <w:sz w:val="24"/>
              </w:rPr>
              <w:t>本项目</w:t>
            </w:r>
            <w:r>
              <w:rPr>
                <w:rFonts w:ascii="仿宋" w:hAnsi="仿宋" w:eastAsia="仿宋" w:cs="仿宋_GB2312"/>
                <w:sz w:val="24"/>
              </w:rPr>
              <w:t>由</w:t>
            </w:r>
            <w:r>
              <w:rPr>
                <w:rFonts w:ascii="仿宋" w:hAnsi="仿宋" w:eastAsia="仿宋" w:cs="仿宋_GB2312"/>
                <w:color w:val="0000FF"/>
                <w:sz w:val="24"/>
              </w:rPr>
              <w:t>采购人</w:t>
            </w:r>
            <w:r>
              <w:rPr>
                <w:rFonts w:hint="eastAsia" w:ascii="仿宋" w:hAnsi="仿宋" w:eastAsia="仿宋" w:cs="仿宋_GB2312"/>
                <w:sz w:val="24"/>
              </w:rPr>
              <w:t>进行</w:t>
            </w:r>
            <w:r>
              <w:rPr>
                <w:rFonts w:ascii="仿宋" w:hAnsi="仿宋" w:eastAsia="仿宋" w:cs="仿宋_GB2312"/>
                <w:sz w:val="24"/>
              </w:rPr>
              <w:t>资格文件</w:t>
            </w:r>
            <w:r>
              <w:rPr>
                <w:rFonts w:hint="eastAsia" w:ascii="仿宋" w:hAnsi="仿宋" w:eastAsia="仿宋" w:cs="仿宋_GB2312"/>
                <w:sz w:val="24"/>
              </w:rPr>
              <w:t>及</w:t>
            </w:r>
            <w:r>
              <w:rPr>
                <w:rFonts w:ascii="仿宋" w:hAnsi="仿宋" w:eastAsia="仿宋" w:cs="仿宋_GB2312"/>
                <w:sz w:val="24"/>
              </w:rPr>
              <w:t>信用信息</w:t>
            </w:r>
            <w:r>
              <w:rPr>
                <w:rFonts w:hint="eastAsia" w:ascii="仿宋" w:hAnsi="仿宋" w:eastAsia="仿宋" w:cs="仿宋_GB2312"/>
                <w:sz w:val="24"/>
              </w:rPr>
              <w:t>查询</w:t>
            </w:r>
            <w:r>
              <w:rPr>
                <w:rFonts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jc w:val="left"/>
              <w:rPr>
                <w:rFonts w:ascii="仿宋" w:hAnsi="仿宋" w:eastAsia="仿宋" w:cs="仿宋_GB2312"/>
                <w:color w:val="0000FF"/>
                <w:sz w:val="24"/>
              </w:rPr>
            </w:pPr>
            <w:r>
              <w:rPr>
                <w:rFonts w:hint="eastAsia" w:ascii="仿宋_GB2312" w:hAnsi="仿宋" w:eastAsia="仿宋_GB2312"/>
                <w:kern w:val="0"/>
                <w:sz w:val="24"/>
              </w:rPr>
              <w:t>采购标的：</w:t>
            </w:r>
            <w:r>
              <w:rPr>
                <w:rFonts w:hint="eastAsia" w:ascii="仿宋" w:hAnsi="仿宋" w:eastAsia="仿宋" w:cs="仿宋_GB2312"/>
                <w:color w:val="0000FF"/>
                <w:sz w:val="24"/>
              </w:rPr>
              <w:t>杭州市萧山区第一人民医院医共体总院（杭州市萧山区第一人民医院）物业（保洁）综合服务采购项目，</w:t>
            </w:r>
            <w:r>
              <w:rPr>
                <w:rFonts w:hint="eastAsia" w:ascii="仿宋_GB2312" w:hAnsi="仿宋" w:eastAsia="仿宋_GB2312"/>
                <w:kern w:val="0"/>
                <w:sz w:val="24"/>
              </w:rPr>
              <w:t>所属行业：</w:t>
            </w:r>
            <w:r>
              <w:rPr>
                <w:rFonts w:hint="eastAsia" w:ascii="仿宋" w:hAnsi="仿宋" w:eastAsia="仿宋" w:cs="仿宋_GB2312"/>
                <w:color w:val="0000FF"/>
                <w:sz w:val="24"/>
              </w:rPr>
              <w:t>物业管理。</w:t>
            </w:r>
            <w:r>
              <w:rPr>
                <w:rFonts w:ascii="仿宋" w:hAnsi="仿宋" w:eastAsia="仿宋" w:cs="仿宋_GB2312"/>
                <w:color w:val="0000FF"/>
                <w:sz w:val="24"/>
              </w:rPr>
              <w:br w:type="textWrapping"/>
            </w:r>
            <w:r>
              <w:rPr>
                <w:rFonts w:ascii="仿宋" w:hAnsi="仿宋" w:eastAsia="仿宋" w:cs="仿宋_GB2312"/>
                <w:color w:val="0000FF"/>
                <w:sz w:val="24"/>
              </w:rPr>
              <w:t>行业划分标准</w:t>
            </w:r>
            <w:r>
              <w:rPr>
                <w:rFonts w:hint="eastAsia" w:ascii="仿宋" w:hAnsi="仿宋" w:eastAsia="仿宋" w:cs="仿宋_GB2312"/>
                <w:color w:val="0000FF"/>
                <w:sz w:val="24"/>
              </w:rPr>
              <w:t>：</w:t>
            </w:r>
          </w:p>
          <w:p>
            <w:pPr>
              <w:pStyle w:val="15"/>
              <w:spacing w:line="360" w:lineRule="auto"/>
              <w:ind w:firstLine="0"/>
              <w:jc w:val="left"/>
              <w:rPr>
                <w:rFonts w:ascii="仿宋" w:hAnsi="仿宋" w:eastAsia="仿宋" w:cs="仿宋_GB2312"/>
                <w:color w:val="0000FF"/>
                <w:sz w:val="24"/>
              </w:rPr>
            </w:pPr>
            <w:r>
              <w:rPr>
                <w:rFonts w:hint="eastAsia" w:ascii="仿宋" w:hAnsi="仿宋" w:eastAsia="仿宋" w:cs="仿宋_GB2312"/>
                <w:color w:val="0000FF"/>
                <w:sz w:val="24"/>
              </w:rPr>
              <w:t>《关于印发中小企业划型标准规定的通知》</w:t>
            </w:r>
            <w:r>
              <w:rPr>
                <w:rFonts w:ascii="仿宋" w:hAnsi="仿宋" w:eastAsia="仿宋" w:cs="仿宋_GB2312"/>
                <w:color w:val="0000FF"/>
                <w:sz w:val="24"/>
              </w:rPr>
              <w:t>工信部联企业</w:t>
            </w:r>
            <w:r>
              <w:rPr>
                <w:rFonts w:hint="eastAsia" w:ascii="仿宋" w:hAnsi="仿宋" w:eastAsia="仿宋" w:cs="仿宋_GB2312"/>
                <w:color w:val="0000FF"/>
                <w:sz w:val="24"/>
              </w:rPr>
              <w:t>〔2</w:t>
            </w:r>
            <w:r>
              <w:rPr>
                <w:rFonts w:ascii="仿宋" w:hAnsi="仿宋" w:eastAsia="仿宋" w:cs="仿宋_GB2312"/>
                <w:color w:val="0000FF"/>
                <w:sz w:val="24"/>
              </w:rPr>
              <w:t>011</w:t>
            </w:r>
            <w:r>
              <w:rPr>
                <w:rFonts w:hint="eastAsia" w:ascii="仿宋" w:hAnsi="仿宋" w:eastAsia="仿宋" w:cs="仿宋_GB2312"/>
                <w:color w:val="0000FF"/>
                <w:sz w:val="24"/>
              </w:rPr>
              <w:t>〕3</w:t>
            </w:r>
            <w:r>
              <w:rPr>
                <w:rFonts w:ascii="仿宋" w:hAnsi="仿宋" w:eastAsia="仿宋" w:cs="仿宋_GB2312"/>
                <w:color w:val="0000FF"/>
                <w:sz w:val="24"/>
              </w:rPr>
              <w:t>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_GB2312" w:hAnsi="仿宋" w:eastAsia="仿宋_GB2312"/>
                <w:kern w:val="0"/>
                <w:sz w:val="24"/>
              </w:rPr>
            </w:pPr>
            <w:r>
              <w:rPr>
                <w:rFonts w:hint="eastAsia" w:ascii="仿宋_GB2312" w:hAnsi="仿宋" w:eastAsia="仿宋_GB2312"/>
                <w:kern w:val="0"/>
                <w:sz w:val="24"/>
              </w:rPr>
              <w:t>本项目</w:t>
            </w:r>
            <w:r>
              <w:rPr>
                <w:rFonts w:hint="eastAsia" w:ascii="仿宋" w:hAnsi="仿宋" w:eastAsia="仿宋" w:cs="仿宋_GB2312"/>
                <w:color w:val="0000FF"/>
                <w:sz w:val="24"/>
                <w:u w:val="single"/>
              </w:rPr>
              <w:t>不预留份额专门面向中小企业采购</w:t>
            </w:r>
            <w:r>
              <w:rPr>
                <w:rFonts w:hint="eastAsia" w:ascii="仿宋_GB2312" w:hAnsi="仿宋" w:eastAsia="仿宋_GB2312"/>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质疑</w:t>
            </w:r>
            <w:r>
              <w:rPr>
                <w:rFonts w:ascii="仿宋" w:hAnsi="仿宋" w:eastAsia="仿宋"/>
                <w:b/>
                <w:color w:val="0000FF"/>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采购人质疑接收人：</w:t>
            </w:r>
            <w:r>
              <w:rPr>
                <w:rFonts w:hint="eastAsia" w:ascii="仿宋" w:hAnsi="仿宋" w:eastAsia="仿宋"/>
                <w:color w:val="0000FF"/>
                <w:sz w:val="24"/>
                <w:u w:val="single"/>
              </w:rPr>
              <w:t>孔国飞</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olor w:val="0000FF"/>
                <w:sz w:val="24"/>
                <w:u w:val="single"/>
              </w:rPr>
              <w:t xml:space="preserve">0571-83807076 </w:t>
            </w:r>
          </w:p>
          <w:p>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地址：</w:t>
            </w:r>
            <w:r>
              <w:rPr>
                <w:rFonts w:hint="eastAsia" w:ascii="仿宋" w:hAnsi="仿宋" w:eastAsia="仿宋"/>
                <w:color w:val="0000FF"/>
                <w:sz w:val="24"/>
                <w:u w:val="single"/>
              </w:rPr>
              <w:t>浙江省杭州市萧山区城厢街道市心南路199号   </w:t>
            </w:r>
          </w:p>
          <w:p>
            <w:pPr>
              <w:snapToGrid w:val="0"/>
              <w:spacing w:line="360" w:lineRule="auto"/>
              <w:rPr>
                <w:rFonts w:ascii="仿宋" w:hAnsi="仿宋" w:eastAsia="仿宋" w:cs="仿宋"/>
                <w:color w:val="000000" w:themeColor="text1"/>
                <w:sz w:val="24"/>
                <w:highlight w:val="green"/>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邮箱：</w:t>
            </w:r>
            <w:r>
              <w:rPr>
                <w:rFonts w:hint="eastAsia" w:ascii="仿宋" w:hAnsi="仿宋" w:eastAsia="仿宋"/>
                <w:color w:val="0000FF"/>
                <w:sz w:val="24"/>
                <w:u w:val="single"/>
              </w:rPr>
              <w:t>3277844806@qq.com</w:t>
            </w:r>
          </w:p>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：鲁明铭</w:t>
            </w:r>
            <w:r>
              <w:rPr>
                <w:rFonts w:hint="eastAsia" w:ascii="仿宋" w:hAnsi="仿宋" w:eastAsia="仿宋" w:cs="仿宋"/>
                <w:sz w:val="24"/>
              </w:rPr>
              <w:t>联系方式：</w:t>
            </w:r>
            <w:r>
              <w:rPr>
                <w:rFonts w:ascii="仿宋" w:hAnsi="仿宋" w:eastAsia="仿宋" w:cs="仿宋"/>
                <w:sz w:val="24"/>
                <w:u w:val="single"/>
              </w:rPr>
              <w:t xml:space="preserve">0571-82899077        </w:t>
            </w:r>
          </w:p>
          <w:p>
            <w:pPr>
              <w:spacing w:line="360" w:lineRule="auto"/>
              <w:jc w:val="left"/>
              <w:rPr>
                <w:rFonts w:ascii="仿宋" w:hAnsi="仿宋" w:eastAsia="仿宋" w:cs="仿宋"/>
                <w:sz w:val="24"/>
                <w:u w:val="single"/>
              </w:rPr>
            </w:pPr>
            <w:r>
              <w:rPr>
                <w:rFonts w:hint="eastAsia" w:ascii="仿宋" w:hAnsi="仿宋" w:eastAsia="仿宋" w:cs="仿宋"/>
                <w:sz w:val="24"/>
                <w:u w:val="single"/>
              </w:rPr>
              <w:t>地址：</w:t>
            </w:r>
            <w:r>
              <w:rPr>
                <w:rFonts w:hint="eastAsia" w:ascii="仿宋" w:hAnsi="仿宋" w:eastAsia="仿宋" w:cs="仿宋"/>
                <w:sz w:val="24"/>
                <w:szCs w:val="28"/>
                <w:u w:val="single"/>
              </w:rPr>
              <w:t>杭州市萧山区博学路</w:t>
            </w:r>
            <w:r>
              <w:rPr>
                <w:rFonts w:ascii="仿宋" w:hAnsi="仿宋" w:eastAsia="仿宋" w:cs="仿宋"/>
                <w:sz w:val="24"/>
                <w:szCs w:val="28"/>
                <w:u w:val="single"/>
              </w:rPr>
              <w:t>618</w:t>
            </w:r>
            <w:r>
              <w:rPr>
                <w:rFonts w:hint="eastAsia" w:ascii="仿宋" w:hAnsi="仿宋" w:eastAsia="仿宋" w:cs="仿宋"/>
                <w:sz w:val="24"/>
                <w:szCs w:val="28"/>
                <w:u w:val="single"/>
              </w:rPr>
              <w:t>号萧山区行政服务中心</w:t>
            </w:r>
            <w:r>
              <w:rPr>
                <w:rFonts w:ascii="仿宋" w:hAnsi="仿宋" w:eastAsia="仿宋" w:cs="仿宋"/>
                <w:sz w:val="24"/>
                <w:szCs w:val="28"/>
                <w:u w:val="single"/>
              </w:rPr>
              <w:t>4</w:t>
            </w:r>
            <w:r>
              <w:rPr>
                <w:rFonts w:hint="eastAsia" w:ascii="仿宋" w:hAnsi="仿宋" w:eastAsia="仿宋" w:cs="仿宋"/>
                <w:sz w:val="24"/>
                <w:szCs w:val="28"/>
                <w:u w:val="single"/>
              </w:rPr>
              <w:t>楼</w:t>
            </w:r>
            <w:r>
              <w:rPr>
                <w:rFonts w:hint="eastAsia" w:ascii="仿宋" w:hAnsi="仿宋" w:eastAsia="仿宋" w:cs="仿宋"/>
                <w:sz w:val="24"/>
                <w:u w:val="single"/>
              </w:rPr>
              <w:t>邮箱：</w:t>
            </w:r>
            <w:r>
              <w:rPr>
                <w:rFonts w:ascii="仿宋" w:hAnsi="仿宋" w:eastAsia="仿宋" w:cs="仿宋"/>
                <w:sz w:val="24"/>
                <w:u w:val="single"/>
              </w:rPr>
              <w:t>382733636@qq.com</w:t>
            </w:r>
          </w:p>
          <w:p>
            <w:pPr>
              <w:snapToGrid w:val="0"/>
              <w:spacing w:line="360" w:lineRule="auto"/>
              <w:rPr>
                <w:rFonts w:ascii="仿宋" w:hAnsi="仿宋" w:eastAsia="仿宋"/>
                <w:b/>
                <w:color w:val="000000"/>
                <w:sz w:val="24"/>
              </w:rPr>
            </w:pPr>
            <w:r>
              <w:rPr>
                <w:rFonts w:hint="eastAsia" w:ascii="仿宋" w:hAnsi="仿宋" w:eastAsia="仿宋"/>
                <w:b/>
                <w:color w:val="000000"/>
                <w:sz w:val="24"/>
              </w:rPr>
              <w:t>如通过</w:t>
            </w:r>
            <w:r>
              <w:rPr>
                <w:rFonts w:ascii="仿宋" w:hAnsi="仿宋" w:eastAsia="仿宋"/>
                <w:b/>
                <w:color w:val="000000"/>
                <w:sz w:val="24"/>
              </w:rPr>
              <w:t>邮箱方式发送质疑，须提交符合法规</w:t>
            </w:r>
            <w:r>
              <w:rPr>
                <w:rFonts w:hint="eastAsia" w:ascii="仿宋" w:hAnsi="仿宋" w:eastAsia="仿宋"/>
                <w:b/>
                <w:color w:val="000000"/>
                <w:sz w:val="24"/>
              </w:rPr>
              <w:t>及</w:t>
            </w:r>
            <w:r>
              <w:rPr>
                <w:rFonts w:ascii="仿宋" w:hAnsi="仿宋" w:eastAsia="仿宋"/>
                <w:b/>
                <w:color w:val="000000"/>
                <w:sz w:val="24"/>
              </w:rPr>
              <w:t>招标文件要求的质疑文件（</w:t>
            </w:r>
            <w:r>
              <w:rPr>
                <w:rFonts w:hint="eastAsia" w:ascii="仿宋" w:hAnsi="仿宋" w:eastAsia="仿宋"/>
                <w:b/>
                <w:color w:val="000000"/>
                <w:sz w:val="24"/>
              </w:rPr>
              <w:t>参考附件2）</w:t>
            </w:r>
            <w:r>
              <w:rPr>
                <w:rFonts w:ascii="仿宋" w:hAnsi="仿宋" w:eastAsia="仿宋"/>
                <w:b/>
                <w:color w:val="000000"/>
                <w:sz w:val="24"/>
              </w:rPr>
              <w:t>，</w:t>
            </w:r>
            <w:r>
              <w:rPr>
                <w:rFonts w:hint="eastAsia" w:ascii="仿宋" w:hAnsi="仿宋" w:eastAsia="仿宋"/>
                <w:b/>
                <w:color w:val="000000"/>
                <w:sz w:val="24"/>
              </w:rPr>
              <w:t>盖章扫描</w:t>
            </w:r>
            <w:r>
              <w:rPr>
                <w:rFonts w:ascii="仿宋" w:hAnsi="仿宋" w:eastAsia="仿宋"/>
                <w:b/>
                <w:color w:val="000000"/>
                <w:sz w:val="24"/>
              </w:rPr>
              <w:t>后</w:t>
            </w:r>
            <w:r>
              <w:rPr>
                <w:rFonts w:hint="eastAsia" w:ascii="仿宋" w:hAnsi="仿宋" w:eastAsia="仿宋"/>
                <w:b/>
                <w:color w:val="000000"/>
                <w:sz w:val="24"/>
              </w:rPr>
              <w:t>发送</w:t>
            </w:r>
            <w:r>
              <w:rPr>
                <w:rFonts w:ascii="仿宋" w:hAnsi="仿宋" w:eastAsia="仿宋"/>
                <w:b/>
                <w:color w:val="000000"/>
                <w:sz w:val="24"/>
              </w:rPr>
              <w:t>，质疑的</w:t>
            </w:r>
            <w:r>
              <w:rPr>
                <w:rFonts w:hint="eastAsia" w:ascii="仿宋" w:hAnsi="仿宋" w:eastAsia="仿宋"/>
                <w:b/>
                <w:color w:val="000000"/>
                <w:sz w:val="24"/>
              </w:rPr>
              <w:t>受理按答</w:t>
            </w:r>
            <w:r>
              <w:rPr>
                <w:rFonts w:ascii="仿宋" w:hAnsi="仿宋" w:eastAsia="仿宋"/>
                <w:b/>
                <w:color w:val="000000"/>
                <w:sz w:val="24"/>
              </w:rPr>
              <w:t>复</w:t>
            </w:r>
            <w:r>
              <w:rPr>
                <w:rFonts w:hint="eastAsia" w:ascii="仿宋" w:hAnsi="仿宋" w:eastAsia="仿宋"/>
                <w:b/>
                <w:color w:val="000000"/>
                <w:sz w:val="24"/>
              </w:rPr>
              <w:t>主体</w:t>
            </w:r>
            <w:r>
              <w:rPr>
                <w:rFonts w:ascii="仿宋" w:hAnsi="仿宋" w:eastAsia="仿宋"/>
                <w:b/>
                <w:color w:val="000000"/>
                <w:sz w:val="24"/>
              </w:rPr>
              <w:t>划分以</w:t>
            </w:r>
            <w:r>
              <w:rPr>
                <w:rFonts w:hint="eastAsia" w:ascii="仿宋" w:hAnsi="仿宋" w:eastAsia="仿宋"/>
                <w:b/>
                <w:color w:val="000000"/>
                <w:sz w:val="24"/>
              </w:rPr>
              <w:t>采购人</w:t>
            </w:r>
            <w:r>
              <w:rPr>
                <w:rFonts w:ascii="仿宋" w:hAnsi="仿宋" w:eastAsia="仿宋"/>
                <w:b/>
                <w:color w:val="000000"/>
                <w:sz w:val="24"/>
              </w:rPr>
              <w:t>或采购机构</w:t>
            </w:r>
            <w:r>
              <w:rPr>
                <w:rFonts w:hint="eastAsia" w:ascii="仿宋" w:hAnsi="仿宋" w:eastAsia="仿宋"/>
                <w:b/>
                <w:color w:val="000000"/>
                <w:sz w:val="24"/>
              </w:rPr>
              <w:t>邮箱回复确认受理</w:t>
            </w:r>
            <w:r>
              <w:rPr>
                <w:rFonts w:ascii="仿宋" w:hAnsi="仿宋" w:eastAsia="仿宋"/>
                <w:b/>
                <w:color w:val="000000"/>
                <w:sz w:val="24"/>
              </w:rPr>
              <w:t>为准。</w:t>
            </w:r>
          </w:p>
          <w:p>
            <w:pPr>
              <w:snapToGrid w:val="0"/>
              <w:spacing w:line="360" w:lineRule="auto"/>
              <w:rPr>
                <w:rFonts w:ascii="仿宋" w:hAnsi="仿宋" w:eastAsia="仿宋"/>
                <w:sz w:val="24"/>
              </w:rPr>
            </w:pPr>
            <w:r>
              <w:rPr>
                <w:rFonts w:hint="eastAsia" w:ascii="仿宋" w:hAnsi="仿宋" w:eastAsia="仿宋"/>
                <w:color w:val="000000"/>
                <w:sz w:val="24"/>
              </w:rPr>
              <w:t>本项目涉及</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p>
            <w:pPr>
              <w:snapToGrid w:val="0"/>
              <w:spacing w:line="360" w:lineRule="auto"/>
              <w:rPr>
                <w:rFonts w:ascii="仿宋" w:hAnsi="仿宋" w:eastAsia="仿宋"/>
                <w:color w:val="000000"/>
                <w:sz w:val="24"/>
                <w:u w:val="single"/>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00"/>
                <w:sz w:val="24"/>
              </w:rPr>
            </w:pPr>
            <w:r>
              <w:rPr>
                <w:rFonts w:hint="eastAsia" w:ascii="仿宋" w:hAnsi="仿宋" w:eastAsia="仿宋"/>
                <w:b/>
                <w:color w:val="0000FF"/>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本项目为</w:t>
            </w:r>
            <w:r>
              <w:rPr>
                <w:rFonts w:hint="eastAsia" w:ascii="仿宋" w:hAnsi="仿宋" w:eastAsia="仿宋"/>
                <w:color w:val="0000FF"/>
                <w:sz w:val="24"/>
                <w:u w:val="single"/>
              </w:rPr>
              <w:t>服务类</w:t>
            </w:r>
            <w:r>
              <w:rPr>
                <w:rFonts w:hint="eastAsia" w:ascii="仿宋" w:hAnsi="仿宋" w:eastAsia="仿宋"/>
                <w:color w:val="00000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FF"/>
                <w:sz w:val="24"/>
                <w:u w:val="single"/>
              </w:rPr>
              <w:t>标项一</w:t>
            </w:r>
            <w:r>
              <w:rPr>
                <w:rFonts w:hint="eastAsia" w:ascii="仿宋" w:hAnsi="仿宋" w:eastAsia="仿宋"/>
                <w:color w:val="000000"/>
                <w:sz w:val="24"/>
              </w:rPr>
              <w:t>为</w:t>
            </w:r>
            <w:r>
              <w:rPr>
                <w:rFonts w:hint="eastAsia" w:ascii="仿宋" w:hAnsi="仿宋" w:eastAsia="仿宋"/>
                <w:color w:val="0000FF"/>
                <w:sz w:val="24"/>
                <w:u w:val="single"/>
              </w:rPr>
              <w:t>综合评分法</w:t>
            </w:r>
            <w:r>
              <w:rPr>
                <w:rFonts w:hint="eastAsia" w:ascii="仿宋" w:hAnsi="仿宋" w:eastAsia="仿宋"/>
                <w:color w:val="00000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_GB2312" w:hAnsi="仿宋" w:eastAsia="仿宋_GB2312" w:cs="仿宋_GB2312"/>
                <w:sz w:val="24"/>
              </w:rPr>
              <w:t>1</w:t>
            </w:r>
            <w:r>
              <w:rPr>
                <w:rFonts w:ascii="仿宋_GB2312" w:hAnsi="仿宋" w:eastAsia="仿宋_GB2312" w:cs="仿宋_GB2312"/>
                <w:sz w:val="24"/>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0000FF"/>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（1）环境标志产品：（</w:t>
            </w:r>
            <w:r>
              <w:rPr>
                <w:rFonts w:hint="eastAsia" w:ascii="仿宋_GB2312" w:hAnsi="仿宋" w:eastAsia="仿宋_GB2312"/>
                <w:b/>
                <w:sz w:val="24"/>
              </w:rPr>
              <w:t>√</w:t>
            </w:r>
            <w:r>
              <w:rPr>
                <w:rFonts w:hint="eastAsia" w:ascii="仿宋" w:hAnsi="仿宋" w:eastAsia="仿宋" w:cs="仿宋"/>
                <w:b/>
                <w:kern w:val="0"/>
                <w:sz w:val="24"/>
              </w:rPr>
              <w:t xml:space="preserve"> ）无；（ ）有</w:t>
            </w:r>
          </w:p>
          <w:p>
            <w:pPr>
              <w:snapToGrid w:val="0"/>
              <w:spacing w:line="360" w:lineRule="auto"/>
              <w:rPr>
                <w:rFonts w:ascii="仿宋" w:hAnsi="仿宋" w:eastAsia="仿宋"/>
                <w:color w:val="0000FF"/>
                <w:sz w:val="24"/>
              </w:rPr>
            </w:pPr>
            <w:r>
              <w:rPr>
                <w:rFonts w:hint="eastAsia" w:ascii="仿宋" w:hAnsi="仿宋" w:eastAsia="仿宋"/>
                <w:color w:val="0000FF"/>
                <w:sz w:val="24"/>
              </w:rPr>
              <w:t>拟采购的</w:t>
            </w:r>
            <w:r>
              <w:rPr>
                <w:rFonts w:hint="eastAsia" w:ascii="仿宋" w:hAnsi="仿宋" w:eastAsia="仿宋"/>
                <w:color w:val="0000FF"/>
                <w:sz w:val="24"/>
                <w:u w:val="single"/>
              </w:rPr>
              <w:t>（产品名称）</w:t>
            </w:r>
            <w:r>
              <w:rPr>
                <w:rFonts w:hint="eastAsia" w:ascii="仿宋" w:hAnsi="仿宋" w:eastAsia="仿宋"/>
                <w:color w:val="0000FF"/>
                <w:sz w:val="24"/>
              </w:rPr>
              <w:t>属于环境标志产品政府采购品目清单，实施优先采购。</w:t>
            </w:r>
          </w:p>
          <w:p>
            <w:pPr>
              <w:snapToGrid w:val="0"/>
              <w:spacing w:line="360" w:lineRule="auto"/>
              <w:rPr>
                <w:rFonts w:ascii="仿宋" w:hAnsi="仿宋" w:eastAsia="仿宋" w:cs="仿宋"/>
                <w:b/>
                <w:kern w:val="0"/>
                <w:sz w:val="24"/>
              </w:rPr>
            </w:pPr>
            <w:r>
              <w:rPr>
                <w:rFonts w:hint="eastAsia" w:ascii="仿宋" w:hAnsi="仿宋" w:eastAsia="仿宋" w:cs="仿宋"/>
                <w:b/>
                <w:kern w:val="0"/>
                <w:sz w:val="24"/>
              </w:rPr>
              <w:t>（2）节能产品：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优先采购</w:t>
            </w:r>
            <w:r>
              <w:rPr>
                <w:rFonts w:hint="eastAsia" w:ascii="仿宋_GB2312" w:hAnsi="仿宋" w:eastAsia="仿宋_GB2312"/>
                <w:b/>
                <w:sz w:val="24"/>
              </w:rPr>
              <w:t>（ √）</w:t>
            </w:r>
            <w:r>
              <w:rPr>
                <w:rFonts w:hint="eastAsia" w:ascii="仿宋" w:hAnsi="仿宋" w:eastAsia="仿宋" w:cs="仿宋"/>
                <w:kern w:val="0"/>
                <w:sz w:val="24"/>
              </w:rPr>
              <w:t>无；</w:t>
            </w:r>
            <w:r>
              <w:rPr>
                <w:rFonts w:hint="eastAsia" w:ascii="仿宋_GB2312" w:hAnsi="仿宋" w:eastAsia="仿宋_GB2312"/>
                <w:b/>
                <w:sz w:val="24"/>
              </w:rPr>
              <w:t>（ ）</w:t>
            </w:r>
            <w:r>
              <w:rPr>
                <w:rFonts w:hint="eastAsia" w:ascii="仿宋" w:hAnsi="仿宋" w:eastAsia="仿宋" w:cs="仿宋"/>
                <w:kern w:val="0"/>
                <w:sz w:val="24"/>
              </w:rPr>
              <w:t>有，</w:t>
            </w:r>
          </w:p>
          <w:p>
            <w:pPr>
              <w:snapToGrid w:val="0"/>
              <w:spacing w:line="360" w:lineRule="auto"/>
              <w:rPr>
                <w:rFonts w:ascii="仿宋" w:hAnsi="仿宋" w:eastAsia="仿宋"/>
                <w:color w:val="0000FF"/>
                <w:sz w:val="24"/>
              </w:rPr>
            </w:pPr>
            <w:r>
              <w:rPr>
                <w:rFonts w:hint="eastAsia" w:ascii="仿宋" w:hAnsi="仿宋" w:eastAsia="仿宋"/>
                <w:color w:val="0000FF"/>
                <w:sz w:val="24"/>
              </w:rPr>
              <w:t>拟采购的</w:t>
            </w:r>
            <w:r>
              <w:rPr>
                <w:rFonts w:hint="eastAsia" w:ascii="仿宋" w:hAnsi="仿宋" w:eastAsia="仿宋"/>
                <w:color w:val="0000FF"/>
                <w:sz w:val="24"/>
                <w:u w:val="single"/>
              </w:rPr>
              <w:t>（产品名称）</w:t>
            </w:r>
            <w:r>
              <w:rPr>
                <w:rFonts w:hint="eastAsia" w:ascii="仿宋" w:hAnsi="仿宋" w:eastAsia="仿宋"/>
                <w:color w:val="0000FF"/>
                <w:sz w:val="24"/>
              </w:rPr>
              <w:t>属于节能产品政府采购品目清单，实施优先采购；</w:t>
            </w:r>
          </w:p>
          <w:p>
            <w:pPr>
              <w:snapToGrid w:val="0"/>
              <w:spacing w:line="360" w:lineRule="auto"/>
              <w:rPr>
                <w:rFonts w:ascii="仿宋" w:hAnsi="仿宋" w:eastAsia="仿宋" w:cs="仿宋"/>
                <w:kern w:val="0"/>
                <w:sz w:val="24"/>
              </w:rPr>
            </w:pPr>
            <w:r>
              <w:rPr>
                <w:rFonts w:hint="eastAsia" w:ascii="仿宋" w:hAnsi="仿宋" w:eastAsia="仿宋" w:cs="仿宋"/>
                <w:kern w:val="0"/>
                <w:sz w:val="24"/>
              </w:rPr>
              <w:t>强制采购：</w:t>
            </w:r>
            <w:r>
              <w:rPr>
                <w:rFonts w:hint="eastAsia" w:ascii="仿宋_GB2312" w:hAnsi="仿宋" w:eastAsia="仿宋_GB2312"/>
                <w:b/>
                <w:sz w:val="24"/>
              </w:rPr>
              <w:t>（ √）</w:t>
            </w:r>
            <w:r>
              <w:rPr>
                <w:rFonts w:hint="eastAsia" w:ascii="仿宋" w:hAnsi="仿宋" w:eastAsia="仿宋" w:cs="仿宋"/>
                <w:kern w:val="0"/>
                <w:sz w:val="24"/>
              </w:rPr>
              <w:t>无；</w:t>
            </w:r>
            <w:r>
              <w:rPr>
                <w:rFonts w:hint="eastAsia" w:ascii="仿宋_GB2312" w:hAnsi="仿宋" w:eastAsia="仿宋_GB2312"/>
                <w:b/>
                <w:sz w:val="24"/>
              </w:rPr>
              <w:t>（ ）</w:t>
            </w:r>
            <w:r>
              <w:rPr>
                <w:rFonts w:hint="eastAsia" w:ascii="仿宋" w:hAnsi="仿宋" w:eastAsia="仿宋" w:cs="仿宋"/>
                <w:kern w:val="0"/>
                <w:sz w:val="24"/>
              </w:rPr>
              <w:t>有，</w:t>
            </w:r>
          </w:p>
          <w:p>
            <w:pPr>
              <w:snapToGrid w:val="0"/>
              <w:spacing w:line="360" w:lineRule="auto"/>
              <w:rPr>
                <w:rFonts w:ascii="仿宋" w:hAnsi="仿宋" w:eastAsia="仿宋"/>
                <w:color w:val="0000FF"/>
                <w:sz w:val="24"/>
                <w:u w:val="single"/>
              </w:rPr>
            </w:pPr>
            <w:r>
              <w:rPr>
                <w:rFonts w:hint="eastAsia" w:ascii="仿宋" w:hAnsi="仿宋" w:eastAsia="仿宋"/>
                <w:color w:val="0000FF"/>
                <w:sz w:val="24"/>
                <w:u w:val="single"/>
              </w:rPr>
              <w:t>（产品名称）</w:t>
            </w:r>
            <w:r>
              <w:rPr>
                <w:rFonts w:hint="eastAsia" w:ascii="仿宋" w:hAnsi="仿宋" w:eastAsia="仿宋"/>
                <w:color w:val="0000FF"/>
                <w:sz w:val="24"/>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中小</w:t>
            </w:r>
            <w:r>
              <w:rPr>
                <w:rFonts w:ascii="仿宋" w:hAnsi="仿宋" w:eastAsia="仿宋" w:cs="仿宋_GB2312"/>
                <w:b/>
                <w:color w:val="000000"/>
                <w:sz w:val="24"/>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color w:val="000000"/>
                <w:sz w:val="24"/>
              </w:rPr>
              <w:t>本项目</w:t>
            </w:r>
            <w:r>
              <w:rPr>
                <w:rFonts w:ascii="仿宋" w:hAnsi="仿宋" w:eastAsia="仿宋"/>
                <w:color w:val="000000"/>
                <w:sz w:val="24"/>
              </w:rPr>
              <w:t>支持</w:t>
            </w:r>
            <w:r>
              <w:rPr>
                <w:rFonts w:hint="eastAsia" w:ascii="仿宋" w:hAnsi="仿宋" w:eastAsia="仿宋"/>
                <w:color w:val="000000"/>
                <w:sz w:val="24"/>
              </w:rPr>
              <w:t>《杭州市萧山区政府采购支持中小企业信用融资暂行办法》。</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有</w:t>
            </w:r>
            <w:r>
              <w:rPr>
                <w:rFonts w:ascii="仿宋" w:hAnsi="仿宋" w:eastAsia="仿宋"/>
                <w:color w:val="000000"/>
                <w:sz w:val="24"/>
              </w:rPr>
              <w:t>融资需求的中标供应商可参照相关规定及银行方案</w:t>
            </w:r>
            <w:r>
              <w:rPr>
                <w:rFonts w:hint="eastAsia" w:ascii="仿宋" w:hAnsi="仿宋" w:eastAsia="仿宋"/>
                <w:color w:val="000000"/>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olor w:val="0000FF"/>
                <w:sz w:val="24"/>
              </w:rPr>
            </w:pPr>
            <w:r>
              <w:rPr>
                <w:rFonts w:hint="eastAsia" w:ascii="仿宋" w:hAnsi="仿宋" w:eastAsia="仿宋"/>
                <w:color w:val="0000FF"/>
                <w:sz w:val="24"/>
              </w:rPr>
              <w:t>杭州市萧山区财政局；</w:t>
            </w:r>
          </w:p>
          <w:p>
            <w:pPr>
              <w:snapToGrid w:val="0"/>
              <w:spacing w:line="360" w:lineRule="auto"/>
              <w:jc w:val="left"/>
              <w:rPr>
                <w:rFonts w:ascii="仿宋" w:hAnsi="仿宋" w:eastAsia="仿宋"/>
                <w:color w:val="0000FF"/>
                <w:sz w:val="24"/>
              </w:rPr>
            </w:pPr>
            <w:r>
              <w:rPr>
                <w:rFonts w:hint="eastAsia" w:ascii="仿宋" w:hAnsi="仿宋" w:eastAsia="仿宋"/>
                <w:color w:val="0000FF"/>
                <w:sz w:val="24"/>
              </w:rPr>
              <w:t>地址：杭州市萧山区人民路318号；</w:t>
            </w:r>
          </w:p>
          <w:p>
            <w:pPr>
              <w:snapToGrid w:val="0"/>
              <w:spacing w:line="360" w:lineRule="auto"/>
              <w:jc w:val="left"/>
              <w:rPr>
                <w:rFonts w:ascii="仿宋" w:hAnsi="仿宋" w:eastAsia="仿宋"/>
                <w:color w:val="000000"/>
                <w:sz w:val="24"/>
              </w:rPr>
            </w:pPr>
            <w:r>
              <w:rPr>
                <w:rFonts w:hint="eastAsia" w:ascii="仿宋" w:hAnsi="仿宋" w:eastAsia="仿宋"/>
                <w:color w:val="0000FF"/>
                <w:sz w:val="24"/>
              </w:rPr>
              <w:t>联系方式： 0571- 82752687</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40" w:name="第三部分"/>
      <w:bookmarkStart w:id="41" w:name="_Toc164416483"/>
      <w:r>
        <w:rPr>
          <w:rFonts w:hint="eastAsia" w:ascii="仿宋" w:hAnsi="仿宋" w:eastAsia="仿宋" w:cs="仿宋_GB2312"/>
          <w:b/>
          <w:color w:val="000000"/>
          <w:sz w:val="32"/>
          <w:szCs w:val="20"/>
        </w:rPr>
        <w:t>一、总则</w:t>
      </w:r>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2.5“▲”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w:t>
      </w:r>
      <w:r>
        <w:rPr>
          <w:rFonts w:ascii="仿宋" w:hAnsi="仿宋" w:eastAsia="仿宋" w:cs="仿宋"/>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rPr>
          <w:rFonts w:ascii="仿宋" w:hAnsi="仿宋" w:eastAsia="仿宋"/>
          <w:color w:val="000000"/>
          <w:sz w:val="24"/>
        </w:rPr>
      </w:pPr>
      <w:r>
        <w:rPr>
          <w:rFonts w:hint="eastAsia" w:ascii="仿宋" w:hAnsi="仿宋" w:eastAsia="仿宋"/>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color w:val="000000"/>
          <w:sz w:val="24"/>
        </w:rPr>
        <w:t>投产品</w:t>
      </w:r>
      <w:r>
        <w:rPr>
          <w:rFonts w:hint="eastAsia" w:ascii="仿宋" w:hAnsi="仿宋" w:eastAsia="仿宋"/>
          <w:b/>
          <w:color w:val="000000"/>
          <w:sz w:val="24"/>
        </w:rPr>
        <w:t>国家确定的认证机构出具的、处于有效期之内的节能产品、环境标志产品认证证书，否则投标无效。</w:t>
      </w:r>
      <w:r>
        <w:rPr>
          <w:rFonts w:hint="eastAsia" w:ascii="仿宋" w:hAnsi="仿宋" w:eastAsia="仿宋"/>
          <w:color w:val="000000"/>
          <w:sz w:val="24"/>
        </w:rPr>
        <w:t>（注：在最新一期节能产品品目</w:t>
      </w:r>
      <w:r>
        <w:rPr>
          <w:rFonts w:ascii="仿宋" w:hAnsi="仿宋" w:eastAsia="仿宋"/>
          <w:color w:val="000000"/>
          <w:sz w:val="24"/>
        </w:rPr>
        <w:t>清单</w:t>
      </w:r>
      <w:r>
        <w:rPr>
          <w:rFonts w:hint="eastAsia" w:ascii="仿宋" w:hAnsi="仿宋" w:eastAsia="仿宋"/>
          <w:color w:val="000000"/>
          <w:sz w:val="24"/>
        </w:rPr>
        <w:t>发布之后开展的政府采购活动，执行最新一期节能清单。在此之前已经开展但尚未进入评审环节的政府采购活动，执行上期或最新</w:t>
      </w:r>
      <w:r>
        <w:rPr>
          <w:rFonts w:ascii="仿宋" w:hAnsi="仿宋" w:eastAsia="仿宋"/>
          <w:color w:val="000000"/>
          <w:sz w:val="24"/>
        </w:rPr>
        <w:t>一期品目清单</w:t>
      </w:r>
      <w:r>
        <w:rPr>
          <w:rFonts w:hint="eastAsia" w:ascii="仿宋" w:hAnsi="仿宋" w:eastAsia="仿宋"/>
          <w:color w:val="000000"/>
          <w:sz w:val="24"/>
        </w:rPr>
        <w:t>。</w:t>
      </w:r>
      <w:r>
        <w:rPr>
          <w:rFonts w:hint="eastAsia" w:ascii="仿宋" w:hAnsi="仿宋" w:eastAsia="仿宋"/>
          <w:b/>
          <w:color w:val="000000"/>
          <w:sz w:val="24"/>
        </w:rPr>
        <w:t>▲</w:t>
      </w:r>
      <w:r>
        <w:rPr>
          <w:rFonts w:hint="eastAsia" w:ascii="仿宋" w:hAnsi="仿宋" w:eastAsia="仿宋" w:cs="仿宋_GB2312"/>
          <w:b/>
          <w:color w:val="000000"/>
          <w:sz w:val="24"/>
          <w:szCs w:val="21"/>
        </w:rPr>
        <w:t>本项目如需采购节能品目清单中的政府强制采购的节能产品的，必须</w:t>
      </w:r>
      <w:r>
        <w:rPr>
          <w:rFonts w:ascii="仿宋" w:hAnsi="仿宋" w:eastAsia="仿宋" w:cs="仿宋_GB2312"/>
          <w:b/>
          <w:color w:val="000000"/>
          <w:sz w:val="24"/>
          <w:szCs w:val="21"/>
        </w:rPr>
        <w:t>以强制采购的品目清单内产品投标，</w:t>
      </w:r>
      <w:r>
        <w:rPr>
          <w:rFonts w:hint="eastAsia" w:ascii="仿宋" w:hAnsi="仿宋" w:eastAsia="仿宋" w:cs="仿宋_GB2312"/>
          <w:b/>
          <w:color w:val="000000"/>
          <w:sz w:val="24"/>
          <w:szCs w:val="21"/>
        </w:rPr>
        <w:t>投标人未按</w:t>
      </w:r>
      <w:r>
        <w:rPr>
          <w:rFonts w:ascii="仿宋" w:hAnsi="仿宋" w:eastAsia="仿宋" w:cs="仿宋_GB2312"/>
          <w:b/>
          <w:color w:val="000000"/>
          <w:sz w:val="24"/>
          <w:szCs w:val="21"/>
        </w:rPr>
        <w:t>要求</w:t>
      </w:r>
      <w:r>
        <w:rPr>
          <w:rFonts w:hint="eastAsia" w:ascii="仿宋" w:hAnsi="仿宋" w:eastAsia="仿宋" w:cs="仿宋_GB2312"/>
          <w:b/>
          <w:color w:val="000000"/>
          <w:sz w:val="24"/>
          <w:szCs w:val="21"/>
        </w:rPr>
        <w:t>提供品目</w:t>
      </w:r>
      <w:r>
        <w:rPr>
          <w:rFonts w:ascii="仿宋" w:hAnsi="仿宋" w:eastAsia="仿宋" w:cs="仿宋_GB2312"/>
          <w:b/>
          <w:color w:val="000000"/>
          <w:sz w:val="24"/>
          <w:szCs w:val="21"/>
        </w:rPr>
        <w:t>清单内的节能产品</w:t>
      </w:r>
      <w:r>
        <w:rPr>
          <w:rFonts w:hint="eastAsia" w:ascii="仿宋" w:hAnsi="仿宋" w:eastAsia="仿宋" w:cs="仿宋_GB2312"/>
          <w:b/>
          <w:color w:val="000000"/>
          <w:sz w:val="24"/>
          <w:szCs w:val="21"/>
        </w:rPr>
        <w:t>或</w:t>
      </w:r>
      <w:r>
        <w:rPr>
          <w:rFonts w:ascii="仿宋" w:hAnsi="仿宋" w:eastAsia="仿宋" w:cs="仿宋_GB2312"/>
          <w:b/>
          <w:color w:val="000000"/>
          <w:sz w:val="24"/>
          <w:szCs w:val="21"/>
        </w:rPr>
        <w:t>相关证明</w:t>
      </w:r>
      <w:r>
        <w:rPr>
          <w:rFonts w:hint="eastAsia" w:ascii="仿宋" w:hAnsi="仿宋" w:eastAsia="仿宋" w:cs="仿宋_GB2312"/>
          <w:b/>
          <w:color w:val="000000"/>
          <w:sz w:val="24"/>
          <w:szCs w:val="21"/>
        </w:rPr>
        <w:t>，投标无效。</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3.2.2投标人提供产品如是环境标志产品，应当优先</w:t>
      </w:r>
      <w:r>
        <w:rPr>
          <w:rFonts w:ascii="仿宋" w:hAnsi="仿宋" w:eastAsia="仿宋"/>
          <w:color w:val="000000"/>
          <w:sz w:val="24"/>
        </w:rPr>
        <w:t>提供《</w:t>
      </w:r>
      <w:r>
        <w:rPr>
          <w:rFonts w:hint="eastAsia" w:ascii="仿宋" w:hAnsi="仿宋" w:eastAsia="仿宋"/>
          <w:color w:val="000000"/>
          <w:sz w:val="24"/>
        </w:rPr>
        <w:t>关于印发环境标志产品政府采购品目清单的通知</w:t>
      </w:r>
      <w:r>
        <w:rPr>
          <w:rFonts w:ascii="仿宋" w:hAnsi="仿宋" w:eastAsia="仿宋"/>
          <w:color w:val="000000"/>
          <w:sz w:val="24"/>
        </w:rPr>
        <w:t>》</w:t>
      </w:r>
      <w:r>
        <w:rPr>
          <w:rFonts w:hint="eastAsia" w:ascii="仿宋" w:hAnsi="仿宋" w:eastAsia="仿宋"/>
          <w:color w:val="000000"/>
          <w:sz w:val="24"/>
        </w:rPr>
        <w:t>财库〔2019〕</w:t>
      </w:r>
      <w:r>
        <w:rPr>
          <w:rFonts w:ascii="仿宋" w:hAnsi="仿宋" w:eastAsia="仿宋"/>
          <w:color w:val="000000"/>
          <w:sz w:val="24"/>
        </w:rPr>
        <w:t>18</w:t>
      </w:r>
      <w:r>
        <w:rPr>
          <w:rFonts w:hint="eastAsia" w:ascii="仿宋" w:hAnsi="仿宋" w:eastAsia="仿宋"/>
          <w:color w:val="000000"/>
          <w:sz w:val="24"/>
        </w:rPr>
        <w:t>号内</w:t>
      </w:r>
      <w:r>
        <w:rPr>
          <w:rFonts w:ascii="仿宋" w:hAnsi="仿宋" w:eastAsia="仿宋"/>
          <w:color w:val="000000"/>
          <w:sz w:val="24"/>
        </w:rPr>
        <w:t>产品，</w:t>
      </w:r>
      <w:r>
        <w:rPr>
          <w:rFonts w:hint="eastAsia" w:ascii="仿宋" w:hAnsi="仿宋" w:eastAsia="仿宋"/>
          <w:color w:val="000000"/>
          <w:sz w:val="24"/>
        </w:rPr>
        <w:t>涉及项目</w:t>
      </w:r>
      <w:r>
        <w:rPr>
          <w:rFonts w:ascii="仿宋" w:hAnsi="仿宋" w:eastAsia="仿宋"/>
          <w:color w:val="000000"/>
          <w:sz w:val="24"/>
        </w:rPr>
        <w:t>评分条款加分</w:t>
      </w:r>
      <w:r>
        <w:rPr>
          <w:rFonts w:hint="eastAsia" w:ascii="仿宋" w:hAnsi="仿宋" w:eastAsia="仿宋"/>
          <w:color w:val="000000"/>
          <w:sz w:val="24"/>
        </w:rPr>
        <w:t>项</w:t>
      </w:r>
      <w:r>
        <w:rPr>
          <w:rFonts w:ascii="仿宋" w:hAnsi="仿宋" w:eastAsia="仿宋"/>
          <w:color w:val="000000"/>
          <w:sz w:val="24"/>
        </w:rPr>
        <w:t>时，</w:t>
      </w:r>
      <w:r>
        <w:rPr>
          <w:rFonts w:hint="eastAsia" w:ascii="仿宋" w:hAnsi="仿宋" w:eastAsia="仿宋"/>
          <w:color w:val="000000"/>
          <w:sz w:val="24"/>
        </w:rPr>
        <w:t>应当</w:t>
      </w:r>
      <w:r>
        <w:rPr>
          <w:rFonts w:ascii="仿宋" w:hAnsi="仿宋" w:eastAsia="仿宋"/>
          <w:color w:val="000000"/>
          <w:sz w:val="24"/>
        </w:rPr>
        <w:t>提</w:t>
      </w:r>
      <w:r>
        <w:rPr>
          <w:rFonts w:hint="eastAsia" w:ascii="仿宋" w:hAnsi="仿宋" w:eastAsia="仿宋"/>
          <w:color w:val="000000"/>
          <w:sz w:val="24"/>
        </w:rPr>
        <w:t>供财库〔2019〕1</w:t>
      </w:r>
      <w:r>
        <w:rPr>
          <w:rFonts w:ascii="仿宋" w:hAnsi="仿宋" w:eastAsia="仿宋"/>
          <w:color w:val="000000"/>
          <w:sz w:val="24"/>
        </w:rPr>
        <w:t>8</w:t>
      </w:r>
      <w:r>
        <w:rPr>
          <w:rFonts w:hint="eastAsia" w:ascii="仿宋" w:hAnsi="仿宋" w:eastAsia="仿宋"/>
          <w:color w:val="000000"/>
          <w:sz w:val="24"/>
        </w:rPr>
        <w:t>号文件清单</w:t>
      </w:r>
      <w:r>
        <w:rPr>
          <w:rFonts w:ascii="仿宋" w:hAnsi="仿宋" w:eastAsia="仿宋"/>
          <w:color w:val="000000"/>
          <w:sz w:val="24"/>
        </w:rPr>
        <w:t>，并提供</w:t>
      </w:r>
      <w:r>
        <w:rPr>
          <w:rFonts w:hint="eastAsia" w:ascii="仿宋" w:hAnsi="仿宋" w:eastAsia="仿宋"/>
          <w:color w:val="000000"/>
          <w:sz w:val="24"/>
        </w:rPr>
        <w:t>国家确定的认证机构出具的、处于有效期之内的环境标志产品认证证书。</w:t>
      </w:r>
    </w:p>
    <w:p>
      <w:pPr>
        <w:spacing w:line="360" w:lineRule="auto"/>
        <w:rPr>
          <w:rFonts w:ascii="仿宋_GB2312" w:hAnsi="仿宋" w:eastAsia="仿宋_GB2312"/>
          <w:sz w:val="24"/>
        </w:rPr>
      </w:pPr>
      <w:r>
        <w:rPr>
          <w:rFonts w:hint="eastAsia"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3.3.2.1</w:t>
      </w:r>
      <w:r>
        <w:rPr>
          <w:rFonts w:ascii="仿宋_GB2312" w:hAnsi="宋体" w:eastAsia="仿宋_GB2312"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3.3.2.2</w:t>
      </w:r>
      <w:r>
        <w:rPr>
          <w:rFonts w:ascii="仿宋_GB2312" w:hAnsi="宋体" w:eastAsia="仿宋_GB2312" w:cs="宋体"/>
          <w:kern w:val="0"/>
          <w:sz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4</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5</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6</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r>
        <w:rPr>
          <w:rFonts w:hint="eastAsia" w:ascii="仿宋_GB2312" w:hAnsi="仿宋" w:eastAsia="仿宋_GB2312"/>
          <w:sz w:val="24"/>
          <w:highlight w:val="yellow"/>
        </w:rPr>
        <w:t>投标人提供的《中小企业声明函》与实际情况不符的，不享受</w:t>
      </w:r>
      <w:r>
        <w:rPr>
          <w:rFonts w:hint="eastAsia" w:ascii="仿宋_GB2312" w:hAnsi="宋体" w:eastAsia="仿宋_GB2312" w:cs="宋体"/>
          <w:kern w:val="0"/>
          <w:sz w:val="24"/>
          <w:highlight w:val="yellow"/>
        </w:rPr>
        <w:t>中小企业扶持政策</w:t>
      </w:r>
      <w:r>
        <w:rPr>
          <w:rFonts w:hint="eastAsia" w:ascii="仿宋_GB2312" w:hAnsi="仿宋" w:eastAsia="仿宋_GB2312"/>
          <w:sz w:val="24"/>
          <w:highlight w:val="yellow"/>
        </w:rPr>
        <w:t>。</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7</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sz w:val="24"/>
          <w:highlight w:val="yellow"/>
        </w:rPr>
      </w:pPr>
      <w:r>
        <w:rPr>
          <w:rFonts w:hint="eastAsia" w:ascii="仿宋_GB2312" w:hAnsi="仿宋" w:eastAsia="仿宋_GB2312"/>
          <w:sz w:val="24"/>
          <w:highlight w:val="yellow"/>
        </w:rPr>
        <w:t>3.4</w:t>
      </w:r>
      <w:r>
        <w:rPr>
          <w:rFonts w:hint="eastAsia" w:ascii="仿宋_GB2312" w:eastAsia="仿宋_GB2312"/>
          <w:bCs/>
          <w:sz w:val="24"/>
          <w:highlight w:val="yellow"/>
        </w:rPr>
        <w:t>支持创新发展</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yellow"/>
        </w:rPr>
        <w:t>3.</w:t>
      </w:r>
      <w:r>
        <w:rPr>
          <w:rFonts w:hint="eastAsia" w:ascii="仿宋_GB2312" w:hAnsi="仿宋" w:eastAsia="仿宋_GB2312"/>
          <w:sz w:val="24"/>
          <w:highlight w:val="yellow"/>
        </w:rPr>
        <w:t>4</w:t>
      </w:r>
      <w:r>
        <w:rPr>
          <w:rFonts w:ascii="仿宋_GB2312" w:hAnsi="仿宋" w:eastAsia="仿宋_GB2312"/>
          <w:sz w:val="24"/>
          <w:highlight w:val="yellow"/>
        </w:rPr>
        <w:t>.1</w:t>
      </w:r>
      <w:r>
        <w:rPr>
          <w:rFonts w:hint="eastAsia" w:ascii="仿宋_GB2312" w:hAnsi="仿宋" w:eastAsia="仿宋_GB2312"/>
          <w:sz w:val="24"/>
          <w:highlight w:val="yellow"/>
        </w:rPr>
        <w:t xml:space="preserve"> 采购人优先采购被认定为首台套产品和“制造精品”的自主创新产品。</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yellow"/>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4. 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highlight w:val="yellow"/>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right="-512"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sz w:val="24"/>
        </w:rPr>
        <w:t>疑，否则，采购人或者采购机构不予受理：</w:t>
      </w:r>
    </w:p>
    <w:p>
      <w:pPr>
        <w:pStyle w:val="15"/>
        <w:spacing w:line="360" w:lineRule="auto"/>
        <w:ind w:firstLine="434" w:firstLineChars="181"/>
        <w:rPr>
          <w:rFonts w:ascii="仿宋" w:hAnsi="仿宋" w:eastAsia="仿宋"/>
          <w:snapToGrid/>
          <w:color w:val="auto"/>
          <w:kern w:val="2"/>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.1</w:t>
      </w:r>
      <w:r>
        <w:rPr>
          <w:rFonts w:hint="eastAsia" w:ascii="仿宋" w:hAnsi="仿宋" w:eastAsia="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对采购结果提出质疑的，质疑期限自采购结果公告期限届满之日起计算。对采购结果提出质疑的，采购人或采购机构负责答复。（详见前附表相关规定）</w:t>
      </w:r>
    </w:p>
    <w:p>
      <w:pPr>
        <w:pStyle w:val="31"/>
        <w:snapToGrid w:val="0"/>
        <w:spacing w:line="360" w:lineRule="auto"/>
        <w:ind w:right="-512" w:firstLine="240" w:firstLineChars="1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614"/>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供应商提交的质疑函需一式三份。</w:t>
      </w:r>
      <w:r>
        <w:rPr>
          <w:rFonts w:ascii="仿宋" w:hAnsi="仿宋" w:eastAsia="仿宋"/>
          <w:color w:val="000000"/>
        </w:rPr>
        <w:t>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质疑函范本及制作说明详见附件2。</w:t>
      </w:r>
    </w:p>
    <w:p>
      <w:pPr>
        <w:pStyle w:val="61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w:t>
      </w:r>
      <w:r>
        <w:rPr>
          <w:rFonts w:hint="eastAsia" w:ascii="仿宋_GB2312" w:hAnsi="仿宋" w:eastAsia="仿宋_GB2312"/>
          <w:highlight w:val="yellow"/>
        </w:rPr>
        <w:t>采购人负责供应商质疑答复。采购人委托采购代理机构采购的，采购代理机构在委托授权范围内作出答复。</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614"/>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614"/>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.1质疑供应商对采购人、采购机构的答复不满意或者采购人、采购机构未在规定的时间内作出答复的，可以在答复期满后十五个工作日内向同级政府采购监督管理部门提出投诉。</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.5 以联合体形式参加政府采购活动的，其投诉应当由组成联合体的所有供应商共同提出。</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投诉书范本及制作说明详见附件3。</w:t>
      </w:r>
    </w:p>
    <w:p>
      <w:pPr>
        <w:pStyle w:val="216"/>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2" w:name="_Hlt68072990"/>
      <w:bookmarkEnd w:id="42"/>
      <w:bookmarkStart w:id="43" w:name="_Hlt75236290"/>
      <w:bookmarkEnd w:id="43"/>
      <w:bookmarkStart w:id="44" w:name="_Hlt74714665"/>
      <w:bookmarkEnd w:id="44"/>
      <w:bookmarkStart w:id="45" w:name="_Hlt74730295"/>
      <w:bookmarkEnd w:id="45"/>
      <w:bookmarkStart w:id="46" w:name="_Hlt74729768"/>
      <w:bookmarkEnd w:id="46"/>
      <w:bookmarkStart w:id="47" w:name="_Hlt68057669"/>
      <w:bookmarkEnd w:id="47"/>
      <w:bookmarkStart w:id="48" w:name="_Hlt74707468"/>
      <w:bookmarkEnd w:id="48"/>
      <w:bookmarkStart w:id="49" w:name="_Toc91899879"/>
      <w:r>
        <w:rPr>
          <w:rFonts w:hint="eastAsia" w:ascii="仿宋" w:hAnsi="仿宋" w:eastAsia="仿宋" w:cs="仿宋_GB2312"/>
          <w:b/>
          <w:color w:val="000000"/>
          <w:sz w:val="32"/>
          <w:szCs w:val="20"/>
        </w:rPr>
        <w:t>二、招标文件</w:t>
      </w:r>
      <w:bookmarkEnd w:id="49"/>
      <w:r>
        <w:rPr>
          <w:rFonts w:hint="eastAsia" w:ascii="仿宋" w:hAnsi="仿宋" w:eastAsia="仿宋" w:cs="仿宋_GB2312"/>
          <w:b/>
          <w:color w:val="000000"/>
          <w:sz w:val="32"/>
          <w:szCs w:val="20"/>
        </w:rPr>
        <w:t>的构成、澄清、修改</w:t>
      </w:r>
    </w:p>
    <w:p>
      <w:pPr>
        <w:pStyle w:val="31"/>
        <w:spacing w:line="360" w:lineRule="auto"/>
        <w:ind w:right="-512" w:firstLine="576"/>
        <w:rPr>
          <w:rFonts w:ascii="仿宋" w:hAnsi="仿宋" w:eastAsia="仿宋" w:cs="仿宋_GB2312"/>
          <w:b/>
          <w:color w:val="000000"/>
          <w:sz w:val="24"/>
          <w:szCs w:val="24"/>
        </w:rPr>
      </w:pPr>
      <w:bookmarkStart w:id="50" w:name="_Toc91899880"/>
      <w:bookmarkStart w:id="51" w:name="_Hlt74730307"/>
      <w:r>
        <w:rPr>
          <w:rFonts w:hint="eastAsia" w:ascii="仿宋" w:hAnsi="仿宋" w:eastAsia="仿宋" w:cs="仿宋_GB2312"/>
          <w:b/>
          <w:color w:val="000000"/>
          <w:sz w:val="24"/>
          <w:szCs w:val="24"/>
        </w:rPr>
        <w:t>5．招标文件的构成</w:t>
      </w:r>
      <w:bookmarkEnd w:id="50"/>
    </w:p>
    <w:bookmarkEnd w:id="51"/>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wordWrap w:val="0"/>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16"/>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rPr>
        <w:t>形式</w:t>
      </w:r>
      <w:r>
        <w:rPr>
          <w:rFonts w:hint="eastAsia" w:ascii="仿宋" w:hAnsi="仿宋" w:eastAsia="仿宋" w:cs="仿宋_GB2312"/>
          <w:color w:val="000000"/>
        </w:rPr>
        <w:t>通知所有招标文件收受人。</w:t>
      </w:r>
    </w:p>
    <w:p>
      <w:pPr>
        <w:pStyle w:val="216"/>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52" w:name="_Hlt75236011"/>
      <w:bookmarkEnd w:id="52"/>
      <w:bookmarkStart w:id="53" w:name="_Toc91899884"/>
      <w:r>
        <w:rPr>
          <w:rFonts w:hint="eastAsia" w:ascii="仿宋" w:hAnsi="仿宋" w:eastAsia="仿宋" w:cs="仿宋_GB2312"/>
          <w:b/>
          <w:color w:val="000000"/>
          <w:sz w:val="30"/>
          <w:szCs w:val="20"/>
        </w:rPr>
        <w:t>三、投标</w:t>
      </w:r>
      <w:bookmarkEnd w:id="53"/>
    </w:p>
    <w:p>
      <w:pPr>
        <w:pStyle w:val="31"/>
        <w:spacing w:line="360" w:lineRule="auto"/>
        <w:ind w:right="-512" w:firstLine="576"/>
        <w:rPr>
          <w:rFonts w:ascii="仿宋" w:hAnsi="仿宋" w:eastAsia="仿宋" w:cs="仿宋_GB2312"/>
          <w:b/>
          <w:sz w:val="24"/>
          <w:szCs w:val="24"/>
        </w:rPr>
      </w:pPr>
      <w:bookmarkStart w:id="54" w:name="_Toc91899892"/>
      <w:bookmarkStart w:id="55" w:name="_Toc86216991"/>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right="-512" w:firstLine="240" w:firstLineChars="100"/>
        <w:rPr>
          <w:rFonts w:ascii="仿宋" w:hAnsi="仿宋" w:eastAsia="仿宋"/>
          <w:color w:val="000000"/>
          <w:sz w:val="24"/>
          <w:szCs w:val="24"/>
        </w:rPr>
      </w:pPr>
      <w:r>
        <w:rPr>
          <w:rFonts w:hint="eastAsia" w:ascii="仿宋" w:hAnsi="仿宋" w:eastAsia="仿宋"/>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sz w:val="24"/>
          <w:szCs w:val="24"/>
        </w:rPr>
        <w:t>采购人不单独或分别组织只有一个供应商参加的现场考察和答疑会。</w:t>
      </w:r>
    </w:p>
    <w:p>
      <w:pPr>
        <w:pStyle w:val="31"/>
        <w:spacing w:line="360" w:lineRule="auto"/>
        <w:ind w:right="-512" w:firstLine="576"/>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16"/>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0" w:firstLineChars="200"/>
        <w:rPr>
          <w:rFonts w:ascii="仿宋_GB2312" w:hAnsi="仿宋" w:eastAsia="仿宋_GB2312" w:cs="仿宋_GB2312"/>
          <w:sz w:val="24"/>
          <w:highlight w:val="yellow"/>
        </w:rPr>
      </w:pPr>
      <w:bookmarkStart w:id="56" w:name="_Toc91899887"/>
      <w:r>
        <w:rPr>
          <w:rFonts w:hint="eastAsia" w:ascii="仿宋_GB2312" w:hAnsi="仿宋" w:eastAsia="仿宋_GB2312" w:cs="仿宋_GB2312"/>
          <w:sz w:val="24"/>
          <w:highlight w:val="yellow"/>
        </w:rPr>
        <w:t>11.1</w:t>
      </w:r>
      <w:r>
        <w:rPr>
          <w:rFonts w:hint="eastAsia" w:ascii="仿宋_GB2312" w:hAnsi="仿宋" w:eastAsia="仿宋_GB2312" w:cs="仿宋_GB2312"/>
          <w:b/>
          <w:sz w:val="24"/>
          <w:highlight w:val="yellow"/>
        </w:rPr>
        <w:t>资格文件</w:t>
      </w:r>
      <w:r>
        <w:rPr>
          <w:rFonts w:hint="eastAsia" w:ascii="仿宋_GB2312" w:hAnsi="仿宋" w:eastAsia="仿宋_GB2312" w:cs="仿宋_GB2312"/>
          <w:sz w:val="24"/>
          <w:highlight w:val="yellow"/>
        </w:rPr>
        <w:t>：</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11.1.2落实政府采购政策需满足的资格要求；</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11.1.3本项目的特定资格要求。</w:t>
      </w:r>
    </w:p>
    <w:p>
      <w:pPr>
        <w:snapToGrid w:val="0"/>
        <w:spacing w:line="360" w:lineRule="auto"/>
        <w:ind w:firstLine="480" w:firstLineChars="200"/>
        <w:rPr>
          <w:rFonts w:ascii="仿宋_GB2312" w:hAnsi="仿宋" w:eastAsia="仿宋_GB2312" w:cs="仿宋_GB2312"/>
          <w:sz w:val="24"/>
          <w:highlight w:val="yellow"/>
          <w:lang w:val="zh-CN"/>
        </w:rPr>
      </w:pPr>
      <w:r>
        <w:rPr>
          <w:rFonts w:hint="eastAsia" w:ascii="仿宋_GB2312" w:hAnsi="仿宋" w:eastAsia="仿宋_GB2312" w:cs="仿宋_GB2312"/>
          <w:sz w:val="24"/>
          <w:highlight w:val="yellow"/>
          <w:lang w:val="zh-CN"/>
        </w:rPr>
        <w:t>11.</w:t>
      </w:r>
      <w:r>
        <w:rPr>
          <w:rFonts w:hint="eastAsia" w:ascii="仿宋_GB2312" w:hAnsi="仿宋" w:eastAsia="仿宋_GB2312" w:cs="仿宋_GB2312"/>
          <w:sz w:val="24"/>
          <w:highlight w:val="yellow"/>
        </w:rPr>
        <w:t>2商务技术</w:t>
      </w:r>
      <w:r>
        <w:rPr>
          <w:rFonts w:hint="eastAsia" w:ascii="仿宋_GB2312" w:hAnsi="仿宋" w:eastAsia="仿宋_GB2312" w:cs="仿宋_GB2312"/>
          <w:sz w:val="24"/>
          <w:highlight w:val="yellow"/>
          <w:lang w:val="zh-CN"/>
        </w:rPr>
        <w:t>文件：</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11.2.1投标函；</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11.2.3联合协议；</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11.2.4分包意向协议；</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11.2.5符合性审查资料；</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11.2.6评标标准相应的商务技术资料；</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11.2.7商务技术偏离表；</w:t>
      </w:r>
    </w:p>
    <w:p>
      <w:pPr>
        <w:snapToGrid w:val="0"/>
        <w:spacing w:line="360" w:lineRule="auto"/>
        <w:ind w:firstLine="960" w:firstLineChars="400"/>
        <w:rPr>
          <w:rFonts w:ascii="仿宋_GB2312" w:hAnsi="仿宋" w:eastAsia="仿宋_GB2312" w:cs="仿宋_GB2312"/>
          <w:sz w:val="24"/>
          <w:highlight w:val="yellow"/>
          <w:lang w:val="zh-CN"/>
        </w:rPr>
      </w:pPr>
      <w:r>
        <w:rPr>
          <w:rFonts w:hint="eastAsia" w:ascii="仿宋_GB2312" w:hAnsi="仿宋" w:eastAsia="仿宋_GB2312" w:cs="仿宋_GB2312"/>
          <w:sz w:val="24"/>
          <w:highlight w:val="yellow"/>
          <w:lang w:val="zh-CN"/>
        </w:rPr>
        <w:t>11.</w:t>
      </w:r>
      <w:r>
        <w:rPr>
          <w:rFonts w:hint="eastAsia" w:ascii="仿宋_GB2312" w:hAnsi="仿宋" w:eastAsia="仿宋_GB2312" w:cs="仿宋_GB2312"/>
          <w:sz w:val="24"/>
          <w:highlight w:val="yellow"/>
        </w:rPr>
        <w:t>2</w:t>
      </w:r>
      <w:r>
        <w:rPr>
          <w:rFonts w:hint="eastAsia" w:ascii="仿宋_GB2312" w:hAnsi="仿宋" w:eastAsia="仿宋_GB2312" w:cs="仿宋_GB2312"/>
          <w:sz w:val="24"/>
          <w:highlight w:val="yellow"/>
          <w:lang w:val="zh-CN"/>
        </w:rPr>
        <w:t>.</w:t>
      </w:r>
      <w:r>
        <w:rPr>
          <w:rFonts w:hint="eastAsia" w:ascii="仿宋_GB2312" w:hAnsi="仿宋" w:eastAsia="仿宋_GB2312" w:cs="仿宋_GB2312"/>
          <w:sz w:val="24"/>
          <w:highlight w:val="yellow"/>
        </w:rPr>
        <w:t>8</w:t>
      </w:r>
      <w:r>
        <w:rPr>
          <w:rFonts w:hint="eastAsia" w:ascii="仿宋_GB2312" w:hAnsi="仿宋" w:eastAsia="仿宋_GB2312" w:cs="仿宋_GB2312"/>
          <w:sz w:val="24"/>
          <w:highlight w:val="yellow"/>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11.3.1开标一览表（报价表）；</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16"/>
        <w:snapToGrid w:val="0"/>
        <w:spacing w:before="0"/>
        <w:ind w:firstLine="0" w:firstLineChars="0"/>
        <w:outlineLvl w:val="0"/>
        <w:rPr>
          <w:rFonts w:ascii="仿宋" w:hAnsi="仿宋" w:eastAsia="仿宋" w:cs="仿宋_GB2312"/>
          <w:b/>
          <w:color w:val="000000"/>
          <w:szCs w:val="24"/>
        </w:rPr>
      </w:pPr>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16"/>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12.4纸质备份文件（如有）的制作要求：</w:t>
      </w:r>
    </w:p>
    <w:p>
      <w:pPr>
        <w:pStyle w:val="216"/>
        <w:snapToGrid w:val="0"/>
        <w:spacing w:before="0"/>
        <w:ind w:firstLine="480"/>
        <w:rPr>
          <w:rFonts w:ascii="仿宋" w:hAnsi="仿宋" w:eastAsia="仿宋" w:cs="仿宋_GB2312"/>
          <w:color w:val="000000"/>
          <w:szCs w:val="24"/>
        </w:rPr>
      </w:pPr>
      <w:r>
        <w:rPr>
          <w:rFonts w:ascii="仿宋" w:hAnsi="仿宋" w:eastAsia="仿宋" w:cs="仿宋_GB2312"/>
          <w:color w:val="000000"/>
          <w:szCs w:val="24"/>
        </w:rPr>
        <w:t>12.4.1</w:t>
      </w:r>
      <w:r>
        <w:rPr>
          <w:rFonts w:hint="eastAsia" w:ascii="仿宋" w:hAnsi="仿宋" w:eastAsia="仿宋" w:cs="仿宋_GB2312"/>
          <w:color w:val="000000"/>
          <w:szCs w:val="24"/>
        </w:rPr>
        <w:t>投标人制作纸质投标文件须在投标文件封面上标明“正本”与“副本”字样、项目名称与标项号，并加盖投标人公章。正本内容与副本不一致时，以正本为准。</w:t>
      </w:r>
    </w:p>
    <w:p>
      <w:pPr>
        <w:pStyle w:val="216"/>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12.4.2投标文件正本应使用不能擦去的墨水打印或书写</w:t>
      </w:r>
      <w:r>
        <w:rPr>
          <w:rFonts w:hint="eastAsia" w:ascii="仿宋" w:hAnsi="仿宋" w:eastAsia="仿宋" w:cs="仿宋_GB2312"/>
          <w:color w:val="000000"/>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2.4.4 投标文件建议采用A4幅面，按顺序统一编目编码装订成册。</w:t>
      </w:r>
      <w:r>
        <w:rPr>
          <w:rFonts w:hint="eastAsia" w:ascii="仿宋" w:hAnsi="仿宋" w:eastAsia="仿宋" w:cs="仿宋_GB2312"/>
          <w:b/>
          <w:color w:val="000000"/>
          <w:sz w:val="24"/>
        </w:rPr>
        <w:t>提倡双面打印</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13.投标文件的装订、签署、盖章</w:t>
      </w:r>
    </w:p>
    <w:p>
      <w:pPr>
        <w:pStyle w:val="216"/>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_GB2312" w:hAnsi="仿宋" w:eastAsia="仿宋_GB2312"/>
          <w:b/>
          <w:highlight w:val="yellow"/>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16"/>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color w:val="000000"/>
          <w:sz w:val="24"/>
        </w:rPr>
      </w:pPr>
      <w:r>
        <w:rPr>
          <w:rFonts w:hint="eastAsia" w:ascii="仿宋" w:hAnsi="仿宋" w:eastAsia="仿宋"/>
          <w:color w:val="000000"/>
          <w:sz w:val="24"/>
        </w:rPr>
        <w:t>纸质备份文件（如有）须将投标文件的资格文件、商务技术文件、报价文件</w:t>
      </w:r>
      <w:r>
        <w:rPr>
          <w:rFonts w:hint="eastAsia" w:ascii="仿宋" w:hAnsi="仿宋" w:eastAsia="仿宋"/>
          <w:b/>
          <w:color w:val="000000"/>
          <w:sz w:val="24"/>
        </w:rPr>
        <w:t>三</w:t>
      </w:r>
      <w:r>
        <w:rPr>
          <w:rFonts w:hint="eastAsia" w:ascii="仿宋" w:hAnsi="仿宋" w:eastAsia="仿宋"/>
          <w:color w:val="000000"/>
          <w:sz w:val="24"/>
        </w:rPr>
        <w:t>部分分别装订成册，投标文件的装订必须采用</w:t>
      </w:r>
      <w:r>
        <w:rPr>
          <w:rFonts w:hint="eastAsia" w:ascii="仿宋" w:hAnsi="仿宋" w:eastAsia="仿宋"/>
          <w:b/>
          <w:color w:val="000000"/>
          <w:sz w:val="24"/>
        </w:rPr>
        <w:t>胶订或线订</w:t>
      </w:r>
      <w:r>
        <w:rPr>
          <w:rFonts w:hint="eastAsia" w:ascii="仿宋" w:hAnsi="仿宋" w:eastAsia="仿宋"/>
          <w:color w:val="000000"/>
          <w:sz w:val="24"/>
        </w:rPr>
        <w:t>形式，不得采用活页装订方式（胶订或线订以外装订形式视为活页装订）。</w:t>
      </w:r>
      <w:r>
        <w:rPr>
          <w:rFonts w:hint="eastAsia" w:ascii="仿宋" w:hAnsi="仿宋" w:eastAsia="仿宋"/>
          <w:b/>
          <w:color w:val="000000"/>
          <w:sz w:val="24"/>
        </w:rPr>
        <w:t>▲对不符合装订要求的投标文件，按投标无效处理。</w:t>
      </w:r>
    </w:p>
    <w:p>
      <w:pPr>
        <w:pStyle w:val="216"/>
        <w:snapToGrid w:val="0"/>
        <w:spacing w:before="0"/>
        <w:ind w:firstLine="480"/>
        <w:rPr>
          <w:rFonts w:ascii="仿宋_GB2312" w:hAnsi="仿宋" w:eastAsia="仿宋_GB2312" w:cs="仿宋_GB2312"/>
          <w:szCs w:val="24"/>
        </w:rPr>
      </w:pPr>
      <w:r>
        <w:rPr>
          <w:rFonts w:hint="eastAsia" w:ascii="仿宋_GB2312" w:hAnsi="仿宋" w:eastAsia="仿宋_GB2312" w:cs="仿宋_GB2312"/>
          <w:highlight w:val="yellow"/>
        </w:rPr>
        <w:t>13.3招标文件对投标文件签署、盖章的要求适用于电子签章（盖章）。</w:t>
      </w:r>
    </w:p>
    <w:p>
      <w:pPr>
        <w:pStyle w:val="216"/>
        <w:spacing w:before="0"/>
        <w:ind w:firstLine="0" w:firstLineChars="0"/>
        <w:rPr>
          <w:rFonts w:ascii="仿宋_GB2312" w:hAnsi="仿宋" w:eastAsia="仿宋_GB2312" w:cs="仿宋_GB2312"/>
          <w:b/>
          <w:szCs w:val="24"/>
        </w:rPr>
      </w:pPr>
      <w:r>
        <w:rPr>
          <w:rFonts w:hint="eastAsia" w:ascii="仿宋" w:hAnsi="仿宋" w:eastAsia="仿宋"/>
          <w:b/>
          <w:color w:val="000000"/>
        </w:rPr>
        <w:t>14.</w:t>
      </w:r>
      <w:r>
        <w:rPr>
          <w:rFonts w:hint="eastAsia" w:ascii="仿宋_GB2312" w:hAnsi="仿宋" w:eastAsia="仿宋_GB2312" w:cs="仿宋_GB2312"/>
          <w:b/>
          <w:szCs w:val="24"/>
        </w:rPr>
        <w:t>投标文件的提交、补充、修改、撤回</w:t>
      </w:r>
    </w:p>
    <w:p>
      <w:pPr>
        <w:pStyle w:val="216"/>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.4.1 投标人的补充、修改文件，应按本须知规定编制、密封、标志和递交，如果一份投标文件有几份函件时，应注明哪一份有效，否则所作修改视为无效。</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.4.2投标人对投标文件的修改均要加以说明，否则其修改将被视为无效。</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.4.4</w:t>
      </w:r>
      <w:r>
        <w:rPr>
          <w:rFonts w:hint="eastAsia" w:ascii="仿宋" w:hAnsi="仿宋" w:eastAsia="仿宋" w:cs="仿宋_GB2312"/>
          <w:color w:val="000000"/>
        </w:rPr>
        <w:t>在开标后规定的投标有效期内</w:t>
      </w:r>
      <w:r>
        <w:rPr>
          <w:rFonts w:hint="eastAsia" w:ascii="仿宋" w:hAnsi="仿宋" w:eastAsia="仿宋" w:cs="仿宋_GB2312"/>
          <w:color w:val="000000"/>
          <w:szCs w:val="24"/>
        </w:rPr>
        <w:t>，投标人不能撤销投标文件。</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 xml:space="preserve">15. </w:t>
      </w:r>
      <w:r>
        <w:rPr>
          <w:rFonts w:hint="eastAsia" w:ascii="仿宋" w:hAnsi="仿宋" w:eastAsia="仿宋" w:cs="仿宋_GB2312"/>
          <w:b/>
          <w:color w:val="0000FF"/>
          <w:sz w:val="24"/>
        </w:rPr>
        <w:t>备份</w:t>
      </w:r>
      <w:r>
        <w:rPr>
          <w:rFonts w:hint="eastAsia" w:ascii="仿宋" w:hAnsi="仿宋" w:eastAsia="仿宋" w:cs="仿宋_GB2312"/>
          <w:b/>
          <w:color w:val="000000"/>
          <w:sz w:val="24"/>
        </w:rPr>
        <w:t>投标文件（如有）以及投标文件的递交</w:t>
      </w:r>
    </w:p>
    <w:p>
      <w:pPr>
        <w:pStyle w:val="216"/>
        <w:spacing w:before="0"/>
        <w:ind w:firstLine="480"/>
        <w:rPr>
          <w:rFonts w:ascii="仿宋" w:hAnsi="仿宋" w:eastAsia="仿宋"/>
          <w:b/>
          <w:szCs w:val="24"/>
        </w:rPr>
      </w:pPr>
      <w:r>
        <w:rPr>
          <w:rFonts w:hint="eastAsia" w:ascii="仿宋" w:hAnsi="仿宋" w:eastAsia="仿宋"/>
          <w:szCs w:val="24"/>
        </w:rPr>
        <w:t>15.1备份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sz w:val="24"/>
        </w:rPr>
      </w:pPr>
      <w:r>
        <w:rPr>
          <w:rFonts w:ascii="仿宋" w:hAnsi="仿宋" w:eastAsia="仿宋"/>
          <w:color w:val="000000"/>
          <w:sz w:val="24"/>
        </w:rPr>
        <w:t>15.3</w:t>
      </w:r>
      <w:r>
        <w:rPr>
          <w:rFonts w:hint="eastAsia" w:ascii="仿宋" w:hAnsi="仿宋" w:eastAsia="仿宋"/>
          <w:color w:val="000000"/>
          <w:sz w:val="24"/>
        </w:rPr>
        <w:t>电子</w:t>
      </w:r>
      <w:r>
        <w:rPr>
          <w:rFonts w:hint="eastAsia" w:ascii="仿宋" w:hAnsi="仿宋" w:eastAsia="仿宋" w:cs="仿宋_GB2312"/>
          <w:sz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pPr>
        <w:snapToGrid w:val="0"/>
        <w:spacing w:line="360" w:lineRule="auto"/>
        <w:ind w:firstLine="482" w:firstLineChars="200"/>
        <w:rPr>
          <w:rFonts w:ascii="仿宋" w:hAnsi="仿宋" w:eastAsia="仿宋"/>
          <w:color w:val="000000"/>
          <w:sz w:val="24"/>
        </w:rPr>
      </w:pPr>
      <w:r>
        <w:rPr>
          <w:rFonts w:hint="eastAsia" w:ascii="仿宋" w:hAnsi="仿宋" w:eastAsia="仿宋"/>
          <w:b/>
          <w:sz w:val="24"/>
        </w:rPr>
        <w:t>▲</w:t>
      </w:r>
      <w:r>
        <w:rPr>
          <w:rFonts w:hint="eastAsia" w:ascii="仿宋" w:hAnsi="仿宋" w:eastAsia="仿宋" w:cs="仿宋_GB2312"/>
          <w:b/>
          <w:sz w:val="24"/>
        </w:rPr>
        <w:t>投标人仅提交备份投标文件，没有在电子交易平台传输递交投标文件的，投标无效。</w:t>
      </w:r>
    </w:p>
    <w:p>
      <w:pPr>
        <w:pStyle w:val="216"/>
        <w:ind w:firstLine="480"/>
        <w:rPr>
          <w:rFonts w:ascii="仿宋" w:hAnsi="仿宋" w:eastAsia="仿宋" w:cs="仿宋_GB2312"/>
          <w:szCs w:val="24"/>
        </w:rPr>
      </w:pPr>
      <w:r>
        <w:rPr>
          <w:rFonts w:ascii="仿宋" w:hAnsi="仿宋" w:eastAsia="仿宋" w:cs="仿宋_GB2312"/>
          <w:szCs w:val="24"/>
        </w:rPr>
        <w:t>15.4</w:t>
      </w:r>
      <w:r>
        <w:rPr>
          <w:rFonts w:hint="eastAsia" w:ascii="仿宋" w:hAnsi="仿宋" w:eastAsia="仿宋" w:cs="仿宋_GB2312"/>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pacing w:before="0"/>
        <w:ind w:firstLine="480"/>
        <w:rPr>
          <w:rFonts w:ascii="仿宋" w:hAnsi="仿宋" w:eastAsia="仿宋" w:cs="仿宋_GB2312"/>
          <w:szCs w:val="24"/>
        </w:rPr>
      </w:pPr>
      <w:r>
        <w:rPr>
          <w:rFonts w:ascii="仿宋" w:hAnsi="仿宋" w:eastAsia="仿宋" w:cs="仿宋_GB2312"/>
          <w:szCs w:val="24"/>
        </w:rPr>
        <w:t>15.5</w:t>
      </w:r>
      <w:r>
        <w:rPr>
          <w:rFonts w:hint="eastAsia" w:ascii="仿宋" w:hAnsi="仿宋" w:eastAsia="仿宋" w:cs="仿宋_GB2312"/>
          <w:szCs w:val="24"/>
        </w:rPr>
        <w:t>采购机构可以视情况延长投标文件提交的截止时间。在上述情况下，采购机构与投标人以前在投标截止期方面的全部权利、责任和义务，将适用于延长至新的投标截止期。</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15.6</w:t>
      </w:r>
      <w:r>
        <w:rPr>
          <w:rFonts w:hint="eastAsia" w:ascii="仿宋" w:hAnsi="仿宋" w:eastAsia="仿宋" w:cs="仿宋_GB2312"/>
          <w:color w:val="000000"/>
          <w:szCs w:val="24"/>
        </w:rPr>
        <w:t>如项目须备份投标文件，</w:t>
      </w:r>
      <w:r>
        <w:rPr>
          <w:rFonts w:hint="eastAsia" w:ascii="仿宋" w:hAnsi="仿宋" w:eastAsia="仿宋" w:cs="仿宋_GB2312"/>
          <w:color w:val="000000"/>
        </w:rPr>
        <w:t>投标人应按“招标公告”及前附表规定的时间、地点完成采购文件</w:t>
      </w:r>
      <w:r>
        <w:rPr>
          <w:rFonts w:ascii="仿宋" w:hAnsi="仿宋" w:eastAsia="仿宋" w:cs="仿宋_GB2312"/>
          <w:color w:val="000000"/>
        </w:rPr>
        <w:t>获取手续并</w:t>
      </w:r>
      <w:r>
        <w:rPr>
          <w:rFonts w:hint="eastAsia" w:ascii="仿宋" w:hAnsi="仿宋" w:eastAsia="仿宋" w:cs="仿宋_GB2312"/>
          <w:color w:val="000000"/>
        </w:rPr>
        <w:t>将投标文件提交给</w:t>
      </w:r>
      <w:r>
        <w:rPr>
          <w:rFonts w:hint="eastAsia" w:ascii="仿宋" w:hAnsi="仿宋" w:eastAsia="仿宋" w:cs="仿宋_GB2312"/>
          <w:color w:val="000000"/>
          <w:szCs w:val="24"/>
        </w:rPr>
        <w:t>采购机构</w:t>
      </w:r>
      <w:r>
        <w:rPr>
          <w:rFonts w:hint="eastAsia" w:ascii="仿宋" w:hAnsi="仿宋" w:eastAsia="仿宋" w:cs="仿宋_GB2312"/>
          <w:color w:val="000000"/>
        </w:rPr>
        <w:t>，</w:t>
      </w:r>
      <w:r>
        <w:rPr>
          <w:rFonts w:hint="eastAsia" w:ascii="仿宋" w:hAnsi="仿宋" w:eastAsia="仿宋" w:cs="仿宋_GB2312"/>
          <w:color w:val="000000"/>
          <w:szCs w:val="24"/>
        </w:rPr>
        <w:t>采购机构</w:t>
      </w:r>
      <w:r>
        <w:rPr>
          <w:rFonts w:hint="eastAsia" w:ascii="仿宋" w:hAnsi="仿宋" w:eastAsia="仿宋" w:cs="仿宋_GB2312"/>
          <w:color w:val="000000"/>
        </w:rPr>
        <w:t>将拒绝接受逾期送达的投标文件和</w:t>
      </w:r>
      <w:r>
        <w:rPr>
          <w:rFonts w:ascii="仿宋" w:hAnsi="仿宋" w:eastAsia="仿宋" w:cs="仿宋_GB2312"/>
          <w:color w:val="000000"/>
        </w:rPr>
        <w:t>未按公告要求</w:t>
      </w:r>
      <w:r>
        <w:rPr>
          <w:rFonts w:hint="eastAsia" w:ascii="仿宋" w:hAnsi="仿宋" w:eastAsia="仿宋" w:cs="仿宋_GB2312"/>
          <w:color w:val="000000"/>
        </w:rPr>
        <w:t>完成采购</w:t>
      </w:r>
      <w:r>
        <w:rPr>
          <w:rFonts w:ascii="仿宋" w:hAnsi="仿宋" w:eastAsia="仿宋" w:cs="仿宋_GB2312"/>
          <w:color w:val="000000"/>
        </w:rPr>
        <w:t>文件获取的</w:t>
      </w:r>
      <w:r>
        <w:rPr>
          <w:rFonts w:hint="eastAsia" w:ascii="仿宋" w:hAnsi="仿宋" w:eastAsia="仿宋" w:cs="仿宋_GB2312"/>
          <w:color w:val="000000"/>
        </w:rPr>
        <w:t>投标人</w:t>
      </w:r>
      <w:r>
        <w:rPr>
          <w:rFonts w:ascii="仿宋" w:hAnsi="仿宋" w:eastAsia="仿宋" w:cs="仿宋_GB2312"/>
          <w:color w:val="000000"/>
        </w:rPr>
        <w:t>递交的投标</w:t>
      </w:r>
      <w:r>
        <w:rPr>
          <w:rFonts w:hint="eastAsia" w:ascii="仿宋" w:hAnsi="仿宋" w:eastAsia="仿宋" w:cs="仿宋_GB2312"/>
          <w:color w:val="000000"/>
        </w:rPr>
        <w:t>文件。</w:t>
      </w:r>
    </w:p>
    <w:bookmarkEnd w:id="54"/>
    <w:bookmarkEnd w:id="55"/>
    <w:p>
      <w:pPr>
        <w:pStyle w:val="21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6</w:t>
      </w:r>
      <w:r>
        <w:rPr>
          <w:rFonts w:hint="eastAsia" w:ascii="仿宋" w:hAnsi="仿宋" w:eastAsia="仿宋" w:cs="仿宋_GB2312"/>
          <w:b/>
          <w:color w:val="000000"/>
          <w:szCs w:val="24"/>
        </w:rPr>
        <w:t>.投标文件的无效处理</w:t>
      </w:r>
    </w:p>
    <w:p>
      <w:pPr>
        <w:pStyle w:val="2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第13项规定</w:t>
      </w:r>
      <w:r>
        <w:rPr>
          <w:rFonts w:hint="eastAsia" w:ascii="仿宋" w:hAnsi="仿宋" w:eastAsia="仿宋" w:cs="仿宋_GB2312"/>
          <w:color w:val="000000"/>
          <w:szCs w:val="21"/>
        </w:rPr>
        <w:t>的情形之一的，投标无效：</w:t>
      </w:r>
    </w:p>
    <w:p>
      <w:pPr>
        <w:pStyle w:val="21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7</w:t>
      </w:r>
      <w:r>
        <w:rPr>
          <w:rFonts w:hint="eastAsia" w:ascii="仿宋" w:hAnsi="仿宋" w:eastAsia="仿宋" w:cs="仿宋_GB2312"/>
          <w:b/>
          <w:color w:val="000000"/>
          <w:szCs w:val="24"/>
        </w:rPr>
        <w:t>.投标有效期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w:t>
      </w:r>
      <w:r>
        <w:rPr>
          <w:rFonts w:ascii="仿宋" w:hAnsi="仿宋" w:eastAsia="仿宋" w:cs="仿宋_GB2312"/>
          <w:color w:val="000000"/>
          <w:sz w:val="24"/>
          <w:szCs w:val="20"/>
        </w:rPr>
        <w:t>7</w:t>
      </w:r>
      <w:r>
        <w:rPr>
          <w:rFonts w:hint="eastAsia" w:ascii="仿宋" w:hAnsi="仿宋" w:eastAsia="仿宋" w:cs="仿宋_GB2312"/>
          <w:color w:val="000000"/>
          <w:sz w:val="24"/>
          <w:szCs w:val="20"/>
        </w:rPr>
        <w:t>.1投标有效期为从提交投标文件的截止之日起90天。▲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16"/>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.2投标文件合格投递后，自投标截止日期起，在投标有效期内有效。</w:t>
      </w:r>
    </w:p>
    <w:p>
      <w:pPr>
        <w:pStyle w:val="216"/>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.3在原定投标有效期满之前，如果出现特殊情况，采购机构可以以公告形式通知投标人延长投标有效期。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16"/>
        <w:spacing w:before="0"/>
        <w:ind w:firstLine="643"/>
        <w:rPr>
          <w:rFonts w:ascii="仿宋" w:hAnsi="仿宋" w:eastAsia="仿宋" w:cs="仿宋_GB2312"/>
          <w:b/>
          <w:color w:val="000000"/>
          <w:sz w:val="32"/>
        </w:rPr>
      </w:pPr>
      <w:bookmarkStart w:id="57" w:name="_Toc91899897"/>
    </w:p>
    <w:p>
      <w:pPr>
        <w:pStyle w:val="216"/>
        <w:spacing w:before="0"/>
        <w:ind w:firstLine="1928" w:firstLineChars="600"/>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四、开标</w:t>
      </w:r>
      <w:bookmarkEnd w:id="57"/>
      <w:r>
        <w:rPr>
          <w:rFonts w:hint="eastAsia" w:ascii="仿宋" w:hAnsi="仿宋" w:eastAsia="仿宋" w:cs="仿宋_GB2312"/>
          <w:b/>
          <w:color w:val="000000"/>
          <w:sz w:val="32"/>
        </w:rPr>
        <w:t>、资格审查与信用信息查询</w:t>
      </w:r>
    </w:p>
    <w:p>
      <w:pPr>
        <w:pStyle w:val="497"/>
        <w:spacing w:before="0" w:line="360" w:lineRule="auto"/>
        <w:ind w:left="0" w:firstLine="241" w:firstLineChars="100"/>
        <w:contextualSpacing/>
        <w:rPr>
          <w:rFonts w:ascii="仿宋_GB2312" w:eastAsia="仿宋_GB2312"/>
          <w:color w:val="FF0000"/>
          <w:sz w:val="24"/>
        </w:rPr>
      </w:pPr>
      <w:r>
        <w:rPr>
          <w:rFonts w:ascii="仿宋" w:hAnsi="仿宋" w:eastAsia="仿宋" w:cs="仿宋_GB2312"/>
          <w:b/>
          <w:color w:val="000000"/>
          <w:sz w:val="24"/>
          <w:szCs w:val="24"/>
        </w:rPr>
        <w:t>18</w:t>
      </w:r>
      <w:r>
        <w:rPr>
          <w:rFonts w:hint="eastAsia" w:ascii="仿宋" w:hAnsi="仿宋" w:eastAsia="仿宋" w:cs="仿宋_GB2312"/>
          <w:b/>
          <w:color w:val="000000"/>
          <w:sz w:val="24"/>
          <w:szCs w:val="24"/>
        </w:rPr>
        <w:t>.开标</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w:t>
      </w:r>
      <w:r>
        <w:rPr>
          <w:rFonts w:hint="eastAsia" w:ascii="仿宋" w:hAnsi="仿宋" w:eastAsia="仿宋" w:cs="仿宋_GB2312"/>
          <w:sz w:val="24"/>
          <w:highlight w:val="yellow"/>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497"/>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18</w:t>
      </w:r>
      <w:r>
        <w:rPr>
          <w:rFonts w:hint="eastAsia" w:ascii="仿宋" w:hAnsi="仿宋" w:eastAsia="仿宋" w:cs="仿宋_GB2312"/>
          <w:color w:val="000000"/>
          <w:sz w:val="24"/>
        </w:rPr>
        <w:t>.4备份投标文件的接收</w:t>
      </w:r>
      <w:r>
        <w:rPr>
          <w:rFonts w:ascii="仿宋" w:hAnsi="仿宋" w:eastAsia="仿宋" w:cs="仿宋_GB2312"/>
          <w:color w:val="000000"/>
          <w:sz w:val="24"/>
        </w:rPr>
        <w:t>在招标文件确定的时间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19</w:t>
      </w:r>
      <w:r>
        <w:rPr>
          <w:rFonts w:hint="eastAsia" w:ascii="仿宋" w:hAnsi="仿宋" w:eastAsia="仿宋" w:cs="仿宋_GB2312"/>
          <w:b/>
          <w:color w:val="000000"/>
          <w:sz w:val="24"/>
          <w:szCs w:val="20"/>
        </w:rPr>
        <w:t>、资格审查</w:t>
      </w:r>
    </w:p>
    <w:p>
      <w:pPr>
        <w:pStyle w:val="216"/>
        <w:spacing w:before="0"/>
        <w:ind w:firstLine="480"/>
        <w:rPr>
          <w:rFonts w:ascii="仿宋" w:hAnsi="仿宋" w:eastAsia="仿宋" w:cs="Arial"/>
          <w:color w:val="000000"/>
          <w:kern w:val="0"/>
          <w:szCs w:val="24"/>
        </w:rPr>
      </w:pPr>
      <w:r>
        <w:rPr>
          <w:rFonts w:ascii="仿宋" w:hAnsi="仿宋" w:eastAsia="仿宋" w:cs="Arial"/>
          <w:color w:val="000000"/>
          <w:kern w:val="0"/>
          <w:szCs w:val="24"/>
        </w:rPr>
        <w:t>19</w:t>
      </w:r>
      <w:r>
        <w:rPr>
          <w:rFonts w:hint="eastAsia" w:ascii="仿宋" w:hAnsi="仿宋" w:eastAsia="仿宋" w:cs="Arial"/>
          <w:color w:val="000000"/>
          <w:kern w:val="0"/>
          <w:szCs w:val="24"/>
        </w:rPr>
        <w:t>.1开标后，采购人将依法对投标人的资格进行审查。</w:t>
      </w:r>
    </w:p>
    <w:p>
      <w:pPr>
        <w:snapToGrid w:val="0"/>
        <w:spacing w:line="360" w:lineRule="auto"/>
        <w:ind w:firstLine="480" w:firstLineChars="200"/>
        <w:rPr>
          <w:rFonts w:ascii="仿宋" w:hAnsi="仿宋" w:eastAsia="仿宋" w:cs="仿宋_GB2312"/>
          <w:color w:val="000000"/>
          <w:sz w:val="24"/>
        </w:rPr>
      </w:pPr>
      <w:r>
        <w:rPr>
          <w:rFonts w:ascii="仿宋" w:hAnsi="仿宋" w:eastAsia="仿宋" w:cs="Arial"/>
          <w:color w:val="000000"/>
          <w:kern w:val="0"/>
          <w:sz w:val="24"/>
        </w:rPr>
        <w:t>19</w:t>
      </w:r>
      <w:r>
        <w:rPr>
          <w:rFonts w:hint="eastAsia" w:ascii="仿宋" w:hAnsi="仿宋" w:eastAsia="仿宋" w:cs="Arial"/>
          <w:color w:val="000000"/>
          <w:kern w:val="0"/>
          <w:sz w:val="24"/>
        </w:rPr>
        <w:t>.2</w:t>
      </w:r>
      <w:r>
        <w:rPr>
          <w:rFonts w:hint="eastAsia" w:ascii="仿宋" w:hAnsi="仿宋" w:eastAsia="仿宋" w:cs="仿宋_GB2312"/>
          <w:color w:val="000000"/>
          <w:sz w:val="24"/>
        </w:rPr>
        <w:t>采购人或采购机构依据法律法规和招标文件的规定，对投标人的基本资格条件、特定资格条件进行审查。</w:t>
      </w:r>
    </w:p>
    <w:p>
      <w:pPr>
        <w:pStyle w:val="216"/>
        <w:spacing w:before="0"/>
        <w:ind w:firstLine="480"/>
        <w:rPr>
          <w:rFonts w:ascii="仿宋" w:hAnsi="仿宋" w:eastAsia="仿宋" w:cs="仿宋_GB2312"/>
          <w:color w:val="000000"/>
        </w:rPr>
      </w:pPr>
      <w:r>
        <w:rPr>
          <w:rFonts w:ascii="仿宋" w:hAnsi="仿宋" w:eastAsia="仿宋" w:cs="Arial"/>
          <w:color w:val="000000"/>
          <w:kern w:val="0"/>
          <w:szCs w:val="24"/>
        </w:rPr>
        <w:t>19</w:t>
      </w:r>
      <w:r>
        <w:rPr>
          <w:rFonts w:hint="eastAsia" w:ascii="仿宋" w:hAnsi="仿宋" w:eastAsia="仿宋" w:cs="Arial"/>
          <w:color w:val="000000"/>
          <w:kern w:val="0"/>
          <w:szCs w:val="24"/>
        </w:rPr>
        <w:t>.3投标人未按照招标文件要求提供与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16"/>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.4对未通过资格审查的投标人，采购人或采购机构告知其未通过的原因。</w:t>
      </w:r>
    </w:p>
    <w:p>
      <w:pPr>
        <w:pStyle w:val="216"/>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.5合格投标人不足3家的，不再评标。</w:t>
      </w:r>
    </w:p>
    <w:p>
      <w:pPr>
        <w:pStyle w:val="216"/>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20</w:t>
      </w:r>
      <w:r>
        <w:rPr>
          <w:rFonts w:hint="eastAsia" w:ascii="仿宋" w:hAnsi="仿宋" w:eastAsia="仿宋" w:cs="仿宋_GB2312"/>
          <w:b/>
          <w:color w:val="000000"/>
          <w:szCs w:val="24"/>
        </w:rPr>
        <w:t>、信用信息查询</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.1信用信息查询渠道及截止时间：采购人或</w:t>
      </w:r>
      <w:r>
        <w:rPr>
          <w:rFonts w:ascii="仿宋" w:hAnsi="仿宋" w:eastAsia="仿宋" w:cs="Arial"/>
          <w:color w:val="000000"/>
          <w:kern w:val="0"/>
          <w:szCs w:val="24"/>
        </w:rPr>
        <w:t>采购机构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216"/>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16"/>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58" w:name="_Hlt75236101"/>
      <w:bookmarkEnd w:id="58"/>
      <w:bookmarkStart w:id="59" w:name="_Toc91899902"/>
      <w:r>
        <w:rPr>
          <w:rFonts w:hint="eastAsia" w:ascii="仿宋" w:hAnsi="仿宋" w:eastAsia="仿宋" w:cs="仿宋_GB2312"/>
          <w:b/>
          <w:color w:val="000000"/>
          <w:sz w:val="36"/>
          <w:szCs w:val="36"/>
        </w:rPr>
        <w:t>五、评标</w:t>
      </w:r>
      <w:bookmarkEnd w:id="59"/>
    </w:p>
    <w:p>
      <w:pPr>
        <w:spacing w:line="360" w:lineRule="auto"/>
        <w:rPr>
          <w:rFonts w:ascii="仿宋" w:hAnsi="仿宋" w:eastAsia="仿宋" w:cs="仿宋_GB2312"/>
          <w:b/>
          <w:color w:val="000000"/>
          <w:sz w:val="24"/>
        </w:rPr>
      </w:pPr>
      <w:r>
        <w:rPr>
          <w:rFonts w:ascii="仿宋" w:hAnsi="仿宋" w:eastAsia="仿宋" w:cs="仿宋_GB2312"/>
          <w:b/>
          <w:color w:val="000000"/>
          <w:sz w:val="24"/>
        </w:rPr>
        <w:t>21</w:t>
      </w:r>
      <w:r>
        <w:rPr>
          <w:rFonts w:hint="eastAsia" w:ascii="仿宋" w:hAnsi="仿宋" w:eastAsia="仿宋" w:cs="仿宋_GB2312"/>
          <w:b/>
          <w:color w:val="000000"/>
          <w:sz w:val="24"/>
        </w:rPr>
        <w:t>.</w:t>
      </w:r>
      <w:r>
        <w:rPr>
          <w:rFonts w:hint="eastAsia" w:ascii="仿宋" w:hAnsi="仿宋" w:eastAsia="仿宋" w:cs="仿宋_GB2312"/>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 标</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22</w:t>
      </w:r>
      <w:r>
        <w:rPr>
          <w:rFonts w:hint="eastAsia" w:ascii="仿宋" w:hAnsi="仿宋" w:eastAsia="仿宋" w:cs="仿宋_GB2312"/>
          <w:b/>
          <w:color w:val="000000"/>
        </w:rPr>
        <w:t>. 确定中标供应商</w:t>
      </w:r>
    </w:p>
    <w:p>
      <w:pPr>
        <w:pStyle w:val="216"/>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16"/>
        <w:snapToGrid w:val="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23</w:t>
      </w:r>
      <w:r>
        <w:rPr>
          <w:rFonts w:hint="eastAsia" w:ascii="仿宋" w:hAnsi="仿宋" w:eastAsia="仿宋" w:cs="仿宋_GB2312"/>
          <w:b/>
          <w:color w:val="000000"/>
          <w:szCs w:val="24"/>
        </w:rPr>
        <w:t>.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.2</w:t>
      </w:r>
      <w:r>
        <w:rPr>
          <w:rFonts w:ascii="仿宋" w:hAnsi="仿宋" w:eastAsia="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25</w:t>
      </w:r>
      <w:r>
        <w:rPr>
          <w:rFonts w:hint="eastAsia" w:ascii="仿宋" w:hAnsi="仿宋" w:eastAsia="仿宋" w:cs="仿宋_GB2312"/>
          <w:b/>
          <w:color w:val="000000"/>
        </w:rPr>
        <w:t>.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ascii="仿宋" w:hAnsi="仿宋" w:eastAsia="仿宋" w:cs="仿宋_GB2312"/>
          <w:color w:val="000000"/>
          <w:sz w:val="24"/>
        </w:rPr>
        <w:t>25</w:t>
      </w:r>
      <w:r>
        <w:rPr>
          <w:rFonts w:hint="eastAsia" w:ascii="仿宋" w:hAnsi="仿宋" w:eastAsia="仿宋" w:cs="仿宋_GB2312"/>
          <w:color w:val="000000"/>
          <w:sz w:val="24"/>
        </w:rPr>
        <w:t>.1</w:t>
      </w:r>
      <w:r>
        <w:rPr>
          <w:rFonts w:hint="eastAsia" w:ascii="仿宋" w:hAnsi="仿宋" w:eastAsia="仿宋" w:cs="Arial"/>
          <w:color w:val="000000"/>
          <w:kern w:val="0"/>
          <w:sz w:val="24"/>
        </w:rPr>
        <w:t xml:space="preserve"> 采购人与中标人应当在中标通知书发出之日起三十日内，按照招标文件确定的事项签订政府采购合同。</w:t>
      </w:r>
    </w:p>
    <w:p>
      <w:pPr>
        <w:pStyle w:val="216"/>
        <w:snapToGrid w:val="0"/>
        <w:spacing w:before="0"/>
        <w:ind w:firstLine="480"/>
        <w:rPr>
          <w:rFonts w:ascii="仿宋" w:hAnsi="仿宋" w:eastAsia="仿宋"/>
          <w:color w:val="000000"/>
          <w:kern w:val="0"/>
        </w:rPr>
      </w:pPr>
      <w:r>
        <w:rPr>
          <w:rFonts w:ascii="仿宋" w:hAnsi="仿宋" w:eastAsia="仿宋" w:cs="仿宋_GB2312"/>
          <w:color w:val="000000"/>
          <w:kern w:val="0"/>
          <w:lang w:val="zh-CN"/>
        </w:rPr>
        <w:t>25</w:t>
      </w:r>
      <w:r>
        <w:rPr>
          <w:rFonts w:hint="eastAsia" w:ascii="仿宋" w:hAnsi="仿宋" w:eastAsia="仿宋" w:cs="仿宋_GB2312"/>
          <w:color w:val="000000"/>
          <w:kern w:val="0"/>
          <w:lang w:val="zh-CN"/>
        </w:rPr>
        <w:t>.2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16"/>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.3如签订合同并生效后，供应商无故拒绝或延期，除按照合同条款处理外，列入不良行为记录一次，并给予通报。</w:t>
      </w:r>
    </w:p>
    <w:p>
      <w:pPr>
        <w:pStyle w:val="216"/>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26</w:t>
      </w:r>
      <w:r>
        <w:rPr>
          <w:rFonts w:hint="eastAsia" w:ascii="仿宋" w:hAnsi="仿宋" w:eastAsia="仿宋" w:cs="仿宋_GB2312"/>
          <w:b/>
          <w:color w:val="000000"/>
        </w:rPr>
        <w:t>. 履约保证金</w:t>
      </w:r>
    </w:p>
    <w:p>
      <w:pPr>
        <w:tabs>
          <w:tab w:val="left" w:pos="0"/>
        </w:tabs>
        <w:spacing w:line="360" w:lineRule="auto"/>
        <w:ind w:firstLine="480"/>
        <w:rPr>
          <w:rFonts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ascii="仿宋" w:hAnsi="仿宋" w:eastAsia="仿宋"/>
          <w:color w:val="000000"/>
          <w:sz w:val="24"/>
        </w:rPr>
        <w:t>5</w:t>
      </w:r>
      <w:r>
        <w:rPr>
          <w:rFonts w:hint="eastAsia" w:ascii="仿宋" w:hAnsi="仿宋" w:eastAsia="仿宋"/>
          <w:color w:val="000000"/>
          <w:sz w:val="24"/>
        </w:rPr>
        <w:t xml:space="preserve">%。 </w:t>
      </w:r>
    </w:p>
    <w:p>
      <w:pPr>
        <w:tabs>
          <w:tab w:val="left" w:pos="0"/>
        </w:tabs>
        <w:spacing w:line="360" w:lineRule="auto"/>
        <w:ind w:firstLine="480"/>
        <w:rPr>
          <w:rFonts w:ascii="仿宋" w:hAnsi="仿宋" w:eastAsia="仿宋"/>
          <w:color w:val="000000"/>
          <w:sz w:val="24"/>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16"/>
        <w:snapToGrid w:val="0"/>
        <w:spacing w:before="0"/>
        <w:ind w:firstLine="0" w:firstLineChars="0"/>
        <w:rPr>
          <w:rFonts w:ascii="仿宋" w:hAnsi="仿宋" w:eastAsia="仿宋" w:cs="仿宋_GB2312"/>
        </w:rPr>
      </w:pPr>
      <w:r>
        <w:rPr>
          <w:rFonts w:ascii="仿宋" w:hAnsi="仿宋" w:eastAsia="仿宋" w:cs="仿宋_GB2312"/>
          <w:b/>
        </w:rPr>
        <w:t>27</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16"/>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3"/>
        <w:spacing w:line="360" w:lineRule="auto"/>
        <w:ind w:firstLine="0" w:firstLineChars="0"/>
        <w:rPr>
          <w:rFonts w:ascii="仿宋" w:hAnsi="仿宋" w:eastAsia="仿宋" w:cs="仿宋_GB2312"/>
          <w:b/>
          <w:color w:val="000000"/>
        </w:rPr>
      </w:pPr>
      <w:r>
        <w:rPr>
          <w:rFonts w:ascii="仿宋" w:hAnsi="仿宋" w:eastAsia="仿宋" w:cs="仿宋_GB2312"/>
          <w:b/>
          <w:color w:val="000000"/>
        </w:rPr>
        <w:t>28</w:t>
      </w:r>
      <w:r>
        <w:rPr>
          <w:rFonts w:hint="eastAsia" w:ascii="仿宋" w:hAnsi="仿宋" w:eastAsia="仿宋" w:cs="仿宋_GB2312"/>
          <w:b/>
          <w:color w:val="000000"/>
        </w:rPr>
        <w:t>.验收</w:t>
      </w:r>
    </w:p>
    <w:p>
      <w:pPr>
        <w:tabs>
          <w:tab w:val="left" w:pos="0"/>
        </w:tabs>
        <w:spacing w:line="360" w:lineRule="auto"/>
        <w:ind w:firstLine="480"/>
        <w:jc w:val="left"/>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sectPr>
          <w:headerReference r:id="rId3" w:type="default"/>
          <w:footerReference r:id="rId4" w:type="default"/>
          <w:pgSz w:w="11907" w:h="16840"/>
          <w:pgMar w:top="1440" w:right="1800" w:bottom="1440" w:left="1800" w:header="851" w:footer="851" w:gutter="0"/>
          <w:cols w:space="720" w:num="1"/>
        </w:sectPr>
      </w:pPr>
      <w:r>
        <w:rPr>
          <w:rFonts w:ascii="仿宋" w:hAnsi="仿宋" w:eastAsia="仿宋" w:cs="Helvetica"/>
          <w:color w:val="000000"/>
          <w:kern w:val="0"/>
          <w:sz w:val="24"/>
        </w:rPr>
        <w:t>28</w:t>
      </w:r>
      <w:r>
        <w:rPr>
          <w:rFonts w:hint="eastAsia" w:ascii="仿宋" w:hAnsi="仿宋" w:eastAsia="仿宋" w:cs="Helvetica"/>
          <w:color w:val="000000"/>
          <w:kern w:val="0"/>
          <w:sz w:val="24"/>
        </w:rPr>
        <w:t>.2除</w:t>
      </w:r>
      <w:r>
        <w:rPr>
          <w:rFonts w:ascii="仿宋" w:hAnsi="仿宋" w:eastAsia="仿宋" w:cs="Helvetica"/>
          <w:color w:val="000000"/>
          <w:kern w:val="0"/>
          <w:sz w:val="24"/>
        </w:rPr>
        <w:t>28</w:t>
      </w:r>
      <w:r>
        <w:rPr>
          <w:rFonts w:hint="eastAsia" w:ascii="仿宋" w:hAnsi="仿宋" w:eastAsia="仿宋" w:cs="Helvetica"/>
          <w:color w:val="000000"/>
          <w:kern w:val="0"/>
          <w:sz w:val="24"/>
        </w:rPr>
        <w:t>.1规定情形外，采购人可以自行验收或邀请参加本项目的其他投标人或者第三方机构参与验收。</w:t>
      </w:r>
      <w:bookmarkEnd w:id="40"/>
      <w:bookmarkEnd w:id="41"/>
      <w:bookmarkStart w:id="60" w:name="第四部分"/>
    </w:p>
    <w:p>
      <w:pPr>
        <w:pStyle w:val="2"/>
      </w:pPr>
      <w:r>
        <w:rPr>
          <w:rFonts w:hint="eastAsia"/>
        </w:rPr>
        <w:t>第三部分   采购需求</w:t>
      </w:r>
    </w:p>
    <w:p>
      <w:pPr>
        <w:snapToGrid w:val="0"/>
        <w:spacing w:line="360" w:lineRule="auto"/>
        <w:jc w:val="center"/>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center"/>
        <w:rPr>
          <w:rFonts w:ascii="仿宋" w:hAnsi="仿宋" w:eastAsia="仿宋"/>
          <w:color w:val="000000"/>
          <w:sz w:val="24"/>
        </w:rPr>
      </w:pPr>
      <w:r>
        <w:rPr>
          <w:rFonts w:hint="eastAsia" w:ascii="仿宋" w:hAnsi="仿宋" w:eastAsia="仿宋"/>
          <w:color w:val="000000"/>
          <w:sz w:val="24"/>
        </w:rPr>
        <w:t>“★”系产品采购项目中单一产品或核心产品。</w:t>
      </w:r>
    </w:p>
    <w:p>
      <w:pPr>
        <w:spacing w:line="360" w:lineRule="auto"/>
        <w:jc w:val="center"/>
        <w:rPr>
          <w:rFonts w:ascii="仿宋" w:hAnsi="仿宋" w:eastAsia="仿宋"/>
          <w:b/>
          <w:sz w:val="24"/>
        </w:rPr>
      </w:pPr>
      <w:r>
        <w:rPr>
          <w:rFonts w:hint="eastAsia" w:ascii="仿宋" w:hAnsi="仿宋" w:eastAsia="仿宋"/>
          <w:b/>
          <w:sz w:val="24"/>
        </w:rPr>
        <w:t>一、招标一览表</w:t>
      </w:r>
    </w:p>
    <w:p>
      <w:pPr>
        <w:ind w:firstLine="590" w:firstLineChars="245"/>
        <w:rPr>
          <w:rFonts w:ascii="仿宋" w:hAnsi="仿宋" w:eastAsia="仿宋"/>
          <w:b/>
          <w:sz w:val="24"/>
          <w:u w:val="single"/>
        </w:rPr>
      </w:pPr>
      <w:r>
        <w:rPr>
          <w:rFonts w:hint="eastAsia" w:ascii="仿宋" w:hAnsi="仿宋" w:eastAsia="仿宋"/>
          <w:b/>
          <w:sz w:val="24"/>
          <w:u w:val="single"/>
        </w:rPr>
        <w:t>标项：1.</w:t>
      </w:r>
    </w:p>
    <w:tbl>
      <w:tblPr>
        <w:tblStyle w:val="60"/>
        <w:tblW w:w="0" w:type="auto"/>
        <w:jc w:val="center"/>
        <w:tblLayout w:type="fixed"/>
        <w:tblCellMar>
          <w:top w:w="0" w:type="dxa"/>
          <w:left w:w="0" w:type="dxa"/>
          <w:bottom w:w="0" w:type="dxa"/>
          <w:right w:w="0" w:type="dxa"/>
        </w:tblCellMar>
      </w:tblPr>
      <w:tblGrid>
        <w:gridCol w:w="920"/>
        <w:gridCol w:w="3022"/>
        <w:gridCol w:w="1980"/>
        <w:gridCol w:w="720"/>
        <w:gridCol w:w="720"/>
        <w:gridCol w:w="1452"/>
      </w:tblGrid>
      <w:tr>
        <w:tblPrEx>
          <w:tblCellMar>
            <w:top w:w="0" w:type="dxa"/>
            <w:left w:w="0" w:type="dxa"/>
            <w:bottom w:w="0" w:type="dxa"/>
            <w:right w:w="0" w:type="dxa"/>
          </w:tblCellMar>
        </w:tblPrEx>
        <w:trPr>
          <w:cantSplit/>
          <w:trHeight w:val="467" w:hRule="atLeast"/>
          <w:jc w:val="center"/>
        </w:trPr>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bCs/>
                <w:sz w:val="24"/>
              </w:rPr>
            </w:pPr>
            <w:r>
              <w:rPr>
                <w:rFonts w:hint="eastAsia" w:ascii="仿宋" w:hAnsi="仿宋" w:eastAsia="仿宋"/>
                <w:bCs/>
                <w:sz w:val="24"/>
              </w:rPr>
              <w:t>序号</w:t>
            </w:r>
          </w:p>
        </w:tc>
        <w:tc>
          <w:tcPr>
            <w:tcW w:w="302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bCs/>
                <w:sz w:val="24"/>
              </w:rPr>
            </w:pPr>
            <w:r>
              <w:rPr>
                <w:rFonts w:hint="eastAsia" w:ascii="仿宋" w:hAnsi="仿宋" w:eastAsia="仿宋"/>
                <w:bCs/>
                <w:sz w:val="24"/>
              </w:rPr>
              <w:t>名称</w:t>
            </w:r>
          </w:p>
        </w:tc>
        <w:tc>
          <w:tcPr>
            <w:tcW w:w="19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bCs/>
                <w:sz w:val="24"/>
              </w:rPr>
            </w:pPr>
            <w:r>
              <w:rPr>
                <w:rFonts w:hint="eastAsia" w:ascii="仿宋" w:hAnsi="仿宋" w:eastAsia="仿宋"/>
                <w:bCs/>
                <w:sz w:val="24"/>
              </w:rPr>
              <w:t>规格型号与参数</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bCs/>
                <w:sz w:val="24"/>
              </w:rPr>
            </w:pPr>
            <w:r>
              <w:rPr>
                <w:rFonts w:hint="eastAsia" w:ascii="仿宋" w:hAnsi="仿宋" w:eastAsia="仿宋"/>
                <w:bCs/>
                <w:sz w:val="24"/>
              </w:rPr>
              <w:t>单位</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bCs/>
                <w:sz w:val="24"/>
              </w:rPr>
            </w:pPr>
            <w:r>
              <w:rPr>
                <w:rFonts w:hint="eastAsia" w:ascii="仿宋" w:hAnsi="仿宋" w:eastAsia="仿宋"/>
                <w:bCs/>
                <w:sz w:val="24"/>
              </w:rPr>
              <w:t>数量</w:t>
            </w:r>
          </w:p>
        </w:tc>
        <w:tc>
          <w:tcPr>
            <w:tcW w:w="1452"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sz w:val="24"/>
              </w:rPr>
            </w:pPr>
            <w:r>
              <w:rPr>
                <w:rFonts w:hint="eastAsia" w:ascii="仿宋" w:hAnsi="仿宋" w:eastAsia="仿宋"/>
                <w:bCs/>
                <w:sz w:val="24"/>
              </w:rPr>
              <w:t>备注</w:t>
            </w:r>
          </w:p>
        </w:tc>
      </w:tr>
      <w:tr>
        <w:tblPrEx>
          <w:tblCellMar>
            <w:top w:w="0" w:type="dxa"/>
            <w:left w:w="0" w:type="dxa"/>
            <w:bottom w:w="0" w:type="dxa"/>
            <w:right w:w="0" w:type="dxa"/>
          </w:tblCellMar>
        </w:tblPrEx>
        <w:trPr>
          <w:cantSplit/>
          <w:trHeight w:val="774" w:hRule="atLeast"/>
          <w:jc w:val="center"/>
        </w:trPr>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sz w:val="24"/>
                <w:szCs w:val="28"/>
              </w:rPr>
            </w:pPr>
            <w:r>
              <w:rPr>
                <w:rFonts w:hint="eastAsia" w:ascii="仿宋" w:hAnsi="仿宋" w:eastAsia="仿宋"/>
                <w:sz w:val="24"/>
                <w:szCs w:val="28"/>
              </w:rPr>
              <w:t>1</w:t>
            </w:r>
          </w:p>
        </w:tc>
        <w:tc>
          <w:tcPr>
            <w:tcW w:w="302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sz w:val="24"/>
                <w:szCs w:val="28"/>
              </w:rPr>
            </w:pPr>
            <w:r>
              <w:rPr>
                <w:rFonts w:hint="eastAsia" w:ascii="仿宋" w:hAnsi="仿宋" w:eastAsia="仿宋"/>
                <w:sz w:val="24"/>
                <w:szCs w:val="28"/>
              </w:rPr>
              <w:t>物业（保洁）综合服务</w:t>
            </w:r>
          </w:p>
        </w:tc>
        <w:tc>
          <w:tcPr>
            <w:tcW w:w="19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sz w:val="24"/>
                <w:szCs w:val="28"/>
              </w:rPr>
            </w:pPr>
            <w:r>
              <w:rPr>
                <w:rFonts w:hint="eastAsia" w:ascii="仿宋" w:hAnsi="仿宋" w:eastAsia="仿宋"/>
                <w:sz w:val="24"/>
                <w:szCs w:val="28"/>
              </w:rPr>
              <w:t>详见招标需求</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sz w:val="24"/>
                <w:szCs w:val="28"/>
              </w:rPr>
            </w:pPr>
            <w:r>
              <w:rPr>
                <w:rFonts w:hint="eastAsia" w:ascii="仿宋" w:hAnsi="仿宋" w:eastAsia="仿宋"/>
                <w:sz w:val="24"/>
                <w:szCs w:val="28"/>
              </w:rPr>
              <w:t>年</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 w:hAnsi="仿宋" w:eastAsia="仿宋"/>
                <w:sz w:val="24"/>
                <w:szCs w:val="28"/>
              </w:rPr>
            </w:pPr>
            <w:r>
              <w:rPr>
                <w:rFonts w:hint="eastAsia" w:ascii="仿宋" w:hAnsi="仿宋" w:eastAsia="仿宋"/>
                <w:sz w:val="24"/>
                <w:szCs w:val="28"/>
              </w:rPr>
              <w:t>1</w:t>
            </w:r>
          </w:p>
        </w:tc>
        <w:tc>
          <w:tcPr>
            <w:tcW w:w="1452"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8"/>
              </w:rPr>
            </w:pPr>
          </w:p>
        </w:tc>
      </w:tr>
    </w:tbl>
    <w:p>
      <w:pPr>
        <w:spacing w:line="360" w:lineRule="auto"/>
        <w:ind w:firstLine="723" w:firstLineChars="300"/>
        <w:rPr>
          <w:rFonts w:ascii="仿宋" w:hAnsi="仿宋" w:eastAsia="仿宋"/>
          <w:b/>
          <w:sz w:val="28"/>
          <w:szCs w:val="28"/>
        </w:rPr>
      </w:pPr>
      <w:r>
        <w:rPr>
          <w:rFonts w:hint="eastAsia" w:ascii="仿宋" w:hAnsi="仿宋" w:eastAsia="仿宋" w:cs="仿宋"/>
          <w:b/>
          <w:bCs/>
          <w:color w:val="FF0000"/>
          <w:sz w:val="24"/>
        </w:rPr>
        <w:t>注</w:t>
      </w:r>
      <w:r>
        <w:rPr>
          <w:rFonts w:ascii="仿宋" w:hAnsi="仿宋" w:eastAsia="仿宋" w:cs="仿宋"/>
          <w:b/>
          <w:bCs/>
          <w:color w:val="FF0000"/>
          <w:sz w:val="24"/>
        </w:rPr>
        <w:t>:1、本次投标报价为1年物业（保洁）综合服务的费用。</w:t>
      </w:r>
    </w:p>
    <w:p>
      <w:pPr>
        <w:autoSpaceDE w:val="0"/>
        <w:autoSpaceDN w:val="0"/>
        <w:spacing w:afterLines="50" w:line="440" w:lineRule="exact"/>
        <w:jc w:val="center"/>
        <w:rPr>
          <w:rFonts w:ascii="仿宋" w:hAnsi="仿宋" w:eastAsia="仿宋"/>
          <w:b/>
          <w:sz w:val="28"/>
          <w:szCs w:val="28"/>
        </w:rPr>
      </w:pPr>
      <w:r>
        <w:rPr>
          <w:rFonts w:hint="eastAsia" w:ascii="仿宋" w:hAnsi="仿宋" w:eastAsia="仿宋"/>
          <w:b/>
          <w:sz w:val="28"/>
          <w:szCs w:val="28"/>
        </w:rPr>
        <w:t>二、招标需求</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FF0000"/>
          <w:sz w:val="24"/>
        </w:rPr>
        <w:t>一、</w:t>
      </w:r>
      <w:r>
        <w:rPr>
          <w:rFonts w:hint="eastAsia" w:ascii="仿宋" w:hAnsi="仿宋" w:eastAsia="仿宋" w:cs="仿宋"/>
          <w:b/>
          <w:color w:val="000000" w:themeColor="text1"/>
          <w:sz w:val="24"/>
          <w14:textFill>
            <w14:solidFill>
              <w14:schemeClr w14:val="tx1"/>
            </w14:solidFill>
          </w14:textFill>
        </w:rPr>
        <w:t>技术需求</w:t>
      </w:r>
    </w:p>
    <w:p>
      <w:pPr>
        <w:spacing w:line="360" w:lineRule="auto"/>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（一）项目基本情况：</w:t>
      </w:r>
    </w:p>
    <w:p>
      <w:pPr>
        <w:spacing w:line="360" w:lineRule="auto"/>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杭州市萧山区第一人民医院医共体总院（杭州市萧山区第一人民医院）创建于1935年8月，是萧山区的医疗中心和医学技术培训中心。目前为国家三级乙等综合性医院，</w:t>
      </w:r>
      <w:r>
        <w:rPr>
          <w:rFonts w:hint="eastAsia" w:ascii="仿宋" w:hAnsi="仿宋" w:eastAsia="仿宋" w:cs="仿宋"/>
          <w:bCs/>
          <w:color w:val="000000" w:themeColor="text1"/>
          <w:sz w:val="24"/>
          <w:highlight w:val="none"/>
          <w14:textFill>
            <w14:solidFill>
              <w14:schemeClr w14:val="tx1"/>
            </w14:solidFill>
          </w14:textFill>
        </w:rPr>
        <w:t>同时是</w:t>
      </w:r>
      <w:r>
        <w:rPr>
          <w:rFonts w:hint="eastAsia" w:ascii="仿宋" w:hAnsi="仿宋" w:eastAsia="仿宋" w:cs="仿宋"/>
          <w:bCs/>
          <w:color w:val="000000" w:themeColor="text1"/>
          <w:sz w:val="24"/>
          <w14:textFill>
            <w14:solidFill>
              <w14:schemeClr w14:val="tx1"/>
            </w14:solidFill>
          </w14:textFill>
        </w:rPr>
        <w:t>温州医科大学非直管附属医院、浙江大学医学院附属第二医院萧山分院、杭师大医学院附属医院、浙江中医药大学教学医院、浙江省高等医学院校教学医院，与美国纽约州立大学医学院、德国切瑞特医院、澳大利亚玛太医院建有友好合作关系，是浙江省、杭州市、萧山区三级医保定点医疗机构。总占地面积52000</w:t>
      </w:r>
      <w:r>
        <w:rPr>
          <w:rFonts w:hint="eastAsia" w:ascii="仿宋" w:hAnsi="仿宋" w:eastAsia="仿宋" w:cs="仿宋"/>
          <w:bCs/>
          <w:color w:val="000000" w:themeColor="text1"/>
          <w:kern w:val="0"/>
          <w:sz w:val="24"/>
          <w14:textFill>
            <w14:solidFill>
              <w14:schemeClr w14:val="tx1"/>
            </w14:solidFill>
          </w14:textFill>
        </w:rPr>
        <w:t>M</w:t>
      </w:r>
      <w:r>
        <w:rPr>
          <w:rFonts w:hint="eastAsia" w:ascii="仿宋" w:hAnsi="仿宋" w:eastAsia="仿宋" w:cs="仿宋"/>
          <w:bCs/>
          <w:color w:val="000000" w:themeColor="text1"/>
          <w:kern w:val="0"/>
          <w:sz w:val="24"/>
          <w:vertAlign w:val="superscript"/>
          <w14:textFill>
            <w14:solidFill>
              <w14:schemeClr w14:val="tx1"/>
            </w14:solidFill>
          </w14:textFill>
        </w:rPr>
        <w:t>2</w:t>
      </w:r>
      <w:r>
        <w:rPr>
          <w:rFonts w:hint="eastAsia" w:ascii="仿宋" w:hAnsi="仿宋" w:eastAsia="仿宋" w:cs="仿宋"/>
          <w:bCs/>
          <w:color w:val="000000" w:themeColor="text1"/>
          <w:kern w:val="0"/>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现有建筑占地面积17176</w:t>
      </w:r>
      <w:r>
        <w:rPr>
          <w:rFonts w:hint="eastAsia" w:ascii="仿宋" w:hAnsi="仿宋" w:eastAsia="仿宋" w:cs="仿宋"/>
          <w:bCs/>
          <w:color w:val="000000" w:themeColor="text1"/>
          <w:kern w:val="0"/>
          <w:sz w:val="24"/>
          <w14:textFill>
            <w14:solidFill>
              <w14:schemeClr w14:val="tx1"/>
            </w14:solidFill>
          </w14:textFill>
        </w:rPr>
        <w:t>M</w:t>
      </w:r>
      <w:r>
        <w:rPr>
          <w:rFonts w:hint="eastAsia" w:ascii="仿宋" w:hAnsi="仿宋" w:eastAsia="仿宋" w:cs="仿宋"/>
          <w:bCs/>
          <w:color w:val="000000" w:themeColor="text1"/>
          <w:kern w:val="0"/>
          <w:sz w:val="24"/>
          <w:vertAlign w:val="superscript"/>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，建筑面积123914</w:t>
      </w:r>
      <w:r>
        <w:rPr>
          <w:rFonts w:hint="eastAsia" w:ascii="仿宋" w:hAnsi="仿宋" w:eastAsia="仿宋" w:cs="仿宋"/>
          <w:bCs/>
          <w:color w:val="000000" w:themeColor="text1"/>
          <w:kern w:val="0"/>
          <w:sz w:val="24"/>
          <w14:textFill>
            <w14:solidFill>
              <w14:schemeClr w14:val="tx1"/>
            </w14:solidFill>
          </w14:textFill>
        </w:rPr>
        <w:t>M</w:t>
      </w:r>
      <w:r>
        <w:rPr>
          <w:rFonts w:hint="eastAsia" w:ascii="仿宋" w:hAnsi="仿宋" w:eastAsia="仿宋" w:cs="仿宋"/>
          <w:bCs/>
          <w:color w:val="000000" w:themeColor="text1"/>
          <w:kern w:val="0"/>
          <w:sz w:val="24"/>
          <w:vertAlign w:val="superscript"/>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，室内总面积85339</w:t>
      </w:r>
      <w:r>
        <w:rPr>
          <w:rFonts w:hint="eastAsia" w:ascii="仿宋" w:hAnsi="仿宋" w:eastAsia="仿宋" w:cs="仿宋"/>
          <w:bCs/>
          <w:color w:val="000000" w:themeColor="text1"/>
          <w:kern w:val="0"/>
          <w:sz w:val="24"/>
          <w14:textFill>
            <w14:solidFill>
              <w14:schemeClr w14:val="tx1"/>
            </w14:solidFill>
          </w14:textFill>
        </w:rPr>
        <w:t>M</w:t>
      </w:r>
      <w:r>
        <w:rPr>
          <w:rFonts w:hint="eastAsia" w:ascii="仿宋" w:hAnsi="仿宋" w:eastAsia="仿宋" w:cs="仿宋"/>
          <w:bCs/>
          <w:color w:val="000000" w:themeColor="text1"/>
          <w:kern w:val="0"/>
          <w:sz w:val="24"/>
          <w:vertAlign w:val="superscript"/>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，开放床位1160余张。</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市心院区保洁楼宇</w:t>
      </w:r>
    </w:p>
    <w:tbl>
      <w:tblPr>
        <w:tblStyle w:val="60"/>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楼宇</w:t>
            </w:r>
          </w:p>
        </w:tc>
        <w:tc>
          <w:tcPr>
            <w:tcW w:w="2786" w:type="pct"/>
            <w:noWrap/>
            <w:vAlign w:val="center"/>
          </w:tcPr>
          <w:p>
            <w:pPr>
              <w:spacing w:line="312" w:lineRule="auto"/>
              <w:ind w:firstLine="120" w:firstLineChars="50"/>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室内保洁面积</w:t>
            </w:r>
            <w:r>
              <w:rPr>
                <w:rFonts w:hint="eastAsia" w:ascii="仿宋" w:hAnsi="仿宋" w:eastAsia="仿宋" w:cs="仿宋"/>
                <w:color w:val="000000" w:themeColor="text1"/>
                <w:kern w:val="0"/>
                <w:sz w:val="24"/>
                <w14:textFill>
                  <w14:solidFill>
                    <w14:schemeClr w14:val="tx1"/>
                  </w14:solidFill>
                </w14:textFill>
              </w:rPr>
              <w:t>(M</w:t>
            </w:r>
            <w:r>
              <w:rPr>
                <w:rFonts w:hint="eastAsia" w:ascii="仿宋" w:hAnsi="仿宋" w:eastAsia="仿宋" w:cs="仿宋"/>
                <w:color w:val="000000" w:themeColor="text1"/>
                <w:kern w:val="0"/>
                <w:sz w:val="24"/>
                <w:vertAlign w:val="super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1号病区综合楼（15层+地下2层）</w:t>
            </w:r>
          </w:p>
        </w:tc>
        <w:tc>
          <w:tcPr>
            <w:tcW w:w="2786" w:type="pct"/>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57353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2号内科综合楼（11层+地下1层）</w:t>
            </w:r>
          </w:p>
        </w:tc>
        <w:tc>
          <w:tcPr>
            <w:tcW w:w="2786"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3号肿瘤内科楼（4层）</w:t>
            </w:r>
          </w:p>
        </w:tc>
        <w:tc>
          <w:tcPr>
            <w:tcW w:w="2786"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4号行政后勤楼（3层）</w:t>
            </w:r>
          </w:p>
        </w:tc>
        <w:tc>
          <w:tcPr>
            <w:tcW w:w="2786"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5号高压氧房楼（2层）</w:t>
            </w:r>
          </w:p>
        </w:tc>
        <w:tc>
          <w:tcPr>
            <w:tcW w:w="2786" w:type="pct"/>
            <w:noWrap/>
            <w:vAlign w:val="center"/>
          </w:tcPr>
          <w:p>
            <w:pPr>
              <w:spacing w:line="31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6号影像中心楼（3层）</w:t>
            </w:r>
          </w:p>
        </w:tc>
        <w:tc>
          <w:tcPr>
            <w:tcW w:w="2786"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7号病区药房楼（3层）</w:t>
            </w:r>
          </w:p>
        </w:tc>
        <w:tc>
          <w:tcPr>
            <w:tcW w:w="2786"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8号中医馆楼（4层）</w:t>
            </w:r>
          </w:p>
        </w:tc>
        <w:tc>
          <w:tcPr>
            <w:tcW w:w="2786"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3"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9号感染门诊楼（3层）</w:t>
            </w:r>
          </w:p>
        </w:tc>
        <w:tc>
          <w:tcPr>
            <w:tcW w:w="2786" w:type="pct"/>
            <w:noWrap/>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975</w:t>
            </w:r>
          </w:p>
        </w:tc>
      </w:tr>
    </w:tbl>
    <w:p>
      <w:pPr>
        <w:jc w:val="center"/>
        <w:rPr>
          <w:rFonts w:ascii="仿宋" w:hAnsi="仿宋" w:eastAsia="仿宋" w:cs="仿宋"/>
          <w:color w:val="000000" w:themeColor="text1"/>
          <w:sz w:val="24"/>
          <w14:textFill>
            <w14:solidFill>
              <w14:schemeClr w14:val="tx1"/>
            </w14:solidFill>
          </w14:textFill>
        </w:rPr>
      </w:pP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通惠院区保洁楼宇</w:t>
      </w:r>
    </w:p>
    <w:tbl>
      <w:tblPr>
        <w:tblStyle w:val="60"/>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6"/>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楼宇</w:t>
            </w:r>
          </w:p>
        </w:tc>
        <w:tc>
          <w:tcPr>
            <w:tcW w:w="27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室内保洁面积</w:t>
            </w:r>
            <w:r>
              <w:rPr>
                <w:rFonts w:hint="eastAsia" w:ascii="仿宋" w:hAnsi="仿宋" w:eastAsia="仿宋" w:cs="仿宋"/>
                <w:color w:val="000000" w:themeColor="text1"/>
                <w:kern w:val="0"/>
                <w:sz w:val="24"/>
                <w14:textFill>
                  <w14:solidFill>
                    <w14:schemeClr w14:val="tx1"/>
                  </w14:solidFill>
                </w14:textFill>
              </w:rPr>
              <w:t>(M</w:t>
            </w:r>
            <w:r>
              <w:rPr>
                <w:rFonts w:hint="eastAsia" w:ascii="仿宋" w:hAnsi="仿宋" w:eastAsia="仿宋" w:cs="仿宋"/>
                <w:color w:val="000000" w:themeColor="text1"/>
                <w:kern w:val="0"/>
                <w:sz w:val="24"/>
                <w:vertAlign w:val="super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发热门诊楼（3层）</w:t>
            </w:r>
          </w:p>
        </w:tc>
        <w:tc>
          <w:tcPr>
            <w:tcW w:w="2761" w:type="pct"/>
            <w:tcBorders>
              <w:top w:val="single" w:color="auto" w:sz="4" w:space="0"/>
              <w:left w:val="single" w:color="auto" w:sz="4" w:space="0"/>
              <w:bottom w:val="single" w:color="auto" w:sz="4" w:space="0"/>
              <w:right w:val="single" w:color="auto" w:sz="4" w:space="0"/>
            </w:tcBorders>
            <w:noWrap/>
            <w:vAlign w:val="center"/>
          </w:tcPr>
          <w:p>
            <w:pPr>
              <w:ind w:left="34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感染科楼（4层）</w:t>
            </w:r>
          </w:p>
        </w:tc>
        <w:tc>
          <w:tcPr>
            <w:tcW w:w="2761" w:type="pct"/>
            <w:tcBorders>
              <w:top w:val="single" w:color="auto" w:sz="4" w:space="0"/>
              <w:left w:val="single" w:color="auto" w:sz="4" w:space="0"/>
              <w:bottom w:val="single" w:color="auto" w:sz="4" w:space="0"/>
              <w:right w:val="single" w:color="auto" w:sz="4" w:space="0"/>
            </w:tcBorders>
            <w:noWrap/>
          </w:tcPr>
          <w:p>
            <w:pPr>
              <w:ind w:left="239" w:leftChars="114" w:firstLine="120" w:firstLineChars="5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隔离病房楼（6层）</w:t>
            </w:r>
          </w:p>
        </w:tc>
        <w:tc>
          <w:tcPr>
            <w:tcW w:w="2761" w:type="pct"/>
            <w:tcBorders>
              <w:top w:val="single" w:color="auto" w:sz="4" w:space="0"/>
              <w:left w:val="single" w:color="auto" w:sz="4" w:space="0"/>
              <w:bottom w:val="single" w:color="auto" w:sz="4" w:space="0"/>
              <w:right w:val="single" w:color="auto" w:sz="4" w:space="0"/>
            </w:tcBorders>
            <w:noWrap/>
          </w:tcPr>
          <w:p>
            <w:pPr>
              <w:ind w:left="24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负压病房楼（3层）</w:t>
            </w:r>
          </w:p>
        </w:tc>
        <w:tc>
          <w:tcPr>
            <w:tcW w:w="2761" w:type="pct"/>
            <w:tcBorders>
              <w:top w:val="single" w:color="auto" w:sz="4" w:space="0"/>
              <w:left w:val="single" w:color="auto" w:sz="4" w:space="0"/>
              <w:bottom w:val="single" w:color="auto" w:sz="4" w:space="0"/>
              <w:right w:val="single" w:color="auto" w:sz="4" w:space="0"/>
            </w:tcBorders>
            <w:noWrap/>
          </w:tcPr>
          <w:p>
            <w:pPr>
              <w:ind w:left="24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2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图书馆楼（3层）</w:t>
            </w:r>
          </w:p>
        </w:tc>
        <w:tc>
          <w:tcPr>
            <w:tcW w:w="2761" w:type="pct"/>
            <w:tcBorders>
              <w:top w:val="single" w:color="auto" w:sz="4" w:space="0"/>
              <w:left w:val="single" w:color="auto" w:sz="4" w:space="0"/>
              <w:bottom w:val="single" w:color="auto" w:sz="4" w:space="0"/>
              <w:right w:val="single" w:color="auto" w:sz="4" w:space="0"/>
            </w:tcBorders>
            <w:noWrap/>
          </w:tcPr>
          <w:p>
            <w:pPr>
              <w:ind w:left="24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210</w:t>
            </w:r>
          </w:p>
        </w:tc>
      </w:tr>
    </w:tbl>
    <w:p>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注：1、室外保洁面积现场测量。</w:t>
      </w:r>
    </w:p>
    <w:p>
      <w:pPr>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2、隔离病房楼、负压病房楼、图书馆楼的楼宇根据需要定时保洁，具体见保洁人员需求。</w:t>
      </w:r>
    </w:p>
    <w:p>
      <w:pPr>
        <w:spacing w:line="360" w:lineRule="auto"/>
        <w:ind w:firstLine="360" w:firstLineChars="150"/>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w:t>
      </w:r>
      <w:r>
        <w:rPr>
          <w:rFonts w:hint="eastAsia" w:ascii="仿宋" w:hAnsi="仿宋" w:eastAsia="仿宋" w:cs="仿宋"/>
          <w:color w:val="000000" w:themeColor="text1"/>
          <w:sz w:val="24"/>
          <w:lang w:val="zh-CN"/>
          <w14:textFill>
            <w14:solidFill>
              <w14:schemeClr w14:val="tx1"/>
            </w14:solidFill>
          </w14:textFill>
        </w:rPr>
        <w:t>具体项目情况请以实地考察为主并确认。</w:t>
      </w:r>
    </w:p>
    <w:p>
      <w:pPr>
        <w:spacing w:line="360" w:lineRule="auto"/>
        <w:ind w:left="420"/>
        <w:rPr>
          <w:rFonts w:ascii="仿宋" w:hAnsi="仿宋" w:eastAsia="仿宋" w:cs="仿宋"/>
          <w:b/>
          <w:color w:val="000000" w:themeColor="text1"/>
          <w:sz w:val="24"/>
          <w14:textFill>
            <w14:solidFill>
              <w14:schemeClr w14:val="tx1"/>
            </w14:solidFill>
          </w14:textFill>
        </w:rPr>
      </w:pPr>
    </w:p>
    <w:p>
      <w:pPr>
        <w:spacing w:line="360" w:lineRule="auto"/>
        <w:ind w:left="42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（二）服务内容及要求</w:t>
      </w:r>
    </w:p>
    <w:p>
      <w:pPr>
        <w:tabs>
          <w:tab w:val="left" w:pos="360"/>
          <w:tab w:val="left" w:pos="540"/>
          <w:tab w:val="left" w:pos="720"/>
          <w:tab w:val="left" w:pos="900"/>
        </w:tabs>
        <w:autoSpaceDE w:val="0"/>
        <w:autoSpaceDN w:val="0"/>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医院物业（保洁）综合服务服务范围：医院市心路及通惠院区病房、门诊、行政办公、院区环境保洁，医梯</w:t>
      </w:r>
      <w:r>
        <w:rPr>
          <w:rFonts w:hint="eastAsia" w:ascii="仿宋" w:hAnsi="仿宋" w:eastAsia="仿宋" w:cs="仿宋"/>
          <w:color w:val="auto"/>
          <w:sz w:val="24"/>
        </w:rPr>
        <w:t>司梯</w:t>
      </w:r>
      <w:r>
        <w:rPr>
          <w:rFonts w:hint="eastAsia" w:ascii="仿宋" w:hAnsi="仿宋" w:eastAsia="仿宋" w:cs="仿宋"/>
          <w:color w:val="000000" w:themeColor="text1"/>
          <w:sz w:val="24"/>
          <w14:textFill>
            <w14:solidFill>
              <w14:schemeClr w14:val="tx1"/>
            </w14:solidFill>
          </w14:textFill>
        </w:rPr>
        <w:t>服务、蓝领公寓宿舍管理（含公区保洁）等。</w:t>
      </w:r>
    </w:p>
    <w:p>
      <w:pPr>
        <w:tabs>
          <w:tab w:val="left" w:pos="360"/>
          <w:tab w:val="left" w:pos="540"/>
          <w:tab w:val="left" w:pos="720"/>
          <w:tab w:val="left" w:pos="900"/>
        </w:tabs>
        <w:autoSpaceDE w:val="0"/>
        <w:autoSpaceDN w:val="0"/>
        <w:spacing w:line="360" w:lineRule="auto"/>
        <w:ind w:firstLine="42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1、保洁服务</w:t>
      </w:r>
    </w:p>
    <w:p>
      <w:pPr>
        <w:tabs>
          <w:tab w:val="left" w:pos="360"/>
          <w:tab w:val="left" w:pos="540"/>
          <w:tab w:val="left" w:pos="720"/>
          <w:tab w:val="left" w:pos="900"/>
        </w:tabs>
        <w:autoSpaceDE w:val="0"/>
        <w:autoSpaceDN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1.1保洁服务范围：</w:t>
      </w:r>
    </w:p>
    <w:p>
      <w:pPr>
        <w:tabs>
          <w:tab w:val="left" w:pos="360"/>
          <w:tab w:val="left" w:pos="540"/>
          <w:tab w:val="left" w:pos="720"/>
          <w:tab w:val="left" w:pos="900"/>
        </w:tabs>
        <w:autoSpaceDE w:val="0"/>
        <w:autoSpaceDN w:val="0"/>
        <w:spacing w:line="360" w:lineRule="auto"/>
        <w:ind w:firstLine="540" w:firstLineChars="22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市心路院区区域：1号楼—9号楼，含地下室、所有屋顶、院落以及垃圾房的环境保洁。</w:t>
      </w:r>
    </w:p>
    <w:p>
      <w:pPr>
        <w:tabs>
          <w:tab w:val="left" w:pos="360"/>
          <w:tab w:val="left" w:pos="540"/>
          <w:tab w:val="left" w:pos="720"/>
          <w:tab w:val="left" w:pos="900"/>
        </w:tabs>
        <w:autoSpaceDE w:val="0"/>
        <w:autoSpaceDN w:val="0"/>
        <w:spacing w:line="360" w:lineRule="auto"/>
        <w:ind w:firstLine="540" w:firstLineChars="22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通惠院区区域：发热门诊楼、感染科楼、隔离病房楼、负压病房楼、图书馆楼，所有屋顶、院落以及垃圾房的环境保洁。</w:t>
      </w:r>
    </w:p>
    <w:p>
      <w:pPr>
        <w:tabs>
          <w:tab w:val="left" w:pos="360"/>
          <w:tab w:val="left" w:pos="540"/>
          <w:tab w:val="left" w:pos="720"/>
          <w:tab w:val="left" w:pos="900"/>
        </w:tabs>
        <w:autoSpaceDE w:val="0"/>
        <w:autoSpaceDN w:val="0"/>
        <w:spacing w:line="360" w:lineRule="auto"/>
        <w:ind w:firstLine="540" w:firstLineChars="22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蓝领公寓区域：学生宿舍楼公共区域楼道、扶手及配套设施，区域内地面、垃圾桶、电瓶车充电处顶棚等保洁。</w:t>
      </w:r>
    </w:p>
    <w:p>
      <w:pPr>
        <w:tabs>
          <w:tab w:val="left" w:pos="360"/>
          <w:tab w:val="left" w:pos="540"/>
          <w:tab w:val="left" w:pos="720"/>
          <w:tab w:val="left" w:pos="900"/>
        </w:tabs>
        <w:autoSpaceDE w:val="0"/>
        <w:autoSpaceDN w:val="0"/>
        <w:spacing w:line="360" w:lineRule="auto"/>
        <w:ind w:firstLine="540" w:firstLineChars="22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1.2保洁服务内容</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1 \* GB3 \* MERGEFORMAT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服务内容及保洁频次：</w:t>
      </w:r>
    </w:p>
    <w:tbl>
      <w:tblPr>
        <w:tblStyle w:val="6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3"/>
        <w:gridCol w:w="559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773"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92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2"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大厅</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/急诊室/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输液</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门诊诊室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医技科室</w:t>
            </w:r>
          </w:p>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区域内地面无扬尘干扫（随时清扫）</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区域内家具（桌椅、橱柜等）、台面擦拭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区域内电脑、电话、（非医用仪器）设施表面清洁、擦拭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区域内洗手池、水池、水龙头清洗、擦拭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卫生间（含水龙头、洗手池、台面、马桶、地面）冲洗、擦拭、消毒，及时替换擦手纸、洗手液</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区域内窗台、阳台、门把手、扶手栏杆、开关盒、接线盒、各类低处标牌、垃圾桶擦拭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开水器、冰箱外表面清洁消毒</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门、门框、低处窗框擦拭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玻璃内面及窗框清洁</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高处标牌、壁挂物擦拭，各类装饰物的擦拭</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灯具、监视器、通风口、管道、空调、风扇等高处设备擦洗，空调滤网清洗、消毒</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通道地面机洗</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noWrap/>
          </w:tcPr>
          <w:p>
            <w:pPr>
              <w:rPr>
                <w:rFonts w:ascii="仿宋" w:hAnsi="仿宋" w:eastAsia="仿宋" w:cs="仿宋"/>
                <w:color w:val="000000" w:themeColor="text1"/>
                <w:sz w:val="24"/>
                <w14:textFill>
                  <w14:solidFill>
                    <w14:schemeClr w14:val="tx1"/>
                  </w14:solidFill>
                </w14:textFill>
              </w:rPr>
            </w:pPr>
          </w:p>
        </w:tc>
        <w:tc>
          <w:tcPr>
            <w:tcW w:w="77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559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巡视保洁</w:t>
            </w:r>
          </w:p>
        </w:tc>
        <w:tc>
          <w:tcPr>
            <w:tcW w:w="192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bl>
    <w:p>
      <w:pPr>
        <w:rPr>
          <w:rFonts w:ascii="仿宋" w:hAnsi="仿宋" w:eastAsia="仿宋" w:cs="仿宋"/>
          <w:color w:val="000000" w:themeColor="text1"/>
          <w:sz w:val="24"/>
          <w14:textFill>
            <w14:solidFill>
              <w14:schemeClr w14:val="tx1"/>
            </w14:solidFill>
          </w14:textFill>
        </w:rPr>
      </w:pPr>
    </w:p>
    <w:tbl>
      <w:tblPr>
        <w:tblStyle w:val="60"/>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34"/>
        <w:gridCol w:w="543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834"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433"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术</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室/导管室/新生儿室/ICU/产房</w:t>
            </w: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区域内家具（桌椅、橱柜等）、办公用品、台面擦拭</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区域内电脑、电话、（非医用仪器）设施表面清洁、擦拭</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区域内洗手池、水池、水龙头、皂盒、隔拦处清洗、擦拭</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卫生间（含镜子、水龙头、脸盆、台面、毛巾架、马桶、沐浴器、地面）冲洗、擦拭、消毒</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区域内窗台、阳台、把手、扶手、栏杆、开关盒、接线盒、各类低处标牌、垃圾桶擦拭</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拖鞋清洗</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术后整理、清洁、消毒</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开水器、空气消毒机、空调设备外表面的清洁与消毒</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门、门框、窗框、玻璃、高处标牌、壁挂物擦拭</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低处墙面除尘、落地瓷砖、踢脚板、地角、低处管道、擦拭，回风口滤网清洗</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灯具、音响、监视器、通风口、排气扇、风扇等高处设备擦洗</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巡视保洁</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平车上布类整理、更换，手术台上用品拆换</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库房的打扫</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Merge w:val="continue"/>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各类平车轮椅车轮上油、去污，保证正常运行</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31" w:type="dxa"/>
            <w:noWrap/>
          </w:tcPr>
          <w:p>
            <w:pPr>
              <w:rPr>
                <w:rFonts w:ascii="仿宋" w:hAnsi="仿宋" w:eastAsia="仿宋" w:cs="仿宋"/>
                <w:color w:val="000000" w:themeColor="text1"/>
                <w:sz w:val="24"/>
                <w14:textFill>
                  <w14:solidFill>
                    <w14:schemeClr w14:val="tx1"/>
                  </w14:solidFill>
                </w14:textFill>
              </w:rPr>
            </w:pPr>
          </w:p>
        </w:tc>
        <w:tc>
          <w:tcPr>
            <w:tcW w:w="8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543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手术室/产房工人安排夜班，负责夜间手术间/产房区域的终末消毒</w:t>
            </w:r>
          </w:p>
        </w:tc>
        <w:tc>
          <w:tcPr>
            <w:tcW w:w="214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bl>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tbl>
      <w:tblPr>
        <w:tblStyle w:val="60"/>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617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72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617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血</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透</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心</w:t>
            </w: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区域内家具（桌椅、橱柜等）、办公用品、台面擦拭</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区域内电脑、电话、（非医用仪器）设施表面清洁、擦拭</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区域内洗手池、水池、水龙头、隔拦处清洗、擦拭</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卫生间（含镜子、水龙头、脸盆、台面、毛巾架、马桶、沐浴器、地面）冲洗、擦拭、消毒</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区域内窗台、阳台、把手、扶手、栏杆、开关盒、接线盒、各类低处标牌、垃圾桶擦拭</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拖鞋清洗</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病人血透后整理、清洁、消毒</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开水器、空气消毒机、空调设备外表面的清洁与消毒</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门、门框、窗框、玻璃、高处标牌、壁挂物擦拭</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低处墙面除尘、落地瓷砖、踢脚板、地角、低处管道擦拭，回风口滤网清洗</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每天做好透析前的准备工作</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灯具、音响、监视器、通风口、排气扇、风扇等高处设备擦洗，空调滤网清洗、消毒</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巡视保洁</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tcPr>
          <w:p>
            <w:pPr>
              <w:rPr>
                <w:rFonts w:ascii="仿宋" w:hAnsi="仿宋" w:eastAsia="仿宋" w:cs="仿宋"/>
                <w:color w:val="000000" w:themeColor="text1"/>
                <w:sz w:val="24"/>
                <w14:textFill>
                  <w14:solidFill>
                    <w14:schemeClr w14:val="tx1"/>
                  </w14:solidFill>
                </w14:textFill>
              </w:rPr>
            </w:pPr>
          </w:p>
        </w:tc>
        <w:tc>
          <w:tcPr>
            <w:tcW w:w="72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617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库房的打扫</w:t>
            </w:r>
          </w:p>
        </w:tc>
        <w:tc>
          <w:tcPr>
            <w:tcW w:w="161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bl>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tbl>
      <w:tblPr>
        <w:tblStyle w:val="6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35"/>
        <w:gridCol w:w="585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734"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住</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院</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病</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w:t>
            </w: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区域内地面无扬尘干扫</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区域内家具（桌椅、橱柜等）、办公用品、台面擦拭</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区域内电脑、电话、治疗车、病历车、（非医用仪器）设施表面清洁、擦拭</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区域内洗手池、水池、水龙头清洗、擦拭</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卫生间（含镜子、水龙头、脸盆、台面、毛巾架、马桶、沐浴器、地面）、开水间冲洗、擦拭、消毒</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区域内窗台、阳台、把手、栏杆、花瓶、花盆、开关盒、接线盒、各类低处标牌、垃圾桶擦拭</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床单位终末消毒</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开水器、冰箱外表面清洁消毒</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门、门框、窗框、玻璃</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低处墙面除尘、落地瓷砖、踢脚板、地角、低处管道擦拭，回风口滤网清洗</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85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高处标牌、壁挂物擦拭</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585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585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灯具、音响、监视器、通风口、排气扇、风扇等高处设备擦洗，空调滤网清洗、消毒</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585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地面机洗</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585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巡视保洁</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01" w:type="dxa"/>
            <w:vMerge w:val="continue"/>
            <w:noWrap/>
          </w:tcPr>
          <w:p>
            <w:pPr>
              <w:rPr>
                <w:rFonts w:ascii="仿宋" w:hAnsi="仿宋" w:eastAsia="仿宋" w:cs="仿宋"/>
                <w:color w:val="000000" w:themeColor="text1"/>
                <w:sz w:val="24"/>
                <w14:textFill>
                  <w14:solidFill>
                    <w14:schemeClr w14:val="tx1"/>
                  </w14:solidFill>
                </w14:textFill>
              </w:rPr>
            </w:pPr>
          </w:p>
        </w:tc>
        <w:tc>
          <w:tcPr>
            <w:tcW w:w="835"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585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给所有病人打开水</w:t>
            </w:r>
          </w:p>
        </w:tc>
        <w:tc>
          <w:tcPr>
            <w:tcW w:w="173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每天2次以上</w:t>
            </w:r>
          </w:p>
        </w:tc>
      </w:tr>
    </w:tbl>
    <w:p>
      <w:pPr>
        <w:rPr>
          <w:rFonts w:ascii="仿宋" w:hAnsi="仿宋" w:eastAsia="仿宋" w:cs="仿宋"/>
          <w:color w:val="000000" w:themeColor="text1"/>
          <w:sz w:val="24"/>
          <w14:textFill>
            <w14:solidFill>
              <w14:schemeClr w14:val="tx1"/>
            </w14:solidFill>
          </w14:textFill>
        </w:rPr>
      </w:pPr>
    </w:p>
    <w:tbl>
      <w:tblPr>
        <w:tblStyle w:val="60"/>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10"/>
        <w:gridCol w:w="5472"/>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会</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议</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临床技能培训中心</w:t>
            </w: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区域内地面扫尘（无扬尘干扫）</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区域内家具（桌椅、橱柜等）、台面擦拭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区域内电脑、电话、仪器、低处电器表面清洗或擦拭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区域内洗手池、水池、水龙头、皂盒清洗、擦拭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卫生间（含镜子、水龙头、脸盆、台面、毛巾架、马桶、沐浴器、地面）、开水间冲洗、擦拭、消毒，及时替换卫生纸</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区域内窗台、花瓶、花盆、开关盒、接线盒、各类低处标牌、垃圾桶擦拭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门、门框、窗框、玻璃</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高处标牌、壁挂物擦拭</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灯具、音响、通风口、排气扇、风扇等高处设备擦洗，空调滤网清洗、消毒</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7"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101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547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地面机洗或吸尘</w:t>
            </w:r>
          </w:p>
        </w:tc>
        <w:tc>
          <w:tcPr>
            <w:tcW w:w="191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bl>
    <w:p>
      <w:pPr>
        <w:rPr>
          <w:rFonts w:ascii="仿宋" w:hAnsi="仿宋" w:eastAsia="仿宋" w:cs="仿宋"/>
          <w:color w:val="000000" w:themeColor="text1"/>
          <w:sz w:val="24"/>
          <w14:textFill>
            <w14:solidFill>
              <w14:schemeClr w14:val="tx1"/>
            </w14:solidFill>
          </w14:textFill>
        </w:rPr>
      </w:pPr>
    </w:p>
    <w:tbl>
      <w:tblPr>
        <w:tblStyle w:val="6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03"/>
        <w:gridCol w:w="556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restart"/>
            <w:noWrap/>
            <w:vAlign w:val="center"/>
          </w:tcPr>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域</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区域内地面扫尘并地面湿拖（进行地面消毒、清洁）</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区域内洗手池、水池、水龙头清洗、擦拭</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卫生间（含镜子、水龙头、脸盆、台面、马桶、地面）、开水间冲洗、擦拭、消毒</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保持卫生间灯、开关、水龙头、烘手机、擦手纸盒、皂液盒、感应小便池等设施完好，及时报修</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卫生间保洁巡视到位，并有记录，保持卫生间洁净无异味</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每半小时1次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区域内把手、栏杆、花瓶、花盆、开关盒、接线盒、各类低处标牌、垃圾桶擦拭</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公共座椅的清洁擦拭、消毒</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玻璃（含内外窗玻璃）及窗框清洁</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高处标牌、壁挂物擦拭</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高处除尘，空调滤网清洗、消毒</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灯具、音响、监视器等高处设备擦洗</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防滑毯、踏垫保持干净、无污渍斑点</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每日清扫，每周去尘清洁，每月一次清洗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大厅内玻璃除尘、清洗，无尘，无蜘蛛网，洁净亮堂</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每月度全面清尘一次以上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90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568"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巡逻保洁</w:t>
            </w:r>
          </w:p>
        </w:tc>
        <w:tc>
          <w:tcPr>
            <w:tcW w:w="190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bl>
    <w:p>
      <w:pPr>
        <w:rPr>
          <w:rFonts w:ascii="仿宋" w:hAnsi="仿宋" w:eastAsia="仿宋" w:cs="仿宋"/>
          <w:color w:val="000000" w:themeColor="text1"/>
          <w:sz w:val="24"/>
          <w14:textFill>
            <w14:solidFill>
              <w14:schemeClr w14:val="tx1"/>
            </w14:solidFill>
          </w14:textFill>
        </w:rPr>
      </w:pPr>
    </w:p>
    <w:tbl>
      <w:tblPr>
        <w:tblStyle w:val="6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30"/>
        <w:gridCol w:w="3956"/>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930"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956"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3502"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restart"/>
            <w:noWrap/>
          </w:tcPr>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外</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域</w:t>
            </w:r>
          </w:p>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区域内垃圾桶刷洗</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明沟、暗沟每月彻底清理，如有堵塞情况，及时处理</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路灯除尘</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各出入口地面清扫、水力冲洗</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循环清扫，每周冲洗/湿拖1次以上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广场及道路清扫、收集垃圾、水力冲洗</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循环清扫，必要时水力冲洗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外墙及外露管道（二米以下）除尘，无积灰、污渍</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屋顶、所有露台巡视清扫、清洁堵塞物</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每半月1次，遇雨雪天气、台风季节增加巡查频次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玻璃雨棚</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每月清理1次以上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公共座椅清洁</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每周擦拭2次以上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玻璃清洁</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外墙金属嵌条、标志牌除尘无积灰、污渍</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室外绿地清扫，无垃圾、无杂物</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4" w:type="dxa"/>
            <w:vMerge w:val="continue"/>
            <w:noWrap/>
          </w:tcPr>
          <w:p>
            <w:pPr>
              <w:rPr>
                <w:rFonts w:ascii="仿宋" w:hAnsi="仿宋" w:eastAsia="仿宋" w:cs="仿宋"/>
                <w:color w:val="000000" w:themeColor="text1"/>
                <w:sz w:val="24"/>
                <w14:textFill>
                  <w14:solidFill>
                    <w14:schemeClr w14:val="tx1"/>
                  </w14:solidFill>
                </w14:textFill>
              </w:rPr>
            </w:pPr>
          </w:p>
        </w:tc>
        <w:tc>
          <w:tcPr>
            <w:tcW w:w="930"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3956"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巡逻保洁</w:t>
            </w:r>
          </w:p>
        </w:tc>
        <w:tc>
          <w:tcPr>
            <w:tcW w:w="350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bl>
    <w:p>
      <w:pPr>
        <w:rPr>
          <w:rFonts w:ascii="仿宋" w:hAnsi="仿宋" w:eastAsia="仿宋" w:cs="仿宋"/>
          <w:color w:val="000000" w:themeColor="text1"/>
          <w:sz w:val="24"/>
          <w14:textFill>
            <w14:solidFill>
              <w14:schemeClr w14:val="tx1"/>
            </w14:solidFill>
          </w14:textFill>
        </w:rPr>
      </w:pPr>
    </w:p>
    <w:tbl>
      <w:tblPr>
        <w:tblStyle w:val="6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84"/>
        <w:gridCol w:w="565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3"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restart"/>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办</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域</w:t>
            </w:r>
          </w:p>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收集区域内医疗废物、生活垃圾、更换垃圾袋，并进行分类</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区域内地面扫尘（无扬尘干扫）</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区域内地面湿拖（进行地面消毒、清洁）</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区域内家具（桌椅、橱柜等）、台面擦拭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区域内电脑、电话、仪器、低处电器表面清洗或擦拭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开会前后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区域内洗手池、水池、水龙头、皂盒清洗、擦拭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卫生间（含镜子、水龙头、脸盆、台面、毛巾架、马桶、沐浴器、地面）、开水间冲洗、擦拭、消毒</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区域内窗台、花瓶、花盆、开关盒、接线盒、各类低处标牌、垃圾桶擦拭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门、门框、窗框</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低处墙面除尘、落地瓷砖、踢脚板、地角、低处管道擦拭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非医疗不锈钢物体表面闪钢保养</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高处标牌、壁挂物擦拭</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玻璃、高处除尘</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灯具、音响、通风口、排气扇、风扇等高处设备擦洗，空调滤网清洗、消毒</w:t>
            </w: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63" w:type="dxa"/>
            <w:vMerge w:val="restart"/>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15</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值班室内的床单、被套、枕套的更换、登记</w:t>
            </w:r>
          </w:p>
          <w:p>
            <w:pPr>
              <w:rPr>
                <w:rFonts w:ascii="仿宋" w:hAnsi="仿宋" w:eastAsia="仿宋" w:cs="仿宋"/>
                <w:color w:val="000000" w:themeColor="text1"/>
                <w:sz w:val="24"/>
                <w14:textFill>
                  <w14:solidFill>
                    <w14:schemeClr w14:val="tx1"/>
                  </w14:solidFill>
                </w14:textFill>
              </w:rPr>
            </w:pP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按需更换。</w:t>
            </w:r>
          </w:p>
          <w:p>
            <w:pP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63" w:type="dxa"/>
            <w:vMerge w:val="continue"/>
            <w:noWrap/>
            <w:vAlign w:val="center"/>
          </w:tcPr>
          <w:p>
            <w:pPr>
              <w:rPr>
                <w:rFonts w:ascii="仿宋" w:hAnsi="仿宋" w:eastAsia="仿宋" w:cs="仿宋"/>
                <w:color w:val="000000" w:themeColor="text1"/>
                <w:sz w:val="24"/>
                <w14:textFill>
                  <w14:solidFill>
                    <w14:schemeClr w14:val="tx1"/>
                  </w14:solidFill>
                </w14:textFill>
              </w:rPr>
            </w:pPr>
          </w:p>
        </w:tc>
        <w:tc>
          <w:tcPr>
            <w:tcW w:w="88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565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区域内院领导办公室整体保洁</w:t>
            </w:r>
          </w:p>
          <w:p>
            <w:pPr>
              <w:rPr>
                <w:rFonts w:ascii="仿宋" w:hAnsi="仿宋" w:eastAsia="仿宋" w:cs="仿宋"/>
                <w:color w:val="000000" w:themeColor="text1"/>
                <w:sz w:val="24"/>
                <w14:textFill>
                  <w14:solidFill>
                    <w14:schemeClr w14:val="tx1"/>
                  </w14:solidFill>
                </w14:textFill>
              </w:rPr>
            </w:pPr>
          </w:p>
        </w:tc>
        <w:tc>
          <w:tcPr>
            <w:tcW w:w="1741"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每日1次以上。</w:t>
            </w:r>
          </w:p>
          <w:p>
            <w:pPr>
              <w:rPr>
                <w:rFonts w:ascii="仿宋" w:hAnsi="仿宋" w:eastAsia="仿宋" w:cs="仿宋"/>
                <w:color w:val="000000" w:themeColor="text1"/>
                <w:sz w:val="24"/>
                <w14:textFill>
                  <w14:solidFill>
                    <w14:schemeClr w14:val="tx1"/>
                  </w14:solidFill>
                </w14:textFill>
              </w:rPr>
            </w:pPr>
          </w:p>
        </w:tc>
      </w:tr>
    </w:tbl>
    <w:p>
      <w:pPr>
        <w:rPr>
          <w:rFonts w:ascii="仿宋" w:hAnsi="仿宋" w:eastAsia="仿宋" w:cs="仿宋"/>
          <w:color w:val="000000" w:themeColor="text1"/>
          <w:sz w:val="24"/>
          <w14:textFill>
            <w14:solidFill>
              <w14:schemeClr w14:val="tx1"/>
            </w14:solidFill>
          </w14:textFill>
        </w:rPr>
      </w:pPr>
    </w:p>
    <w:tbl>
      <w:tblPr>
        <w:tblStyle w:val="6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11"/>
        <w:gridCol w:w="4277"/>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3389"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1" w:type="dxa"/>
            <w:vMerge w:val="restart"/>
            <w:noWrap/>
          </w:tcPr>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梯</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地面除尘、清洗，无灰尘、垃圾及污渍</w:t>
            </w:r>
          </w:p>
        </w:tc>
        <w:tc>
          <w:tcPr>
            <w:tcW w:w="3389"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1"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门（内外）抹净、镜面清洁，无灰尘及手印，光亮</w:t>
            </w:r>
          </w:p>
        </w:tc>
        <w:tc>
          <w:tcPr>
            <w:tcW w:w="3389"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每日保洁，每周清洁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1"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门槽清除垃圾、杂物，无灰尘及垃圾，光亮</w:t>
            </w:r>
          </w:p>
        </w:tc>
        <w:tc>
          <w:tcPr>
            <w:tcW w:w="3389"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每日及时清除，每周清洁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1"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指示牌和按钮除尘，无灰尘、无手印</w:t>
            </w:r>
          </w:p>
        </w:tc>
        <w:tc>
          <w:tcPr>
            <w:tcW w:w="3389"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01"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电梯按钮消毒</w:t>
            </w:r>
          </w:p>
        </w:tc>
        <w:tc>
          <w:tcPr>
            <w:tcW w:w="3389"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每日2次以上</w:t>
            </w:r>
          </w:p>
        </w:tc>
      </w:tr>
    </w:tbl>
    <w:p>
      <w:pPr>
        <w:rPr>
          <w:rFonts w:ascii="仿宋" w:hAnsi="仿宋" w:eastAsia="仿宋" w:cs="仿宋"/>
          <w:color w:val="000000" w:themeColor="text1"/>
          <w:sz w:val="24"/>
          <w14:textFill>
            <w14:solidFill>
              <w14:schemeClr w14:val="tx1"/>
            </w14:solidFill>
          </w14:textFill>
        </w:rPr>
      </w:pPr>
    </w:p>
    <w:tbl>
      <w:tblPr>
        <w:tblStyle w:val="6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11"/>
        <w:gridCol w:w="4277"/>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区域</w:t>
            </w: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工作内容</w:t>
            </w:r>
          </w:p>
        </w:tc>
        <w:tc>
          <w:tcPr>
            <w:tcW w:w="3394"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Merge w:val="restart"/>
            <w:noWrap/>
          </w:tcPr>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他</w:t>
            </w: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77"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所有地下室地地面清扫、冲洗，无垃圾、无杂物、无蜘蛛网，垃圾进行分类</w:t>
            </w:r>
          </w:p>
        </w:tc>
        <w:tc>
          <w:tcPr>
            <w:tcW w:w="33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循环保洁，每天清洁1次以上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42"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生活垃圾收集及二次分类，垃圾桶的清洗及暂存点保洁</w:t>
            </w:r>
          </w:p>
        </w:tc>
        <w:tc>
          <w:tcPr>
            <w:tcW w:w="33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医院内部垃圾存放区域每天清洗、消毒1次，并进行生活垃圾分类，二次挑拣分类，每周全面清洗消毒1次；每天对垃圾的收集情况进行及时登记，以备检索。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42"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蓝领公寓地面、楼道清扫，扶手清洁、擦拭，垃圾桶清洁</w:t>
            </w:r>
          </w:p>
        </w:tc>
        <w:tc>
          <w:tcPr>
            <w:tcW w:w="33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循环保洁，每天清洁1次以上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42"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新风机房滤网、设备、门框地面清洁</w:t>
            </w:r>
          </w:p>
        </w:tc>
        <w:tc>
          <w:tcPr>
            <w:tcW w:w="33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每月至少2次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42" w:type="dxa"/>
            <w:vMerge w:val="continue"/>
            <w:noWrap/>
          </w:tcPr>
          <w:p>
            <w:pPr>
              <w:rPr>
                <w:rFonts w:ascii="仿宋" w:hAnsi="仿宋" w:eastAsia="仿宋" w:cs="仿宋"/>
                <w:color w:val="000000" w:themeColor="text1"/>
                <w:sz w:val="24"/>
                <w14:textFill>
                  <w14:solidFill>
                    <w14:schemeClr w14:val="tx1"/>
                  </w14:solidFill>
                </w14:textFill>
              </w:rPr>
            </w:pPr>
          </w:p>
        </w:tc>
        <w:tc>
          <w:tcPr>
            <w:tcW w:w="811"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77" w:type="dxa"/>
            <w:noWrap/>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1号楼、2号楼技术层地面清理（湿拖）</w:t>
            </w:r>
          </w:p>
        </w:tc>
        <w:tc>
          <w:tcPr>
            <w:tcW w:w="3394" w:type="dxa"/>
            <w:noWrap/>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至少每季度一次</w:t>
            </w:r>
          </w:p>
        </w:tc>
      </w:tr>
    </w:tbl>
    <w:p>
      <w:pPr>
        <w:rPr>
          <w:rFonts w:ascii="仿宋" w:hAnsi="仿宋" w:eastAsia="仿宋" w:cs="仿宋"/>
          <w:color w:val="auto"/>
          <w:sz w:val="24"/>
          <w:highlight w:val="none"/>
        </w:rPr>
      </w:pPr>
      <w:bookmarkStart w:id="61" w:name="_二期网络工程项目改造需求"/>
      <w:bookmarkEnd w:id="61"/>
      <w:r>
        <w:rPr>
          <w:rFonts w:hint="eastAsia" w:ascii="仿宋" w:hAnsi="仿宋" w:eastAsia="仿宋" w:cs="仿宋"/>
          <w:color w:val="000000" w:themeColor="text1"/>
          <w:sz w:val="24"/>
          <w14:textFill>
            <w14:solidFill>
              <w14:schemeClr w14:val="tx1"/>
            </w14:solidFill>
          </w14:textFill>
        </w:rPr>
        <w:t>备注：</w:t>
      </w:r>
      <w:r>
        <w:rPr>
          <w:rFonts w:hint="eastAsia" w:ascii="仿宋" w:hAnsi="仿宋" w:eastAsia="仿宋" w:cs="仿宋"/>
          <w:color w:val="auto"/>
          <w:sz w:val="24"/>
          <w:highlight w:val="none"/>
        </w:rPr>
        <w:t>中标人还需完成的其他工作内容，包括：</w:t>
      </w:r>
    </w:p>
    <w:p>
      <w:pPr>
        <w:rPr>
          <w:rFonts w:ascii="仿宋" w:hAnsi="仿宋" w:eastAsia="仿宋" w:cs="仿宋"/>
          <w:color w:val="auto"/>
          <w:sz w:val="24"/>
          <w:highlight w:val="none"/>
        </w:rPr>
      </w:pPr>
      <w:r>
        <w:rPr>
          <w:rFonts w:ascii="仿宋" w:hAnsi="仿宋" w:eastAsia="仿宋" w:cs="仿宋"/>
          <w:color w:val="auto"/>
          <w:sz w:val="24"/>
          <w:highlight w:val="none"/>
        </w:rPr>
        <w:t>1、病区的其它相关工作，包括负责床单位的终末消毒，完成新病人备用床的准备。</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2、未列入的且为正常保洁工作以及突发性事件造成的保洁工作的项目、区域均包括在本次采购范围内，中标人不得因此拒绝提供保洁服务（保洁用品等所需费用全部包括在服务费中，包括所有的生活垃圾袋，</w:t>
      </w:r>
      <w:r>
        <w:rPr>
          <w:rFonts w:hint="eastAsia" w:ascii="仿宋" w:hAnsi="仿宋" w:eastAsia="仿宋" w:cs="仿宋"/>
          <w:b/>
          <w:color w:val="000000" w:themeColor="text1"/>
          <w:sz w:val="24"/>
          <w14:textFill>
            <w14:solidFill>
              <w14:schemeClr w14:val="tx1"/>
            </w14:solidFill>
          </w14:textFill>
        </w:rPr>
        <w:t>但医疗废物袋属于医疗废物回收公司提供。</w:t>
      </w:r>
      <w:r>
        <w:rPr>
          <w:rFonts w:hint="eastAsia" w:ascii="仿宋" w:hAnsi="仿宋" w:eastAsia="仿宋" w:cs="仿宋"/>
          <w:color w:val="000000" w:themeColor="text1"/>
          <w:sz w:val="24"/>
          <w14:textFill>
            <w14:solidFill>
              <w14:schemeClr w14:val="tx1"/>
            </w14:solidFill>
          </w14:textFill>
        </w:rPr>
        <w:t>）</w:t>
      </w:r>
    </w:p>
    <w:p>
      <w:pPr>
        <w:rPr>
          <w:rFonts w:ascii="仿宋" w:hAnsi="仿宋" w:eastAsia="仿宋" w:cs="仿宋"/>
          <w:color w:val="000000" w:themeColor="text1"/>
          <w:sz w:val="24"/>
          <w14:textFill>
            <w14:solidFill>
              <w14:schemeClr w14:val="tx1"/>
            </w14:solidFill>
          </w14:textFill>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fldChar w:fldCharType="begin"/>
      </w:r>
      <w:r>
        <w:rPr>
          <w:rFonts w:hint="eastAsia" w:ascii="仿宋" w:hAnsi="仿宋" w:eastAsia="仿宋" w:cs="仿宋"/>
          <w:sz w:val="24"/>
        </w:rPr>
        <w:instrText xml:space="preserve"> = 2 \* GB3 \* MERGEFORMAT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服务人员及工时需求明细表 （8小时轮班制）</w:t>
      </w:r>
    </w:p>
    <w:p>
      <w:pPr>
        <w:rPr>
          <w:rFonts w:ascii="仿宋" w:hAnsi="仿宋" w:eastAsia="仿宋" w:cs="仿宋"/>
          <w:color w:val="000000" w:themeColor="text1"/>
          <w:sz w:val="24"/>
          <w14:textFill>
            <w14:solidFill>
              <w14:schemeClr w14:val="tx1"/>
            </w14:solidFill>
          </w14:textFill>
        </w:rPr>
      </w:pPr>
    </w:p>
    <w:tbl>
      <w:tblPr>
        <w:tblStyle w:val="60"/>
        <w:tblW w:w="9191" w:type="dxa"/>
        <w:tblInd w:w="-176" w:type="dxa"/>
        <w:tblLayout w:type="fixed"/>
        <w:tblCellMar>
          <w:top w:w="0" w:type="dxa"/>
          <w:left w:w="108" w:type="dxa"/>
          <w:bottom w:w="0" w:type="dxa"/>
          <w:right w:w="108" w:type="dxa"/>
        </w:tblCellMar>
      </w:tblPr>
      <w:tblGrid>
        <w:gridCol w:w="717"/>
        <w:gridCol w:w="1295"/>
        <w:gridCol w:w="697"/>
        <w:gridCol w:w="3273"/>
        <w:gridCol w:w="1214"/>
        <w:gridCol w:w="1027"/>
        <w:gridCol w:w="968"/>
      </w:tblGrid>
      <w:tr>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楼宇</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科室</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人数</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上班时间(单位：小时）</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工作时间</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工作天数</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折合工时</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1号楼</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15AB</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7：30-11：45  13:00-17:15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8.5H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7：00-11：45  13:00-17:15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6B区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5A区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5B新生儿</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5B产房</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0：00-24：00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3.48</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2层急诊病房</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一床一巾</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一床一巾</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一床一巾</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病理科</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8:00-11:45 13:15-17:00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0.83</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ICU</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0：00-24：00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color w:val="000000" w:themeColor="text1"/>
                <w:sz w:val="24"/>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color w:val="000000" w:themeColor="text1"/>
                <w:sz w:val="24"/>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EICU   </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4层大厅</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妇科小手术室</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0.83</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4层手术室</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0：00-24:00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16.24 </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3层检验科</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3层检验科大厅</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7.00 </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3层内科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3层口腔科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3层儿科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3层五官科、眼科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3层公区/送水</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2层胃镜、纤支镜</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2层妇科</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2层妇产科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2层内科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2层心电图</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2层B超</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2层外科</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2层大厅</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2层公区/送水</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楼道</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1层 骨科</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1层急诊厕所</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1层输液室</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0：00-24：00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3.48</w:t>
            </w:r>
          </w:p>
        </w:tc>
      </w:tr>
      <w:tr>
        <w:tblPrEx>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1层抢救室</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0：00-24：00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3.48</w:t>
            </w:r>
          </w:p>
        </w:tc>
      </w:tr>
      <w:tr>
        <w:tblPrEx>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1层急诊大厅</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晚间急诊诊间</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17:00-24:00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放射科</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门诊卫生间</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住院大厅/送水</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门诊大厅</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负一楼、负二层</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消毒供应室</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8:00-11:45 13:15-17:00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ECT（负一楼）</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8:00-11:45 13:15-17:00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0.83</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放疗（负一楼）</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8:00-11:45 13:15-17:00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0.83</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2号楼</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2c血透</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color w:val="FF0000"/>
                <w:sz w:val="24"/>
              </w:rPr>
            </w:pPr>
            <w:r>
              <w:rPr>
                <w:rFonts w:hint="eastAsia" w:ascii="仿宋" w:hAnsi="仿宋" w:eastAsia="仿宋" w:cs="仿宋"/>
                <w:b/>
                <w:color w:val="FF0000"/>
                <w:kern w:val="0"/>
                <w:sz w:val="24"/>
                <w:highlight w:val="none"/>
              </w:rPr>
              <w:t>24小时在岗，8小时轮班制</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DSA</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1C</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体检中心及公区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1:00-5:00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1:00-5:00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2号楼楼道</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1:00-5:00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3号楼</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6E</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5E</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4E</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9、24号梯</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司梯员</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8:00-20:00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司梯员</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20:00-8:00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司梯员</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司梯员</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570"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4号楼</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后勤行政楼包括专家楼</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5-7号楼</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高压氧房,影像中心，技能中心</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7：30-12：30    13:00-18:00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1.25</w:t>
            </w:r>
          </w:p>
        </w:tc>
      </w:tr>
      <w:tr>
        <w:tblPrEx>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8号楼</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1楼中药房杂工</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3楼针灸科</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7.5H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0.94</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2楼中医馆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9号楼</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1楼-2楼</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1.46</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3楼皮肤美容</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954" w:hRule="atLeast"/>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垃圾收运</w:t>
            </w:r>
          </w:p>
        </w:tc>
        <w:tc>
          <w:tcPr>
            <w:tcW w:w="1295"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医疗废物收集人员</w:t>
            </w:r>
          </w:p>
        </w:tc>
        <w:tc>
          <w:tcPr>
            <w:tcW w:w="697" w:type="dxa"/>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r>
              <w:rPr>
                <w:rFonts w:ascii="仿宋" w:hAnsi="仿宋" w:eastAsia="仿宋" w:cs="仿宋"/>
                <w:color w:val="000000" w:themeColor="text1"/>
                <w:sz w:val="24"/>
                <w14:textFill>
                  <w14:solidFill>
                    <w14:schemeClr w14:val="tx1"/>
                  </w14:solidFill>
                </w14:textFill>
              </w:rPr>
              <w:t xml:space="preserve"> </w:t>
            </w:r>
          </w:p>
        </w:tc>
        <w:tc>
          <w:tcPr>
            <w:tcW w:w="1214"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right w:val="single" w:color="000000" w:sz="4" w:space="0"/>
            </w:tcBorders>
            <w:noWrap/>
            <w:vAlign w:val="center"/>
          </w:tcPr>
          <w:p>
            <w:pPr>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3.48</w:t>
            </w:r>
          </w:p>
        </w:tc>
      </w:tr>
      <w:tr>
        <w:tblPrEx>
          <w:tblCellMar>
            <w:top w:w="0" w:type="dxa"/>
            <w:left w:w="108" w:type="dxa"/>
            <w:bottom w:w="0" w:type="dxa"/>
            <w:right w:w="108" w:type="dxa"/>
          </w:tblCellMar>
        </w:tblPrEx>
        <w:trPr>
          <w:trHeight w:val="570"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可回收垃圾收集人员</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生活垃圾收集人员</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3.48</w:t>
            </w:r>
          </w:p>
        </w:tc>
      </w:tr>
      <w:tr>
        <w:tblPrEx>
          <w:tblCellMar>
            <w:top w:w="0" w:type="dxa"/>
            <w:left w:w="108" w:type="dxa"/>
            <w:bottom w:w="0" w:type="dxa"/>
            <w:right w:w="108" w:type="dxa"/>
          </w:tblCellMar>
        </w:tblPrEx>
        <w:trPr>
          <w:trHeight w:val="285" w:hRule="atLeast"/>
        </w:trPr>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themeColor="text1"/>
                <w:kern w:val="0"/>
                <w:sz w:val="24"/>
                <w:highlight w:val="gree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生活垃圾分类人员</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外围</w:t>
            </w:r>
          </w:p>
        </w:tc>
        <w:tc>
          <w:tcPr>
            <w:tcW w:w="1295" w:type="dxa"/>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广场</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4.64</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专项/机动</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毛巾清洗</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1.46</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专项（收发毛巾）</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专项（收发毛巾）</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专项(擦不锈钢门窗、晚上交接医废)</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16小时</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2.33</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专项(空调滤网）</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专项(空调滤网）</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专项（玻璃）</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专项（玻璃）</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专项（玻璃）</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机动</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机动</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机动</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空调滤网消毒</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空调滤网消毒</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通惠院区三病区</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5:30-20:00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14.5H</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通惠院区二病区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5:30-20:00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14.5H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通惠院区一病区</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Style w:val="631"/>
                <w:rFonts w:hint="default" w:ascii="仿宋" w:hAnsi="仿宋" w:eastAsia="仿宋" w:cs="仿宋"/>
                <w:color w:val="000000" w:themeColor="text1"/>
                <w14:textFill>
                  <w14:solidFill>
                    <w14:schemeClr w14:val="tx1"/>
                  </w14:solidFill>
                </w14:textFill>
              </w:rPr>
              <w:t>5:30-11:30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通惠院区外围及医废收集</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6:30-11:30 12：30-17:30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1.46</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通惠院区订饭送餐楼道清洗</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1.16</w:t>
            </w:r>
          </w:p>
        </w:tc>
      </w:tr>
      <w:tr>
        <w:tblPrEx>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通惠院区发热门诊</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8小时轮班制</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4.64</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蓝领公寓</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宿管</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宿管</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1.75</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司炉工</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5.25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电工高配</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小工</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2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7：30-17:30</w:t>
            </w:r>
          </w:p>
        </w:tc>
        <w:tc>
          <w:tcPr>
            <w:tcW w:w="12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5.83</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木工</w:t>
            </w: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32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采供科送货员</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7:30-17:30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3.75</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血透室杂工</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项目部</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项目部经理</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0.83</w:t>
            </w:r>
          </w:p>
        </w:tc>
      </w:tr>
      <w:tr>
        <w:tblPrEx>
          <w:tblCellMar>
            <w:top w:w="0" w:type="dxa"/>
            <w:left w:w="108" w:type="dxa"/>
            <w:bottom w:w="0" w:type="dxa"/>
            <w:right w:w="108" w:type="dxa"/>
          </w:tblCellMar>
        </w:tblPrEx>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项目部经理助理</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0.92</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综合文员</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0.83</w:t>
            </w:r>
          </w:p>
        </w:tc>
      </w:tr>
      <w:tr>
        <w:tblPrEx>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highlight w:val="green"/>
              </w:rPr>
            </w:pPr>
            <w:r>
              <w:rPr>
                <w:rFonts w:hint="eastAsia" w:ascii="仿宋" w:hAnsi="仿宋" w:eastAsia="仿宋" w:cs="仿宋"/>
                <w:kern w:val="0"/>
                <w:sz w:val="24"/>
                <w:highlight w:val="none"/>
              </w:rPr>
              <w:t>保洁主管</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7：30-11：30    13:00-17:00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8H</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3.68</w:t>
            </w:r>
          </w:p>
        </w:tc>
      </w:tr>
      <w:tr>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总计</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233.39</w:t>
            </w:r>
          </w:p>
        </w:tc>
      </w:tr>
    </w:tbl>
    <w:p>
      <w:pPr>
        <w:rPr>
          <w:rFonts w:ascii="仿宋" w:hAnsi="仿宋" w:eastAsia="仿宋" w:cs="仿宋"/>
          <w:b/>
          <w:bCs/>
          <w:color w:val="FF0000"/>
          <w:sz w:val="24"/>
        </w:rPr>
      </w:pPr>
      <w:r>
        <w:rPr>
          <w:rFonts w:hint="eastAsia" w:ascii="仿宋" w:hAnsi="仿宋" w:eastAsia="仿宋" w:cs="仿宋"/>
          <w:b/>
          <w:bCs/>
          <w:sz w:val="24"/>
        </w:rPr>
        <w:t>备注：人员数184人</w:t>
      </w:r>
      <w:r>
        <w:rPr>
          <w:rFonts w:hint="eastAsia" w:ascii="仿宋" w:hAnsi="仿宋" w:eastAsia="仿宋" w:cs="仿宋"/>
          <w:b/>
          <w:bCs/>
          <w:sz w:val="24"/>
          <w:highlight w:val="none"/>
        </w:rPr>
        <w:t>（不允许兼职），折合工时233</w:t>
      </w:r>
      <w:r>
        <w:rPr>
          <w:rFonts w:hint="eastAsia" w:ascii="仿宋" w:hAnsi="仿宋" w:eastAsia="仿宋" w:cs="仿宋"/>
          <w:b/>
          <w:bCs/>
          <w:sz w:val="24"/>
        </w:rPr>
        <w:t>工时/日。</w:t>
      </w: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2、本项目的服务内容及质量要求</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w:t>
      </w:r>
      <w:r>
        <w:rPr>
          <w:rFonts w:hint="eastAsia" w:ascii="仿宋" w:hAnsi="仿宋" w:eastAsia="仿宋" w:cs="仿宋"/>
          <w:color w:val="000000" w:themeColor="text1"/>
          <w:sz w:val="24"/>
          <w14:textFill>
            <w14:solidFill>
              <w14:schemeClr w14:val="tx1"/>
            </w14:solidFill>
          </w14:textFill>
        </w:rPr>
        <w:t>1采购人负责提供管理办公用房、仓库用房，在服务期限内免费使用。</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2.2公用水电（包括空调、办公用房等各类用电，清洁卫生、生活等各类用水。）费用由采购人承担。</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2.3采购人负责生活垃圾、医疗废物的外运和垃圾处理费用。</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2.4采购人负责提供：</w:t>
      </w:r>
    </w:p>
    <w:p>
      <w:pPr>
        <w:spacing w:line="360" w:lineRule="auto"/>
        <w:ind w:left="1" w:firstLine="537" w:firstLineChars="22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（1）各类垃圾桶；</w:t>
      </w:r>
    </w:p>
    <w:p>
      <w:pPr>
        <w:spacing w:line="360" w:lineRule="auto"/>
        <w:ind w:left="1" w:firstLine="537" w:firstLineChars="22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（2）转运箱和转运车；</w:t>
      </w:r>
    </w:p>
    <w:p>
      <w:pPr>
        <w:spacing w:line="360" w:lineRule="auto"/>
        <w:ind w:left="1" w:firstLine="537" w:firstLineChars="22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（3）利器盒；</w:t>
      </w:r>
    </w:p>
    <w:p>
      <w:pPr>
        <w:spacing w:line="360" w:lineRule="auto"/>
        <w:ind w:left="1" w:firstLine="537" w:firstLineChars="22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（4）用于物表、地面擦拭，毛巾、地巾浸泡消毒用的75%酒精、含氯消毒片、复合双链季铵盐。</w:t>
      </w:r>
    </w:p>
    <w:p>
      <w:pPr>
        <w:spacing w:line="360" w:lineRule="auto"/>
        <w:ind w:left="1" w:firstLine="537" w:firstLineChars="22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（5）卫生间的卷纸、洗手液、擦手纸。</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2.5采购人不负责提供员工的住宿及其相关费用，由其自行解决，建议提供的住宿在距离医院5公里范围内。</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2.6中标人负责提供：</w:t>
      </w:r>
    </w:p>
    <w:p>
      <w:pPr>
        <w:widowControl/>
        <w:spacing w:line="360" w:lineRule="auto"/>
        <w:ind w:firstLine="480" w:firstLineChars="200"/>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（1）为所有员工购买第三方责任险，且对医疗废物收集人员（3人）上岗前须进行健康检查，并将健康证明交付甲方，（健康检查异常不允许上岗）。</w:t>
      </w:r>
      <w:r>
        <w:rPr>
          <w:rFonts w:hint="eastAsia" w:ascii="仿宋" w:hAnsi="仿宋" w:eastAsia="仿宋" w:cs="仿宋"/>
          <w:color w:val="000000" w:themeColor="text1"/>
          <w:sz w:val="24"/>
          <w:highlight w:val="none"/>
          <w:lang w:val="zh-CN"/>
          <w14:textFill>
            <w14:solidFill>
              <w14:schemeClr w14:val="tx1"/>
            </w14:solidFill>
          </w14:textFill>
        </w:rPr>
        <w:t>费用包含在报价</w:t>
      </w:r>
      <w:r>
        <w:rPr>
          <w:rFonts w:hint="eastAsia" w:ascii="仿宋" w:hAnsi="仿宋" w:eastAsia="仿宋" w:cs="仿宋"/>
          <w:color w:val="000000" w:themeColor="text1"/>
          <w:sz w:val="24"/>
          <w:lang w:val="zh-CN"/>
          <w14:textFill>
            <w14:solidFill>
              <w14:schemeClr w14:val="tx1"/>
            </w14:solidFill>
          </w14:textFill>
        </w:rPr>
        <w:t>中。</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（2）须严格按照国家规定给所有的员工缴纳社会保险（包括养老、医疗、工伤、生育险、失业保险等）等。</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服务合同期内，应购买相应的保险,且相应费用应涵盖在投标报价中。无论是否购买保险，如因中标人在日常工作中失误或疏忽造成的采购人、中标人或第三方人员损失及赔偿（如高空坠物、不及时清扫易滑伤、碰撞等意外伤害等），应由中标人负责赔偿。</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（4）提供项目相关人员的装备（如手机）、保洁设备（如保洁车、洗地机、自动洗地吸水机、抛光机、吸水洗尘机、吹干机、吸尘器、高压水枪、多功能清洁车、榨水</w:t>
      </w:r>
      <w:r>
        <w:rPr>
          <w:rFonts w:hint="eastAsia" w:ascii="仿宋" w:hAnsi="仿宋" w:eastAsia="仿宋" w:cs="仿宋"/>
          <w:color w:val="000000" w:themeColor="text1"/>
          <w:sz w:val="24"/>
          <w:highlight w:val="none"/>
          <w14:textFill>
            <w14:solidFill>
              <w14:schemeClr w14:val="tx1"/>
            </w14:solidFill>
          </w14:textFill>
        </w:rPr>
        <w:t>器、洗衣机、烘干机等）。选用的保洁工具应列表说明规格型号、制造商等，投标时并附实物照片及彩图，要求配备先进、科学合理并且数量充裕。</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所有有关环境保洁所需的清洁剂、洗涤剂、空气清新剂、卫生间除臭香片、洁厕剂等，地面养护剂、抹布、拖把、材料和保洁工具等耗材，并负责对非一次性耗材的工具进行洗涤、烘干及消毒（如抹布、拖把、平推拖把片等）。</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（6）提供电脑（含网络及系统）、物业管理信息系统、考勤设备和打印机等办公设备和耗材，自行提供桌椅、更衣柜等办公家具和空调等电器。</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(7)各岗位员工要统一服装，负责其员工工服配备。</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(8)严格按照标准化的操作程序、完善的培训体系和质量控制体系完成本项目，以保证整个系统安全、高效、有序和有计划地运转。</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(9)有责任配合医院接受上级部门的监督、检查，提供必须的资料。</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(10)自行负责其招聘员工的一切工资、福利；如发生工伤、疾病乃至死亡的一切责任及费用由中标人全部负责；应严格遵守国家有关的法律、法规及行业标准。包括但不仅限于。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（11）全部的工作时间应严格按国家有关法律、法规要求的标准执行，因工作原因产生的加班（含节假日加班）应严格按国家有关法律、法规要求的标准给</w:t>
      </w:r>
      <w:r>
        <w:rPr>
          <w:rFonts w:hint="eastAsia" w:ascii="仿宋" w:hAnsi="仿宋" w:eastAsia="仿宋" w:cs="仿宋"/>
          <w:sz w:val="24"/>
        </w:rPr>
        <w:t>付员工加班薪资。</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（12）因违反《劳动合同法》等法律法规而造成采购人的连带责任和损失全部由</w:t>
      </w:r>
      <w:r>
        <w:rPr>
          <w:rFonts w:hint="eastAsia" w:ascii="仿宋" w:hAnsi="仿宋" w:eastAsia="仿宋" w:cs="仿宋"/>
          <w:color w:val="000000" w:themeColor="text1"/>
          <w:sz w:val="24"/>
          <w14:textFill>
            <w14:solidFill>
              <w14:schemeClr w14:val="tx1"/>
            </w14:solidFill>
          </w14:textFill>
        </w:rPr>
        <w:t>中标人承担。</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（13）在服务期内应严格执行</w:t>
      </w:r>
      <w:r>
        <w:rPr>
          <w:rFonts w:hint="eastAsia" w:ascii="仿宋" w:hAnsi="仿宋" w:eastAsia="仿宋" w:cs="仿宋"/>
          <w:color w:val="000000" w:themeColor="text1"/>
          <w:sz w:val="24"/>
          <w14:textFill>
            <w14:solidFill>
              <w14:schemeClr w14:val="tx1"/>
            </w14:solidFill>
          </w14:textFill>
        </w:rPr>
        <w:t>国家、省、市级最新发布的最低工资标准等相关法律法规，充分考虑从业人员的工资、福利等。任何调整中标价的要求将被拒绝。</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（14）医院为特殊公共事业服务单位，实行全年24小时不间断服务制度，请根据采购人的具体工作时间要求，自行采用安排轮岗、轮休或加班等形式满足采购人的需求，所产生的相关费用应包含</w:t>
      </w:r>
      <w:r>
        <w:rPr>
          <w:rFonts w:hint="eastAsia" w:ascii="仿宋" w:hAnsi="仿宋" w:eastAsia="仿宋" w:cs="仿宋"/>
          <w:color w:val="000000" w:themeColor="text1"/>
          <w:sz w:val="24"/>
          <w:highlight w:val="none"/>
          <w14:textFill>
            <w14:solidFill>
              <w14:schemeClr w14:val="tx1"/>
            </w14:solidFill>
          </w14:textFill>
        </w:rPr>
        <w:t>在投标报价中，中标后任何调整中标价的要求将被拒绝。</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（15）在服务中对服务缺陷不予更正的，采购人有权另请其他单位更正，相关费用由中标人支付。</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（16）合同履行完毕后，在未找到接替公司前，中标人应延续1-2个月的服务，费用按原合同签订的月度费用标准</w:t>
      </w:r>
      <w:r>
        <w:rPr>
          <w:rFonts w:hint="eastAsia" w:ascii="仿宋" w:hAnsi="仿宋" w:eastAsia="仿宋" w:cs="仿宋"/>
          <w:color w:val="000000" w:themeColor="text1"/>
          <w:sz w:val="24"/>
          <w14:textFill>
            <w14:solidFill>
              <w14:schemeClr w14:val="tx1"/>
            </w14:solidFill>
          </w14:textFill>
        </w:rPr>
        <w:t>支付。</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000000" w:themeColor="text1"/>
          <w:sz w:val="24"/>
          <w14:textFill>
            <w14:solidFill>
              <w14:schemeClr w14:val="tx1"/>
            </w14:solidFill>
          </w14:textFill>
        </w:rPr>
        <w:t>(17) 因自身原因需更</w:t>
      </w:r>
      <w:r>
        <w:rPr>
          <w:rFonts w:hint="eastAsia" w:ascii="仿宋" w:hAnsi="仿宋" w:eastAsia="仿宋" w:cs="仿宋"/>
          <w:color w:val="auto"/>
          <w:sz w:val="24"/>
          <w:highlight w:val="none"/>
        </w:rPr>
        <w:t>换项目部经理的</w:t>
      </w:r>
      <w:r>
        <w:rPr>
          <w:rFonts w:hint="eastAsia" w:ascii="仿宋" w:hAnsi="仿宋" w:eastAsia="仿宋" w:cs="仿宋"/>
          <w:color w:val="auto"/>
          <w:kern w:val="0"/>
          <w:sz w:val="24"/>
          <w:highlight w:val="none"/>
        </w:rPr>
        <w:t>，继任项目部经理管理经验</w:t>
      </w:r>
      <w:r>
        <w:rPr>
          <w:rFonts w:hint="eastAsia" w:ascii="仿宋" w:hAnsi="仿宋" w:eastAsia="仿宋" w:cs="仿宋"/>
          <w:color w:val="auto"/>
          <w:sz w:val="24"/>
          <w:highlight w:val="none"/>
        </w:rPr>
        <w:t>不得低于原项目部经理的管理经验，</w:t>
      </w:r>
      <w:r>
        <w:rPr>
          <w:rFonts w:hint="eastAsia" w:ascii="仿宋" w:hAnsi="仿宋" w:eastAsia="仿宋" w:cs="仿宋"/>
          <w:color w:val="auto"/>
          <w:kern w:val="0"/>
          <w:sz w:val="24"/>
          <w:highlight w:val="none"/>
        </w:rPr>
        <w:t>且</w:t>
      </w:r>
      <w:r>
        <w:rPr>
          <w:rFonts w:hint="eastAsia" w:ascii="仿宋" w:hAnsi="仿宋" w:eastAsia="仿宋" w:cs="仿宋"/>
          <w:color w:val="auto"/>
          <w:sz w:val="24"/>
          <w:highlight w:val="none"/>
        </w:rPr>
        <w:t>须经采购人同意。每更换一次项目部经理，按1万元/人·次在当月服务费中予以扣除。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(18)在服务期间，如服务从业人员不符合相关要求或违反相关规定，采购人有权要求更换服务从业人员。</w:t>
      </w:r>
    </w:p>
    <w:p>
      <w:pPr>
        <w:spacing w:line="360" w:lineRule="auto"/>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2.7中标人人员调整：</w:t>
      </w:r>
    </w:p>
    <w:p>
      <w:pPr>
        <w:spacing w:line="360" w:lineRule="auto"/>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（1）各区域均不得低于采购人最低人员数要求。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 在规定范围、服务时间内无法满足采购人要求时，采购人有权根据实际情况来延长工作时间或要求增加人员，中标人必须无条件服从，且不得以任何理由调整中标价格。</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（3）除项目部经理外的其他管理人员，在服务期内不得随意更换，如必须更换，应事先征得采购人同意。如管理人员管理不符合要求，采购人有权要求更换。</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（4）专业值班人员，所持有的上岗证培训及上岗证年检费应涵盖在投标报价中，不得另行增加。如因更换人员造成的重新培训或体检费应自行承担。</w:t>
      </w:r>
    </w:p>
    <w:p>
      <w:pPr>
        <w:spacing w:line="360" w:lineRule="auto"/>
        <w:ind w:firstLine="480"/>
        <w:jc w:val="left"/>
        <w:outlineLvl w:val="0"/>
        <w:rPr>
          <w:rFonts w:ascii="仿宋" w:hAnsi="仿宋" w:eastAsia="仿宋" w:cs="仿宋"/>
          <w:color w:val="auto"/>
          <w:sz w:val="24"/>
        </w:rPr>
      </w:pPr>
      <w:r>
        <w:rPr>
          <w:rFonts w:hint="eastAsia" w:ascii="仿宋" w:hAnsi="仿宋" w:eastAsia="仿宋" w:cs="仿宋"/>
          <w:color w:val="auto"/>
          <w:sz w:val="24"/>
        </w:rPr>
        <w:t>2.8 现有保洁区域的PVC地面打蜡和开荒保洁(擦拭玻璃，全面牵尘，表面养护，清洗地面，厨厕除污消毒，装修痕迹清理，打蜡等)的费用包含</w:t>
      </w:r>
      <w:r>
        <w:rPr>
          <w:rFonts w:hint="eastAsia" w:ascii="仿宋" w:hAnsi="仿宋" w:eastAsia="仿宋" w:cs="仿宋"/>
          <w:color w:val="auto"/>
          <w:sz w:val="24"/>
          <w:highlight w:val="none"/>
        </w:rPr>
        <w:t>在投标报</w:t>
      </w:r>
      <w:r>
        <w:rPr>
          <w:rFonts w:hint="eastAsia" w:ascii="仿宋" w:hAnsi="仿宋" w:eastAsia="仿宋" w:cs="仿宋"/>
          <w:color w:val="auto"/>
          <w:sz w:val="24"/>
        </w:rPr>
        <w:t>价中，不另行支付。PVC地面打蜡是指满足医院打蜡需求所有的费用，含物料和人工，保证打蜡4万方（除非院方无打蜡需求），面蜡要求打3层以上(含），蜡的品牌3M、庄臣。</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2.9保洁药剂要求列明品牌：</w:t>
      </w:r>
    </w:p>
    <w:tbl>
      <w:tblPr>
        <w:tblStyle w:val="60"/>
        <w:tblW w:w="0" w:type="auto"/>
        <w:tblInd w:w="10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产品名称及规格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全能消毒清洁剂（地面用）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消毒杀菌清洁药剂（桌面和台面）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专业全能清洁剂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铁光不绣钢剂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浓缩波璃清洁剂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洁厕剂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除垢剂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地拖牵尘剂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金属洁蜡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墙纸清洁剂（除圆珠笔油、重油渍）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起蜡水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封地剂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地坪保养喷蜡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特级耐用面蜡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面蜡(PVC专用）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空气清新剂-除异味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强碱皂化洗衣剂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石材磨光剂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石材处理剂</w:t>
            </w:r>
          </w:p>
        </w:tc>
      </w:tr>
    </w:tbl>
    <w:p>
      <w:pPr>
        <w:ind w:firstLine="480" w:firstLineChars="200"/>
        <w:rPr>
          <w:rFonts w:ascii="仿宋" w:hAnsi="仿宋" w:eastAsia="仿宋" w:cs="仿宋"/>
          <w:color w:val="000000" w:themeColor="text1"/>
          <w:kern w:val="0"/>
          <w:sz w:val="24"/>
          <w14:textFill>
            <w14:solidFill>
              <w14:schemeClr w14:val="tx1"/>
            </w14:solidFill>
          </w14:textFill>
        </w:rPr>
      </w:pPr>
    </w:p>
    <w:p>
      <w:pPr>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保洁设备要求：</w:t>
      </w:r>
    </w:p>
    <w:tbl>
      <w:tblPr>
        <w:tblStyle w:val="60"/>
        <w:tblW w:w="7889"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设备名称</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保洁车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多功能擦地机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晶硬镜面处理机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全自动洗地机(带针盘）</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手提抛光机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ind w:firstLine="360" w:firstLineChars="15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高速抛光机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ind w:firstLine="360" w:firstLineChars="15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三速地坪/地毯吹干机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吸水吸尘两用机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吸尘器</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大型工业洗衣机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大型烘干机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小型洗衣机</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门诊专用保洁车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高压水枪</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2</w:t>
            </w:r>
          </w:p>
        </w:tc>
      </w:tr>
    </w:tbl>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保洁服务质量标准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3.1保持院内全貌整洁（包括绿化带内外的清洁卫生）。</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3.2及时处理污物、垃圾，保持地面清洁，无肉眼可见污迹、烟蒂垃圾。</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3.3玻璃窗明亮、窗槽、不锈钢清洁，无污垢。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3.4门、门框、栏杆、窗台、氧气面板上端、灯具、钟、镜框、椅子、电话机、电视机等无灰尘，保持干净清洁。内墙壁面清洁、无污迹、无蜘蛛网。</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3.5风扇、取暖器、病区内室内空调进出风口及隔尘网外表面无积灰无污迹。</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3.6床头橱、凳子、椅子、陪护椅、橱柜等保持清洁，无积灰无污迹。</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3.7厕所地面光亮干净无积水，墙面、镜子、台面、洗脸盆清洁明亮，无异味、便器无积垢。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3.8公共场所的楼梯扶手、告示牌、坐椅及通道的地面、玻璃窗、墙面的要求同上。</w:t>
      </w:r>
    </w:p>
    <w:p>
      <w:pPr>
        <w:spacing w:line="360" w:lineRule="auto"/>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所有垃圾桶（内外）清洁、无异味、无苍蝇和蛹（垃圾不超3／4）。</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3.9严格管理好医疗废物，医疗废物不得外流和私自处理。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3.10各种工具摆放整齐，标识清晰，定位放置，病区内不乱挂工人衣服，不拉线，不乱钉乱贴，不乱扔垃圾。</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3.11保持茶水间、污物间、储藏间、更衣室、 值班室、诊疗室、办公室、治疗室、护士站整洁，水槽内无积垢。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3.12节约水电，无长明灯、长流水。中标人员工不得在院内洗澡洗私人物品和侵占医院利益（如经常大桶热水带回家）。</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3.13病区协助有需要的病人冲开水。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3.14在工作同时，发现室内建筑、家具、设施有所损坏，影响使用或有碍美观，应及时报告有关部门。</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3.15不得私自买卖病区医疗废品物资、废纸、废纸箱、空盐水瓶等，一经查实，按奖惩制度执行。</w:t>
      </w:r>
    </w:p>
    <w:p>
      <w:pPr>
        <w:spacing w:line="360" w:lineRule="auto"/>
        <w:ind w:firstLine="480"/>
        <w:jc w:val="left"/>
        <w:outlineLvl w:val="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3.16不与病人及家属发生争执，不得向病人索要礼物；不有偿介绍保姆；严禁向病人兜售一次性用品，一经查实，按奖惩制度执行。</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4、司梯服务</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 服务内容：本部3部医梯（1号楼2部，2号楼1部，跟梯值守并负责电梯轿厢清洁及司梯的巡查和故障报修工作。其中1号楼专用手术电梯，要求24小时服务；2号楼24号专用手术电梯，根据实际情况轮班服务。配置电梯司梯员，监督司梯员规范作业，制定安全管理制度和安全操作规范，保障电梯安全运行。</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 服务质量标准及要求</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4.2.1服务人员应经相关培训后上岗，熟悉并能遵照执行各项制度及职责，如：电梯运行制度，管理制度，安全运行规定及操作流程，应急预案，电梯困人救援的安全管理，电梯管理人员、司机的职责及服务规范。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4.2.2司梯员要求身高1.55米以上，高中以上学历，年龄在18-45岁之间，身体健康，无明显的外观缺陷，能熟练使用普通话表达沟通，并经培训合格，持证上岗；</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4.2.3司梯员必须严格遵守操作规程，遵守值班规定，按时上下班，严禁做与值班无关事宜；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4.2.4随时保证电梯轿厢、门、框的整洁，要求在上岗前做好保洁，电梯正常运行时不得停运保洁。</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4.2.5司梯员行为标准：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（1）热爱本职工作，尽心尽意为医护和患者服务；</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（2）严格执行公司的各种规章制度；</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（3）认真学习电梯运行知识，不断提高操作水平，熟练掌握电梯运行过程中的各环节和安全操作规程；</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（4）在操作电梯的同时，不准与乘客聊天、看书等与工作无关的事情，严禁误操作运行；</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（5）认真听取乘梯者的意见，及时向电梯保养人员汇报电梯运行情况；做好电梯运行记录，不准隔日和相互填写，严禁在记录本上乱写乱画；电梯出现故障时，及时通知维修人员进行维修；</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（6）保持电梯内的卫生，司梯员下班时要将电梯卫生清洁完毕；</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发现电梯异常现象及故障，要立即停止运行，做好警示标志，及时通知专业维修人员，待修复后方能使用。非维修人员不得随意修理，否则，发生事故当事人自负。电梯出现故障要做到：“发呼救、报险情、保现场”；</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（8）司梯员要及时满足乘梯者的正当需求，对乘梯者的不合理需求要做到：“一劝阻、二制止”对运行时间以外的服务或不能满足乘梯者的特殊需求时，要耐心做好解释工作；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（9）确保手指甲正规修剪；</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（10）上班前梳理头发、长发应盘起，刘海不得超过眼眉；</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（11）上班前确保鞋子干净无污物；</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（12）按规定时间更换制服，制服不可破损；</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（13）姓名牌受损或丢失，与主管联系更换；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（14）可适当淡妆并使用香水；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（15）每日刷牙，保持微笑；</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（16）上岗前应照镜子，整理仪容仪表，然后上班；</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（17）走路时应该抬头挺胸；</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（18）如无紧急情况不可跑动；</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（19）严禁易燃、易爆等危险品和超长重物品进入电梯。</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5、司炉、高配电工</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5.1服务内容：</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负责本部燃气/热水锅炉的司炉、高配房作业，上述岗位均为24小时不间断作业。</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5.2工作人员要求：</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（1）工作人员应具备国家要求的上岗资质要求并由投标人承担证书及其相关费用；</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（2）严格遵守各项管理制度，安全运行规定及操作流程，应急预案，认真履行相应的职责、严格遵守操作规程及服务规范。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（3）要求高中以上学历；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（4）必须持证上岗，遵守值班规定，按时上下班，严禁做与值班无关事宜；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（5）负责做好自身工作区域的保洁，保持工作区域整洁有序。</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6、蓝领公寓宿舍管理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6.1服务内容：</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负责蓝领公寓集体宿舍的管理，为24小时值班制。</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6.2工作要求：</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（1）工作人员男女不限，初中及以上文化；</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（2）严格遵守宿舍管理制度、消防安全制度、水电管理制度及应急预案，认真履行相应的职责、严格遵守操作规程及服务规范。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（3）遵守值班规定，按时上下班，严禁做与值班无关事宜；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（4）负责做好公寓区域的保洁，保持工作区域整洁有序，完成简单的维修工作。</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7、木工</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7.1服务内容：</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负责全院桌椅、门、锁、帘子、窗帘滑道、候诊椅、各厕所蹲坑门、闭门器，各科柜门维修，柜门锁安装、夜里应急情况处置，挡风帘子做、挂等一切木工活。</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7.2工作人员要求：</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（1）工作人员为男性，初中及以上文化；</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（2）严格遵守医院管理制度、认真履行相应的职责、严格遵守操作规程及服务规范。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（3）遵守值班规定，按时上下班，严禁做与值班无关事宜；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（4）负责做好自身工作区域的保洁，保持工作区域整洁有序。</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8、杂工</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8.1服务内容：</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务杂工负责医院化粪池清理，医院各科平时所有物品的搬运，微波炉、电视机、饮水机送修，病床、候诊椅坏送机修组修理及送回，报损物资回收入库，医院举办各种活动搬东西，收款室送发票，各科室资料搬运，各科室包装箱回收，雨雪天各种防洪设备搬运，食堂阴沟疏通等一切杂事。</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中药房杂工、设备科杂工、血透室杂工履行所属科室规定的职责。</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8.2工作人员要求：</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（1）工作人员为男性，小学及以上文化；</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（2）严格遵守医院管理制度、认真履行相应的职责、严格遵守操作规程及服务规范。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（3）遵守值班规定，按时上下班，严禁做与值班无关事宜；</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（4）负责做好自身工作区域的保洁，保持工作区域整洁有序。</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说明：以上描述的工作是医院卫生保洁服务的主要项目，所有项目请投标人现场测量，确定全部内容，中标后除相应约定的内容和国家政策法规定要求外，费用一律不予增加。</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p>
    <w:p>
      <w:pPr>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9、消毒隔离标准</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9.1物体表面每天应湿式清洁，保持清洁，被患者血液、体液、排泄物、分泌物等污染时，应随时清洁消毒。患者出院、转科或转床应进行终末消毒。</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9.2病区地面每天湿拖，保持地面干燥，同时做好巡回，对于院感重点区域按照要求清洁消毒。</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9.3擦拭物体表面的毛巾，不同床单位之间、洁污区域之间应分开使用。擦拭地面的地巾不同病房、不同区域之间应分开使用。</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9.4有特殊污染地点，随时消毒、清洗。</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9.5各种清洗消毒均应符合院感要求。</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9.6生活垃圾与医疗废物分开，标志明显，运送到垃圾处理站，并按指定位置堆放，统一处理。医疗废物处理符合院感要求。</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9.7在医院区域内，因违反院感工作未到位，引发纠纷，由中标人配合采购人处理和根据责任情况中标人须承担相应赔偿。</w:t>
      </w:r>
    </w:p>
    <w:p>
      <w:pPr>
        <w:pStyle w:val="22"/>
        <w:numPr>
          <w:ilvl w:val="255"/>
          <w:numId w:val="0"/>
        </w:numPr>
        <w:rPr>
          <w:rFonts w:ascii="仿宋" w:hAnsi="仿宋" w:eastAsia="仿宋" w:cs="仿宋"/>
          <w:bCs/>
          <w:color w:val="000000" w:themeColor="text1"/>
          <w:szCs w:val="24"/>
          <w:lang w:val="en-US"/>
          <w14:textFill>
            <w14:solidFill>
              <w14:schemeClr w14:val="tx1"/>
            </w14:solidFill>
          </w14:textFill>
        </w:rPr>
      </w:pPr>
    </w:p>
    <w:p>
      <w:pPr>
        <w:pStyle w:val="22"/>
        <w:numPr>
          <w:ilvl w:val="255"/>
          <w:numId w:val="0"/>
        </w:numPr>
        <w:rPr>
          <w:rFonts w:ascii="仿宋" w:hAnsi="仿宋" w:eastAsia="仿宋" w:cs="仿宋"/>
          <w:bCs/>
          <w:color w:val="000000" w:themeColor="text1"/>
          <w:szCs w:val="24"/>
          <w:lang w:val="en-US"/>
          <w14:textFill>
            <w14:solidFill>
              <w14:schemeClr w14:val="tx1"/>
            </w14:solidFill>
          </w14:textFill>
        </w:rPr>
      </w:pPr>
      <w:r>
        <w:rPr>
          <w:rFonts w:hint="eastAsia" w:ascii="仿宋" w:hAnsi="仿宋" w:eastAsia="仿宋" w:cs="仿宋"/>
          <w:bCs/>
          <w:lang w:val="en-US"/>
        </w:rPr>
        <w:t>10、</w:t>
      </w:r>
      <w:r>
        <w:rPr>
          <w:rFonts w:hint="eastAsia" w:ascii="仿宋" w:hAnsi="仿宋" w:eastAsia="仿宋" w:cs="仿宋"/>
          <w:bCs/>
        </w:rPr>
        <w:t>工作人员医院感染相关作业规范与标准</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10.1进入污染区作业</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进入污染区作业时，应按要求着装工作服、帽、手套、口罩、鞋等。作业时，工具及用水等应分类使用，不得混用，预防交叉污染。工作时要认真按正确的操作规范进行作业。清洁完毕后用消毒液进行消毒处理。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10.2进入无菌区作业</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进入无菌区作业时，要严格遵守医院消毒隔离原则及无菌区操作程序，按要求着装，按区域归类物品摆放，医生在时，不能进行清洁，待医生操作完毕同意后，方可进行作业。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10.3病区分工</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无菌区和污染区的作业员工，应进行严格分工，责任明确，不得在无菌区和污染区之间交叉作业。不能将污染区的物品带入无菌区，或将无菌区的物品带入污染区。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10.4手术室</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经严格培训的人员进入手术室作业，使用清洁剂或消毒剂经护士长同意，在护士长、护士指导下按工具分类规范进行工作，并按有关规程操作。手术室在进行手术时，不得进入或干扰手术的正常进行。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10.5进入医院办公室作业</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一般情况为办公室作业安排在班前或班后进行，特殊情况下，应先敲门并征得同意后方可进入。使用文明用语，如果医生在会诊或开会时，不得打扰或擅自进行作业。</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10.6进入病房</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进入病房，应尽量集中作业，避免在病人休息和用餐时进行清洁。清洁时动作轻，不得碰坏病人用品，也要避免发出大的响声，轻拿轻放。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10.7物品</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作业时，台面物品不得随意移动，作业后应物归原位。不得随意翻阅资料及随意打开容器盖、各种无菌包等。 </w:t>
      </w:r>
    </w:p>
    <w:p>
      <w:pPr>
        <w:numPr>
          <w:ilvl w:val="255"/>
          <w:numId w:val="0"/>
        </w:numPr>
        <w:spacing w:line="360" w:lineRule="auto"/>
        <w:ind w:firstLine="480"/>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8言行</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在办公区、病区需要安静，不得大声喧哗，工作性交谈也必须小声进行，不可干扰医护人员工作和病人的休息。</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10.9污洗间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病房污洗间是病房污物暂存的地方，是主要污染源， 所以工作时应彻底清除一切污物和污溃。工具定位分开放置。</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10.10垃圾桶</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病区及公共区的垃圾桶由专人经常检查，垃圾桶及时清倒，套装垃圾袋时，应检查垃圾袋是否有破口，不得使用破口或易损的垃圾袋，否则病人倒入的垃圾就会溢出，导致污染。清运或整理垃圾时，应使用封闭垃圾桶。垃圾桶定期清洗、消毒，更换垃圾袋应检查垃圾桶，并保持内外壁面洁净、 干燥、无异味。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10.11洗手间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洗手间的墙面、地面及大小便池、马桶必须除掉一切污渍，并进行有效消毒处理。平时应洗净污物，保持洗手间空气无异味。洗手间工具材料应专用，不得混用，清洁工具洗净之后定位放置，不得随处乱放。</w:t>
      </w:r>
    </w:p>
    <w:p>
      <w:pPr>
        <w:textAlignment w:val="bottom"/>
        <w:outlineLvl w:val="0"/>
        <w:rPr>
          <w:rFonts w:ascii="仿宋" w:hAnsi="仿宋" w:eastAsia="仿宋" w:cs="仿宋"/>
          <w:bCs/>
          <w:color w:val="000000" w:themeColor="text1"/>
          <w14:textFill>
            <w14:solidFill>
              <w14:schemeClr w14:val="tx1"/>
            </w14:solidFill>
          </w14:textFill>
        </w:rPr>
      </w:pPr>
    </w:p>
    <w:p>
      <w:pPr>
        <w:pStyle w:val="22"/>
        <w:numPr>
          <w:ilvl w:val="255"/>
          <w:numId w:val="0"/>
        </w:numPr>
        <w:rPr>
          <w:rFonts w:ascii="仿宋" w:hAnsi="仿宋" w:eastAsia="仿宋" w:cs="仿宋"/>
          <w:bCs/>
          <w:color w:val="000000" w:themeColor="text1"/>
          <w:szCs w:val="24"/>
          <w:lang w:val="en-US"/>
          <w14:textFill>
            <w14:solidFill>
              <w14:schemeClr w14:val="tx1"/>
            </w14:solidFill>
          </w14:textFill>
        </w:rPr>
      </w:pPr>
      <w:r>
        <w:rPr>
          <w:rFonts w:hint="eastAsia" w:ascii="仿宋" w:hAnsi="仿宋" w:eastAsia="仿宋" w:cs="仿宋"/>
          <w:bCs/>
          <w:lang w:val="en-US"/>
        </w:rPr>
        <w:t>11、</w:t>
      </w:r>
      <w:r>
        <w:rPr>
          <w:rFonts w:hint="eastAsia" w:ascii="仿宋" w:hAnsi="仿宋" w:eastAsia="仿宋" w:cs="仿宋"/>
          <w:bCs/>
        </w:rPr>
        <w:t>保洁服务人员操作规范与标准</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11.1地面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先用尘推把地面清扫干净，再湿拖地面。每拖一个区域，设置“小心滑倒”警告牌，待干后撤回。要求达到地面现本色，无污渍，无药渍。不得在禁止区域放置物品。</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11.2天花板、墙面</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墙面要求达到无蛛网，无污渍，天花板要求无污渍。</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11.3玻璃</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先用少量的玻璃清洁剂溶于水桶中，再用窗刷把溶液均匀地擦在玻璃上，然后用刮刀从上到下，从左到右，把玻璃刮干净。要求达到透明，无污渍。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11.4门、门框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每周用半干湿抹布从上到下，从左到右要求做到清洁。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11.5卫生间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每天用软布从上到下镜面湿擦抹一遍，然后用玻璃刮刀从上到下从左到右进行刮擦。用卫生刷擦抹卫生便器保持便器清洁、无异味，及时收集垃圾。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11.6电器开关、风机口外表面、指示牌</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定时用半湿抹布均匀地擦抹一遍，要求达至无尘，无渍。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11.7治疗室、配药室、护士站、医生办公室</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每天湿擦桌面、台面，擦抹时从左到右，从上到下，将桌面、台面均匀地擦抹，不要落下边角，不要漏擦；要求做到清洁、整洁、无灰尘、无药渍。定时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11.8楼梯、扶手</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每天用扫把清扫干净，再用拖把拖一次。扶手每天用抹布从上到下擦抹一遍。要求达到无尘、无垃圾。 </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11.9电梯门面、门框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要求保持光亮无尘。电梯地面门槽每日随时清理垃圾，凹槽洁净，用不锈钢油抛光擦拭。电梯内部保持洁净、光亮。每天用消毒液进行喷洒消毒。</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病区床头柜、医疗设施、床架、床沿、凳子</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正确使用一床一巾。消毒液边喷洒边用毛巾湿擦床头框桌面、门面、凳子、吸氧管等设施，再擦床架、床沿、床脚，最后擦门把手。擦抹应从上到下，从左到右，不要漏擦。最后将使用后的毛巾进行消毒。要求做到清洁、无尘、无污渍。</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11.10垃圾桶</w:t>
      </w:r>
    </w:p>
    <w:p>
      <w:pPr>
        <w:spacing w:line="360" w:lineRule="auto"/>
        <w:ind w:firstLine="480"/>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垃圾分类管理，每天把垃圾清运后，用自来水冲洗干净，再套上垃圾袋。要求达到桶面干净，垃圾不超过3/4桶。医疗垃圾严格按照《医疗废物管理条例》和卫生部《医疗废物管理办法》的规定对医疗废物进行分类收集、运送与暂时贮存。</w:t>
      </w:r>
    </w:p>
    <w:p>
      <w:pPr>
        <w:numPr>
          <w:ilvl w:val="255"/>
          <w:numId w:val="0"/>
        </w:numPr>
        <w:spacing w:line="360" w:lineRule="auto"/>
        <w:ind w:firstLine="480"/>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11.11送开水</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对行动不便病人要送到床前。保持茶水间清洁、地面保持干燥。</w:t>
      </w:r>
    </w:p>
    <w:p>
      <w:pPr>
        <w:numPr>
          <w:ilvl w:val="255"/>
          <w:numId w:val="0"/>
        </w:num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11.12病人出院处理</w:t>
      </w:r>
    </w:p>
    <w:p>
      <w:pPr>
        <w:spacing w:line="360" w:lineRule="auto"/>
        <w:ind w:firstLine="480"/>
        <w:jc w:val="left"/>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先清除病人丢弃的用物（疑为病人遗落在病区的物品，请交予病区负责人处理，如出现私自收藏的，按照偷盗处理），消毒液边喷洒边用毛巾湿擦床头框桌面、门面、凳子、吸氧管等设施，再擦床架、床沿、床脚，最后擦门把手。擦抹应从上到下，从左到右，不要漏擦。最后将使用后的毛巾进行消毒。要求做到清洁、无尘、无污渍。</w:t>
      </w:r>
    </w:p>
    <w:p>
      <w:pPr>
        <w:pStyle w:val="22"/>
        <w:numPr>
          <w:ilvl w:val="255"/>
          <w:numId w:val="0"/>
        </w:numPr>
        <w:rPr>
          <w:rFonts w:ascii="仿宋" w:hAnsi="仿宋" w:eastAsia="仿宋" w:cs="仿宋"/>
          <w:bCs/>
          <w:color w:val="000000" w:themeColor="text1"/>
          <w:szCs w:val="24"/>
          <w:lang w:val="en-US"/>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（三）保洁管理目标</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▲本次项目物业（保洁）综合服务人员总人数184人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不允许兼职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（含保洁、司梯、司炉、高配、宿舍管理、木工、杂工、空调滤网清洗消毒人员等招标文件中所列的全部岗位）</w:t>
      </w:r>
      <w:r>
        <w:rPr>
          <w:rFonts w:hint="eastAsia" w:ascii="仿宋" w:hAnsi="仿宋" w:eastAsia="仿宋" w:cs="仿宋"/>
          <w:color w:val="000000" w:themeColor="text1"/>
          <w:sz w:val="24"/>
          <w14:textFill>
            <w14:solidFill>
              <w14:schemeClr w14:val="tx1"/>
            </w14:solidFill>
          </w14:textFill>
        </w:rPr>
        <w:t>，其中管理人员不得低于7人，每日保洁工时数不低于233工时。</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1、根据标的范围和内容，逐条分别确定拟达到的服务质量、目标及服务响应时间。</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2、具体分项指标：</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（1）各项物品、环境以及服务体现绿色环保要求；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（2）设备完好、整洁、无污损，完好率、合格率均达到98%以上；垃圾日产日清，清运及时率100%；</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（3）有效投诉办结率99%以上；</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（4）服从医院的工作安排，人员工作效率高，秩序良好，能及时反馈处理客户的投诉和意见；</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（5）服务及时、到位，以人为本，凸显人性化服务，服务态度好；</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（6）项目部经理管理经验丰富，队伍年轻有青春活力，亲和力。</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（7）安全保障稳妥、及时、有力，无重大事故发生。</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3、人员要求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所有人员必须遵守国家的法律、法规及采购人的各项规章制度，具有良好素养和上岗资质，政治清白，无不良记录及嗜好，爱岗敬业、工作勤快，礼貌待人、和蔼处事，相貌端正、着装统一，身材适中、身体健康（无传染性疾病），原则上年龄不超过65岁、小学及以上文化。</w:t>
      </w:r>
    </w:p>
    <w:p>
      <w:pPr>
        <w:autoSpaceDE w:val="0"/>
        <w:autoSpaceDN w:val="0"/>
        <w:spacing w:line="360" w:lineRule="auto"/>
        <w:textAlignment w:val="bottom"/>
        <w:outlineLvl w:val="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（2）▲本项目</w:t>
      </w:r>
      <w:r>
        <w:rPr>
          <w:rFonts w:hint="eastAsia" w:ascii="仿宋" w:hAnsi="仿宋" w:eastAsia="仿宋" w:cs="仿宋"/>
          <w:color w:val="auto"/>
          <w:sz w:val="24"/>
          <w:highlight w:val="none"/>
        </w:rPr>
        <w:t>项目部经理要</w:t>
      </w:r>
      <w:r>
        <w:rPr>
          <w:rFonts w:hint="eastAsia" w:ascii="仿宋" w:hAnsi="仿宋" w:eastAsia="仿宋" w:cs="仿宋"/>
          <w:color w:val="000000" w:themeColor="text1"/>
          <w:sz w:val="24"/>
          <w14:textFill>
            <w14:solidFill>
              <w14:schemeClr w14:val="tx1"/>
            </w14:solidFill>
          </w14:textFill>
        </w:rPr>
        <w:t>求：学历要求大专及以上，年龄为女性55周岁（含）以下，男性60周岁（含）以下，从事类似项目管理工作3年及以上，每个月的到岗率必须在90%及以上。</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4、服务管理工作设计</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（1）保洁服务工作流程；</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（2）岗位职责制度与考核方法；</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（3）培训计划及持续质量改进方案（包括相关的院感培训等）；</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（4）进退场交接方案；</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（5）应急措施（包括疫情防控和应急处置能力等）；</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（6）工作秩序；</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（7）其它。</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5、服务保障和自罚承诺</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（1）应对照招标文件要求，说明已对杭州市萧山区第一人民医院医共体总院（杭州市萧山区第一人民医院）的需求做出了实质性的响应，或申明与需求的偏差和例外。</w:t>
      </w:r>
    </w:p>
    <w:p>
      <w:pPr>
        <w:autoSpaceDE w:val="0"/>
        <w:autoSpaceDN w:val="0"/>
        <w:spacing w:line="360" w:lineRule="auto"/>
        <w:textAlignment w:val="bottom"/>
        <w:outlineLvl w:val="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（2）可以在投标文件中提出不同的服务标准和保障承诺，使评标委员会相信替代服务相同于或优于原需求。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（3）在失约、失职情况下的自律措施、经济受罚承诺。</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6、生活垃圾、医疗废弃物处理管理服务质量要求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6.1生活垃圾</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对垃圾进行分类收集，使用合格的包装物、容器。生活垃圾处理达标率、及时率100%，二次污染率为零。</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6.2医疗废弃物</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格按照《医疗废物管理条例》和卫生部《医疗废物管理办法》的规定对医疗废物进行分类收集、运送与暂时贮存。制定医疗废物管理的规章制度、工作流程和要求、有关人员的工作职责及发生医疗废物流失、泄露、扩散和意外事故的应急方案。每年组织员工进行相关知识的培训，每年对医疗废物收集人员进行体检。医疗废弃物处理达标率、及时率100%，二次污染为零。</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6.3医疗废弃物管理要求：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6.3.1临床产生的医疗废弃物管理</w:t>
      </w:r>
    </w:p>
    <w:p>
      <w:pPr>
        <w:numPr>
          <w:ilvl w:val="255"/>
          <w:numId w:val="0"/>
        </w:numPr>
        <w:autoSpaceDE w:val="0"/>
        <w:autoSpaceDN w:val="0"/>
        <w:spacing w:line="360" w:lineRule="auto"/>
        <w:jc w:val="left"/>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医疗废物专用包装物、 容器，应当有明显的医疗废物警示标识和警示说明，医疗废物袋上有标明垃圾产生日期、产生单位、数量及签名等内容。</w:t>
      </w:r>
    </w:p>
    <w:p>
      <w:pPr>
        <w:numPr>
          <w:ilvl w:val="255"/>
          <w:numId w:val="0"/>
        </w:num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医疗垃圾包装不得有滴漏，包装外表面有污染或破损应增加一层外包装。</w:t>
      </w:r>
    </w:p>
    <w:p>
      <w:pPr>
        <w:numPr>
          <w:ilvl w:val="255"/>
          <w:numId w:val="0"/>
        </w:num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垃圾袋装至3/4即密封扎口。</w:t>
      </w:r>
    </w:p>
    <w:p>
      <w:pPr>
        <w:numPr>
          <w:ilvl w:val="255"/>
          <w:numId w:val="0"/>
        </w:num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禁止将医疗废物混入生活垃圾。如出现混装现象，严格按国家相关规定进行处罚。</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6.3.2 运送管理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专人运送，称重并双方签字。密闭运送至暂贮地，不得在其他地点倾倒或存放。</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6.3.3 医疗废物暂贮地管理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医疗废物处理工作人员必须把医疗废物放置在固定地点，所有医疗废物的包装袋包装后扎口、无破损，全部垃圾袋均放入收集桶，并加盖。每日垃圾清运后对暂贮地消毒清洁。暂贮地有专人管理，严防医疗废物流失。</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6.3.4 登记</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工作人员对医疗废物进行登记，登记内容包括医疗废物的来源、种类、重量或数量、交接时间、最终去向以及经办人签名项目，登记资料至少保存3年，做好日、月、年的运送统计工作，并及时上报。</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6.3.5 禁止工作人员私自转让、买卖、处理医疗废弃物，如一旦发生严格按国家相关规定处罚。</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6.3.6 自我防护</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置、转运医疗废弃物，以及接触人体血液、体液、分泌物、排泄物、粘膜及伤口，必须采取标准防护措施，根据接触程度佩戴眼罩、口罩、帽子、手套、围裙及胶靴等防护用品。一次性防护用品要配备充足，如手套、口罩、帽子、防护面罩等；可复用防护用品要保持清洁、干燥、完好，如胶靴、防水围裙等。工作中违反防护要求导致意外伤害者，由中标人负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6.3.7发生职业暴露后，应按公共卫生科培训的方法进行现场处置，直接由采购人引起职业暴露的采购人免费予以检查和治疗，因中标人违反操作规程引起的职业暴露由中标人负责。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6.4医院的可回收物品不得私自处理。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对中标人的</w:t>
      </w:r>
      <w:r>
        <w:rPr>
          <w:rFonts w:hint="eastAsia" w:ascii="仿宋" w:hAnsi="仿宋" w:eastAsia="仿宋" w:cs="仿宋"/>
          <w:sz w:val="24"/>
        </w:rPr>
        <w:t>要求及说明</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7.1、按服务质量标准要求订立服务规程，应制订具体的质量保证措施及相关服务的承诺。如因质量未达到目标，应因此承担责任和经济赔偿。</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7.2、必须聘请（或指定）一位项目部经理，全权代表其负责管理服务区域服务工作，并与采购人保持密切联系。</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7.3、应制订详细的培训计划，对员工进行岗位培训、日常培训和文明礼仪培训，确保每个员工培训合格后上岗。</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7.4、要合法用工，并派用与</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14:textFill>
            <w14:solidFill>
              <w14:schemeClr w14:val="tx1"/>
            </w14:solidFill>
          </w14:textFill>
        </w:rPr>
        <w:t>服务相适应的员工。</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7.5、须缴纳员工必要的社会保险，社会保险费用计入总投标价。</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7.6、因员工临时请假、辞职或辞退等原因造成短期内实际员工少于合同数量的，应及时向采购人汇报，在不影响正常医疗活动的基础上保证该岗位5日内有新员工补充到位，否则从第6日开始扣除该岗位服务费。中标人应承诺实际到岗率≥95%，如采购人检查中发现实际到岗率不足≥95%的，双倍扣除未到岗位服务费。</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7.7、根据采购人的要求，应为本项目服务区域内各项服务工作配备足够员工，所聘员工必须符合劳动部门有关用工规定，并经相关专业培训，新入职员工经考核合格后方可上岗，采购人有权对此进行审核并提出整改意见。</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7.8、员工应做好自身防护工作，因防护不到位或违反操作规程，引起的一切后果由中标人负责。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7.9、采购人将提供存放工具、换衣、休息及办公场所，具体面积及数量由中标人与采购人协商确定，此类场所不计租金与水电、管理费。</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7.10、中标人及其员工必须遵守医院的一切行政管理、消防安全、病区等规定和制度。</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7.11、应无条件接受和配合采购人或其授权的人员对服务区域内各项服务质量控制进行检查。</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7.12、遇突发事件或安全检查时，必须配合有关部门执行任务，并指定专职人员协助工作，直至完成。</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7.13、不得以任何理由向采购人工作人员支付小费或赠送实物，不得在服务区域住宿或从事非法活动或有损采购人利益的活动。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7.14、不以任何形式转租、转让、抵押服务项目，在服务区域只从事采购人认可的服务工作。在服务期间，中标人的任何配置、项目部经理的变动应通知采购人。并取得采购人的同意。</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7.15、服务区域的各项服务工作时间必须符合及满足采购人的要求，包括星期天及公众假期，都不得停止工作。如因服务范围内容变动需调整合同，由双方协商确定。</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7.16、在服务期内服务人遇到医院各类检查（如上级部门来院检查等），要无条件配合。</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7.17、员工发生被媒体曝光或影响采购人公共形象（如卖医疗废物、坑害病人等）或违反医院规章制度造成不良影响，以及存在一小部份与招标文件不符合的做法，或不履行其投标文件的部份承诺，而由此产生的损失及消除影响产生的费用，由中标人全部承担。 </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7.18、服务区内垃圾袋装收集，存放在指定地点。服务的工作质量按国家卫生城市和医院管理的有关标准严格验收。</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7.19、达不到采购人要求及中标人各项服务承诺，采购人有权要求其整改，直至扣款或单方面终止合同。</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7.20、采购人不接受任何因遗漏报价而发生的费用追加，因中标人违反《劳动法》等法律法规而造成采购人的连带责任和损失全部由中标人承担。</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7.21、服从和遵守采购人制定的各项安全制度、工作管理制度、考核制度及其他现行的规章制度。中标人员工应积极主动学习采购人的有关规章制度和管理规定，主动学习有关的安全规定、安全标准、维保规程和标准，学习必要的、最新的与工作有关的资料、文件和手册，严格按照采购人规定的工作规范、标准、程序和权限开展工作，中标人的常驻工作人员必须服从采购人统一的日常管理，包括日常的考勤、考核，服从工作安排。</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7.22、必须建立和完善安全责任制度，建立安全服务保证体系，保障医院安全、稳定的运营和服务，防止责任事故发生；所有设施及工作均不得对运营服务造成影响。</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7.23、安全责任的承担</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过程中产生的所有安全责任事故的后果由中标人承担，应严格执行各项国家地方有关规定，实施严格的各类安全防护保证措施，做好安全工作，在服务期间，若发生安全事故，一切法律和经济责任均由中标人承担，采购人概不负责。安全事故包括但不限于以下情况：</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7.23.1对第三人造成安全事故的；如因工作不当引起的病人跌倒等伤害事件，由中标人负责纠纷处置及经济赔偿。</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7.23.2在服务期内，设备或物品意外被盗或损失、人为损坏的赔偿。</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7.23.3所属员工在工作期间发生的各类受伤、致残、身亡等事故的一切责任及费用由中标人全部负责。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7.23.4在服务期内，因员工安全意识欠缺、安全技能培训不到位从而造成事故的，所有损失由中标人承担。如因违反操作规程导致的针刺伤，以及由针刺伤导致感染的治疗，由中标人全部负责。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7.23.5与员工之间的各种纠纷，由中标人自行解决。</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7.23.6因违规操作或失职等造成采购人设备、设施损坏以及中标人员工工伤事故发生的，一切责任由中标人负责，并承担由此给采购人造成的全部经济损失，负责受损设备的检修安装，保证设施的正常运行。</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7.23.7责任事故造成人身伤亡或第三方财产损失引起争议、产生诉讼的，中标人应独立应诉，并承担一切诉讼后果，如应上述原因导致采购人受到追诉而遭受损失，中标人应予全部赔偿。</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7.24、员工在工作时间违反采购人的管理制度造成安全事故、综治事件、造成采购人的名誉和形象受损的，中标人应立即采取有效措施，恢复采购人的名誉，并按合同约定向采购人支付违约金，若造成采购人损失的，应予赔偿。违约金和赔偿金由采购人依据安全事故的性质、程度以及采购人的名誉、形象受损的范围和程度确定，并在支付合同款时在合同款中扣除。</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7.25、在服务期内，中标人应密切注意气象预报，及时采取防范措施，防止暴风雨、洪水、雷电、冰冻、高温等造成人身损害，不得以除地震等不可抗力以外的自然灾害为由提出索赔要求。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7.26、中标人不得利用服务区域内的采购人房产、物业、水电等资源从事经营活动，不能改变其使用性质。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7.27、投标人应提供相应详细的各项服务人员岗位设置表。</w:t>
      </w:r>
    </w:p>
    <w:p>
      <w:pPr>
        <w:pStyle w:val="22"/>
        <w:rPr>
          <w:rFonts w:ascii="仿宋" w:hAnsi="仿宋" w:eastAsia="仿宋" w:cs="仿宋"/>
          <w:color w:val="000000" w:themeColor="text1"/>
          <w:lang w:val="en-US"/>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8、对中标人的其他要求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8.1、须在对采购人工作目标要求、现场、周边环境在全面了解的情况下编制科学、合理、切实可行的组织实施计划以及具体的质量保证措施、工作程序。</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8.2、须按现代企业制度的要求运行，发挥自身优势，以热心、爱心、专心、贴心的服务，为医院提供全方位、一体化的专业服务保障，确保医院正常运转。</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8.3、合同签订后，派工作人员进场，按实际进场人员数量、种类、服务内容结算费用。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8.4、应妥善安排目前已在为采购人服务的相关人员。</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8.5、须在服务实施过程中按考核标准进行考核。</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8.6、应按月向采购人提供所用人员的工资发放表、保险票据（复印件），各岗位人员名单、人员进出表等，公司花名册报采购方保卫科备案。</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8.7、必须严格按照国家规定、双方签订合同</w:t>
      </w:r>
      <w:r>
        <w:rPr>
          <w:rFonts w:hint="eastAsia" w:ascii="仿宋" w:hAnsi="仿宋" w:eastAsia="仿宋" w:cs="仿宋"/>
          <w:b w:val="0"/>
          <w:bCs/>
          <w:color w:val="000000" w:themeColor="text1"/>
          <w:sz w:val="24"/>
          <w14:textFill>
            <w14:solidFill>
              <w14:schemeClr w14:val="tx1"/>
            </w14:solidFill>
          </w14:textFill>
        </w:rPr>
        <w:t>标准发</w:t>
      </w:r>
      <w:r>
        <w:rPr>
          <w:rFonts w:hint="eastAsia" w:ascii="仿宋" w:hAnsi="仿宋" w:eastAsia="仿宋" w:cs="仿宋"/>
          <w:color w:val="000000" w:themeColor="text1"/>
          <w:sz w:val="24"/>
          <w14:textFill>
            <w14:solidFill>
              <w14:schemeClr w14:val="tx1"/>
            </w14:solidFill>
          </w14:textFill>
        </w:rPr>
        <w:t>放服务员工的工资，公司不得以任何理由克扣</w:t>
      </w:r>
      <w:r>
        <w:rPr>
          <w:rFonts w:hint="eastAsia" w:ascii="仿宋" w:hAnsi="仿宋" w:eastAsia="仿宋" w:cs="仿宋"/>
          <w:color w:val="000000" w:themeColor="text1"/>
          <w:sz w:val="24"/>
          <w:highlight w:val="none"/>
          <w14:textFill>
            <w14:solidFill>
              <w14:schemeClr w14:val="tx1"/>
            </w14:solidFill>
          </w14:textFill>
        </w:rPr>
        <w:t>员工</w:t>
      </w:r>
      <w:r>
        <w:rPr>
          <w:rFonts w:hint="eastAsia" w:ascii="仿宋" w:hAnsi="仿宋" w:eastAsia="仿宋" w:cs="仿宋"/>
          <w:color w:val="000000" w:themeColor="text1"/>
          <w:sz w:val="24"/>
          <w14:textFill>
            <w14:solidFill>
              <w14:schemeClr w14:val="tx1"/>
            </w14:solidFill>
          </w14:textFill>
        </w:rPr>
        <w:t>工资作为公司利润赚取。</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8.8、达不到采购人要求以及中标人的各项服务承诺，采购人有权要求其整改，扣款直至终止合同。</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8.9、所有工作除应按中标人内部流程实施外，还应接受采购人或第三方的检查。</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8.10、需制订各岗位工作流程及消防、抗台、安全等紧急预案，并切实培训到每个岗位人员。</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8.11、应制订详细的培训计划，对员工进行岗位培训、日常培训和文明礼仪培训，确保每个员工培训合格上岗。</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8.12、要求持证上岗的岗位，必须要有操作证。</w:t>
      </w:r>
    </w:p>
    <w:p>
      <w:pPr>
        <w:pStyle w:val="22"/>
        <w:rPr>
          <w:rFonts w:ascii="仿宋" w:hAnsi="仿宋" w:eastAsia="仿宋" w:cs="仿宋"/>
          <w:color w:val="FF0000"/>
          <w:lang w:val="en-US"/>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9、员工构成：</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zh-CN"/>
          <w14:textFill>
            <w14:solidFill>
              <w14:schemeClr w14:val="tx1"/>
            </w14:solidFill>
          </w14:textFill>
        </w:rPr>
        <w:t>一般员工年龄结构要求为</w:t>
      </w:r>
      <w:r>
        <w:rPr>
          <w:rFonts w:hint="eastAsia" w:ascii="仿宋" w:hAnsi="仿宋" w:eastAsia="仿宋" w:cs="仿宋"/>
          <w:color w:val="000000" w:themeColor="text1"/>
          <w:sz w:val="24"/>
          <w14:textFill>
            <w14:solidFill>
              <w14:schemeClr w14:val="tx1"/>
            </w14:solidFill>
          </w14:textFill>
        </w:rPr>
        <w:t>18</w:t>
      </w:r>
      <w:r>
        <w:rPr>
          <w:rFonts w:hint="eastAsia" w:ascii="仿宋" w:hAnsi="仿宋" w:eastAsia="仿宋" w:cs="仿宋"/>
          <w:color w:val="000000" w:themeColor="text1"/>
          <w:sz w:val="24"/>
          <w:lang w:val="zh-CN"/>
          <w14:textFill>
            <w14:solidFill>
              <w14:schemeClr w14:val="tx1"/>
            </w14:solidFill>
          </w14:textFill>
        </w:rPr>
        <w:t>周岁以上，女性55周岁以下，男性60周岁以下，原则上60周岁以下比例不低于80%，原有员工年龄超过年龄结构要求</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lang w:val="zh-CN"/>
          <w14:textFill>
            <w14:solidFill>
              <w14:schemeClr w14:val="tx1"/>
            </w14:solidFill>
          </w14:textFill>
        </w:rPr>
        <w:t>在3个月内逐步更换达到上述要求；（</w:t>
      </w:r>
      <w:r>
        <w:rPr>
          <w:rFonts w:hint="eastAsia" w:ascii="仿宋" w:hAnsi="仿宋" w:eastAsia="仿宋" w:cs="仿宋"/>
          <w:color w:val="000000" w:themeColor="text1"/>
          <w:sz w:val="24"/>
          <w14:textFill>
            <w14:solidFill>
              <w14:schemeClr w14:val="tx1"/>
            </w14:solidFill>
          </w14:textFill>
        </w:rPr>
        <w:t>人员比例</w:t>
      </w:r>
      <w:r>
        <w:rPr>
          <w:rFonts w:hint="eastAsia" w:ascii="仿宋" w:hAnsi="仿宋" w:eastAsia="仿宋" w:cs="仿宋"/>
          <w:color w:val="000000" w:themeColor="text1"/>
          <w:sz w:val="24"/>
          <w:lang w:val="zh-CN"/>
          <w14:textFill>
            <w14:solidFill>
              <w14:schemeClr w14:val="tx1"/>
            </w14:solidFill>
          </w14:textFill>
        </w:rPr>
        <w:t>每降低1%，考核总分扣除0.2分。）；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（2）员工原则上</w:t>
      </w:r>
      <w:r>
        <w:rPr>
          <w:rFonts w:hint="eastAsia" w:ascii="仿宋" w:hAnsi="仿宋" w:eastAsia="仿宋" w:cs="仿宋"/>
          <w:color w:val="000000" w:themeColor="text1"/>
          <w:sz w:val="24"/>
          <w:highlight w:val="none"/>
          <w14:textFill>
            <w14:solidFill>
              <w14:schemeClr w14:val="tx1"/>
            </w14:solidFill>
          </w14:textFill>
        </w:rPr>
        <w:t>具有小学及以上文化基础</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能认识字或能讲、听得懂普通话</w:t>
      </w:r>
      <w:r>
        <w:rPr>
          <w:rFonts w:hint="eastAsia" w:ascii="仿宋" w:hAnsi="仿宋" w:eastAsia="仿宋" w:cs="仿宋"/>
          <w:color w:val="000000" w:themeColor="text1"/>
          <w:sz w:val="24"/>
          <w14:textFill>
            <w14:solidFill>
              <w14:schemeClr w14:val="tx1"/>
            </w14:solidFill>
          </w14:textFill>
        </w:rPr>
        <w:t>；</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（3）身体与心理健康；</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（4）服务意识强，适合公共场所的服务要求；</w:t>
      </w:r>
    </w:p>
    <w:p>
      <w:pPr>
        <w:pStyle w:val="22"/>
        <w:rPr>
          <w:rFonts w:ascii="仿宋" w:hAnsi="仿宋" w:eastAsia="仿宋" w:cs="仿宋"/>
          <w:color w:val="000000" w:themeColor="text1"/>
          <w:lang w:val="en-US"/>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10、中标人员工如果被患者、医院职工投诉，经医院评析投诉成立，将给予扣款处理，扣款金额在合同中另行约定。</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auto"/>
          <w:sz w:val="24"/>
        </w:rPr>
        <w:t>中标人</w:t>
      </w:r>
      <w:r>
        <w:rPr>
          <w:rFonts w:hint="eastAsia" w:ascii="仿宋" w:hAnsi="仿宋" w:eastAsia="仿宋" w:cs="仿宋"/>
          <w:color w:val="000000" w:themeColor="text1"/>
          <w:sz w:val="24"/>
          <w14:textFill>
            <w14:solidFill>
              <w14:schemeClr w14:val="tx1"/>
            </w14:solidFill>
          </w14:textFill>
        </w:rPr>
        <w:t>发生严重影响医院公众形象的事件，以及存在与招标文件不符合的做法，或不履行其投标文件的部份承诺，而由此产生的损失及消除影响产生的费用，由中标人全部承担；采购人根据事件的轻重，将保留扣除中标人的当月合同款0.1%-5%的权利。</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12、合同期内中标人有下列行为，采购</w:t>
      </w:r>
      <w:r>
        <w:rPr>
          <w:rFonts w:hint="eastAsia" w:ascii="仿宋" w:hAnsi="仿宋" w:eastAsia="仿宋" w:cs="仿宋"/>
          <w:color w:val="000000" w:themeColor="text1"/>
          <w:sz w:val="24"/>
          <w:highlight w:val="none"/>
          <w14:textFill>
            <w14:solidFill>
              <w14:schemeClr w14:val="tx1"/>
            </w14:solidFill>
          </w14:textFill>
        </w:rPr>
        <w:t>人将报监管部门提前中止</w:t>
      </w:r>
      <w:r>
        <w:rPr>
          <w:rFonts w:hint="eastAsia" w:ascii="仿宋" w:hAnsi="仿宋" w:eastAsia="仿宋" w:cs="仿宋"/>
          <w:color w:val="000000" w:themeColor="text1"/>
          <w:sz w:val="24"/>
          <w14:textFill>
            <w14:solidFill>
              <w14:schemeClr w14:val="tx1"/>
            </w14:solidFill>
          </w14:textFill>
        </w:rPr>
        <w:t>合同，造成损失由中标人承担：a.月度考核中，一年累计不合格达3次及以上的。b、严重影响医院有关科室的正常工作及医院形象的；C、偷卖医疗垃圾及其他与招标文件不符合的做法，或不履行其投标文件的承诺。</w:t>
      </w:r>
      <w:r>
        <w:rPr>
          <w:rFonts w:hint="eastAsia" w:ascii="仿宋" w:hAnsi="仿宋" w:eastAsia="仿宋" w:cs="仿宋"/>
          <w:color w:val="000000" w:themeColor="text1"/>
          <w:sz w:val="24"/>
          <w:highlight w:val="none"/>
          <w14:textFill>
            <w14:solidFill>
              <w14:schemeClr w14:val="tx1"/>
            </w14:solidFill>
          </w14:textFill>
        </w:rPr>
        <w:t>中标人如要提前中止合同，需提前报于采购人，并经监管部门同意后，方可解除合同，否</w:t>
      </w:r>
      <w:r>
        <w:rPr>
          <w:rFonts w:hint="eastAsia" w:ascii="仿宋" w:hAnsi="仿宋" w:eastAsia="仿宋" w:cs="仿宋"/>
          <w:color w:val="000000" w:themeColor="text1"/>
          <w:sz w:val="24"/>
          <w14:textFill>
            <w14:solidFill>
              <w14:schemeClr w14:val="tx1"/>
            </w14:solidFill>
          </w14:textFill>
        </w:rPr>
        <w:t>则按合同执行；</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13、在服务期内中标人遇到医院各类检查及临时应急事件处理，如台风、大雨大雪大水、消防、突发事件等，中标人应根据工作要求全力配合完成清理积水、积雪等工作任务，其费用已包含在合同总价中。</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14、中标人必须对员工发生的事故责任以及员工计生、身份、健康、各类保险等承担责任；同时对员工在院内做出不良行为给医院造成影响承担责任；</w:t>
      </w:r>
    </w:p>
    <w:p>
      <w:pPr>
        <w:autoSpaceDE w:val="0"/>
        <w:autoSpaceDN w:val="0"/>
        <w:spacing w:line="360" w:lineRule="auto"/>
        <w:textAlignment w:val="bottom"/>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15、中标</w:t>
      </w:r>
      <w:r>
        <w:rPr>
          <w:rFonts w:hint="eastAsia" w:ascii="仿宋" w:hAnsi="仿宋" w:eastAsia="仿宋" w:cs="仿宋"/>
          <w:color w:val="000000" w:themeColor="text1"/>
          <w:sz w:val="24"/>
          <w:highlight w:val="none"/>
          <w14:textFill>
            <w14:solidFill>
              <w14:schemeClr w14:val="tx1"/>
            </w14:solidFill>
          </w14:textFill>
        </w:rPr>
        <w:t>人应做好工作人员职业防护工作；</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中标人员工在工作中造成医院仪器物品损坏、财产损失，患者、家属及自身人身伤害的，责任完全由中标人负责；因中标人员工未及时处理地面呕吐物、排泄物、水渍、果皮等而导致的患者、家属及自身人身伤害的，发生的费用由中标人全额负</w:t>
      </w:r>
      <w:r>
        <w:rPr>
          <w:rFonts w:hint="eastAsia" w:ascii="仿宋" w:hAnsi="仿宋" w:eastAsia="仿宋" w:cs="仿宋"/>
          <w:color w:val="000000" w:themeColor="text1"/>
          <w:sz w:val="24"/>
          <w14:textFill>
            <w14:solidFill>
              <w14:schemeClr w14:val="tx1"/>
            </w14:solidFill>
          </w14:textFill>
        </w:rPr>
        <w:t>责。</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17、其它</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（1）除项目部经理以外的主要管理人员须具有医院服务项目管理工作经验2年及以上。</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（2）医院月度满意率调查中，保洁满意率必须达到90%以上。</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（3）协助医院管理责任区域内的消防或防盗。</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（4）协助医院管理节水节电，有管理措施，如日常空调、电风扇、电灯、水龙头等开与关，以及在合理时间给房间通风，并有巡查考核表，每月递交总务部门。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（五）物业（保洁）综合服务管理质量考核标准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1、人员到位率考核：</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以中标人数为基数，每缺编1人，扣除当月服务费（月度总物业（保洁）综合服务费/总工时数*该岗位工时数），以此类推。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2、检查评分按以下方法进行（科室保洁服务考评及爱卫会考核表详见附件2）：</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月考核基础分为100分，各科室保洁服务考评分占60%，爱卫会考核评分占20%，日常检查考核分占10%，患者满意度占10%（医院每月进行的医疗服务满意度测评中含有的卫生保洁服务部分综合得出），四项相加所得分数为月考核综合得分，年终得分为各月得分的平均值。对日常和专项检查出的问题整改不力的，作专项扣款。</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考核比例：60分（各科室保洁服务考评分数）＋20分（爱卫会考核评分数）＋10分（日常检查考核分）＋10分（患者满意度）=100分</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A、考核总分数在90分以上，保洁费用按合同价的100％全额支付；</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B、考核总分数在90分以下，每下降1个百分点，扣除当月总保洁服务费用的0.5%，年度扣款总计不超过总保洁服务费用的10%。</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C、考核总分数在60分以下，甲方有权拒付当月保洁费用。</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FF0000"/>
          <w:sz w:val="24"/>
        </w:rPr>
        <w:t>二、</w:t>
      </w:r>
      <w:r>
        <w:rPr>
          <w:rFonts w:hint="eastAsia" w:ascii="仿宋" w:hAnsi="仿宋" w:eastAsia="仿宋" w:cs="仿宋"/>
          <w:color w:val="000000" w:themeColor="text1"/>
          <w:sz w:val="24"/>
          <w14:textFill>
            <w14:solidFill>
              <w14:schemeClr w14:val="tx1"/>
            </w14:solidFill>
          </w14:textFill>
        </w:rPr>
        <w:t>商务需求</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1、服务期限及地点</w:t>
      </w:r>
    </w:p>
    <w:p>
      <w:pPr>
        <w:autoSpaceDE w:val="0"/>
        <w:autoSpaceDN w:val="0"/>
        <w:spacing w:line="360" w:lineRule="auto"/>
        <w:textAlignment w:val="bottom"/>
        <w:outlineLvl w:val="0"/>
        <w:rPr>
          <w:rFonts w:ascii="仿宋" w:hAnsi="仿宋" w:eastAsia="仿宋" w:cs="仿宋"/>
          <w:sz w:val="24"/>
        </w:rPr>
      </w:pPr>
      <w:r>
        <w:rPr>
          <w:rFonts w:hint="eastAsia" w:ascii="仿宋" w:hAnsi="仿宋" w:eastAsia="仿宋" w:cs="仿宋"/>
          <w:sz w:val="24"/>
        </w:rPr>
        <w:t>(1) ▲服务期限：1年（具体时间根据招标进度以合同签订生效日为准）。</w:t>
      </w:r>
    </w:p>
    <w:p>
      <w:pPr>
        <w:autoSpaceDE w:val="0"/>
        <w:autoSpaceDN w:val="0"/>
        <w:spacing w:line="360" w:lineRule="auto"/>
        <w:textAlignment w:val="bottom"/>
        <w:outlineLvl w:val="0"/>
        <w:rPr>
          <w:rFonts w:ascii="仿宋" w:hAnsi="仿宋" w:eastAsia="仿宋" w:cs="仿宋"/>
          <w:sz w:val="24"/>
        </w:rPr>
      </w:pPr>
      <w:r>
        <w:rPr>
          <w:rFonts w:hint="eastAsia" w:ascii="仿宋" w:hAnsi="仿宋" w:eastAsia="仿宋" w:cs="仿宋"/>
          <w:sz w:val="24"/>
        </w:rPr>
        <w:t>(2)合同履行完毕后，在未找到接替公司前，中标人应延续1-2个月的服务，费用按原合同签订的月度费用标准支付。合同期满后，妥善处理退场移交、人员安置，如果出现劳资纠纷，责任在中标人。</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(3)服务地点：市心路院区（杭州市萧山区市心南路199号）、通惠分院（拱秀路719号）、蓝领公寓（萧西路194号）。</w:t>
      </w:r>
    </w:p>
    <w:p>
      <w:pPr>
        <w:autoSpaceDE w:val="0"/>
        <w:autoSpaceDN w:val="0"/>
        <w:spacing w:line="360" w:lineRule="auto"/>
        <w:textAlignment w:val="bottom"/>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2、▲付款方式：中标人在合同签订后向采购人支付中标金额的</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作为履约保证金（</w:t>
      </w:r>
      <w:r>
        <w:rPr>
          <w:rFonts w:hint="eastAsia" w:ascii="仿宋" w:hAnsi="仿宋" w:eastAsia="仿宋" w:cs="仿宋_GB2312"/>
          <w:color w:val="000000" w:themeColor="text1"/>
          <w:sz w:val="24"/>
          <w14:textFill>
            <w14:solidFill>
              <w14:schemeClr w14:val="tx1"/>
            </w14:solidFill>
          </w14:textFill>
        </w:rPr>
        <w:t>接受保函</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同时采购人向中标人支付合同价</w:t>
      </w:r>
      <w:r>
        <w:rPr>
          <w:rFonts w:ascii="仿宋" w:hAnsi="仿宋" w:eastAsia="仿宋" w:cs="宋体"/>
          <w:color w:val="000000" w:themeColor="text1"/>
          <w:kern w:val="0"/>
          <w:sz w:val="24"/>
          <w14:textFill>
            <w14:solidFill>
              <w14:schemeClr w14:val="tx1"/>
            </w14:solidFill>
          </w14:textFill>
        </w:rPr>
        <w:t>10%</w:t>
      </w:r>
      <w:r>
        <w:rPr>
          <w:rFonts w:hint="eastAsia" w:ascii="仿宋" w:hAnsi="仿宋" w:eastAsia="仿宋" w:cs="宋体"/>
          <w:color w:val="000000" w:themeColor="text1"/>
          <w:kern w:val="0"/>
          <w:sz w:val="24"/>
          <w14:textFill>
            <w14:solidFill>
              <w14:schemeClr w14:val="tx1"/>
            </w14:solidFill>
          </w14:textFill>
        </w:rPr>
        <w:t>的预付款，</w:t>
      </w:r>
      <w:r>
        <w:rPr>
          <w:rFonts w:hint="eastAsia" w:ascii="仿宋" w:hAnsi="仿宋" w:eastAsia="仿宋"/>
          <w:color w:val="000000" w:themeColor="text1"/>
          <w:sz w:val="24"/>
          <w14:textFill>
            <w14:solidFill>
              <w14:schemeClr w14:val="tx1"/>
            </w14:solidFill>
          </w14:textFill>
        </w:rPr>
        <w:t>物业管理费每</w:t>
      </w:r>
      <w:r>
        <w:rPr>
          <w:rFonts w:hint="eastAsia" w:ascii="仿宋" w:hAnsi="仿宋" w:eastAsia="仿宋"/>
          <w:color w:val="000000" w:themeColor="text1"/>
          <w:sz w:val="24"/>
          <w:highlight w:val="none"/>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支付一次，最后一次支付（包含</w:t>
      </w:r>
      <w:r>
        <w:rPr>
          <w:rFonts w:ascii="仿宋" w:hAnsi="仿宋" w:eastAsia="仿宋"/>
          <w:color w:val="000000" w:themeColor="text1"/>
          <w:sz w:val="24"/>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预付款）时间为合同期满以后一次性付清，履约保证金无息退还。</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注：1.招标文件中打</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内容为实质性要求，不允许有负偏离，否则将以涉及无效投标条款作无效投标。</w:t>
      </w:r>
    </w:p>
    <w:p>
      <w:pPr>
        <w:snapToGrid w:val="0"/>
        <w:spacing w:line="360" w:lineRule="auto"/>
        <w:jc w:val="left"/>
        <w:rPr>
          <w:rFonts w:ascii="仿宋" w:hAnsi="仿宋" w:eastAsia="仿宋"/>
          <w:color w:val="000000"/>
          <w:sz w:val="24"/>
        </w:rPr>
        <w:sectPr>
          <w:pgSz w:w="11907" w:h="16840"/>
          <w:pgMar w:top="1800" w:right="1440" w:bottom="1800" w:left="1440" w:header="851" w:footer="851" w:gutter="0"/>
          <w:cols w:space="720" w:num="1"/>
          <w:docGrid w:linePitch="286" w:charSpace="0"/>
        </w:sectPr>
      </w:pPr>
    </w:p>
    <w:p/>
    <w:p>
      <w:pPr>
        <w:pStyle w:val="2"/>
      </w:pPr>
      <w:r>
        <w:rPr>
          <w:rFonts w:hint="eastAsia"/>
        </w:rPr>
        <w:t xml:space="preserve">第四部分   </w:t>
      </w:r>
      <w:bookmarkStart w:id="62" w:name="_Toc184310306"/>
      <w:bookmarkEnd w:id="62"/>
      <w:bookmarkStart w:id="63" w:name="_Toc184314449"/>
      <w:bookmarkEnd w:id="63"/>
      <w:bookmarkStart w:id="64" w:name="_Toc184310289"/>
      <w:bookmarkEnd w:id="64"/>
      <w:bookmarkStart w:id="65" w:name="_Toc184308084"/>
      <w:bookmarkEnd w:id="65"/>
      <w:bookmarkStart w:id="66" w:name="_Toc184312068"/>
      <w:bookmarkEnd w:id="66"/>
      <w:bookmarkStart w:id="67" w:name="_Toc184313238"/>
      <w:bookmarkEnd w:id="67"/>
      <w:bookmarkStart w:id="68" w:name="_Toc184313283"/>
      <w:bookmarkEnd w:id="68"/>
      <w:bookmarkStart w:id="69" w:name="_Toc184313254"/>
      <w:bookmarkEnd w:id="69"/>
      <w:bookmarkStart w:id="70" w:name="_Toc184312084"/>
      <w:bookmarkEnd w:id="70"/>
      <w:bookmarkStart w:id="71" w:name="_Toc184313251"/>
      <w:bookmarkEnd w:id="71"/>
      <w:bookmarkStart w:id="72" w:name="_Toc184308057"/>
      <w:bookmarkEnd w:id="72"/>
      <w:bookmarkStart w:id="73" w:name="_Toc184313266"/>
      <w:bookmarkEnd w:id="73"/>
      <w:bookmarkStart w:id="74" w:name="_Toc184313277"/>
      <w:bookmarkEnd w:id="74"/>
      <w:bookmarkStart w:id="75" w:name="_Toc184314447"/>
      <w:bookmarkEnd w:id="75"/>
      <w:bookmarkStart w:id="76" w:name="_Toc184308052"/>
      <w:bookmarkEnd w:id="76"/>
      <w:bookmarkStart w:id="77" w:name="_Toc184314455"/>
      <w:bookmarkEnd w:id="77"/>
      <w:bookmarkStart w:id="78" w:name="_Toc184312097"/>
      <w:bookmarkEnd w:id="78"/>
      <w:bookmarkStart w:id="79" w:name="_Toc184310292"/>
      <w:bookmarkEnd w:id="79"/>
      <w:bookmarkStart w:id="80" w:name="_Toc184314454"/>
      <w:bookmarkEnd w:id="80"/>
      <w:bookmarkStart w:id="81" w:name="_Toc184310283"/>
      <w:bookmarkEnd w:id="81"/>
      <w:bookmarkStart w:id="82" w:name="_Toc184314444"/>
      <w:bookmarkEnd w:id="82"/>
      <w:bookmarkStart w:id="83" w:name="_Toc184312136"/>
      <w:bookmarkEnd w:id="83"/>
      <w:bookmarkStart w:id="84" w:name="_Toc184308100"/>
      <w:bookmarkEnd w:id="84"/>
      <w:bookmarkStart w:id="85" w:name="_Toc184313267"/>
      <w:bookmarkEnd w:id="85"/>
      <w:bookmarkStart w:id="86" w:name="_Toc184312126"/>
      <w:bookmarkEnd w:id="86"/>
      <w:bookmarkStart w:id="87" w:name="_Toc184313258"/>
      <w:bookmarkEnd w:id="87"/>
      <w:bookmarkStart w:id="88" w:name="_Toc184310299"/>
      <w:bookmarkEnd w:id="88"/>
      <w:bookmarkStart w:id="89" w:name="_Toc184313281"/>
      <w:bookmarkEnd w:id="89"/>
      <w:bookmarkStart w:id="90" w:name="_Toc184308065"/>
      <w:bookmarkEnd w:id="90"/>
      <w:bookmarkStart w:id="91" w:name="_Toc184310303"/>
      <w:bookmarkEnd w:id="91"/>
      <w:bookmarkStart w:id="92" w:name="_Toc184314430"/>
      <w:bookmarkEnd w:id="92"/>
      <w:bookmarkStart w:id="93" w:name="_Toc184312081"/>
      <w:bookmarkEnd w:id="93"/>
      <w:bookmarkStart w:id="94" w:name="_Toc184308055"/>
      <w:bookmarkEnd w:id="94"/>
      <w:bookmarkStart w:id="95" w:name="_Toc184308056"/>
      <w:bookmarkEnd w:id="95"/>
      <w:bookmarkStart w:id="96" w:name="_Toc184314478"/>
      <w:bookmarkEnd w:id="96"/>
      <w:bookmarkStart w:id="97" w:name="_Toc184313259"/>
      <w:bookmarkEnd w:id="97"/>
      <w:bookmarkStart w:id="98" w:name="_Toc184308071"/>
      <w:bookmarkEnd w:id="98"/>
      <w:bookmarkStart w:id="99" w:name="_Toc184314429"/>
      <w:bookmarkEnd w:id="99"/>
      <w:bookmarkStart w:id="100" w:name="_Toc184308067"/>
      <w:bookmarkEnd w:id="100"/>
      <w:bookmarkStart w:id="101" w:name="_Toc184312102"/>
      <w:bookmarkEnd w:id="101"/>
      <w:bookmarkStart w:id="102" w:name="_Toc184308064"/>
      <w:bookmarkEnd w:id="102"/>
      <w:bookmarkStart w:id="103" w:name="_Toc184312138"/>
      <w:bookmarkEnd w:id="103"/>
      <w:bookmarkStart w:id="104" w:name="_Toc184308066"/>
      <w:bookmarkEnd w:id="104"/>
      <w:bookmarkStart w:id="105" w:name="_Toc184314439"/>
      <w:bookmarkEnd w:id="105"/>
      <w:bookmarkStart w:id="106" w:name="_Toc184314443"/>
      <w:bookmarkEnd w:id="106"/>
      <w:bookmarkStart w:id="107" w:name="_Toc184314428"/>
      <w:bookmarkEnd w:id="107"/>
      <w:bookmarkStart w:id="108" w:name="_Toc184310288"/>
      <w:bookmarkEnd w:id="108"/>
      <w:bookmarkStart w:id="109" w:name="_Toc184312095"/>
      <w:bookmarkEnd w:id="109"/>
      <w:bookmarkStart w:id="110" w:name="_Toc184310273"/>
      <w:bookmarkEnd w:id="110"/>
      <w:bookmarkStart w:id="111" w:name="_Toc184312112"/>
      <w:bookmarkEnd w:id="111"/>
      <w:bookmarkStart w:id="112" w:name="_Toc184313255"/>
      <w:bookmarkEnd w:id="112"/>
      <w:bookmarkStart w:id="113" w:name="_Toc184312086"/>
      <w:bookmarkEnd w:id="113"/>
      <w:bookmarkStart w:id="114" w:name="_Toc184312113"/>
      <w:bookmarkEnd w:id="114"/>
      <w:bookmarkStart w:id="115" w:name="_Toc184313271"/>
      <w:bookmarkEnd w:id="115"/>
      <w:bookmarkStart w:id="116" w:name="_Toc184310302"/>
      <w:bookmarkEnd w:id="116"/>
      <w:bookmarkStart w:id="117" w:name="_Toc184314481"/>
      <w:bookmarkEnd w:id="117"/>
      <w:bookmarkStart w:id="118" w:name="_Toc184310310"/>
      <w:bookmarkEnd w:id="118"/>
      <w:bookmarkStart w:id="119" w:name="_Toc184314440"/>
      <w:bookmarkEnd w:id="119"/>
      <w:bookmarkStart w:id="120" w:name="_Toc184313310"/>
      <w:bookmarkEnd w:id="120"/>
      <w:bookmarkStart w:id="121" w:name="_Toc184312079"/>
      <w:bookmarkEnd w:id="121"/>
      <w:bookmarkStart w:id="122" w:name="_Toc184314420"/>
      <w:bookmarkEnd w:id="122"/>
      <w:bookmarkStart w:id="123" w:name="_Toc184308069"/>
      <w:bookmarkEnd w:id="123"/>
      <w:bookmarkStart w:id="124" w:name="_Toc184312131"/>
      <w:bookmarkEnd w:id="124"/>
      <w:bookmarkStart w:id="125" w:name="_Toc184310300"/>
      <w:bookmarkEnd w:id="125"/>
      <w:bookmarkStart w:id="126" w:name="_Toc184308051"/>
      <w:bookmarkEnd w:id="126"/>
      <w:bookmarkStart w:id="127" w:name="_Toc184312083"/>
      <w:bookmarkEnd w:id="127"/>
      <w:bookmarkStart w:id="128" w:name="_Toc184313242"/>
      <w:bookmarkEnd w:id="128"/>
      <w:bookmarkStart w:id="129" w:name="_Toc184312108"/>
      <w:bookmarkEnd w:id="129"/>
      <w:bookmarkStart w:id="130" w:name="_Toc184310311"/>
      <w:bookmarkEnd w:id="130"/>
      <w:bookmarkStart w:id="131" w:name="_Toc184310307"/>
      <w:bookmarkEnd w:id="131"/>
      <w:bookmarkStart w:id="132" w:name="_Toc184312078"/>
      <w:bookmarkEnd w:id="132"/>
      <w:bookmarkStart w:id="133" w:name="_Toc184314423"/>
      <w:bookmarkEnd w:id="133"/>
      <w:bookmarkStart w:id="134" w:name="_Toc184313303"/>
      <w:bookmarkEnd w:id="134"/>
      <w:bookmarkStart w:id="135" w:name="_Toc184313273"/>
      <w:bookmarkEnd w:id="135"/>
      <w:bookmarkStart w:id="136" w:name="_Toc184312105"/>
      <w:bookmarkEnd w:id="136"/>
      <w:bookmarkStart w:id="137" w:name="_Toc184308072"/>
      <w:bookmarkEnd w:id="137"/>
      <w:bookmarkStart w:id="138" w:name="_Toc184313249"/>
      <w:bookmarkEnd w:id="138"/>
      <w:bookmarkStart w:id="139" w:name="_Toc184314410"/>
      <w:bookmarkEnd w:id="139"/>
      <w:bookmarkStart w:id="140" w:name="_Toc184308047"/>
      <w:bookmarkEnd w:id="140"/>
      <w:bookmarkStart w:id="141" w:name="_Toc184313270"/>
      <w:bookmarkEnd w:id="141"/>
      <w:bookmarkStart w:id="142" w:name="_Toc184310315"/>
      <w:bookmarkEnd w:id="142"/>
      <w:bookmarkStart w:id="143" w:name="_Toc184310301"/>
      <w:bookmarkEnd w:id="143"/>
      <w:bookmarkStart w:id="144" w:name="_Toc184313293"/>
      <w:bookmarkEnd w:id="144"/>
      <w:bookmarkStart w:id="145" w:name="_Toc184310305"/>
      <w:bookmarkEnd w:id="145"/>
      <w:bookmarkStart w:id="146" w:name="_Toc184312096"/>
      <w:bookmarkEnd w:id="146"/>
      <w:bookmarkStart w:id="147" w:name="_Toc184312139"/>
      <w:bookmarkEnd w:id="147"/>
      <w:bookmarkStart w:id="148" w:name="_Toc184308074"/>
      <w:bookmarkEnd w:id="148"/>
      <w:bookmarkStart w:id="149" w:name="_Toc184310308"/>
      <w:bookmarkEnd w:id="149"/>
      <w:bookmarkStart w:id="150" w:name="_Toc184312100"/>
      <w:bookmarkEnd w:id="150"/>
      <w:bookmarkStart w:id="151" w:name="_Toc184314464"/>
      <w:bookmarkEnd w:id="151"/>
      <w:bookmarkStart w:id="152" w:name="_Toc184312085"/>
      <w:bookmarkEnd w:id="152"/>
      <w:bookmarkStart w:id="153" w:name="_Toc184314468"/>
      <w:bookmarkEnd w:id="153"/>
      <w:bookmarkStart w:id="154" w:name="_Toc184312101"/>
      <w:bookmarkEnd w:id="154"/>
      <w:bookmarkStart w:id="155" w:name="_Toc184308101"/>
      <w:bookmarkEnd w:id="155"/>
      <w:bookmarkStart w:id="156" w:name="_Toc184314419"/>
      <w:bookmarkEnd w:id="156"/>
      <w:bookmarkStart w:id="157" w:name="_Toc184310286"/>
      <w:bookmarkEnd w:id="157"/>
      <w:bookmarkStart w:id="158" w:name="_Toc184313275"/>
      <w:bookmarkEnd w:id="158"/>
      <w:bookmarkStart w:id="159" w:name="_Toc184308070"/>
      <w:bookmarkEnd w:id="159"/>
      <w:bookmarkStart w:id="160" w:name="_Toc184313247"/>
      <w:bookmarkEnd w:id="160"/>
      <w:bookmarkStart w:id="161" w:name="_Toc184314445"/>
      <w:bookmarkEnd w:id="161"/>
      <w:bookmarkStart w:id="162" w:name="_Toc184314438"/>
      <w:bookmarkEnd w:id="162"/>
      <w:bookmarkStart w:id="163" w:name="_Toc184312120"/>
      <w:bookmarkEnd w:id="163"/>
      <w:bookmarkStart w:id="164" w:name="_Toc184314482"/>
      <w:bookmarkEnd w:id="164"/>
      <w:bookmarkStart w:id="165" w:name="_Toc184314475"/>
      <w:bookmarkEnd w:id="165"/>
      <w:bookmarkStart w:id="166" w:name="_Toc184312098"/>
      <w:bookmarkEnd w:id="166"/>
      <w:bookmarkStart w:id="167" w:name="_Toc184308063"/>
      <w:bookmarkEnd w:id="167"/>
      <w:bookmarkStart w:id="168" w:name="_Toc184313272"/>
      <w:bookmarkEnd w:id="168"/>
      <w:bookmarkStart w:id="169" w:name="_Toc184313252"/>
      <w:bookmarkEnd w:id="169"/>
      <w:bookmarkStart w:id="170" w:name="_Toc184314479"/>
      <w:bookmarkEnd w:id="170"/>
      <w:bookmarkStart w:id="171" w:name="_Toc184308068"/>
      <w:bookmarkEnd w:id="171"/>
      <w:bookmarkStart w:id="172" w:name="_Toc184314453"/>
      <w:bookmarkEnd w:id="172"/>
      <w:bookmarkStart w:id="173" w:name="_Toc184313291"/>
      <w:bookmarkEnd w:id="173"/>
      <w:bookmarkStart w:id="174" w:name="_Toc184308102"/>
      <w:bookmarkEnd w:id="174"/>
      <w:bookmarkStart w:id="175" w:name="_Toc184310282"/>
      <w:bookmarkEnd w:id="175"/>
      <w:bookmarkStart w:id="176" w:name="_Toc184308094"/>
      <w:bookmarkEnd w:id="176"/>
      <w:bookmarkStart w:id="177" w:name="_Toc184308087"/>
      <w:bookmarkEnd w:id="177"/>
      <w:bookmarkStart w:id="178" w:name="_Toc184314451"/>
      <w:bookmarkEnd w:id="178"/>
      <w:bookmarkStart w:id="179" w:name="_Toc184312093"/>
      <w:bookmarkEnd w:id="179"/>
      <w:bookmarkStart w:id="180" w:name="_Toc184310313"/>
      <w:bookmarkEnd w:id="180"/>
      <w:bookmarkStart w:id="181" w:name="_Toc184312106"/>
      <w:bookmarkEnd w:id="181"/>
      <w:bookmarkStart w:id="182" w:name="_Toc184313250"/>
      <w:bookmarkEnd w:id="182"/>
      <w:bookmarkStart w:id="183" w:name="_Toc184314442"/>
      <w:bookmarkEnd w:id="183"/>
      <w:bookmarkStart w:id="184" w:name="_Toc184310341"/>
      <w:bookmarkEnd w:id="184"/>
      <w:bookmarkStart w:id="185" w:name="_Toc184312121"/>
      <w:bookmarkEnd w:id="185"/>
      <w:bookmarkStart w:id="186" w:name="_Toc184314421"/>
      <w:bookmarkEnd w:id="186"/>
      <w:bookmarkStart w:id="187" w:name="_Toc184308078"/>
      <w:bookmarkEnd w:id="187"/>
      <w:bookmarkStart w:id="188" w:name="_Toc184312114"/>
      <w:bookmarkEnd w:id="188"/>
      <w:bookmarkStart w:id="189" w:name="_Toc184314422"/>
      <w:bookmarkEnd w:id="189"/>
      <w:bookmarkStart w:id="190" w:name="_Toc184312080"/>
      <w:bookmarkEnd w:id="190"/>
      <w:bookmarkStart w:id="191" w:name="_Toc184314465"/>
      <w:bookmarkEnd w:id="191"/>
      <w:bookmarkStart w:id="192" w:name="_Toc184312104"/>
      <w:bookmarkEnd w:id="192"/>
      <w:bookmarkStart w:id="193" w:name="_Toc184312071"/>
      <w:bookmarkEnd w:id="193"/>
      <w:bookmarkStart w:id="194" w:name="_Toc184312125"/>
      <w:bookmarkEnd w:id="194"/>
      <w:bookmarkStart w:id="195" w:name="_Toc184312103"/>
      <w:bookmarkEnd w:id="195"/>
      <w:bookmarkStart w:id="196" w:name="_Toc184312118"/>
      <w:bookmarkEnd w:id="196"/>
      <w:bookmarkStart w:id="197" w:name="_Toc184313240"/>
      <w:bookmarkEnd w:id="197"/>
      <w:bookmarkStart w:id="198" w:name="_Toc184308079"/>
      <w:bookmarkEnd w:id="198"/>
      <w:bookmarkStart w:id="199" w:name="_Toc184314436"/>
      <w:bookmarkEnd w:id="199"/>
      <w:bookmarkStart w:id="200" w:name="_Toc184314441"/>
      <w:bookmarkEnd w:id="200"/>
      <w:bookmarkStart w:id="201" w:name="_Toc184308108"/>
      <w:bookmarkEnd w:id="201"/>
      <w:bookmarkStart w:id="202" w:name="_Toc184313269"/>
      <w:bookmarkEnd w:id="202"/>
      <w:bookmarkStart w:id="203" w:name="_Toc184308082"/>
      <w:bookmarkEnd w:id="203"/>
      <w:bookmarkStart w:id="204" w:name="_Toc184313297"/>
      <w:bookmarkEnd w:id="204"/>
      <w:bookmarkStart w:id="205" w:name="_Toc184313288"/>
      <w:bookmarkEnd w:id="205"/>
      <w:bookmarkStart w:id="206" w:name="_Toc184308086"/>
      <w:bookmarkEnd w:id="206"/>
      <w:bookmarkStart w:id="207" w:name="_Toc184310284"/>
      <w:bookmarkEnd w:id="207"/>
      <w:bookmarkStart w:id="208" w:name="_Toc184310337"/>
      <w:bookmarkEnd w:id="208"/>
      <w:bookmarkStart w:id="209" w:name="_Toc184313308"/>
      <w:bookmarkEnd w:id="209"/>
      <w:bookmarkStart w:id="210" w:name="_Toc184308085"/>
      <w:bookmarkEnd w:id="210"/>
      <w:bookmarkStart w:id="211" w:name="_Toc184314480"/>
      <w:bookmarkEnd w:id="211"/>
      <w:bookmarkStart w:id="212" w:name="_Toc184310331"/>
      <w:bookmarkEnd w:id="212"/>
      <w:bookmarkStart w:id="213" w:name="_Toc184314456"/>
      <w:bookmarkEnd w:id="213"/>
      <w:bookmarkStart w:id="214" w:name="_Toc184312109"/>
      <w:bookmarkEnd w:id="214"/>
      <w:bookmarkStart w:id="215" w:name="_Toc184312122"/>
      <w:bookmarkEnd w:id="215"/>
      <w:bookmarkStart w:id="216" w:name="_Toc184308089"/>
      <w:bookmarkEnd w:id="216"/>
      <w:bookmarkStart w:id="217" w:name="_Toc184313239"/>
      <w:bookmarkEnd w:id="217"/>
      <w:bookmarkStart w:id="218" w:name="_Toc184310343"/>
      <w:bookmarkEnd w:id="218"/>
      <w:bookmarkStart w:id="219" w:name="_Toc184308077"/>
      <w:bookmarkEnd w:id="219"/>
      <w:bookmarkStart w:id="220" w:name="_Toc184312082"/>
      <w:bookmarkEnd w:id="220"/>
      <w:bookmarkStart w:id="221" w:name="_Toc184310285"/>
      <w:bookmarkEnd w:id="221"/>
      <w:bookmarkStart w:id="222" w:name="_Toc184314471"/>
      <w:bookmarkEnd w:id="222"/>
      <w:bookmarkStart w:id="223" w:name="_Toc184308083"/>
      <w:bookmarkEnd w:id="223"/>
      <w:bookmarkStart w:id="224" w:name="_Toc184310330"/>
      <w:bookmarkEnd w:id="224"/>
      <w:bookmarkStart w:id="225" w:name="_Toc184310309"/>
      <w:bookmarkEnd w:id="225"/>
      <w:bookmarkStart w:id="226" w:name="_Toc184313309"/>
      <w:bookmarkEnd w:id="226"/>
      <w:bookmarkStart w:id="227" w:name="_Toc184310329"/>
      <w:bookmarkEnd w:id="227"/>
      <w:bookmarkStart w:id="228" w:name="_Toc184313290"/>
      <w:bookmarkEnd w:id="228"/>
      <w:bookmarkStart w:id="229" w:name="_Toc184314427"/>
      <w:bookmarkEnd w:id="229"/>
      <w:bookmarkStart w:id="230" w:name="_Toc184308091"/>
      <w:bookmarkEnd w:id="230"/>
      <w:bookmarkStart w:id="231" w:name="_Toc184313248"/>
      <w:bookmarkEnd w:id="231"/>
      <w:bookmarkStart w:id="232" w:name="_Toc184313274"/>
      <w:bookmarkEnd w:id="232"/>
      <w:bookmarkStart w:id="233" w:name="_Toc184314466"/>
      <w:bookmarkEnd w:id="233"/>
      <w:bookmarkStart w:id="234" w:name="_Toc184312099"/>
      <w:bookmarkEnd w:id="234"/>
      <w:bookmarkStart w:id="235" w:name="_Toc184310338"/>
      <w:bookmarkEnd w:id="235"/>
      <w:bookmarkStart w:id="236" w:name="_Toc184308088"/>
      <w:bookmarkEnd w:id="236"/>
      <w:bookmarkStart w:id="237" w:name="_Toc184310287"/>
      <w:bookmarkEnd w:id="237"/>
      <w:bookmarkStart w:id="238" w:name="_Toc184310327"/>
      <w:bookmarkEnd w:id="238"/>
      <w:bookmarkStart w:id="239" w:name="_Toc184308048"/>
      <w:bookmarkEnd w:id="239"/>
      <w:bookmarkStart w:id="240" w:name="_Toc184312077"/>
      <w:bookmarkEnd w:id="240"/>
      <w:bookmarkStart w:id="241" w:name="_Toc184313279"/>
      <w:bookmarkEnd w:id="241"/>
      <w:bookmarkStart w:id="242" w:name="_Toc184314469"/>
      <w:bookmarkEnd w:id="242"/>
      <w:bookmarkStart w:id="243" w:name="_Toc184314460"/>
      <w:bookmarkEnd w:id="243"/>
      <w:bookmarkStart w:id="244" w:name="_Toc184314467"/>
      <w:bookmarkEnd w:id="244"/>
      <w:bookmarkStart w:id="245" w:name="_Toc184312119"/>
      <w:bookmarkEnd w:id="245"/>
      <w:bookmarkStart w:id="246" w:name="_Toc184308046"/>
      <w:bookmarkEnd w:id="246"/>
      <w:bookmarkStart w:id="247" w:name="_Toc184312137"/>
      <w:bookmarkEnd w:id="247"/>
      <w:bookmarkStart w:id="248" w:name="_Toc184313241"/>
      <w:bookmarkEnd w:id="248"/>
      <w:bookmarkStart w:id="249" w:name="_Toc184314476"/>
      <w:bookmarkEnd w:id="249"/>
      <w:bookmarkStart w:id="250" w:name="_Toc184310332"/>
      <w:bookmarkEnd w:id="250"/>
      <w:bookmarkStart w:id="251" w:name="_Toc184308050"/>
      <w:bookmarkEnd w:id="251"/>
      <w:bookmarkStart w:id="252" w:name="_Toc184314463"/>
      <w:bookmarkEnd w:id="252"/>
      <w:bookmarkStart w:id="253" w:name="_Toc184312111"/>
      <w:bookmarkEnd w:id="253"/>
      <w:bookmarkStart w:id="254" w:name="_Toc184312130"/>
      <w:bookmarkEnd w:id="254"/>
      <w:bookmarkStart w:id="255" w:name="_Toc184313289"/>
      <w:bookmarkEnd w:id="255"/>
      <w:bookmarkStart w:id="256" w:name="_Toc184313295"/>
      <w:bookmarkEnd w:id="256"/>
      <w:bookmarkStart w:id="257" w:name="_Toc184308090"/>
      <w:bookmarkEnd w:id="257"/>
      <w:bookmarkStart w:id="258" w:name="_Toc184314461"/>
      <w:bookmarkEnd w:id="258"/>
      <w:bookmarkStart w:id="259" w:name="_Toc184310290"/>
      <w:bookmarkEnd w:id="259"/>
      <w:bookmarkStart w:id="260" w:name="_Toc184314477"/>
      <w:bookmarkEnd w:id="260"/>
      <w:bookmarkStart w:id="261" w:name="_Toc184313264"/>
      <w:bookmarkEnd w:id="261"/>
      <w:bookmarkStart w:id="262" w:name="_Toc184308036"/>
      <w:bookmarkEnd w:id="262"/>
      <w:bookmarkStart w:id="263" w:name="_Toc184312127"/>
      <w:bookmarkEnd w:id="263"/>
      <w:bookmarkStart w:id="264" w:name="_Toc184308097"/>
      <w:bookmarkEnd w:id="264"/>
      <w:bookmarkStart w:id="265" w:name="_Toc184310334"/>
      <w:bookmarkEnd w:id="265"/>
      <w:bookmarkStart w:id="266" w:name="_Toc184308107"/>
      <w:bookmarkEnd w:id="266"/>
      <w:bookmarkStart w:id="267" w:name="_Toc184312129"/>
      <w:bookmarkEnd w:id="267"/>
      <w:bookmarkStart w:id="268" w:name="_Toc184308098"/>
      <w:bookmarkEnd w:id="268"/>
      <w:bookmarkStart w:id="269" w:name="_Toc184312090"/>
      <w:bookmarkEnd w:id="269"/>
      <w:bookmarkStart w:id="270" w:name="_Toc184310323"/>
      <w:bookmarkEnd w:id="270"/>
      <w:bookmarkStart w:id="271" w:name="_Toc184314462"/>
      <w:bookmarkEnd w:id="271"/>
      <w:bookmarkStart w:id="272" w:name="_Toc184308095"/>
      <w:bookmarkEnd w:id="272"/>
      <w:bookmarkStart w:id="273" w:name="_Toc184313301"/>
      <w:bookmarkEnd w:id="273"/>
      <w:bookmarkStart w:id="274" w:name="_Toc184313304"/>
      <w:bookmarkEnd w:id="274"/>
      <w:bookmarkStart w:id="275" w:name="_Toc184310325"/>
      <w:bookmarkEnd w:id="275"/>
      <w:bookmarkStart w:id="276" w:name="_Toc184310326"/>
      <w:bookmarkEnd w:id="276"/>
      <w:bookmarkStart w:id="277" w:name="_Toc184313298"/>
      <w:bookmarkEnd w:id="277"/>
      <w:bookmarkStart w:id="278" w:name="_Toc184314435"/>
      <w:bookmarkEnd w:id="278"/>
      <w:bookmarkStart w:id="279" w:name="_Toc184310335"/>
      <w:bookmarkEnd w:id="279"/>
      <w:bookmarkStart w:id="280" w:name="_Toc184314470"/>
      <w:bookmarkEnd w:id="280"/>
      <w:bookmarkStart w:id="281" w:name="_Toc184310333"/>
      <w:bookmarkEnd w:id="281"/>
      <w:bookmarkStart w:id="282" w:name="_Toc184310318"/>
      <w:bookmarkEnd w:id="282"/>
      <w:bookmarkStart w:id="283" w:name="_Toc184308076"/>
      <w:bookmarkEnd w:id="283"/>
      <w:bookmarkStart w:id="284" w:name="_Toc184308103"/>
      <w:bookmarkEnd w:id="284"/>
      <w:bookmarkStart w:id="285" w:name="_Toc184310276"/>
      <w:bookmarkEnd w:id="285"/>
      <w:bookmarkStart w:id="286" w:name="_Toc184313278"/>
      <w:bookmarkEnd w:id="286"/>
      <w:bookmarkStart w:id="287" w:name="_Toc184313285"/>
      <w:bookmarkEnd w:id="287"/>
      <w:bookmarkStart w:id="288" w:name="_Toc184313282"/>
      <w:bookmarkEnd w:id="288"/>
      <w:bookmarkStart w:id="289" w:name="_Toc184310328"/>
      <w:bookmarkEnd w:id="289"/>
      <w:bookmarkStart w:id="290" w:name="_Toc184310304"/>
      <w:bookmarkEnd w:id="290"/>
      <w:bookmarkStart w:id="291" w:name="_Toc184310278"/>
      <w:bookmarkEnd w:id="291"/>
      <w:bookmarkStart w:id="292" w:name="_Toc184308080"/>
      <w:bookmarkEnd w:id="292"/>
      <w:bookmarkStart w:id="293" w:name="_Toc184312128"/>
      <w:bookmarkEnd w:id="293"/>
      <w:bookmarkStart w:id="294" w:name="_Toc184313299"/>
      <w:bookmarkEnd w:id="294"/>
      <w:bookmarkStart w:id="295" w:name="_Toc184312092"/>
      <w:bookmarkEnd w:id="295"/>
      <w:bookmarkStart w:id="296" w:name="_Toc184314433"/>
      <w:bookmarkEnd w:id="296"/>
      <w:bookmarkStart w:id="297" w:name="_Toc184312107"/>
      <w:bookmarkEnd w:id="297"/>
      <w:bookmarkStart w:id="298" w:name="_Toc184310320"/>
      <w:bookmarkEnd w:id="298"/>
      <w:bookmarkStart w:id="299" w:name="_Toc184313302"/>
      <w:bookmarkEnd w:id="299"/>
      <w:bookmarkStart w:id="300" w:name="_Toc184308073"/>
      <w:bookmarkEnd w:id="300"/>
      <w:bookmarkStart w:id="301" w:name="_Toc184314459"/>
      <w:bookmarkEnd w:id="301"/>
      <w:bookmarkStart w:id="302" w:name="_Toc184310319"/>
      <w:bookmarkEnd w:id="302"/>
      <w:bookmarkStart w:id="303" w:name="_Toc184314472"/>
      <w:bookmarkEnd w:id="303"/>
      <w:bookmarkStart w:id="304" w:name="_Toc184313296"/>
      <w:bookmarkEnd w:id="304"/>
      <w:bookmarkStart w:id="305" w:name="_Toc184313294"/>
      <w:bookmarkEnd w:id="305"/>
      <w:bookmarkStart w:id="306" w:name="_Toc184310314"/>
      <w:bookmarkEnd w:id="306"/>
      <w:bookmarkStart w:id="307" w:name="_Toc184312132"/>
      <w:bookmarkEnd w:id="307"/>
      <w:bookmarkStart w:id="308" w:name="_Toc184308092"/>
      <w:bookmarkEnd w:id="308"/>
      <w:bookmarkStart w:id="309" w:name="_Toc184308075"/>
      <w:bookmarkEnd w:id="309"/>
      <w:bookmarkStart w:id="310" w:name="_Toc184313300"/>
      <w:bookmarkEnd w:id="310"/>
      <w:bookmarkStart w:id="311" w:name="_Toc184310344"/>
      <w:bookmarkEnd w:id="311"/>
      <w:bookmarkStart w:id="312" w:name="_Toc184308093"/>
      <w:bookmarkEnd w:id="312"/>
      <w:bookmarkStart w:id="313" w:name="_Toc184310321"/>
      <w:bookmarkEnd w:id="313"/>
      <w:bookmarkStart w:id="314" w:name="_Toc184312075"/>
      <w:bookmarkEnd w:id="314"/>
      <w:bookmarkStart w:id="315" w:name="_Toc184312091"/>
      <w:bookmarkEnd w:id="315"/>
      <w:bookmarkStart w:id="316" w:name="_Toc184310277"/>
      <w:bookmarkEnd w:id="316"/>
      <w:bookmarkStart w:id="317" w:name="_Toc184312133"/>
      <w:bookmarkEnd w:id="317"/>
      <w:bookmarkStart w:id="318" w:name="_Toc184313244"/>
      <w:bookmarkEnd w:id="318"/>
      <w:bookmarkStart w:id="319" w:name="_Toc184314437"/>
      <w:bookmarkEnd w:id="319"/>
      <w:bookmarkStart w:id="320" w:name="_Toc184314452"/>
      <w:bookmarkEnd w:id="320"/>
      <w:bookmarkStart w:id="321" w:name="_Toc184308096"/>
      <w:bookmarkEnd w:id="321"/>
      <w:bookmarkStart w:id="322" w:name="_Toc184314418"/>
      <w:bookmarkEnd w:id="322"/>
      <w:bookmarkStart w:id="323" w:name="_Toc184312134"/>
      <w:bookmarkEnd w:id="323"/>
      <w:bookmarkStart w:id="324" w:name="_Toc184314411"/>
      <w:bookmarkEnd w:id="324"/>
      <w:bookmarkStart w:id="325" w:name="_Toc184310295"/>
      <w:bookmarkEnd w:id="325"/>
      <w:bookmarkStart w:id="326" w:name="_Toc184312089"/>
      <w:bookmarkEnd w:id="326"/>
      <w:bookmarkStart w:id="327" w:name="_Toc184308060"/>
      <w:bookmarkEnd w:id="327"/>
      <w:bookmarkStart w:id="328" w:name="_Toc184308104"/>
      <w:bookmarkEnd w:id="328"/>
      <w:bookmarkStart w:id="329" w:name="_Toc184313305"/>
      <w:bookmarkEnd w:id="329"/>
      <w:bookmarkStart w:id="330" w:name="_Toc184312124"/>
      <w:bookmarkEnd w:id="330"/>
      <w:bookmarkStart w:id="331" w:name="_Toc184310312"/>
      <w:bookmarkEnd w:id="331"/>
      <w:bookmarkStart w:id="332" w:name="_Toc184312094"/>
      <w:bookmarkEnd w:id="332"/>
      <w:bookmarkStart w:id="333" w:name="_Toc184308037"/>
      <w:bookmarkEnd w:id="333"/>
      <w:bookmarkStart w:id="334" w:name="_Toc184310324"/>
      <w:bookmarkEnd w:id="334"/>
      <w:bookmarkStart w:id="335" w:name="_Toc184308099"/>
      <w:bookmarkEnd w:id="335"/>
      <w:bookmarkStart w:id="336" w:name="_Toc184312110"/>
      <w:bookmarkEnd w:id="336"/>
      <w:bookmarkStart w:id="337" w:name="_Toc184314424"/>
      <w:bookmarkEnd w:id="337"/>
      <w:bookmarkStart w:id="338" w:name="_Toc184308059"/>
      <w:bookmarkEnd w:id="338"/>
      <w:bookmarkStart w:id="339" w:name="_Toc184312076"/>
      <w:bookmarkEnd w:id="339"/>
      <w:bookmarkStart w:id="340" w:name="_Toc184314446"/>
      <w:bookmarkEnd w:id="340"/>
      <w:bookmarkStart w:id="341" w:name="_Toc184314450"/>
      <w:bookmarkEnd w:id="341"/>
      <w:bookmarkStart w:id="342" w:name="_Toc184308044"/>
      <w:bookmarkEnd w:id="342"/>
      <w:bookmarkStart w:id="343" w:name="_Toc184314474"/>
      <w:bookmarkEnd w:id="343"/>
      <w:bookmarkStart w:id="344" w:name="_Toc184310317"/>
      <w:bookmarkEnd w:id="344"/>
      <w:bookmarkStart w:id="345" w:name="_Toc184310280"/>
      <w:bookmarkEnd w:id="345"/>
      <w:bookmarkStart w:id="346" w:name="_Toc184313261"/>
      <w:bookmarkEnd w:id="346"/>
      <w:bookmarkStart w:id="347" w:name="_Toc184313246"/>
      <w:bookmarkEnd w:id="347"/>
      <w:bookmarkStart w:id="348" w:name="_Toc184314417"/>
      <w:bookmarkEnd w:id="348"/>
      <w:bookmarkStart w:id="349" w:name="_Toc184308045"/>
      <w:bookmarkEnd w:id="349"/>
      <w:bookmarkStart w:id="350" w:name="_Toc184313253"/>
      <w:bookmarkEnd w:id="350"/>
      <w:bookmarkStart w:id="351" w:name="_Toc184308106"/>
      <w:bookmarkEnd w:id="351"/>
      <w:bookmarkStart w:id="352" w:name="_Toc184313286"/>
      <w:bookmarkEnd w:id="352"/>
      <w:bookmarkStart w:id="353" w:name="_Toc184312073"/>
      <w:bookmarkEnd w:id="353"/>
      <w:bookmarkStart w:id="354" w:name="_Toc184310281"/>
      <w:bookmarkEnd w:id="354"/>
      <w:bookmarkStart w:id="355" w:name="_Toc184313243"/>
      <w:bookmarkEnd w:id="355"/>
      <w:bookmarkStart w:id="356" w:name="_Toc184308049"/>
      <w:bookmarkEnd w:id="356"/>
      <w:bookmarkStart w:id="357" w:name="_Toc184314426"/>
      <w:bookmarkEnd w:id="357"/>
      <w:bookmarkStart w:id="358" w:name="_Toc184308042"/>
      <w:bookmarkEnd w:id="358"/>
      <w:bookmarkStart w:id="359" w:name="_Toc184308062"/>
      <w:bookmarkEnd w:id="359"/>
      <w:bookmarkStart w:id="360" w:name="_Toc184312069"/>
      <w:bookmarkEnd w:id="360"/>
      <w:bookmarkStart w:id="361" w:name="_Toc184310291"/>
      <w:bookmarkEnd w:id="361"/>
      <w:bookmarkStart w:id="362" w:name="_Toc184314414"/>
      <w:bookmarkEnd w:id="362"/>
      <w:bookmarkStart w:id="363" w:name="_Toc184308038"/>
      <w:bookmarkEnd w:id="363"/>
      <w:bookmarkStart w:id="364" w:name="_Toc184308061"/>
      <w:bookmarkEnd w:id="364"/>
      <w:bookmarkStart w:id="365" w:name="_Toc184313257"/>
      <w:bookmarkEnd w:id="365"/>
      <w:bookmarkStart w:id="366" w:name="_Toc184314425"/>
      <w:bookmarkEnd w:id="366"/>
      <w:bookmarkStart w:id="367" w:name="_Toc184310316"/>
      <w:bookmarkEnd w:id="367"/>
      <w:bookmarkStart w:id="368" w:name="_Toc184310294"/>
      <w:bookmarkEnd w:id="368"/>
      <w:bookmarkStart w:id="369" w:name="_Toc184313263"/>
      <w:bookmarkEnd w:id="369"/>
      <w:bookmarkStart w:id="370" w:name="_Toc184313265"/>
      <w:bookmarkEnd w:id="370"/>
      <w:bookmarkStart w:id="371" w:name="_Toc184310342"/>
      <w:bookmarkEnd w:id="371"/>
      <w:bookmarkStart w:id="372" w:name="_Toc184308054"/>
      <w:bookmarkEnd w:id="372"/>
      <w:bookmarkStart w:id="373" w:name="_Toc184308058"/>
      <w:bookmarkEnd w:id="373"/>
      <w:bookmarkStart w:id="374" w:name="_Toc184310339"/>
      <w:bookmarkEnd w:id="374"/>
      <w:bookmarkStart w:id="375" w:name="_Toc184314448"/>
      <w:bookmarkEnd w:id="375"/>
      <w:bookmarkStart w:id="376" w:name="_Toc184310340"/>
      <w:bookmarkEnd w:id="376"/>
      <w:bookmarkStart w:id="377" w:name="_Toc184314416"/>
      <w:bookmarkEnd w:id="377"/>
      <w:bookmarkStart w:id="378" w:name="_Toc184312135"/>
      <w:bookmarkEnd w:id="378"/>
      <w:bookmarkStart w:id="379" w:name="_Toc184310336"/>
      <w:bookmarkEnd w:id="379"/>
      <w:bookmarkStart w:id="380" w:name="_Toc184310293"/>
      <w:bookmarkEnd w:id="380"/>
      <w:bookmarkStart w:id="381" w:name="_Toc184308053"/>
      <w:bookmarkEnd w:id="381"/>
      <w:bookmarkStart w:id="382" w:name="_Toc184312116"/>
      <w:bookmarkEnd w:id="382"/>
      <w:bookmarkStart w:id="383" w:name="_Toc184312067"/>
      <w:bookmarkEnd w:id="383"/>
      <w:bookmarkStart w:id="384" w:name="_Toc184312074"/>
      <w:bookmarkEnd w:id="384"/>
      <w:bookmarkStart w:id="385" w:name="_Toc184312123"/>
      <w:bookmarkEnd w:id="385"/>
      <w:bookmarkStart w:id="386" w:name="_Toc184310298"/>
      <w:bookmarkEnd w:id="386"/>
      <w:bookmarkStart w:id="387" w:name="_Toc184308043"/>
      <w:bookmarkEnd w:id="387"/>
      <w:bookmarkStart w:id="388" w:name="_Toc184314473"/>
      <w:bookmarkEnd w:id="388"/>
      <w:bookmarkStart w:id="389" w:name="_Toc184313245"/>
      <w:bookmarkEnd w:id="389"/>
      <w:bookmarkStart w:id="390" w:name="_Toc184313307"/>
      <w:bookmarkEnd w:id="390"/>
      <w:bookmarkStart w:id="391" w:name="_Toc184308040"/>
      <w:bookmarkEnd w:id="391"/>
      <w:bookmarkStart w:id="392" w:name="_Toc184313287"/>
      <w:bookmarkEnd w:id="392"/>
      <w:bookmarkStart w:id="393" w:name="_Toc184314457"/>
      <w:bookmarkEnd w:id="393"/>
      <w:bookmarkStart w:id="394" w:name="_Toc184310322"/>
      <w:bookmarkEnd w:id="394"/>
      <w:bookmarkStart w:id="395" w:name="_Toc184314458"/>
      <w:bookmarkEnd w:id="395"/>
      <w:bookmarkStart w:id="396" w:name="_Toc184313276"/>
      <w:bookmarkEnd w:id="396"/>
      <w:bookmarkStart w:id="397" w:name="_Toc184313280"/>
      <w:bookmarkEnd w:id="397"/>
      <w:bookmarkStart w:id="398" w:name="_Toc184312117"/>
      <w:bookmarkEnd w:id="398"/>
      <w:bookmarkStart w:id="399" w:name="_Toc184310272"/>
      <w:bookmarkEnd w:id="399"/>
      <w:bookmarkStart w:id="400" w:name="_Toc184314415"/>
      <w:bookmarkEnd w:id="400"/>
      <w:bookmarkStart w:id="401" w:name="_Toc184312088"/>
      <w:bookmarkEnd w:id="401"/>
      <w:bookmarkStart w:id="402" w:name="_Toc184312072"/>
      <w:bookmarkEnd w:id="402"/>
      <w:bookmarkStart w:id="403" w:name="_Toc184314413"/>
      <w:bookmarkEnd w:id="403"/>
      <w:bookmarkStart w:id="404" w:name="_Toc184310274"/>
      <w:bookmarkEnd w:id="404"/>
      <w:bookmarkStart w:id="405" w:name="_Toc184314412"/>
      <w:bookmarkEnd w:id="405"/>
      <w:bookmarkStart w:id="406" w:name="_Toc184312070"/>
      <w:bookmarkEnd w:id="406"/>
      <w:bookmarkStart w:id="407" w:name="_Toc184313262"/>
      <w:bookmarkEnd w:id="407"/>
      <w:bookmarkStart w:id="408" w:name="_Toc184308081"/>
      <w:bookmarkEnd w:id="408"/>
      <w:bookmarkStart w:id="409" w:name="_Toc184313260"/>
      <w:bookmarkEnd w:id="409"/>
      <w:bookmarkStart w:id="410" w:name="_Toc184314434"/>
      <w:bookmarkEnd w:id="410"/>
      <w:bookmarkStart w:id="411" w:name="_Toc184308105"/>
      <w:bookmarkEnd w:id="411"/>
      <w:bookmarkStart w:id="412" w:name="_Toc184312087"/>
      <w:bookmarkEnd w:id="412"/>
      <w:bookmarkStart w:id="413" w:name="_Toc184313256"/>
      <w:bookmarkEnd w:id="413"/>
      <w:bookmarkStart w:id="414" w:name="_Toc184313306"/>
      <w:bookmarkEnd w:id="414"/>
      <w:bookmarkStart w:id="415" w:name="_Toc184313284"/>
      <w:bookmarkEnd w:id="415"/>
      <w:bookmarkStart w:id="416" w:name="_Toc184314432"/>
      <w:bookmarkEnd w:id="416"/>
      <w:bookmarkStart w:id="417" w:name="_Toc184310275"/>
      <w:bookmarkEnd w:id="417"/>
      <w:bookmarkStart w:id="418" w:name="_Toc184308039"/>
      <w:bookmarkEnd w:id="418"/>
      <w:bookmarkStart w:id="419" w:name="_Toc184310296"/>
      <w:bookmarkEnd w:id="419"/>
      <w:bookmarkStart w:id="420" w:name="_Toc184314431"/>
      <w:bookmarkEnd w:id="420"/>
      <w:bookmarkStart w:id="421" w:name="_Toc184313292"/>
      <w:bookmarkEnd w:id="421"/>
      <w:bookmarkStart w:id="422" w:name="_Toc184313268"/>
      <w:bookmarkEnd w:id="422"/>
      <w:bookmarkStart w:id="423" w:name="_Toc184308041"/>
      <w:bookmarkEnd w:id="423"/>
      <w:bookmarkStart w:id="424" w:name="_Toc184310279"/>
      <w:bookmarkEnd w:id="424"/>
      <w:bookmarkStart w:id="425" w:name="_Toc184310297"/>
      <w:bookmarkEnd w:id="425"/>
      <w:bookmarkStart w:id="426" w:name="_Toc184312115"/>
      <w:bookmarkEnd w:id="426"/>
      <w:r>
        <w:rPr>
          <w:rFonts w:hint="eastAsia"/>
        </w:rPr>
        <w:t>评标方法及评分标准</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0"/>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5000" w:type="pct"/>
            <w:vAlign w:val="center"/>
          </w:tcPr>
          <w:p>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sz w:val="24"/>
                <w:szCs w:val="21"/>
              </w:rPr>
              <w:t>得分且投标报价相同的并列</w:t>
            </w:r>
            <w:r>
              <w:rPr>
                <w:rFonts w:hint="eastAsia" w:ascii="仿宋" w:hAnsi="仿宋" w:eastAsia="仿宋"/>
                <w:sz w:val="24"/>
              </w:rPr>
              <w:t xml:space="preserve">，并形成评标意见。 </w:t>
            </w:r>
          </w:p>
          <w:p>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p>
          <w:p>
            <w:pPr>
              <w:autoSpaceDE w:val="0"/>
              <w:autoSpaceDN w:val="0"/>
              <w:spacing w:line="360" w:lineRule="auto"/>
              <w:ind w:firstLine="482" w:firstLineChars="200"/>
              <w:rPr>
                <w:rFonts w:ascii="仿宋" w:hAnsi="仿宋" w:eastAsia="仿宋"/>
                <w:b/>
                <w:sz w:val="24"/>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tc>
      </w:tr>
    </w:tbl>
    <w:p>
      <w:pPr>
        <w:widowControl/>
        <w:spacing w:line="360" w:lineRule="auto"/>
        <w:rPr>
          <w:rFonts w:ascii="仿宋_GB2312" w:hAnsi="仿宋" w:eastAsia="仿宋_GB2312" w:cs="仿宋_GB2312"/>
          <w:b/>
          <w:sz w:val="32"/>
        </w:rPr>
      </w:pPr>
    </w:p>
    <w:p>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商务资信（16分）</w:t>
      </w:r>
    </w:p>
    <w:tbl>
      <w:tblPr>
        <w:tblStyle w:val="60"/>
        <w:tblW w:w="9645" w:type="dxa"/>
        <w:tblInd w:w="-1003" w:type="dxa"/>
        <w:tblLayout w:type="autofit"/>
        <w:tblCellMar>
          <w:top w:w="0" w:type="dxa"/>
          <w:left w:w="108" w:type="dxa"/>
          <w:bottom w:w="0" w:type="dxa"/>
          <w:right w:w="108" w:type="dxa"/>
        </w:tblCellMar>
      </w:tblPr>
      <w:tblGrid>
        <w:gridCol w:w="988"/>
        <w:gridCol w:w="816"/>
        <w:gridCol w:w="5151"/>
        <w:gridCol w:w="1120"/>
        <w:gridCol w:w="1570"/>
      </w:tblGrid>
      <w:tr>
        <w:tblPrEx>
          <w:tblCellMar>
            <w:top w:w="0" w:type="dxa"/>
            <w:left w:w="108" w:type="dxa"/>
            <w:bottom w:w="0" w:type="dxa"/>
            <w:right w:w="108" w:type="dxa"/>
          </w:tblCellMar>
        </w:tblPrEx>
        <w:trPr>
          <w:trHeight w:val="924" w:hRule="atLeast"/>
        </w:trPr>
        <w:tc>
          <w:tcPr>
            <w:tcW w:w="98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序号</w:t>
            </w:r>
          </w:p>
        </w:tc>
        <w:tc>
          <w:tcPr>
            <w:tcW w:w="5967" w:type="dxa"/>
            <w:gridSpan w:val="2"/>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评分内容和标准</w:t>
            </w:r>
          </w:p>
        </w:tc>
        <w:tc>
          <w:tcPr>
            <w:tcW w:w="1120"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权重</w:t>
            </w:r>
          </w:p>
        </w:tc>
        <w:tc>
          <w:tcPr>
            <w:tcW w:w="1570" w:type="dxa"/>
            <w:tcBorders>
              <w:top w:val="single" w:color="auto" w:sz="8" w:space="0"/>
              <w:left w:val="nil"/>
              <w:bottom w:val="single" w:color="auto" w:sz="4" w:space="0"/>
              <w:right w:val="single" w:color="auto" w:sz="4" w:space="0"/>
            </w:tcBorders>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主客观分</w:t>
            </w:r>
          </w:p>
        </w:tc>
      </w:tr>
      <w:tr>
        <w:tblPrEx>
          <w:tblCellMar>
            <w:top w:w="0" w:type="dxa"/>
            <w:left w:w="108" w:type="dxa"/>
            <w:bottom w:w="0" w:type="dxa"/>
            <w:right w:w="108" w:type="dxa"/>
          </w:tblCellMar>
        </w:tblPrEx>
        <w:trPr>
          <w:trHeight w:val="924" w:hRule="atLeast"/>
        </w:trPr>
        <w:tc>
          <w:tcPr>
            <w:tcW w:w="988" w:type="dxa"/>
            <w:vMerge w:val="restart"/>
            <w:tcBorders>
              <w:top w:val="nil"/>
              <w:left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商务资 信分（16分）</w:t>
            </w:r>
          </w:p>
        </w:tc>
        <w:tc>
          <w:tcPr>
            <w:tcW w:w="816"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w:t>
            </w:r>
          </w:p>
        </w:tc>
        <w:tc>
          <w:tcPr>
            <w:tcW w:w="5151" w:type="dxa"/>
            <w:tcBorders>
              <w:top w:val="nil"/>
              <w:left w:val="nil"/>
              <w:bottom w:val="single" w:color="auto" w:sz="4" w:space="0"/>
              <w:right w:val="single" w:color="auto" w:sz="4" w:space="0"/>
            </w:tcBorders>
            <w:shd w:val="clear" w:color="auto" w:fill="auto"/>
            <w:vAlign w:val="center"/>
          </w:tcPr>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1.投标人具有有效质量管理体系认证得1分；</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2.投标人具有有效环境管理体系认证得1分；</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3.投标人具有有效职业健康安全管理体系认证得1分；</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4.投标人具有有效能源管理体系认证得1分。</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5、投标人具有社会责任管理体系认证得1分。</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提供“国家认证认可监督管理委员会信息中心查询截图并加盖投标人公章</w:t>
            </w:r>
            <w:r>
              <w:rPr>
                <w:rFonts w:hint="eastAsia" w:ascii="仿宋" w:hAnsi="仿宋" w:eastAsia="仿宋" w:cs="仿宋"/>
                <w:color w:val="000000" w:themeColor="text1"/>
                <w14:textFill>
                  <w14:solidFill>
                    <w14:schemeClr w14:val="tx1"/>
                  </w14:solidFill>
                </w14:textFill>
              </w:rPr>
              <w:t>，不提供不得分。</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满分5分。</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000000" w:themeColor="text1"/>
                <w:sz w:val="24"/>
                <w14:textFill>
                  <w14:solidFill>
                    <w14:schemeClr w14:val="tx1"/>
                  </w14:solidFill>
                </w14:textFill>
              </w:rPr>
              <w:t>5</w:t>
            </w:r>
          </w:p>
        </w:tc>
        <w:tc>
          <w:tcPr>
            <w:tcW w:w="15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 xml:space="preserve">  客观分</w:t>
            </w:r>
          </w:p>
        </w:tc>
      </w:tr>
      <w:tr>
        <w:tblPrEx>
          <w:tblCellMar>
            <w:top w:w="0" w:type="dxa"/>
            <w:left w:w="108" w:type="dxa"/>
            <w:bottom w:w="0" w:type="dxa"/>
            <w:right w:w="108" w:type="dxa"/>
          </w:tblCellMar>
        </w:tblPrEx>
        <w:trPr>
          <w:trHeight w:val="924" w:hRule="atLeast"/>
        </w:trPr>
        <w:tc>
          <w:tcPr>
            <w:tcW w:w="988"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816"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2</w:t>
            </w:r>
          </w:p>
        </w:tc>
        <w:tc>
          <w:tcPr>
            <w:tcW w:w="5151" w:type="dxa"/>
            <w:tcBorders>
              <w:top w:val="nil"/>
              <w:left w:val="nil"/>
              <w:bottom w:val="single" w:color="auto" w:sz="4" w:space="0"/>
              <w:right w:val="single" w:color="auto" w:sz="4" w:space="0"/>
            </w:tcBorders>
            <w:shd w:val="clear" w:color="auto" w:fill="auto"/>
            <w:vAlign w:val="center"/>
          </w:tcPr>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 xml:space="preserve">投标人自2018年1月1日起至投标截止时间（以合同签订时间为准），具有同类项目业绩，每提供1个业绩的，得1分，本项最高3分 。     </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证明材料：投标文件中须提供“同类项目业绩（即三级及以上医院同类保洁服务业绩）”的合同复印件，证明材料内容能同时反映其服务内容的几个要素：（1）年度服务（服务期1年及以上）、（2）项目实施内容需包含医院保洁的工作。(合同完整、有效、清晰可见)</w:t>
            </w:r>
          </w:p>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如合同不能完全反映以上要素的，还应在投标文件中补充提供业绩合同甲方出具的证明材料证明材料复印件并加盖投标人公章，并写明证明联系人及联系电话。</w:t>
            </w:r>
            <w:r>
              <w:rPr>
                <w:rFonts w:hint="eastAsia" w:ascii="仿宋" w:hAnsi="仿宋" w:eastAsia="仿宋" w:cs="仿宋"/>
                <w:color w:val="000000" w:themeColor="text1"/>
                <w14:textFill>
                  <w14:solidFill>
                    <w14:schemeClr w14:val="tx1"/>
                  </w14:solidFill>
                </w14:textFill>
              </w:rPr>
              <w:t>不提供不得分。</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highlight w:val="cyan"/>
              </w:rPr>
            </w:pPr>
            <w:r>
              <w:rPr>
                <w:rFonts w:hint="eastAsia" w:ascii="仿宋" w:hAnsi="仿宋" w:eastAsia="仿宋" w:cs="仿宋_GB2312"/>
                <w:color w:val="1F4E79"/>
                <w:sz w:val="24"/>
                <w:highlight w:val="none"/>
              </w:rPr>
              <w:t>3</w:t>
            </w:r>
          </w:p>
        </w:tc>
        <w:tc>
          <w:tcPr>
            <w:tcW w:w="15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 xml:space="preserve">  客观分</w:t>
            </w:r>
          </w:p>
        </w:tc>
      </w:tr>
      <w:tr>
        <w:tblPrEx>
          <w:tblCellMar>
            <w:top w:w="0" w:type="dxa"/>
            <w:left w:w="108" w:type="dxa"/>
            <w:bottom w:w="0" w:type="dxa"/>
            <w:right w:w="108" w:type="dxa"/>
          </w:tblCellMar>
        </w:tblPrEx>
        <w:trPr>
          <w:trHeight w:val="924" w:hRule="atLeast"/>
        </w:trPr>
        <w:tc>
          <w:tcPr>
            <w:tcW w:w="988"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816"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3</w:t>
            </w:r>
          </w:p>
        </w:tc>
        <w:tc>
          <w:tcPr>
            <w:tcW w:w="5151" w:type="dxa"/>
            <w:tcBorders>
              <w:top w:val="nil"/>
              <w:left w:val="nil"/>
              <w:bottom w:val="single" w:color="auto" w:sz="4" w:space="0"/>
              <w:right w:val="single" w:color="auto" w:sz="4" w:space="0"/>
            </w:tcBorders>
            <w:shd w:val="clear" w:color="auto" w:fill="auto"/>
            <w:vAlign w:val="center"/>
          </w:tcPr>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服务的连续性：同一家三级及以上医院服务超过1个服务期的，每增加1个服务期得1分，本项最高得2分。证明材料：投标文件中须提供“同类项目业绩（即三级及以上医院同类保洁服务业绩）”的合同复印件，证明材料内容要求能同时反映其服务内容的几个要素：（1）年度服务（服务期1年及以上）、（2）项目实施内容需包含医院保洁的工作。(合同完整、有效、清晰可见)、（3）同一家医院重复续签，不重复计分。</w:t>
            </w:r>
            <w:r>
              <w:rPr>
                <w:rFonts w:hint="eastAsia" w:ascii="仿宋" w:hAnsi="仿宋" w:eastAsia="仿宋" w:cs="仿宋"/>
                <w:color w:val="000000"/>
              </w:rPr>
              <w:br w:type="textWrapping"/>
            </w:r>
            <w:r>
              <w:rPr>
                <w:rFonts w:hint="eastAsia" w:ascii="仿宋" w:hAnsi="仿宋" w:eastAsia="仿宋" w:cs="仿宋"/>
                <w:color w:val="000000"/>
              </w:rPr>
              <w:t>如合同不能完全反映以上要素的，还应在投标文件中补充提供业绩合同甲方出具的证明材料复印件并加盖投标人公章，并写明证明联系人及联系电话，</w:t>
            </w:r>
            <w:r>
              <w:rPr>
                <w:rFonts w:hint="eastAsia" w:ascii="仿宋" w:hAnsi="仿宋" w:eastAsia="仿宋" w:cs="仿宋"/>
                <w:color w:val="000000" w:themeColor="text1"/>
                <w14:textFill>
                  <w14:solidFill>
                    <w14:schemeClr w14:val="tx1"/>
                  </w14:solidFill>
                </w14:textFill>
              </w:rPr>
              <w:t>不提供不得分</w:t>
            </w:r>
            <w:r>
              <w:rPr>
                <w:rFonts w:hint="eastAsia" w:ascii="仿宋" w:hAnsi="仿宋" w:eastAsia="仿宋" w:cs="仿宋"/>
                <w:color w:val="000000"/>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2</w:t>
            </w:r>
          </w:p>
        </w:tc>
        <w:tc>
          <w:tcPr>
            <w:tcW w:w="15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 xml:space="preserve">  客观分</w:t>
            </w:r>
          </w:p>
        </w:tc>
      </w:tr>
      <w:tr>
        <w:tblPrEx>
          <w:tblCellMar>
            <w:top w:w="0" w:type="dxa"/>
            <w:left w:w="108" w:type="dxa"/>
            <w:bottom w:w="0" w:type="dxa"/>
            <w:right w:w="108" w:type="dxa"/>
          </w:tblCellMar>
        </w:tblPrEx>
        <w:trPr>
          <w:trHeight w:val="588" w:hRule="atLeast"/>
        </w:trPr>
        <w:tc>
          <w:tcPr>
            <w:tcW w:w="988"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816"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4</w:t>
            </w:r>
          </w:p>
        </w:tc>
        <w:tc>
          <w:tcPr>
            <w:tcW w:w="5151" w:type="dxa"/>
            <w:tcBorders>
              <w:top w:val="nil"/>
              <w:left w:val="nil"/>
              <w:bottom w:val="single" w:color="auto" w:sz="4" w:space="0"/>
              <w:right w:val="single" w:color="auto" w:sz="4" w:space="0"/>
            </w:tcBorders>
            <w:shd w:val="clear" w:color="auto" w:fill="auto"/>
            <w:vAlign w:val="center"/>
          </w:tcPr>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lang w:val="zh-CN"/>
              </w:rPr>
              <w:t>投标人2018年1月1日至今获得县区级</w:t>
            </w:r>
            <w:r>
              <w:rPr>
                <w:rFonts w:hint="eastAsia" w:ascii="仿宋" w:hAnsi="仿宋" w:eastAsia="仿宋" w:cs="仿宋"/>
                <w:color w:val="000000"/>
              </w:rPr>
              <w:t>政府部门</w:t>
            </w:r>
            <w:r>
              <w:rPr>
                <w:rFonts w:hint="eastAsia" w:ascii="仿宋" w:hAnsi="仿宋" w:eastAsia="仿宋" w:cs="仿宋"/>
                <w:color w:val="000000"/>
                <w:lang w:val="zh-CN"/>
              </w:rPr>
              <w:t>及以上保洁相关方面集体表彰的得1分；获得县区级</w:t>
            </w:r>
            <w:r>
              <w:rPr>
                <w:rFonts w:hint="eastAsia" w:ascii="仿宋" w:hAnsi="仿宋" w:eastAsia="仿宋" w:cs="仿宋"/>
                <w:color w:val="000000"/>
              </w:rPr>
              <w:t>政府部门</w:t>
            </w:r>
            <w:r>
              <w:rPr>
                <w:rFonts w:hint="eastAsia" w:ascii="仿宋" w:hAnsi="仿宋" w:eastAsia="仿宋" w:cs="仿宋"/>
                <w:color w:val="000000"/>
                <w:lang w:val="zh-CN"/>
              </w:rPr>
              <w:t>及以上新冠疫情抗疫相关方面集体表彰的得</w:t>
            </w:r>
            <w:r>
              <w:rPr>
                <w:rFonts w:hint="eastAsia" w:ascii="仿宋" w:hAnsi="仿宋" w:eastAsia="仿宋" w:cs="仿宋"/>
                <w:color w:val="auto"/>
                <w:highlight w:val="none"/>
                <w:lang w:val="zh-CN"/>
              </w:rPr>
              <w:t>2分。</w:t>
            </w:r>
            <w:r>
              <w:rPr>
                <w:rFonts w:hint="eastAsia" w:ascii="仿宋" w:hAnsi="仿宋" w:eastAsia="仿宋" w:cs="仿宋"/>
                <w:color w:val="auto"/>
                <w:highlight w:val="none"/>
              </w:rPr>
              <w:t>最高得3分。</w:t>
            </w:r>
            <w:r>
              <w:rPr>
                <w:rFonts w:hint="eastAsia" w:ascii="仿宋" w:hAnsi="仿宋" w:eastAsia="仿宋" w:cs="仿宋"/>
                <w:color w:val="auto"/>
                <w:highlight w:val="none"/>
                <w:lang w:val="zh-CN"/>
              </w:rPr>
              <w:t>（提</w:t>
            </w:r>
            <w:r>
              <w:rPr>
                <w:rFonts w:hint="eastAsia" w:ascii="仿宋" w:hAnsi="仿宋" w:eastAsia="仿宋" w:cs="仿宋"/>
                <w:color w:val="000000"/>
                <w:lang w:val="zh-CN"/>
              </w:rPr>
              <w:t>供相关证明材料</w:t>
            </w:r>
            <w:r>
              <w:rPr>
                <w:rFonts w:hint="eastAsia" w:ascii="仿宋" w:hAnsi="仿宋" w:eastAsia="仿宋" w:cs="仿宋"/>
                <w:color w:val="000000"/>
              </w:rPr>
              <w:t>复印件并加盖投标人公章</w:t>
            </w:r>
            <w:r>
              <w:rPr>
                <w:rFonts w:hint="eastAsia" w:ascii="仿宋" w:hAnsi="仿宋" w:eastAsia="仿宋" w:cs="仿宋"/>
                <w:color w:val="000000"/>
                <w:lang w:val="zh-CN"/>
              </w:rPr>
              <w:t>（包括发证机关表彰文件），不提供的不得分，如获得多个同级别表彰和不同级别表彰，则只取最高级别的一个表彰，不累计加分）,</w:t>
            </w:r>
            <w:r>
              <w:rPr>
                <w:rFonts w:hint="eastAsia" w:ascii="仿宋" w:hAnsi="仿宋" w:eastAsia="仿宋" w:cs="仿宋"/>
                <w:color w:val="auto"/>
              </w:rPr>
              <w:t>不提供不得分。</w:t>
            </w:r>
          </w:p>
        </w:tc>
        <w:tc>
          <w:tcPr>
            <w:tcW w:w="112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highlight w:val="none"/>
              </w:rPr>
              <w:t>3</w:t>
            </w:r>
          </w:p>
        </w:tc>
        <w:tc>
          <w:tcPr>
            <w:tcW w:w="15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 xml:space="preserve">  客观分</w:t>
            </w:r>
          </w:p>
        </w:tc>
      </w:tr>
      <w:tr>
        <w:tblPrEx>
          <w:tblCellMar>
            <w:top w:w="0" w:type="dxa"/>
            <w:left w:w="108" w:type="dxa"/>
            <w:bottom w:w="0" w:type="dxa"/>
            <w:right w:w="108" w:type="dxa"/>
          </w:tblCellMar>
        </w:tblPrEx>
        <w:trPr>
          <w:trHeight w:val="924" w:hRule="atLeast"/>
        </w:trPr>
        <w:tc>
          <w:tcPr>
            <w:tcW w:w="988" w:type="dxa"/>
            <w:vMerge w:val="continue"/>
            <w:tcBorders>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5</w:t>
            </w:r>
          </w:p>
        </w:tc>
        <w:tc>
          <w:tcPr>
            <w:tcW w:w="5151" w:type="dxa"/>
            <w:tcBorders>
              <w:top w:val="single" w:color="auto" w:sz="4" w:space="0"/>
              <w:left w:val="nil"/>
              <w:bottom w:val="single" w:color="auto" w:sz="4" w:space="0"/>
              <w:right w:val="single" w:color="auto" w:sz="4" w:space="0"/>
            </w:tcBorders>
            <w:shd w:val="clear" w:color="auto" w:fill="auto"/>
            <w:vAlign w:val="center"/>
          </w:tcPr>
          <w:p>
            <w:pPr>
              <w:pStyle w:val="23"/>
              <w:snapToGrid w:val="0"/>
              <w:spacing w:line="500" w:lineRule="exact"/>
              <w:ind w:firstLine="0" w:firstLineChars="0"/>
              <w:rPr>
                <w:rFonts w:ascii="仿宋" w:hAnsi="仿宋" w:eastAsia="仿宋" w:cs="仿宋"/>
                <w:color w:val="000000"/>
              </w:rPr>
            </w:pPr>
            <w:r>
              <w:rPr>
                <w:rFonts w:hint="eastAsia" w:ascii="仿宋" w:hAnsi="仿宋" w:eastAsia="仿宋" w:cs="仿宋"/>
                <w:color w:val="000000"/>
              </w:rPr>
              <w:t>投标人获得区级及以上人民政府颁发的</w:t>
            </w:r>
            <w:r>
              <w:rPr>
                <w:rFonts w:hint="eastAsia" w:ascii="仿宋" w:hAnsi="仿宋" w:eastAsia="仿宋" w:cs="仿宋"/>
                <w:color w:val="000000"/>
                <w:highlight w:val="none"/>
                <w:lang w:val="en-US" w:eastAsia="zh-CN"/>
              </w:rPr>
              <w:t>在</w:t>
            </w:r>
            <w:r>
              <w:rPr>
                <w:rFonts w:hint="eastAsia" w:ascii="仿宋" w:hAnsi="仿宋" w:eastAsia="仿宋" w:cs="仿宋"/>
                <w:color w:val="000000"/>
                <w:highlight w:val="none"/>
              </w:rPr>
              <w:t>创建全国文明城市或全国卫生城市</w:t>
            </w:r>
            <w:r>
              <w:rPr>
                <w:rFonts w:hint="eastAsia" w:ascii="仿宋" w:hAnsi="仿宋" w:eastAsia="仿宋" w:cs="仿宋"/>
                <w:color w:val="000000"/>
                <w:highlight w:val="none"/>
                <w:lang w:val="en-US" w:eastAsia="zh-CN"/>
              </w:rPr>
              <w:t>中表现突出、授予</w:t>
            </w:r>
            <w:r>
              <w:rPr>
                <w:rFonts w:hint="eastAsia" w:ascii="仿宋" w:hAnsi="仿宋" w:eastAsia="仿宋" w:cs="仿宋"/>
                <w:color w:val="000000"/>
              </w:rPr>
              <w:t>嘉奖的得3分，没有的不得分，以荣誉证书为准，提供荣誉证书复印件并加盖投标人公章</w:t>
            </w:r>
            <w:r>
              <w:rPr>
                <w:rFonts w:hint="eastAsia" w:ascii="仿宋" w:hAnsi="仿宋" w:eastAsia="仿宋" w:cs="仿宋"/>
                <w:color w:val="000000"/>
                <w:lang w:val="zh-CN"/>
              </w:rPr>
              <w:t>（</w:t>
            </w:r>
            <w:r>
              <w:rPr>
                <w:rFonts w:hint="eastAsia" w:ascii="仿宋" w:hAnsi="仿宋" w:eastAsia="仿宋" w:cs="仿宋"/>
                <w:color w:val="000000"/>
              </w:rPr>
              <w:t>包括发证机关表彰文件等佐证资料</w:t>
            </w:r>
            <w:r>
              <w:rPr>
                <w:rFonts w:hint="eastAsia" w:ascii="仿宋" w:hAnsi="仿宋" w:eastAsia="仿宋" w:cs="仿宋"/>
                <w:color w:val="000000"/>
                <w:lang w:val="zh-CN"/>
              </w:rPr>
              <w:t>）</w:t>
            </w:r>
            <w:r>
              <w:rPr>
                <w:rFonts w:hint="eastAsia" w:ascii="仿宋" w:hAnsi="仿宋" w:eastAsia="仿宋" w:cs="仿宋"/>
                <w:color w:val="000000"/>
              </w:rPr>
              <w:t>，</w:t>
            </w:r>
            <w:r>
              <w:rPr>
                <w:rFonts w:hint="eastAsia" w:ascii="仿宋" w:hAnsi="仿宋" w:eastAsia="仿宋" w:cs="仿宋"/>
                <w:color w:val="auto"/>
              </w:rPr>
              <w:t>不提供不得分。</w:t>
            </w:r>
          </w:p>
        </w:tc>
        <w:tc>
          <w:tcPr>
            <w:tcW w:w="1120" w:type="dxa"/>
            <w:tcBorders>
              <w:top w:val="nil"/>
              <w:left w:val="nil"/>
              <w:bottom w:val="single" w:color="auto" w:sz="8"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3</w:t>
            </w:r>
          </w:p>
        </w:tc>
        <w:tc>
          <w:tcPr>
            <w:tcW w:w="1570" w:type="dxa"/>
            <w:tcBorders>
              <w:top w:val="nil"/>
              <w:left w:val="nil"/>
              <w:bottom w:val="single" w:color="auto" w:sz="8"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 xml:space="preserve">  客观分</w:t>
            </w:r>
          </w:p>
        </w:tc>
      </w:tr>
    </w:tbl>
    <w:p>
      <w:pPr>
        <w:widowControl/>
        <w:spacing w:line="360" w:lineRule="auto"/>
        <w:rPr>
          <w:rFonts w:ascii="Arial" w:hAnsi="Arial" w:cs="Arial"/>
          <w:color w:val="222222"/>
          <w:sz w:val="20"/>
          <w:szCs w:val="20"/>
          <w:shd w:val="clear" w:color="auto" w:fill="FFFFFF"/>
        </w:rPr>
      </w:pP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技术和服务方案（64分）</w:t>
      </w:r>
    </w:p>
    <w:tbl>
      <w:tblPr>
        <w:tblStyle w:val="60"/>
        <w:tblW w:w="10218" w:type="dxa"/>
        <w:tblInd w:w="-1018" w:type="dxa"/>
        <w:tblLayout w:type="autofit"/>
        <w:tblCellMar>
          <w:top w:w="0" w:type="dxa"/>
          <w:left w:w="108" w:type="dxa"/>
          <w:bottom w:w="0" w:type="dxa"/>
          <w:right w:w="108" w:type="dxa"/>
        </w:tblCellMar>
      </w:tblPr>
      <w:tblGrid>
        <w:gridCol w:w="936"/>
        <w:gridCol w:w="1073"/>
        <w:gridCol w:w="1638"/>
        <w:gridCol w:w="3740"/>
        <w:gridCol w:w="1134"/>
        <w:gridCol w:w="1697"/>
      </w:tblGrid>
      <w:tr>
        <w:tblPrEx>
          <w:tblCellMar>
            <w:top w:w="0" w:type="dxa"/>
            <w:left w:w="108" w:type="dxa"/>
            <w:bottom w:w="0" w:type="dxa"/>
            <w:right w:w="108" w:type="dxa"/>
          </w:tblCellMar>
        </w:tblPrEx>
        <w:trPr>
          <w:trHeight w:val="615" w:hRule="atLeast"/>
        </w:trPr>
        <w:tc>
          <w:tcPr>
            <w:tcW w:w="93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序号</w:t>
            </w:r>
          </w:p>
        </w:tc>
        <w:tc>
          <w:tcPr>
            <w:tcW w:w="2711" w:type="dxa"/>
            <w:gridSpan w:val="2"/>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评分内容和标准</w:t>
            </w:r>
          </w:p>
        </w:tc>
        <w:tc>
          <w:tcPr>
            <w:tcW w:w="3740"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具体描述</w:t>
            </w:r>
          </w:p>
        </w:tc>
        <w:tc>
          <w:tcPr>
            <w:tcW w:w="1134"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权重</w:t>
            </w:r>
          </w:p>
        </w:tc>
        <w:tc>
          <w:tcPr>
            <w:tcW w:w="1697"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主客观分</w:t>
            </w:r>
          </w:p>
        </w:tc>
      </w:tr>
      <w:tr>
        <w:tblPrEx>
          <w:tblCellMar>
            <w:top w:w="0" w:type="dxa"/>
            <w:left w:w="108" w:type="dxa"/>
            <w:bottom w:w="0" w:type="dxa"/>
            <w:right w:w="108" w:type="dxa"/>
          </w:tblCellMar>
        </w:tblPrEx>
        <w:trPr>
          <w:trHeight w:val="233" w:hRule="atLeast"/>
        </w:trPr>
        <w:tc>
          <w:tcPr>
            <w:tcW w:w="936" w:type="dxa"/>
            <w:vMerge w:val="restart"/>
            <w:tcBorders>
              <w:top w:val="nil"/>
              <w:left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技术分（64分）</w:t>
            </w:r>
          </w:p>
        </w:tc>
        <w:tc>
          <w:tcPr>
            <w:tcW w:w="1073" w:type="dxa"/>
            <w:vMerge w:val="restart"/>
            <w:tcBorders>
              <w:top w:val="nil"/>
              <w:left w:val="single" w:color="auto" w:sz="8"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ascii="仿宋" w:hAnsi="仿宋" w:eastAsia="仿宋" w:cs="仿宋_GB2312"/>
                <w:color w:val="1F4E79"/>
                <w:sz w:val="24"/>
              </w:rPr>
              <w:t>6</w:t>
            </w:r>
          </w:p>
        </w:tc>
        <w:tc>
          <w:tcPr>
            <w:tcW w:w="1638" w:type="dxa"/>
            <w:vMerge w:val="restart"/>
            <w:tcBorders>
              <w:top w:val="nil"/>
              <w:left w:val="nil"/>
              <w:right w:val="single" w:color="auto" w:sz="4" w:space="0"/>
            </w:tcBorders>
            <w:shd w:val="clear" w:color="auto" w:fill="auto"/>
            <w:vAlign w:val="center"/>
          </w:tcPr>
          <w:p>
            <w:pPr>
              <w:widowControl/>
              <w:spacing w:line="360" w:lineRule="auto"/>
              <w:rPr>
                <w:rFonts w:ascii="仿宋" w:hAnsi="仿宋" w:eastAsia="仿宋" w:cs="仿宋_GB2312"/>
                <w:color w:val="1F4E79"/>
                <w:sz w:val="24"/>
              </w:rPr>
            </w:pPr>
            <w:r>
              <w:rPr>
                <w:rFonts w:hint="eastAsia" w:ascii="仿宋" w:hAnsi="仿宋" w:eastAsia="仿宋" w:cs="仿宋"/>
                <w:color w:val="000000"/>
                <w:sz w:val="24"/>
              </w:rPr>
              <w:t>投标方案的合理性、科学性、全面性（综合评定）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拟采取的项目管理方案，包括：组织架构、机构人员设置、信息反馈渠道等。</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5</w:t>
            </w:r>
          </w:p>
        </w:tc>
        <w:tc>
          <w:tcPr>
            <w:tcW w:w="1697" w:type="dxa"/>
            <w:tcBorders>
              <w:top w:val="nil"/>
              <w:left w:val="nil"/>
              <w:bottom w:val="single" w:color="auto" w:sz="4" w:space="0"/>
              <w:right w:val="single" w:color="auto" w:sz="8" w:space="0"/>
            </w:tcBorders>
            <w:shd w:val="clear" w:color="auto" w:fill="auto"/>
            <w:vAlign w:val="center"/>
          </w:tcPr>
          <w:p>
            <w:pPr>
              <w:spacing w:line="320" w:lineRule="exact"/>
              <w:rPr>
                <w:rFonts w:ascii="仿宋" w:hAnsi="仿宋" w:eastAsia="仿宋" w:cs="仿宋_GB2312"/>
                <w:color w:val="1F4E79"/>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233" w:hRule="atLeast"/>
        </w:trPr>
        <w:tc>
          <w:tcPr>
            <w:tcW w:w="936" w:type="dxa"/>
            <w:vMerge w:val="continue"/>
            <w:tcBorders>
              <w:left w:val="single" w:color="auto" w:sz="4" w:space="0"/>
              <w:right w:val="single" w:color="auto" w:sz="4" w:space="0"/>
            </w:tcBorders>
            <w:shd w:val="clear" w:color="auto" w:fill="auto"/>
            <w:vAlign w:val="center"/>
          </w:tcPr>
          <w:p>
            <w:pPr>
              <w:widowControl/>
              <w:spacing w:line="360" w:lineRule="auto"/>
              <w:ind w:firstLine="420" w:firstLineChars="200"/>
            </w:pPr>
          </w:p>
        </w:tc>
        <w:tc>
          <w:tcPr>
            <w:tcW w:w="1073" w:type="dxa"/>
            <w:vMerge w:val="continue"/>
            <w:tcBorders>
              <w:left w:val="single" w:color="auto" w:sz="8" w:space="0"/>
              <w:right w:val="single" w:color="auto" w:sz="4" w:space="0"/>
            </w:tcBorders>
            <w:shd w:val="clear" w:color="auto" w:fill="auto"/>
            <w:vAlign w:val="center"/>
          </w:tcPr>
          <w:p>
            <w:pPr>
              <w:widowControl/>
              <w:spacing w:line="360" w:lineRule="auto"/>
              <w:ind w:firstLine="420" w:firstLineChars="200"/>
            </w:pPr>
          </w:p>
        </w:tc>
        <w:tc>
          <w:tcPr>
            <w:tcW w:w="1638" w:type="dxa"/>
            <w:vMerge w:val="continue"/>
            <w:tcBorders>
              <w:left w:val="nil"/>
              <w:right w:val="single" w:color="auto" w:sz="4" w:space="0"/>
            </w:tcBorders>
            <w:shd w:val="clear" w:color="auto" w:fill="auto"/>
            <w:vAlign w:val="center"/>
          </w:tcPr>
          <w:p>
            <w:pPr>
              <w:widowControl/>
              <w:spacing w:line="360" w:lineRule="auto"/>
              <w:ind w:firstLine="420" w:firstLineChars="200"/>
            </w:pP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各类工作程序的合理性：日常保洁程序、交接初始化程序、员工个人防护及安全防护程序，工作频率符合采购人的实际情况和需求等</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5</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_GB2312"/>
                <w:color w:val="1F4E79"/>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233" w:hRule="atLeast"/>
        </w:trPr>
        <w:tc>
          <w:tcPr>
            <w:tcW w:w="936" w:type="dxa"/>
            <w:vMerge w:val="continue"/>
            <w:tcBorders>
              <w:left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1073" w:type="dxa"/>
            <w:vMerge w:val="continue"/>
            <w:tcBorders>
              <w:left w:val="single" w:color="auto" w:sz="8"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1638" w:type="dxa"/>
            <w:vMerge w:val="continue"/>
            <w:tcBorders>
              <w:left w:val="nil"/>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提供详细的室内地面保养方式、程序、各程序使用养护剂品牌。</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5</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233" w:hRule="atLeast"/>
        </w:trPr>
        <w:tc>
          <w:tcPr>
            <w:tcW w:w="936" w:type="dxa"/>
            <w:vMerge w:val="continue"/>
            <w:tcBorders>
              <w:left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1073" w:type="dxa"/>
            <w:vMerge w:val="continue"/>
            <w:tcBorders>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1638" w:type="dxa"/>
            <w:vMerge w:val="continue"/>
            <w:tcBorders>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各项后勤支持管理服务具体方案，包括：环境保洁等。</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5</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ascii="仿宋" w:hAnsi="仿宋" w:eastAsia="仿宋" w:cs="仿宋_GB2312"/>
                <w:color w:val="1F4E79"/>
                <w:sz w:val="24"/>
              </w:rPr>
              <w:t>7</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设备、工具配置情况（综合评定）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auto"/>
                <w:sz w:val="24"/>
                <w:highlight w:val="none"/>
              </w:rPr>
            </w:pPr>
            <w:r>
              <w:rPr>
                <w:rFonts w:hint="eastAsia" w:ascii="仿宋" w:hAnsi="仿宋" w:eastAsia="仿宋" w:cs="仿宋"/>
                <w:color w:val="auto"/>
                <w:sz w:val="24"/>
                <w:highlight w:val="none"/>
              </w:rPr>
              <w:t>拟投入本项目的设备、工具配置情况</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auto"/>
                <w:sz w:val="24"/>
                <w:highlight w:val="none"/>
              </w:rPr>
            </w:pPr>
            <w:r>
              <w:rPr>
                <w:rFonts w:hint="eastAsia" w:ascii="仿宋" w:hAnsi="仿宋" w:eastAsia="仿宋" w:cs="仿宋"/>
                <w:color w:val="auto"/>
                <w:sz w:val="24"/>
                <w:highlight w:val="none"/>
              </w:rPr>
              <w:t>5</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ascii="仿宋" w:hAnsi="仿宋" w:eastAsia="仿宋" w:cs="仿宋_GB2312"/>
                <w:color w:val="1F4E79"/>
                <w:sz w:val="24"/>
              </w:rPr>
              <w:t>8</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耗材配置情况（综合评定）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耗材配置合理、齐全、实用性等</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9</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服务承诺及优惠措施（综合评定）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根据投标人提供的各项服务管理规章制度是否严格、全面（0-1分），是否有可操作性和监督性（0-1分），是否能满足本项目及招标文件的要求（0-1分）；是否有对各项目上的突发事件的具体应对措施（0-1分）等。</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4</w:t>
            </w:r>
          </w:p>
        </w:tc>
        <w:tc>
          <w:tcPr>
            <w:tcW w:w="1697" w:type="dxa"/>
            <w:tcBorders>
              <w:top w:val="nil"/>
              <w:left w:val="nil"/>
              <w:bottom w:val="single" w:color="auto" w:sz="4" w:space="0"/>
              <w:right w:val="single" w:color="auto" w:sz="8" w:space="0"/>
            </w:tcBorders>
            <w:shd w:val="clear" w:color="auto" w:fill="auto"/>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10</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对本项目的合理化建议（综合评定）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投标人针对本项目的建议，是否合理和有针对性综合评定。</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4</w:t>
            </w:r>
          </w:p>
        </w:tc>
        <w:tc>
          <w:tcPr>
            <w:tcW w:w="1697"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11</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服务承诺及响应能力（综合评定）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根据投标人提供后续服务计划（0-2分）及投标人对采购人响应时间等能力（0-2分）服务情况综合评定。</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宋体"/>
                <w:sz w:val="24"/>
              </w:rPr>
              <w:t>4</w:t>
            </w:r>
          </w:p>
        </w:tc>
        <w:tc>
          <w:tcPr>
            <w:tcW w:w="1697"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仿宋"/>
                <w:color w:val="000000"/>
                <w:sz w:val="24"/>
              </w:rPr>
              <w:t>主观分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12</w:t>
            </w:r>
          </w:p>
        </w:tc>
        <w:tc>
          <w:tcPr>
            <w:tcW w:w="1638"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疫情防控方案（综合评定）</w:t>
            </w:r>
          </w:p>
        </w:tc>
        <w:tc>
          <w:tcPr>
            <w:tcW w:w="3740" w:type="dxa"/>
            <w:tcBorders>
              <w:top w:val="nil"/>
              <w:left w:val="nil"/>
              <w:bottom w:val="single" w:color="auto" w:sz="4"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根据疫情有完善的防控方案及应急预案（0-2分），应急物资方案（0-2分），保洁员有针对性的防控方案及应对能力的培训计划（0-2分）。</w:t>
            </w:r>
          </w:p>
        </w:tc>
        <w:tc>
          <w:tcPr>
            <w:tcW w:w="1134"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宋体"/>
                <w:sz w:val="24"/>
              </w:rPr>
              <w:t>6</w:t>
            </w:r>
          </w:p>
        </w:tc>
        <w:tc>
          <w:tcPr>
            <w:tcW w:w="1697" w:type="dxa"/>
            <w:tcBorders>
              <w:top w:val="nil"/>
              <w:left w:val="nil"/>
              <w:bottom w:val="single" w:color="auto" w:sz="4" w:space="0"/>
              <w:right w:val="single" w:color="auto" w:sz="8"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 xml:space="preserve">   主观分</w:t>
            </w:r>
          </w:p>
        </w:tc>
      </w:tr>
      <w:tr>
        <w:tblPrEx>
          <w:tblCellMar>
            <w:top w:w="0" w:type="dxa"/>
            <w:left w:w="108" w:type="dxa"/>
            <w:bottom w:w="0" w:type="dxa"/>
            <w:right w:w="108" w:type="dxa"/>
          </w:tblCellMar>
        </w:tblPrEx>
        <w:trPr>
          <w:trHeight w:val="847"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nil"/>
              <w:left w:val="single" w:color="auto" w:sz="8" w:space="0"/>
              <w:bottom w:val="single" w:color="auto" w:sz="8"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13</w:t>
            </w:r>
          </w:p>
        </w:tc>
        <w:tc>
          <w:tcPr>
            <w:tcW w:w="1638" w:type="dxa"/>
            <w:tcBorders>
              <w:top w:val="nil"/>
              <w:left w:val="nil"/>
              <w:bottom w:val="single" w:color="auto" w:sz="8"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项目部经理</w:t>
            </w:r>
          </w:p>
        </w:tc>
        <w:tc>
          <w:tcPr>
            <w:tcW w:w="3740" w:type="dxa"/>
            <w:tcBorders>
              <w:top w:val="nil"/>
              <w:left w:val="nil"/>
              <w:bottom w:val="single" w:color="auto" w:sz="8" w:space="0"/>
              <w:right w:val="single" w:color="auto" w:sz="4"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1.项目部经理：</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1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50周岁及以下（以开标当日为截止点）</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2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从事同类医院保洁服务管理相关工作经历5年以上，提供证明文件（合同中体现或业主证明） </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3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③</w:t>
            </w:r>
            <w:r>
              <w:rPr>
                <w:rFonts w:hint="eastAsia" w:ascii="仿宋" w:hAnsi="仿宋" w:eastAsia="仿宋" w:cs="仿宋"/>
                <w:color w:val="000000"/>
                <w:sz w:val="24"/>
              </w:rPr>
              <w:fldChar w:fldCharType="end"/>
            </w:r>
            <w:r>
              <w:rPr>
                <w:rFonts w:hint="eastAsia" w:ascii="仿宋" w:hAnsi="仿宋" w:eastAsia="仿宋" w:cs="仿宋"/>
                <w:color w:val="000000"/>
                <w:sz w:val="24"/>
              </w:rPr>
              <w:t>每个月的到岗率承诺在95%及以上，</w:t>
            </w:r>
            <w:r>
              <w:rPr>
                <w:rFonts w:hint="eastAsia" w:ascii="仿宋" w:hAnsi="仿宋" w:eastAsia="仿宋" w:cs="仿宋"/>
                <w:color w:val="auto"/>
                <w:sz w:val="24"/>
                <w:highlight w:val="none"/>
              </w:rPr>
              <w:t>全部符合得4分，2项符合得2分，</w:t>
            </w:r>
            <w:r>
              <w:rPr>
                <w:rFonts w:ascii="仿宋" w:hAnsi="仿宋" w:eastAsia="仿宋" w:cs="仿宋_GB2312"/>
                <w:color w:val="auto"/>
                <w:sz w:val="24"/>
                <w:highlight w:val="none"/>
              </w:rPr>
              <w:t xml:space="preserve"> </w:t>
            </w:r>
            <w:r>
              <w:rPr>
                <w:rFonts w:hint="eastAsia" w:ascii="仿宋" w:hAnsi="仿宋" w:eastAsia="仿宋" w:cs="仿宋"/>
                <w:color w:val="auto"/>
                <w:sz w:val="24"/>
                <w:highlight w:val="none"/>
              </w:rPr>
              <w:t>1项符合得1分。不提供不得分</w:t>
            </w:r>
          </w:p>
        </w:tc>
        <w:tc>
          <w:tcPr>
            <w:tcW w:w="1134"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宋体"/>
                <w:sz w:val="24"/>
              </w:rPr>
              <w:t>4</w:t>
            </w:r>
          </w:p>
        </w:tc>
        <w:tc>
          <w:tcPr>
            <w:tcW w:w="1697"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宋体"/>
                <w:sz w:val="24"/>
              </w:rPr>
              <w:t>客观分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14</w:t>
            </w:r>
          </w:p>
        </w:tc>
        <w:tc>
          <w:tcPr>
            <w:tcW w:w="163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_GB2312"/>
                <w:color w:val="1F4E79"/>
                <w:sz w:val="24"/>
              </w:rPr>
            </w:pPr>
            <w:r>
              <w:rPr>
                <w:rFonts w:hint="eastAsia" w:ascii="仿宋" w:hAnsi="仿宋" w:eastAsia="仿宋" w:cs="仿宋"/>
                <w:color w:val="000000"/>
                <w:sz w:val="24"/>
              </w:rPr>
              <w:t>项目技术力量安排（综合评定）</w:t>
            </w:r>
          </w:p>
        </w:tc>
        <w:tc>
          <w:tcPr>
            <w:tcW w:w="374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FF0000"/>
                <w:sz w:val="24"/>
              </w:rPr>
              <w:t>1、</w:t>
            </w:r>
            <w:r>
              <w:rPr>
                <w:rFonts w:hint="eastAsia" w:ascii="仿宋" w:hAnsi="仿宋" w:eastAsia="仿宋" w:cs="仿宋"/>
                <w:color w:val="000000"/>
                <w:sz w:val="24"/>
              </w:rPr>
              <w:t xml:space="preserve">投标人符合外墙清洗高空作业情况：投标人服务人员具有安监局颁发的特种作业操作证书（高处作业证）1人得1分，最高得2分 </w:t>
            </w:r>
          </w:p>
          <w:p>
            <w:pPr>
              <w:spacing w:line="400" w:lineRule="exact"/>
              <w:rPr>
                <w:rFonts w:ascii="仿宋" w:hAnsi="仿宋" w:eastAsia="仿宋" w:cs="仿宋"/>
                <w:color w:val="000000"/>
                <w:sz w:val="24"/>
              </w:rPr>
            </w:pPr>
            <w:r>
              <w:rPr>
                <w:rFonts w:hint="eastAsia" w:ascii="仿宋" w:hAnsi="仿宋" w:eastAsia="仿宋" w:cs="仿宋"/>
                <w:color w:val="FF0000"/>
                <w:sz w:val="24"/>
              </w:rPr>
              <w:t>2、</w:t>
            </w:r>
            <w:r>
              <w:rPr>
                <w:rFonts w:hint="eastAsia" w:ascii="仿宋" w:hAnsi="仿宋" w:eastAsia="仿宋" w:cs="仿宋"/>
                <w:color w:val="000000"/>
                <w:sz w:val="24"/>
              </w:rPr>
              <w:t>投标人具有高压电工证书的，得1分；具有电梯管理员证书的，得1分；共计2分。</w:t>
            </w:r>
          </w:p>
          <w:p>
            <w:pPr>
              <w:spacing w:line="400" w:lineRule="exact"/>
              <w:rPr>
                <w:rFonts w:ascii="仿宋" w:hAnsi="仿宋" w:eastAsia="仿宋" w:cs="仿宋_GB2312"/>
                <w:color w:val="7030A0"/>
                <w:sz w:val="24"/>
              </w:rPr>
            </w:pPr>
            <w:r>
              <w:rPr>
                <w:rFonts w:hint="eastAsia" w:ascii="仿宋" w:hAnsi="仿宋" w:eastAsia="仿宋" w:cs="仿宋"/>
                <w:color w:val="auto"/>
                <w:sz w:val="24"/>
              </w:rPr>
              <w:t>3、具有人力资源和社会保障部颁</w:t>
            </w:r>
            <w:r>
              <w:rPr>
                <w:rFonts w:hint="eastAsia" w:ascii="仿宋" w:hAnsi="仿宋" w:eastAsia="仿宋" w:cs="仿宋"/>
                <w:sz w:val="24"/>
              </w:rPr>
              <w:t>发的职业技能证书（职业工种：有害生物防治员的，得1分）。（以上人员配备需在投标文件中提供相关证书和2021年9、10、11三个月的社保证明复印件加盖投标公章，）</w:t>
            </w:r>
            <w:r>
              <w:rPr>
                <w:rFonts w:hint="eastAsia" w:ascii="仿宋" w:hAnsi="仿宋" w:eastAsia="仿宋" w:cs="仿宋"/>
                <w:color w:val="FF0000"/>
                <w:sz w:val="24"/>
              </w:rPr>
              <w:t>不提供不得分。</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仿宋_GB2312"/>
                <w:color w:val="1F4E79"/>
                <w:sz w:val="24"/>
              </w:rPr>
            </w:pPr>
            <w:r>
              <w:rPr>
                <w:rFonts w:hint="eastAsia" w:ascii="仿宋" w:hAnsi="仿宋" w:eastAsia="仿宋" w:cs="宋体"/>
                <w:sz w:val="24"/>
              </w:rPr>
              <w:t>5</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客观分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15</w:t>
            </w:r>
          </w:p>
        </w:tc>
        <w:tc>
          <w:tcPr>
            <w:tcW w:w="163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承诺人员构成年龄</w:t>
            </w:r>
          </w:p>
        </w:tc>
        <w:tc>
          <w:tcPr>
            <w:tcW w:w="374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承诺本项目工作人</w:t>
            </w:r>
            <w:r>
              <w:rPr>
                <w:rFonts w:hint="eastAsia" w:ascii="仿宋" w:hAnsi="仿宋" w:eastAsia="仿宋" w:cs="仿宋"/>
                <w:sz w:val="24"/>
              </w:rPr>
              <w:t>员年龄在60周岁及以下不低于80%得1分，承诺本项目工作人员年龄在60周岁及以下不低于85%得2分.承诺书</w:t>
            </w:r>
            <w:r>
              <w:rPr>
                <w:rFonts w:hint="eastAsia" w:ascii="仿宋" w:hAnsi="仿宋" w:eastAsia="仿宋" w:cs="仿宋"/>
                <w:color w:val="000000"/>
                <w:sz w:val="24"/>
              </w:rPr>
              <w:t>盖投标人公章，</w:t>
            </w:r>
            <w:r>
              <w:rPr>
                <w:rFonts w:hint="eastAsia" w:ascii="仿宋" w:hAnsi="仿宋" w:eastAsia="仿宋" w:cs="仿宋"/>
                <w:color w:val="FF0000"/>
                <w:sz w:val="24"/>
              </w:rPr>
              <w:t>不提供不得分</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2</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客观分</w:t>
            </w:r>
          </w:p>
        </w:tc>
      </w:tr>
      <w:tr>
        <w:tblPrEx>
          <w:tblCellMar>
            <w:top w:w="0" w:type="dxa"/>
            <w:left w:w="108" w:type="dxa"/>
            <w:bottom w:w="0" w:type="dxa"/>
            <w:right w:w="108" w:type="dxa"/>
          </w:tblCellMar>
        </w:tblPrEx>
        <w:trPr>
          <w:trHeight w:val="610" w:hRule="atLeast"/>
        </w:trPr>
        <w:tc>
          <w:tcPr>
            <w:tcW w:w="936"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vMerge w:val="restart"/>
            <w:tcBorders>
              <w:top w:val="single" w:color="auto" w:sz="8" w:space="0"/>
              <w:left w:val="single" w:color="auto" w:sz="8" w:space="0"/>
              <w:right w:val="single" w:color="auto" w:sz="8"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16</w:t>
            </w:r>
          </w:p>
        </w:tc>
        <w:tc>
          <w:tcPr>
            <w:tcW w:w="1638" w:type="dxa"/>
            <w:vMerge w:val="restart"/>
            <w:tcBorders>
              <w:top w:val="single" w:color="auto" w:sz="8" w:space="0"/>
              <w:left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项目组成员（除项目部经理）</w:t>
            </w:r>
          </w:p>
        </w:tc>
        <w:tc>
          <w:tcPr>
            <w:tcW w:w="374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保洁主管：</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1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45周岁及以下（以开标当日为截止点）</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2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从事同类医院保洁服务管理相关工作经历2年以上，提供证明文件（合同中体现或业主证明），每符合1项得1分，最高得2分。</w:t>
            </w:r>
            <w:r>
              <w:rPr>
                <w:rFonts w:hint="eastAsia" w:ascii="仿宋" w:hAnsi="仿宋" w:eastAsia="仿宋" w:cs="仿宋"/>
                <w:color w:val="FF0000"/>
                <w:sz w:val="24"/>
              </w:rPr>
              <w:t>不提供不得分</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 xml:space="preserve"> 2</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客观分</w:t>
            </w:r>
          </w:p>
        </w:tc>
      </w:tr>
      <w:tr>
        <w:tblPrEx>
          <w:tblCellMar>
            <w:top w:w="0" w:type="dxa"/>
            <w:left w:w="108" w:type="dxa"/>
            <w:bottom w:w="0" w:type="dxa"/>
            <w:right w:w="108" w:type="dxa"/>
          </w:tblCellMar>
        </w:tblPrEx>
        <w:trPr>
          <w:trHeight w:val="610" w:hRule="atLeast"/>
        </w:trPr>
        <w:tc>
          <w:tcPr>
            <w:tcW w:w="936" w:type="dxa"/>
            <w:vMerge w:val="continue"/>
            <w:tcBorders>
              <w:left w:val="single" w:color="auto" w:sz="4" w:space="0"/>
              <w:right w:val="single" w:color="auto" w:sz="4" w:space="0"/>
            </w:tcBorders>
            <w:vAlign w:val="center"/>
          </w:tcPr>
          <w:p>
            <w:pPr>
              <w:spacing w:line="400" w:lineRule="exact"/>
            </w:pPr>
          </w:p>
        </w:tc>
        <w:tc>
          <w:tcPr>
            <w:tcW w:w="1073" w:type="dxa"/>
            <w:vMerge w:val="continue"/>
            <w:tcBorders>
              <w:left w:val="single" w:color="auto" w:sz="8" w:space="0"/>
              <w:bottom w:val="single" w:color="auto" w:sz="8" w:space="0"/>
              <w:right w:val="single" w:color="auto" w:sz="8" w:space="0"/>
            </w:tcBorders>
            <w:shd w:val="clear" w:color="auto" w:fill="auto"/>
            <w:vAlign w:val="center"/>
          </w:tcPr>
          <w:p>
            <w:pPr>
              <w:spacing w:line="400" w:lineRule="exact"/>
            </w:pPr>
          </w:p>
        </w:tc>
        <w:tc>
          <w:tcPr>
            <w:tcW w:w="1638" w:type="dxa"/>
            <w:vMerge w:val="continue"/>
            <w:tcBorders>
              <w:left w:val="single" w:color="auto" w:sz="8" w:space="0"/>
              <w:bottom w:val="single" w:color="auto" w:sz="8" w:space="0"/>
              <w:right w:val="single" w:color="auto" w:sz="8" w:space="0"/>
            </w:tcBorders>
            <w:shd w:val="clear" w:color="auto" w:fill="auto"/>
            <w:vAlign w:val="center"/>
          </w:tcPr>
          <w:p>
            <w:pPr>
              <w:spacing w:line="400" w:lineRule="exact"/>
            </w:pPr>
          </w:p>
        </w:tc>
        <w:tc>
          <w:tcPr>
            <w:tcW w:w="374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themeColor="text1"/>
                <w:kern w:val="0"/>
                <w:sz w:val="24"/>
                <w14:textFill>
                  <w14:solidFill>
                    <w14:schemeClr w14:val="tx1"/>
                  </w14:solidFill>
                </w14:textFill>
              </w:rPr>
              <w:t>综合文员</w:t>
            </w:r>
            <w:r>
              <w:rPr>
                <w:rFonts w:hint="eastAsia" w:ascii="仿宋" w:hAnsi="仿宋" w:eastAsia="仿宋" w:cs="仿宋"/>
                <w:color w:val="000000"/>
                <w:sz w:val="24"/>
              </w:rPr>
              <w:t>：</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1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35周岁及以下（以开标当日为截止点）</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2 \* GB3</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从事同类医院保洁服务管理相关工作经历2年以上，提供证明文件（合同中体现或业主证明），每符合1项得1分，最高得2分。</w:t>
            </w:r>
            <w:r>
              <w:rPr>
                <w:rFonts w:hint="eastAsia" w:ascii="仿宋" w:hAnsi="仿宋" w:eastAsia="仿宋" w:cs="仿宋"/>
                <w:color w:val="FF0000"/>
                <w:sz w:val="24"/>
              </w:rPr>
              <w:t>不提供不得分。</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2</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客观分</w:t>
            </w:r>
          </w:p>
        </w:tc>
      </w:tr>
      <w:tr>
        <w:tblPrEx>
          <w:tblCellMar>
            <w:top w:w="0" w:type="dxa"/>
            <w:left w:w="108" w:type="dxa"/>
            <w:bottom w:w="0" w:type="dxa"/>
            <w:right w:w="108" w:type="dxa"/>
          </w:tblCellMar>
        </w:tblPrEx>
        <w:trPr>
          <w:trHeight w:val="615" w:hRule="atLeast"/>
        </w:trPr>
        <w:tc>
          <w:tcPr>
            <w:tcW w:w="936" w:type="dxa"/>
            <w:vMerge w:val="continue"/>
            <w:tcBorders>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color w:val="1F4E79"/>
                <w:sz w:val="24"/>
              </w:rPr>
            </w:pPr>
          </w:p>
        </w:tc>
        <w:tc>
          <w:tcPr>
            <w:tcW w:w="10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17</w:t>
            </w:r>
          </w:p>
        </w:tc>
        <w:tc>
          <w:tcPr>
            <w:tcW w:w="163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突发事件（雨雪天气等、公共卫生安全等）</w:t>
            </w:r>
          </w:p>
        </w:tc>
        <w:tc>
          <w:tcPr>
            <w:tcW w:w="374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对突发事件（包括发生台风、暴雨雪等灾害性天气及其他公共卫生安全突发事件）时的应急预案及相应的措施。</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3</w:t>
            </w:r>
          </w:p>
        </w:tc>
        <w:tc>
          <w:tcPr>
            <w:tcW w:w="169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 w:hAnsi="仿宋" w:eastAsia="仿宋" w:cs="宋体"/>
                <w:sz w:val="24"/>
              </w:rPr>
            </w:pPr>
            <w:r>
              <w:rPr>
                <w:rFonts w:hint="eastAsia" w:ascii="仿宋" w:hAnsi="仿宋" w:eastAsia="仿宋" w:cs="宋体"/>
                <w:sz w:val="24"/>
              </w:rPr>
              <w:t>主观分</w:t>
            </w:r>
          </w:p>
        </w:tc>
      </w:tr>
    </w:tbl>
    <w:p>
      <w:pPr>
        <w:widowControl/>
        <w:spacing w:line="360" w:lineRule="auto"/>
        <w:rPr>
          <w:rFonts w:hint="eastAsia" w:ascii="仿宋" w:hAnsi="仿宋" w:eastAsia="仿宋" w:cs="仿宋_GB2312"/>
          <w:color w:val="000000"/>
          <w:sz w:val="24"/>
          <w:lang w:val="en-US" w:eastAsia="zh-CN"/>
        </w:rPr>
      </w:pPr>
    </w:p>
    <w:p>
      <w:pPr>
        <w:widowControl/>
        <w:spacing w:line="360" w:lineRule="auto"/>
        <w:rPr>
          <w:rFonts w:hint="default" w:ascii="仿宋" w:hAnsi="仿宋" w:eastAsia="仿宋" w:cs="仿宋_GB2312"/>
          <w:color w:val="000000"/>
          <w:sz w:val="24"/>
          <w:highlight w:val="red"/>
          <w:lang w:val="en-US" w:eastAsia="zh-CN"/>
        </w:rPr>
      </w:pPr>
      <w:r>
        <w:rPr>
          <w:rFonts w:hint="eastAsia" w:ascii="仿宋" w:hAnsi="仿宋" w:eastAsia="仿宋" w:cs="仿宋_GB2312"/>
          <w:color w:val="000000"/>
          <w:sz w:val="24"/>
          <w:lang w:val="en-US" w:eastAsia="zh-CN"/>
        </w:rPr>
        <w:t>注：</w:t>
      </w:r>
      <w:r>
        <w:rPr>
          <w:rFonts w:hint="eastAsia" w:ascii="仿宋" w:hAnsi="仿宋" w:eastAsia="仿宋" w:cs="仿宋_GB2312"/>
          <w:color w:val="000000"/>
          <w:sz w:val="24"/>
          <w:highlight w:val="red"/>
          <w:lang w:val="en-US" w:eastAsia="zh-CN"/>
        </w:rPr>
        <w:t>1、评分条款中涉及的业绩、荣誉、人员、社保等分公司均有效。</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en-US" w:eastAsia="zh-CN"/>
        </w:rPr>
        <w:t>2、</w:t>
      </w:r>
      <w:r>
        <w:rPr>
          <w:rFonts w:hint="eastAsia" w:ascii="仿宋" w:hAnsi="仿宋" w:eastAsia="仿宋" w:cs="仿宋_GB2312"/>
          <w:color w:val="000000"/>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3、价格分（20分）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价格权值</w:t>
            </w:r>
            <w:r>
              <w:rPr>
                <w:rFonts w:ascii="仿宋" w:hAnsi="仿宋" w:eastAsia="仿宋" w:cs="仿宋_GB2312"/>
                <w:color w:val="1F4E79"/>
                <w:sz w:val="24"/>
              </w:rPr>
              <w:t>=</w:t>
            </w:r>
            <w:r>
              <w:rPr>
                <w:rFonts w:hint="eastAsia" w:ascii="仿宋" w:hAnsi="仿宋" w:eastAsia="仿宋" w:cs="仿宋_GB2312"/>
                <w:color w:val="1F4E79"/>
                <w:sz w:val="24"/>
              </w:rPr>
              <w:t>0.20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最低有效投标价格为评标基准价</w:t>
            </w:r>
          </w:p>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投标报价得分</w:t>
            </w:r>
            <w:r>
              <w:rPr>
                <w:rFonts w:ascii="仿宋" w:hAnsi="仿宋" w:eastAsia="仿宋" w:cs="仿宋_GB2312"/>
                <w:color w:val="1F4E79"/>
                <w:sz w:val="24"/>
              </w:rPr>
              <w:t>=(</w:t>
            </w:r>
            <w:r>
              <w:rPr>
                <w:rFonts w:hint="eastAsia" w:ascii="仿宋" w:hAnsi="仿宋" w:eastAsia="仿宋" w:cs="仿宋_GB2312"/>
                <w:color w:val="1F4E79"/>
                <w:sz w:val="24"/>
              </w:rPr>
              <w:t>评标基准价／投标报价</w:t>
            </w:r>
            <w:r>
              <w:rPr>
                <w:rFonts w:ascii="仿宋" w:hAnsi="仿宋" w:eastAsia="仿宋" w:cs="仿宋_GB2312"/>
                <w:color w:val="1F4E79"/>
                <w:sz w:val="24"/>
              </w:rPr>
              <w:t>)</w:t>
            </w:r>
            <w:r>
              <w:rPr>
                <w:rFonts w:hint="eastAsia" w:ascii="仿宋" w:hAnsi="仿宋" w:eastAsia="仿宋" w:cs="仿宋_GB2312"/>
                <w:color w:val="1F4E79"/>
                <w:sz w:val="24"/>
              </w:rPr>
              <w:t>×价格权值×</w:t>
            </w:r>
            <w:r>
              <w:rPr>
                <w:rFonts w:ascii="仿宋" w:hAnsi="仿宋" w:eastAsia="仿宋" w:cs="仿宋_GB2312"/>
                <w:color w:val="1F4E79"/>
                <w:sz w:val="24"/>
              </w:rPr>
              <w:t xml:space="preserve">100 </w:t>
            </w:r>
          </w:p>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（计算得分保留小数点后</w:t>
            </w:r>
            <w:r>
              <w:rPr>
                <w:rFonts w:ascii="仿宋" w:hAnsi="仿宋" w:eastAsia="仿宋" w:cs="仿宋_GB2312"/>
                <w:color w:val="1F4E79"/>
                <w:sz w:val="24"/>
              </w:rPr>
              <w:t>2</w:t>
            </w:r>
            <w:r>
              <w:rPr>
                <w:rFonts w:hint="eastAsia" w:ascii="仿宋" w:hAnsi="仿宋" w:eastAsia="仿宋" w:cs="仿宋_GB2312"/>
                <w:color w:val="1F4E79"/>
                <w:sz w:val="24"/>
              </w:rPr>
              <w:t>位）</w:t>
            </w:r>
          </w:p>
        </w:tc>
      </w:tr>
    </w:tbl>
    <w:p>
      <w:pPr>
        <w:snapToGrid w:val="0"/>
        <w:spacing w:line="360" w:lineRule="auto"/>
        <w:rPr>
          <w:rFonts w:ascii="Arial" w:hAnsi="Arial" w:cs="Arial"/>
          <w:color w:val="222222"/>
          <w:sz w:val="20"/>
          <w:szCs w:val="20"/>
          <w:shd w:val="clear" w:color="auto" w:fill="FFFFFF"/>
        </w:rPr>
      </w:pPr>
    </w:p>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3.2比较与评价。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pPr>
        <w:pStyle w:val="216"/>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rPr>
          <w:rFonts w:ascii="仿宋_GB2312" w:hAnsi="仿宋" w:eastAsia="仿宋_GB2312" w:cs="Arial"/>
          <w:b/>
          <w:kern w:val="0"/>
          <w:sz w:val="24"/>
        </w:rPr>
      </w:pP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Helvetica" w:hAnsi="Helvetica" w:cs="宋体"/>
          <w:color w:val="000000"/>
          <w:kern w:val="0"/>
          <w:szCs w:val="21"/>
        </w:rPr>
      </w:pP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16"/>
        <w:spacing w:before="0"/>
        <w:ind w:firstLine="0" w:firstLineChars="0"/>
        <w:rPr>
          <w:rFonts w:ascii="仿宋_GB2312" w:hAnsi="仿宋" w:eastAsia="仿宋_GB2312" w:cs="Arial"/>
          <w:kern w:val="0"/>
          <w:szCs w:val="24"/>
        </w:rPr>
      </w:pPr>
      <w:r>
        <w:rPr>
          <w:rFonts w:hint="eastAsia" w:ascii="Helvetica" w:hAnsi="Helvetica" w:cs="宋体"/>
          <w:color w:val="000000"/>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after="225" w:line="315" w:lineRule="atLeast"/>
        <w:jc w:val="left"/>
        <w:rPr>
          <w:rFonts w:ascii="Helvetica" w:hAnsi="Helvetica" w:cs="宋体"/>
          <w:color w:val="000000"/>
          <w:kern w:val="0"/>
          <w:szCs w:val="21"/>
        </w:rPr>
      </w:pPr>
    </w:p>
    <w:p>
      <w:pPr>
        <w:pStyle w:val="23"/>
        <w:spacing w:line="360" w:lineRule="auto"/>
        <w:ind w:left="557"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pPr>
        <w:pStyle w:val="3"/>
        <w:ind w:left="433" w:leftChars="202" w:hanging="9" w:hangingChars="4"/>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pPr>
        <w:pStyle w:val="23"/>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3"/>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7.1未确定中标或者中标人的，终止本次政府采购活动，重新开展政府采购活动。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_GB2312"/>
          <w:color w:val="000000"/>
          <w:sz w:val="24"/>
        </w:rPr>
      </w:pPr>
    </w:p>
    <w:p>
      <w:pPr>
        <w:pStyle w:val="2"/>
      </w:pPr>
      <w:r>
        <w:rPr>
          <w:sz w:val="24"/>
        </w:rPr>
        <w:br w:type="page"/>
      </w:r>
      <w:r>
        <w:rPr>
          <w:rFonts w:hint="eastAsia"/>
        </w:rPr>
        <w:t>第五部分</w:t>
      </w:r>
      <w:bookmarkEnd w:id="60"/>
      <w:r>
        <w:rPr>
          <w:rFonts w:hint="eastAsia"/>
        </w:rPr>
        <w:t xml:space="preserve"> 拟签订的合同文本</w:t>
      </w:r>
    </w:p>
    <w:p>
      <w:pPr>
        <w:rPr>
          <w:rFonts w:ascii="楷体" w:hAnsi="楷体" w:eastAsia="楷体"/>
          <w:sz w:val="24"/>
          <w:u w:val="single"/>
        </w:rPr>
      </w:pPr>
      <w:bookmarkStart w:id="427" w:name="第五部分"/>
      <w:bookmarkStart w:id="428" w:name="_Toc86217003"/>
      <w:r>
        <w:rPr>
          <w:rFonts w:hint="eastAsia" w:ascii="楷体" w:hAnsi="楷体" w:eastAsia="楷体"/>
          <w:sz w:val="24"/>
        </w:rPr>
        <w:t>合同编号：</w:t>
      </w:r>
    </w:p>
    <w:p>
      <w:pPr>
        <w:rPr>
          <w:rFonts w:ascii="楷体" w:hAnsi="楷体" w:eastAsia="楷体"/>
          <w:sz w:val="24"/>
          <w:u w:val="single"/>
        </w:rPr>
      </w:pPr>
    </w:p>
    <w:p>
      <w:pPr>
        <w:rPr>
          <w:rFonts w:ascii="楷体" w:hAnsi="楷体" w:eastAsia="楷体"/>
          <w:sz w:val="24"/>
          <w:u w:val="single"/>
        </w:rPr>
      </w:pPr>
    </w:p>
    <w:p>
      <w:pPr>
        <w:rPr>
          <w:rFonts w:ascii="楷体" w:hAnsi="楷体" w:eastAsia="楷体"/>
          <w:sz w:val="24"/>
          <w:u w:val="singl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00"/>
        <w:rPr>
          <w:rFonts w:ascii="仿宋" w:hAnsi="仿宋" w:eastAsia="仿宋"/>
          <w:szCs w:val="24"/>
        </w:rPr>
      </w:pPr>
    </w:p>
    <w:p>
      <w:pPr>
        <w:pStyle w:val="300"/>
        <w:rPr>
          <w:rFonts w:ascii="仿宋" w:hAnsi="仿宋" w:eastAsia="仿宋"/>
          <w:szCs w:val="24"/>
        </w:rPr>
      </w:pPr>
    </w:p>
    <w:p>
      <w:pPr>
        <w:pStyle w:val="300"/>
        <w:rPr>
          <w:rFonts w:ascii="仿宋" w:hAnsi="仿宋" w:eastAsia="仿宋"/>
          <w:szCs w:val="24"/>
        </w:rPr>
      </w:pPr>
    </w:p>
    <w:p>
      <w:pPr>
        <w:pStyle w:val="300"/>
        <w:ind w:firstLine="482"/>
        <w:jc w:val="center"/>
        <w:rPr>
          <w:rFonts w:ascii="仿宋" w:hAnsi="仿宋" w:eastAsia="仿宋"/>
          <w:b/>
          <w:szCs w:val="24"/>
        </w:rPr>
      </w:pPr>
      <w:r>
        <w:rPr>
          <w:rFonts w:hint="eastAsia" w:ascii="仿宋" w:hAnsi="仿宋" w:eastAsia="仿宋"/>
          <w:b/>
          <w:szCs w:val="24"/>
        </w:rPr>
        <w:t>第一部分 合同书</w:t>
      </w:r>
    </w:p>
    <w:p>
      <w:pPr>
        <w:pStyle w:val="300"/>
        <w:rPr>
          <w:rFonts w:ascii="仿宋" w:hAnsi="仿宋" w:eastAsia="仿宋"/>
          <w:szCs w:val="24"/>
        </w:rPr>
      </w:pPr>
    </w:p>
    <w:p>
      <w:pPr>
        <w:pStyle w:val="3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621"/>
        <w:spacing w:before="120" w:line="22" w:lineRule="atLeast"/>
        <w:rPr>
          <w:rFonts w:ascii="仿宋" w:hAnsi="仿宋" w:eastAsia="仿宋"/>
          <w:szCs w:val="24"/>
        </w:rPr>
      </w:pPr>
    </w:p>
    <w:p>
      <w:pPr>
        <w:pStyle w:val="62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40" w:right="1800" w:bottom="1440" w:left="1800"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（采购人名称）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（采购人名称）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29" w:name="_Toc24059"/>
      <w:bookmarkStart w:id="430" w:name="_Toc2232"/>
      <w:bookmarkStart w:id="431" w:name="_Toc3029"/>
      <w:r>
        <w:rPr>
          <w:rFonts w:hint="eastAsia" w:ascii="仿宋" w:hAnsi="仿宋" w:eastAsia="仿宋"/>
          <w:b/>
          <w:sz w:val="24"/>
        </w:rPr>
        <w:t>1.1 合同组成部分</w:t>
      </w:r>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32" w:name="_Toc24300"/>
      <w:bookmarkStart w:id="433" w:name="_Toc27126"/>
      <w:bookmarkStart w:id="434" w:name="_Toc21295"/>
      <w:r>
        <w:rPr>
          <w:rFonts w:hint="eastAsia" w:ascii="仿宋" w:hAnsi="仿宋" w:eastAsia="仿宋"/>
          <w:b/>
          <w:sz w:val="24"/>
        </w:rPr>
        <w:t>1.2 货物</w:t>
      </w:r>
      <w:bookmarkEnd w:id="432"/>
      <w:bookmarkEnd w:id="433"/>
      <w:bookmarkEnd w:id="434"/>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5" w:name="_Toc23292"/>
      <w:bookmarkStart w:id="436" w:name="_Toc21631"/>
      <w:bookmarkStart w:id="437" w:name="_Toc21551"/>
      <w:r>
        <w:rPr>
          <w:rFonts w:hint="eastAsia" w:ascii="仿宋" w:hAnsi="仿宋" w:eastAsia="仿宋"/>
          <w:b/>
          <w:sz w:val="24"/>
        </w:rPr>
        <w:t>1.3 价款</w:t>
      </w:r>
      <w:bookmarkEnd w:id="435"/>
      <w:bookmarkEnd w:id="436"/>
      <w:bookmarkEnd w:id="437"/>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38" w:name="_Toc22618"/>
      <w:bookmarkStart w:id="439" w:name="_Toc1814"/>
      <w:bookmarkStart w:id="440" w:name="_Toc10340"/>
      <w:r>
        <w:rPr>
          <w:rFonts w:hint="eastAsia" w:ascii="仿宋" w:hAnsi="仿宋" w:eastAsia="仿宋"/>
          <w:b/>
          <w:sz w:val="24"/>
        </w:rPr>
        <w:t>1.4 付款</w:t>
      </w:r>
      <w:bookmarkEnd w:id="438"/>
      <w:bookmarkEnd w:id="439"/>
      <w:bookmarkEnd w:id="440"/>
      <w:r>
        <w:rPr>
          <w:rFonts w:hint="eastAsia" w:ascii="仿宋" w:hAnsi="仿宋" w:eastAsia="仿宋"/>
          <w:b/>
          <w:sz w:val="24"/>
        </w:rPr>
        <w:t>方式、时间和条件</w:t>
      </w:r>
    </w:p>
    <w:p>
      <w:pPr>
        <w:pStyle w:val="62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1.4.1</w:t>
      </w:r>
      <w:r>
        <w:rPr>
          <w:rFonts w:hint="eastAsia" w:ascii="仿宋" w:hAnsi="仿宋" w:eastAsia="仿宋" w:cs="Times New Roman"/>
          <w:highlight w:val="yellow"/>
        </w:rPr>
        <w:t>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yellow"/>
        </w:rPr>
      </w:pPr>
      <w:r>
        <w:rPr>
          <w:rFonts w:hint="eastAsia" w:ascii="仿宋" w:hAnsi="仿宋" w:eastAsia="仿宋"/>
          <w:sz w:val="24"/>
        </w:rPr>
        <w:t>1.4.2</w:t>
      </w:r>
      <w:r>
        <w:rPr>
          <w:rFonts w:hint="eastAsia" w:ascii="仿宋" w:hAnsi="仿宋" w:eastAsia="仿宋"/>
          <w:sz w:val="24"/>
          <w:highlight w:val="yellow"/>
        </w:rPr>
        <w:t>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pacing w:line="560" w:lineRule="exact"/>
        <w:ind w:firstLine="480" w:firstLineChars="200"/>
        <w:rPr>
          <w:rFonts w:ascii="仿宋" w:hAnsi="仿宋" w:eastAsia="仿宋"/>
          <w:sz w:val="24"/>
          <w:highlight w:val="yellow"/>
        </w:rPr>
      </w:pPr>
      <w:r>
        <w:rPr>
          <w:rFonts w:hint="eastAsia" w:ascii="仿宋" w:hAnsi="仿宋" w:eastAsia="仿宋"/>
          <w:sz w:val="24"/>
          <w:highlight w:val="yellow"/>
        </w:rPr>
        <w:t>1.4.3甲方迟延支付乙方款项的，应当支付逾期利息。双方可以约定逾期利率，约定利率不得低于合同订立时1年期贷款市场报价利率；未作约定的，按照每日利率万分之五支付逾期利息。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hint="eastAsia" w:ascii="仿宋" w:hAnsi="仿宋" w:eastAsia="仿宋"/>
          <w:sz w:val="24"/>
        </w:rPr>
        <w:t>1.4.4</w:t>
      </w:r>
      <w:r>
        <w:rPr>
          <w:rFonts w:hint="eastAsia" w:ascii="仿宋" w:hAnsi="仿宋" w:eastAsia="仿宋"/>
          <w:sz w:val="24"/>
          <w:highlight w:val="yellow"/>
        </w:rPr>
        <w:t>资金支付的方式、时间和条件</w:t>
      </w:r>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1" w:name="_Toc19304"/>
      <w:bookmarkStart w:id="442" w:name="_Toc32071"/>
      <w:bookmarkStart w:id="443" w:name="_Toc2846"/>
      <w:r>
        <w:rPr>
          <w:rFonts w:hint="eastAsia" w:ascii="仿宋" w:hAnsi="仿宋" w:eastAsia="仿宋"/>
          <w:b/>
          <w:sz w:val="24"/>
        </w:rPr>
        <w:t>1.5 货物交付期限、地点和方式</w:t>
      </w:r>
      <w:bookmarkEnd w:id="441"/>
      <w:bookmarkEnd w:id="442"/>
      <w:bookmarkEnd w:id="443"/>
    </w:p>
    <w:p>
      <w:pPr>
        <w:spacing w:line="560" w:lineRule="exact"/>
        <w:ind w:firstLine="480" w:firstLineChars="200"/>
        <w:rPr>
          <w:rFonts w:ascii="仿宋" w:hAnsi="仿宋" w:eastAsia="仿宋"/>
          <w:sz w:val="24"/>
          <w:u w:val="single"/>
        </w:rPr>
      </w:pPr>
      <w:r>
        <w:rPr>
          <w:rFonts w:hint="eastAsia" w:ascii="仿宋" w:hAnsi="仿宋" w:eastAsia="仿宋"/>
          <w:sz w:val="24"/>
        </w:rPr>
        <w:t>1.5.1 交付期限：；</w:t>
      </w:r>
    </w:p>
    <w:p>
      <w:pPr>
        <w:spacing w:line="560" w:lineRule="exact"/>
        <w:ind w:firstLine="480" w:firstLineChars="200"/>
        <w:rPr>
          <w:rFonts w:ascii="仿宋" w:hAnsi="仿宋" w:eastAsia="仿宋"/>
          <w:sz w:val="24"/>
        </w:rPr>
      </w:pPr>
      <w:r>
        <w:rPr>
          <w:rFonts w:hint="eastAsia" w:ascii="仿宋" w:hAnsi="仿宋" w:eastAsia="仿宋"/>
          <w:sz w:val="24"/>
        </w:rPr>
        <w:t>1.5.2 交付地点：；</w:t>
      </w:r>
    </w:p>
    <w:p>
      <w:pPr>
        <w:spacing w:line="560" w:lineRule="exact"/>
        <w:ind w:firstLine="480" w:firstLineChars="200"/>
        <w:rPr>
          <w:rFonts w:ascii="仿宋" w:hAnsi="仿宋" w:eastAsia="仿宋"/>
          <w:sz w:val="24"/>
        </w:rPr>
      </w:pPr>
      <w:r>
        <w:rPr>
          <w:rFonts w:hint="eastAsia" w:ascii="仿宋" w:hAnsi="仿宋" w:eastAsia="仿宋"/>
          <w:sz w:val="24"/>
        </w:rPr>
        <w:t>1.5.3 交付方式：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4" w:name="_Toc19554"/>
      <w:bookmarkStart w:id="445" w:name="_Toc21423"/>
      <w:bookmarkStart w:id="446" w:name="_Toc27250"/>
      <w:r>
        <w:rPr>
          <w:rFonts w:hint="eastAsia" w:ascii="仿宋" w:hAnsi="仿宋" w:eastAsia="仿宋"/>
          <w:b/>
          <w:sz w:val="24"/>
        </w:rPr>
        <w:t>1.6 违约责任</w:t>
      </w:r>
      <w:bookmarkEnd w:id="444"/>
      <w:bookmarkEnd w:id="445"/>
      <w:bookmarkEnd w:id="446"/>
    </w:p>
    <w:p>
      <w:pPr>
        <w:spacing w:line="560" w:lineRule="exact"/>
        <w:ind w:firstLine="480" w:firstLineChars="200"/>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b/>
          <w:sz w:val="24"/>
        </w:rPr>
      </w:pPr>
      <w:bookmarkStart w:id="447" w:name="_Toc15583"/>
      <w:bookmarkStart w:id="448" w:name="_Toc28375"/>
      <w:bookmarkStart w:id="449" w:name="_Toc16021"/>
      <w:r>
        <w:rPr>
          <w:rFonts w:hint="eastAsia" w:ascii="仿宋" w:hAnsi="仿宋" w:eastAsia="仿宋"/>
          <w:b/>
          <w:sz w:val="24"/>
        </w:rPr>
        <w:t>1.7 合同争议的解决</w:t>
      </w:r>
      <w:bookmarkEnd w:id="447"/>
      <w:bookmarkEnd w:id="448"/>
      <w:bookmarkEnd w:id="449"/>
    </w:p>
    <w:p>
      <w:pPr>
        <w:spacing w:line="560" w:lineRule="exact"/>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 条款规定的方式解决：</w:t>
      </w:r>
    </w:p>
    <w:p>
      <w:pPr>
        <w:spacing w:line="560" w:lineRule="exact"/>
        <w:ind w:firstLine="480" w:firstLineChars="200"/>
        <w:rPr>
          <w:rFonts w:ascii="仿宋" w:hAnsi="仿宋" w:eastAsia="仿宋"/>
          <w:sz w:val="24"/>
        </w:rPr>
      </w:pPr>
      <w:r>
        <w:rPr>
          <w:rFonts w:hint="eastAsia" w:ascii="仿宋" w:hAnsi="仿宋" w:eastAsia="仿宋"/>
          <w:sz w:val="24"/>
        </w:rPr>
        <w:t>1.7.1 将争议提交仲裁委员会依申请仲裁时其现行有效的仲裁规则裁决；</w:t>
      </w:r>
    </w:p>
    <w:p>
      <w:pPr>
        <w:spacing w:line="560" w:lineRule="exact"/>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50" w:name="_Toc15322"/>
      <w:bookmarkStart w:id="451" w:name="_Toc11173"/>
      <w:bookmarkStart w:id="452" w:name="_Toc7245"/>
      <w:r>
        <w:rPr>
          <w:rFonts w:hint="eastAsia" w:ascii="仿宋" w:hAnsi="仿宋" w:eastAsia="仿宋"/>
          <w:b/>
          <w:sz w:val="24"/>
        </w:rPr>
        <w:t>1.8 合同生效</w:t>
      </w:r>
      <w:bookmarkEnd w:id="450"/>
      <w:bookmarkEnd w:id="451"/>
      <w:bookmarkEnd w:id="452"/>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                                    传真:</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pPr>
        <w:autoSpaceDE w:val="0"/>
        <w:autoSpaceDN w:val="0"/>
        <w:spacing w:line="560" w:lineRule="exact"/>
        <w:rPr>
          <w:rFonts w:ascii="仿宋" w:hAnsi="仿宋" w:eastAsia="仿宋"/>
          <w:sz w:val="24"/>
        </w:rPr>
      </w:pPr>
      <w:r>
        <w:rPr>
          <w:rFonts w:hint="eastAsia" w:ascii="仿宋" w:hAnsi="仿宋" w:eastAsia="仿宋"/>
          <w:sz w:val="24"/>
        </w:rPr>
        <w:t xml:space="preserve">开户银行：                               开户银行： </w:t>
      </w:r>
    </w:p>
    <w:p>
      <w:pPr>
        <w:autoSpaceDE w:val="0"/>
        <w:autoSpaceDN w:val="0"/>
        <w:spacing w:line="560" w:lineRule="exact"/>
        <w:rPr>
          <w:rFonts w:ascii="仿宋" w:hAnsi="仿宋" w:eastAsia="仿宋"/>
          <w:sz w:val="24"/>
        </w:rPr>
      </w:pPr>
      <w:r>
        <w:rPr>
          <w:rFonts w:hint="eastAsia" w:ascii="仿宋" w:hAnsi="仿宋" w:eastAsia="仿宋"/>
          <w:sz w:val="24"/>
        </w:rPr>
        <w:t xml:space="preserve">开户名称：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53" w:name="_Toc331685783"/>
    </w:p>
    <w:p>
      <w:pPr>
        <w:widowControl/>
        <w:spacing w:line="560" w:lineRule="exact"/>
        <w:jc w:val="left"/>
        <w:rPr>
          <w:rFonts w:ascii="仿宋" w:hAnsi="仿宋" w:eastAsia="仿宋"/>
          <w:b/>
          <w:sz w:val="24"/>
        </w:rPr>
      </w:pPr>
    </w:p>
    <w:p>
      <w:pPr>
        <w:widowControl/>
        <w:spacing w:line="560" w:lineRule="exact"/>
        <w:jc w:val="left"/>
        <w:rPr>
          <w:rFonts w:ascii="仿宋" w:hAnsi="仿宋" w:eastAsia="仿宋"/>
          <w:b/>
          <w:kern w:val="0"/>
          <w:sz w:val="24"/>
        </w:rPr>
      </w:pPr>
    </w:p>
    <w:p>
      <w:pPr>
        <w:pStyle w:val="300"/>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53"/>
    </w:p>
    <w:p>
      <w:pPr>
        <w:spacing w:line="560" w:lineRule="exact"/>
        <w:ind w:firstLine="482" w:firstLineChars="200"/>
        <w:outlineLvl w:val="0"/>
        <w:rPr>
          <w:rFonts w:ascii="仿宋" w:hAnsi="仿宋" w:eastAsia="仿宋"/>
          <w:b/>
          <w:sz w:val="24"/>
        </w:rPr>
      </w:pPr>
      <w:bookmarkStart w:id="454" w:name="_Toc19614"/>
      <w:bookmarkStart w:id="455" w:name="_Ref467379094"/>
      <w:bookmarkStart w:id="456" w:name="_Ref467379205"/>
      <w:bookmarkStart w:id="457" w:name="_Ref467379214"/>
      <w:bookmarkStart w:id="458" w:name="_Ref467379195"/>
      <w:bookmarkStart w:id="459" w:name="_Ref467378499"/>
      <w:bookmarkStart w:id="460" w:name="_Ref467379101"/>
      <w:bookmarkStart w:id="461" w:name="_Toc259093669"/>
      <w:bookmarkStart w:id="462" w:name="_Toc16917"/>
      <w:bookmarkStart w:id="463" w:name="_Toc487900349"/>
      <w:bookmarkStart w:id="464" w:name="_Toc279701240"/>
      <w:bookmarkStart w:id="465" w:name="_Ref467379225"/>
      <w:bookmarkStart w:id="466" w:name="_Ref467379109"/>
      <w:bookmarkStart w:id="467" w:name="_Toc28763"/>
      <w:bookmarkStart w:id="468" w:name="_Ref467378463"/>
      <w:bookmarkStart w:id="469" w:name="_Ref467378404"/>
      <w:r>
        <w:rPr>
          <w:rFonts w:hint="eastAsia" w:ascii="仿宋" w:hAnsi="仿宋" w:eastAsia="仿宋"/>
          <w:b/>
          <w:sz w:val="24"/>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70" w:name="_Ref467378840"/>
      <w:r>
        <w:rPr>
          <w:rFonts w:hint="eastAsia" w:ascii="仿宋" w:hAnsi="仿宋" w:eastAsia="仿宋"/>
          <w:sz w:val="24"/>
        </w:rPr>
        <w:t>2.1.4 “甲方”系指与中标供应商签署合同的采购人</w:t>
      </w:r>
      <w:bookmarkEnd w:id="47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71" w:name="_Ref467379400"/>
      <w:r>
        <w:rPr>
          <w:rFonts w:hint="eastAsia" w:ascii="仿宋" w:hAnsi="仿宋" w:eastAsia="仿宋"/>
          <w:sz w:val="24"/>
        </w:rPr>
        <w:t>2.1.5 “乙方”系指根据合同约定交付货物的中标供应商</w:t>
      </w:r>
      <w:bookmarkEnd w:id="47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72" w:name="_Ref467379436"/>
      <w:r>
        <w:rPr>
          <w:rFonts w:hint="eastAsia" w:ascii="仿宋" w:hAnsi="仿宋" w:eastAsia="仿宋"/>
          <w:sz w:val="24"/>
        </w:rPr>
        <w:t>2.1.6 “现场”系指合同约定货物将要运至或者安装的地点。</w:t>
      </w:r>
      <w:bookmarkEnd w:id="472"/>
    </w:p>
    <w:p>
      <w:pPr>
        <w:spacing w:line="560" w:lineRule="exact"/>
        <w:ind w:firstLine="482" w:firstLineChars="200"/>
        <w:outlineLvl w:val="0"/>
        <w:rPr>
          <w:rFonts w:ascii="仿宋" w:hAnsi="仿宋" w:eastAsia="仿宋"/>
          <w:b/>
          <w:sz w:val="24"/>
        </w:rPr>
      </w:pPr>
      <w:bookmarkStart w:id="473" w:name="_Toc27635"/>
      <w:bookmarkStart w:id="474" w:name="_Toc259093670"/>
      <w:bookmarkStart w:id="475" w:name="_Toc487900350"/>
      <w:bookmarkStart w:id="476" w:name="_Toc13336"/>
      <w:bookmarkStart w:id="477" w:name="_Toc32504"/>
      <w:bookmarkStart w:id="478" w:name="_Toc279701241"/>
      <w:r>
        <w:rPr>
          <w:rFonts w:hint="eastAsia" w:ascii="仿宋" w:hAnsi="仿宋" w:eastAsia="仿宋"/>
          <w:b/>
          <w:sz w:val="24"/>
        </w:rPr>
        <w:t>2.2 技术规范</w:t>
      </w:r>
      <w:bookmarkEnd w:id="473"/>
      <w:bookmarkEnd w:id="474"/>
      <w:bookmarkEnd w:id="475"/>
      <w:bookmarkEnd w:id="476"/>
      <w:bookmarkEnd w:id="477"/>
      <w:bookmarkEnd w:id="47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79" w:name="_Toc27853"/>
      <w:bookmarkStart w:id="480" w:name="_Toc259093671"/>
      <w:bookmarkStart w:id="481" w:name="_Toc279701242"/>
      <w:bookmarkStart w:id="482" w:name="_Toc9829"/>
      <w:bookmarkStart w:id="483" w:name="_Toc487900351"/>
      <w:bookmarkStart w:id="484" w:name="_Toc31634"/>
      <w:r>
        <w:rPr>
          <w:rFonts w:hint="eastAsia" w:ascii="仿宋" w:hAnsi="仿宋" w:eastAsia="仿宋"/>
          <w:b/>
          <w:sz w:val="24"/>
        </w:rPr>
        <w:t>2.3 知识产权</w:t>
      </w:r>
      <w:bookmarkEnd w:id="479"/>
      <w:bookmarkEnd w:id="480"/>
      <w:bookmarkEnd w:id="481"/>
      <w:bookmarkEnd w:id="482"/>
      <w:bookmarkEnd w:id="483"/>
      <w:bookmarkEnd w:id="484"/>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5" w:name="_Toc4194"/>
      <w:bookmarkStart w:id="486" w:name="_Toc11932"/>
      <w:bookmarkStart w:id="487" w:name="_Toc29149"/>
      <w:r>
        <w:rPr>
          <w:rFonts w:hint="eastAsia" w:ascii="仿宋" w:hAnsi="仿宋" w:eastAsia="仿宋"/>
          <w:b/>
          <w:sz w:val="24"/>
        </w:rPr>
        <w:t>2.4 包装和装运</w:t>
      </w:r>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2.4.2</w:t>
      </w:r>
      <w:r>
        <w:rPr>
          <w:rFonts w:hint="eastAsia" w:ascii="仿宋" w:hAnsi="仿宋" w:eastAsia="仿宋"/>
          <w:sz w:val="24"/>
          <w:highlight w:val="yellow"/>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8" w:name="_Ref467378541"/>
      <w:bookmarkStart w:id="489" w:name="_Ref467379542"/>
      <w:bookmarkStart w:id="490" w:name="_Ref467379527"/>
      <w:bookmarkStart w:id="491" w:name="_Toc487900354"/>
      <w:bookmarkStart w:id="492" w:name="_Toc279701245"/>
      <w:bookmarkStart w:id="493" w:name="_Ref467379536"/>
      <w:bookmarkStart w:id="494" w:name="_Toc259093674"/>
      <w:bookmarkStart w:id="495" w:name="_Ref467378591"/>
      <w:bookmarkStart w:id="496" w:name="_Toc19074"/>
      <w:bookmarkStart w:id="497" w:name="_Toc26182"/>
      <w:bookmarkStart w:id="498" w:name="_Toc30272"/>
      <w:r>
        <w:rPr>
          <w:rFonts w:hint="eastAsia" w:ascii="仿宋" w:hAnsi="仿宋" w:eastAsia="仿宋"/>
          <w:b/>
          <w:sz w:val="24"/>
        </w:rPr>
        <w:t>2.</w:t>
      </w:r>
      <w:bookmarkEnd w:id="488"/>
      <w:bookmarkEnd w:id="489"/>
      <w:bookmarkEnd w:id="490"/>
      <w:bookmarkEnd w:id="491"/>
      <w:bookmarkEnd w:id="492"/>
      <w:bookmarkEnd w:id="493"/>
      <w:bookmarkEnd w:id="494"/>
      <w:bookmarkEnd w:id="495"/>
      <w:r>
        <w:rPr>
          <w:rFonts w:hint="eastAsia" w:ascii="仿宋" w:hAnsi="仿宋" w:eastAsia="仿宋"/>
          <w:b/>
          <w:sz w:val="24"/>
        </w:rPr>
        <w:t>5 履约检查和问题反馈</w:t>
      </w:r>
      <w:bookmarkEnd w:id="496"/>
      <w:bookmarkEnd w:id="497"/>
      <w:bookmarkEnd w:id="498"/>
    </w:p>
    <w:p>
      <w:pPr>
        <w:spacing w:line="560" w:lineRule="exact"/>
        <w:ind w:firstLine="480" w:firstLineChars="200"/>
        <w:rPr>
          <w:rFonts w:ascii="仿宋" w:hAnsi="仿宋" w:eastAsia="仿宋"/>
          <w:sz w:val="24"/>
        </w:rPr>
      </w:pPr>
      <w:bookmarkStart w:id="499" w:name="_Ref467379657"/>
      <w:r>
        <w:rPr>
          <w:rFonts w:hint="eastAsia" w:ascii="仿宋" w:hAnsi="仿宋" w:eastAsia="仿宋"/>
          <w:sz w:val="24"/>
        </w:rPr>
        <w:t>2.5.1</w:t>
      </w:r>
      <w:bookmarkEnd w:id="499"/>
      <w:bookmarkStart w:id="500" w:name="_Toc186431854"/>
      <w:bookmarkStart w:id="501" w:name="_Toc279701247"/>
      <w:bookmarkStart w:id="502" w:name="_Toc487900357"/>
      <w:bookmarkStart w:id="503" w:name="_Ref467379793"/>
      <w:bookmarkStart w:id="504" w:name="_Ref467379807"/>
      <w:bookmarkStart w:id="505" w:name="_Toc259093676"/>
      <w:r>
        <w:rPr>
          <w:rFonts w:hint="eastAsia" w:ascii="仿宋" w:hAnsi="仿宋" w:eastAsia="仿宋"/>
          <w:sz w:val="24"/>
        </w:rPr>
        <w:t>甲方有权在</w:t>
      </w:r>
      <w:r>
        <w:rPr>
          <w:rFonts w:hint="eastAsia" w:ascii="仿宋" w:hAnsi="仿宋" w:eastAsia="仿宋"/>
          <w:sz w:val="24"/>
          <w:highlight w:val="yellow"/>
        </w:rPr>
        <w:t>其认为必要时</w:t>
      </w:r>
      <w:r>
        <w:rPr>
          <w:rFonts w:hint="eastAsia" w:ascii="仿宋" w:hAnsi="仿宋" w:eastAsia="仿宋"/>
          <w:sz w:val="24"/>
        </w:rPr>
        <w:t>，对乙方是否能够按照合同约定交付货物进行履约检查，以确保乙方所交付的货物能够依约满足甲方之项目需求，但不得因履约检查妨碍乙方的正常工作，乙方应予积极配合；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500"/>
      <w:bookmarkStart w:id="506" w:name="_Toc186431855"/>
      <w:r>
        <w:rPr>
          <w:rFonts w:hint="eastAsia" w:ascii="仿宋" w:hAnsi="仿宋" w:eastAsia="仿宋"/>
          <w:sz w:val="24"/>
        </w:rPr>
        <w:t>。</w:t>
      </w:r>
    </w:p>
    <w:bookmarkEnd w:id="501"/>
    <w:bookmarkEnd w:id="502"/>
    <w:bookmarkEnd w:id="503"/>
    <w:bookmarkEnd w:id="504"/>
    <w:bookmarkEnd w:id="505"/>
    <w:bookmarkEnd w:id="506"/>
    <w:p>
      <w:pPr>
        <w:spacing w:line="560" w:lineRule="exact"/>
        <w:ind w:firstLine="482" w:firstLineChars="200"/>
        <w:outlineLvl w:val="0"/>
        <w:rPr>
          <w:rFonts w:ascii="仿宋" w:hAnsi="仿宋" w:eastAsia="仿宋"/>
          <w:b/>
          <w:sz w:val="24"/>
        </w:rPr>
      </w:pPr>
      <w:bookmarkStart w:id="507" w:name="_Ref467379923"/>
      <w:bookmarkStart w:id="508" w:name="_Ref467379863"/>
      <w:bookmarkStart w:id="509" w:name="_Ref467379852"/>
      <w:bookmarkStart w:id="510" w:name="_Toc259093677"/>
      <w:bookmarkStart w:id="511" w:name="_Toc487900358"/>
      <w:bookmarkStart w:id="512" w:name="_Toc279701248"/>
      <w:bookmarkStart w:id="513" w:name="_Toc16110"/>
      <w:bookmarkStart w:id="514" w:name="_Toc3225"/>
      <w:bookmarkStart w:id="515" w:name="_Toc774"/>
      <w:r>
        <w:rPr>
          <w:rFonts w:hint="eastAsia" w:ascii="仿宋" w:hAnsi="仿宋" w:eastAsia="仿宋"/>
          <w:b/>
          <w:sz w:val="24"/>
        </w:rPr>
        <w:t>2.6 技术资料</w:t>
      </w:r>
      <w:bookmarkEnd w:id="507"/>
      <w:bookmarkEnd w:id="508"/>
      <w:bookmarkEnd w:id="509"/>
      <w:bookmarkEnd w:id="510"/>
      <w:bookmarkEnd w:id="511"/>
      <w:bookmarkEnd w:id="512"/>
      <w:r>
        <w:rPr>
          <w:rFonts w:hint="eastAsia" w:ascii="仿宋" w:hAnsi="仿宋" w:eastAsia="仿宋"/>
          <w:b/>
          <w:sz w:val="24"/>
        </w:rPr>
        <w:t>和保密义务</w:t>
      </w:r>
      <w:bookmarkEnd w:id="513"/>
      <w:bookmarkEnd w:id="514"/>
      <w:bookmarkEnd w:id="515"/>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16" w:name="_Toc7860"/>
      <w:r>
        <w:rPr>
          <w:rFonts w:hint="eastAsia" w:ascii="仿宋" w:hAnsi="仿宋" w:eastAsia="仿宋"/>
          <w:b/>
          <w:sz w:val="24"/>
        </w:rPr>
        <w:t>2.7 质量保证</w:t>
      </w:r>
      <w:bookmarkEnd w:id="516"/>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17" w:name="_Toc17244"/>
      <w:bookmarkStart w:id="518" w:name="_Toc487900362"/>
      <w:bookmarkStart w:id="519" w:name="_Toc259093681"/>
      <w:bookmarkStart w:id="520" w:name="_Toc279701252"/>
      <w:r>
        <w:rPr>
          <w:rFonts w:hint="eastAsia" w:ascii="仿宋" w:hAnsi="仿宋" w:eastAsia="仿宋"/>
          <w:b/>
          <w:sz w:val="24"/>
        </w:rPr>
        <w:t>2.8 货物的风险负担</w:t>
      </w:r>
      <w:bookmarkEnd w:id="51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21" w:name="_Toc14055"/>
      <w:r>
        <w:rPr>
          <w:rFonts w:hint="eastAsia" w:ascii="仿宋" w:hAnsi="仿宋" w:eastAsia="仿宋"/>
          <w:b/>
          <w:sz w:val="24"/>
        </w:rPr>
        <w:t>2.9 延迟交货</w:t>
      </w:r>
      <w:bookmarkEnd w:id="518"/>
      <w:bookmarkEnd w:id="519"/>
      <w:bookmarkEnd w:id="520"/>
      <w:bookmarkEnd w:id="52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22" w:name="_Toc7502"/>
      <w:bookmarkStart w:id="523" w:name="_Toc259093683"/>
      <w:bookmarkStart w:id="524" w:name="_Toc487900364"/>
      <w:bookmarkStart w:id="525" w:name="_Toc279701254"/>
      <w:bookmarkStart w:id="526" w:name="_Ref467378121"/>
      <w:r>
        <w:rPr>
          <w:rFonts w:hint="eastAsia" w:ascii="仿宋" w:hAnsi="仿宋" w:eastAsia="仿宋"/>
          <w:b/>
          <w:sz w:val="24"/>
        </w:rPr>
        <w:t>2.10 合同变更</w:t>
      </w:r>
      <w:bookmarkEnd w:id="522"/>
    </w:p>
    <w:p>
      <w:pPr>
        <w:spacing w:line="560" w:lineRule="exact"/>
        <w:ind w:firstLine="480" w:firstLineChars="200"/>
        <w:rPr>
          <w:rFonts w:ascii="仿宋" w:hAnsi="仿宋" w:eastAsia="仿宋"/>
          <w:sz w:val="24"/>
        </w:rPr>
      </w:pPr>
      <w:r>
        <w:rPr>
          <w:rFonts w:hint="eastAsia" w:ascii="仿宋" w:hAnsi="仿宋" w:eastAsia="仿宋"/>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sz w:val="24"/>
        </w:rPr>
      </w:pPr>
      <w:r>
        <w:rPr>
          <w:rFonts w:hint="eastAsia" w:ascii="仿宋" w:hAnsi="仿宋" w:eastAsia="仿宋"/>
          <w:sz w:val="24"/>
        </w:rPr>
        <w:t>2.10.2 合同继续履行将损害国家利益和社会公共利益的，双方当事人应当以书面形式变更合同。有过错的一方应当承担赔偿责任，双方当事人都有过错的，各自承担相应的责任。</w:t>
      </w:r>
      <w:bookmarkStart w:id="527" w:name="_Toc487900369"/>
      <w:bookmarkStart w:id="528" w:name="_Toc259093688"/>
      <w:bookmarkStart w:id="529" w:name="_Toc279701259"/>
    </w:p>
    <w:p>
      <w:pPr>
        <w:spacing w:line="560" w:lineRule="exact"/>
        <w:ind w:firstLine="482" w:firstLineChars="200"/>
        <w:outlineLvl w:val="0"/>
        <w:rPr>
          <w:rFonts w:ascii="仿宋" w:hAnsi="仿宋" w:eastAsia="仿宋"/>
          <w:b/>
          <w:sz w:val="24"/>
        </w:rPr>
      </w:pPr>
      <w:bookmarkStart w:id="530" w:name="_Toc10366"/>
      <w:bookmarkStart w:id="531" w:name="_Toc15237"/>
      <w:bookmarkStart w:id="532" w:name="_Toc22955"/>
      <w:r>
        <w:rPr>
          <w:rFonts w:hint="eastAsia" w:ascii="仿宋" w:hAnsi="仿宋" w:eastAsia="仿宋"/>
          <w:b/>
          <w:sz w:val="24"/>
        </w:rPr>
        <w:t>2.11 合同转让</w:t>
      </w:r>
      <w:bookmarkEnd w:id="527"/>
      <w:bookmarkEnd w:id="528"/>
      <w:bookmarkEnd w:id="529"/>
      <w:r>
        <w:rPr>
          <w:rFonts w:hint="eastAsia" w:ascii="仿宋" w:hAnsi="仿宋" w:eastAsia="仿宋"/>
          <w:b/>
          <w:sz w:val="24"/>
        </w:rPr>
        <w:t>和分包</w:t>
      </w:r>
      <w:bookmarkEnd w:id="530"/>
      <w:bookmarkEnd w:id="531"/>
      <w:bookmarkEnd w:id="532"/>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highlight w:val="yellow"/>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33" w:name="_Toc16508"/>
      <w:bookmarkStart w:id="534" w:name="_Toc13566"/>
      <w:bookmarkStart w:id="535" w:name="_Toc14066"/>
      <w:r>
        <w:rPr>
          <w:rFonts w:hint="eastAsia" w:ascii="仿宋" w:hAnsi="仿宋" w:eastAsia="仿宋"/>
          <w:b/>
          <w:sz w:val="24"/>
        </w:rPr>
        <w:t>2.12 不可抗力</w:t>
      </w:r>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36" w:name="_Toc6969"/>
      <w:bookmarkStart w:id="537" w:name="_Toc279701255"/>
      <w:bookmarkStart w:id="538" w:name="_Toc487900365"/>
      <w:bookmarkStart w:id="539" w:name="_Toc30676"/>
      <w:bookmarkStart w:id="540" w:name="_Toc689"/>
      <w:bookmarkStart w:id="541" w:name="_Toc259093684"/>
      <w:r>
        <w:rPr>
          <w:rFonts w:hint="eastAsia" w:ascii="仿宋" w:hAnsi="仿宋" w:eastAsia="仿宋"/>
          <w:b/>
          <w:sz w:val="24"/>
        </w:rPr>
        <w:t>2.13 税费</w:t>
      </w:r>
      <w:bookmarkEnd w:id="536"/>
      <w:bookmarkEnd w:id="537"/>
      <w:bookmarkEnd w:id="538"/>
      <w:bookmarkEnd w:id="539"/>
      <w:bookmarkEnd w:id="540"/>
      <w:bookmarkEnd w:id="54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42" w:name="_Toc8298"/>
      <w:bookmarkStart w:id="543" w:name="_Toc259093687"/>
      <w:bookmarkStart w:id="544" w:name="_Toc279701258"/>
      <w:bookmarkStart w:id="545" w:name="_Toc7102"/>
      <w:bookmarkStart w:id="546" w:name="_Toc16959"/>
      <w:bookmarkStart w:id="547" w:name="_Toc487900368"/>
      <w:r>
        <w:rPr>
          <w:rFonts w:hint="eastAsia" w:ascii="仿宋" w:hAnsi="仿宋" w:eastAsia="仿宋"/>
          <w:b/>
          <w:sz w:val="24"/>
        </w:rPr>
        <w:t>2.14乙方破产</w:t>
      </w:r>
      <w:bookmarkEnd w:id="542"/>
      <w:bookmarkEnd w:id="543"/>
      <w:bookmarkEnd w:id="544"/>
      <w:bookmarkEnd w:id="545"/>
      <w:bookmarkEnd w:id="546"/>
      <w:bookmarkEnd w:id="54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48" w:name="_Toc29333"/>
      <w:bookmarkStart w:id="549" w:name="_Toc6134"/>
      <w:bookmarkStart w:id="550" w:name="_Toc15387"/>
      <w:r>
        <w:rPr>
          <w:rFonts w:hint="eastAsia" w:ascii="仿宋" w:hAnsi="仿宋" w:eastAsia="仿宋"/>
          <w:b/>
          <w:sz w:val="24"/>
        </w:rPr>
        <w:t>2.15 合同中止、终止</w:t>
      </w:r>
      <w:bookmarkEnd w:id="548"/>
      <w:bookmarkEnd w:id="549"/>
      <w:bookmarkEnd w:id="550"/>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51" w:name="_Toc1125"/>
      <w:bookmarkStart w:id="552" w:name="_Toc14563"/>
      <w:bookmarkStart w:id="553" w:name="_Toc6596"/>
      <w:r>
        <w:rPr>
          <w:rFonts w:hint="eastAsia" w:ascii="仿宋" w:hAnsi="仿宋" w:eastAsia="仿宋"/>
          <w:b/>
          <w:sz w:val="24"/>
        </w:rPr>
        <w:t>2.16检验和验收</w:t>
      </w:r>
      <w:bookmarkEnd w:id="551"/>
      <w:bookmarkEnd w:id="552"/>
      <w:bookmarkEnd w:id="553"/>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23"/>
    <w:bookmarkEnd w:id="524"/>
    <w:bookmarkEnd w:id="525"/>
    <w:bookmarkEnd w:id="526"/>
    <w:p>
      <w:pPr>
        <w:spacing w:line="560" w:lineRule="exact"/>
        <w:ind w:firstLine="482" w:firstLineChars="200"/>
        <w:outlineLvl w:val="0"/>
        <w:rPr>
          <w:rFonts w:ascii="仿宋" w:hAnsi="仿宋" w:eastAsia="仿宋"/>
          <w:b/>
          <w:sz w:val="24"/>
        </w:rPr>
      </w:pPr>
      <w:bookmarkStart w:id="554" w:name="_Toc279701261"/>
      <w:bookmarkStart w:id="555" w:name="_Toc487900371"/>
      <w:bookmarkStart w:id="556" w:name="_Toc259093690"/>
      <w:bookmarkStart w:id="557" w:name="_Toc19604"/>
      <w:bookmarkStart w:id="558" w:name="_Toc11284"/>
      <w:bookmarkStart w:id="559" w:name="_Toc25182"/>
      <w:r>
        <w:rPr>
          <w:rFonts w:hint="eastAsia" w:ascii="仿宋" w:hAnsi="仿宋" w:eastAsia="仿宋"/>
          <w:b/>
          <w:sz w:val="24"/>
        </w:rPr>
        <w:t>2.17 通知</w:t>
      </w:r>
      <w:bookmarkEnd w:id="554"/>
      <w:bookmarkEnd w:id="555"/>
      <w:bookmarkEnd w:id="556"/>
      <w:r>
        <w:rPr>
          <w:rFonts w:hint="eastAsia" w:ascii="仿宋" w:hAnsi="仿宋" w:eastAsia="仿宋"/>
          <w:b/>
          <w:sz w:val="24"/>
        </w:rPr>
        <w:t>和送达</w:t>
      </w:r>
      <w:bookmarkEnd w:id="557"/>
      <w:bookmarkEnd w:id="558"/>
      <w:bookmarkEnd w:id="559"/>
    </w:p>
    <w:p>
      <w:pPr>
        <w:spacing w:line="560" w:lineRule="exact"/>
        <w:ind w:firstLine="480" w:firstLineChars="200"/>
        <w:rPr>
          <w:rFonts w:ascii="仿宋" w:hAnsi="仿宋" w:eastAsia="仿宋"/>
          <w:sz w:val="24"/>
        </w:rPr>
      </w:pPr>
      <w:bookmarkStart w:id="560" w:name="_Toc3135"/>
      <w:bookmarkStart w:id="561" w:name="_Toc6698"/>
      <w:bookmarkStart w:id="562" w:name="_Toc259093691"/>
      <w:bookmarkStart w:id="563" w:name="_Toc487900372"/>
      <w:bookmarkStart w:id="564" w:name="_Toc279701262"/>
      <w:r>
        <w:rPr>
          <w:rFonts w:hint="eastAsia" w:ascii="仿宋" w:hAnsi="仿宋" w:eastAsia="仿宋"/>
          <w:sz w:val="24"/>
        </w:rPr>
        <w:t>2.17.1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560"/>
      <w:bookmarkEnd w:id="561"/>
    </w:p>
    <w:p>
      <w:pPr>
        <w:spacing w:line="560" w:lineRule="exact"/>
        <w:ind w:firstLine="480" w:firstLineChars="200"/>
        <w:rPr>
          <w:rFonts w:ascii="仿宋" w:hAnsi="仿宋" w:eastAsia="仿宋"/>
          <w:sz w:val="24"/>
        </w:rPr>
      </w:pPr>
      <w:bookmarkStart w:id="565" w:name="_Toc23294"/>
      <w:bookmarkStart w:id="566" w:name="_Toc23128"/>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pPr>
        <w:spacing w:line="560" w:lineRule="exact"/>
        <w:ind w:firstLine="482" w:firstLineChars="200"/>
        <w:outlineLvl w:val="0"/>
        <w:rPr>
          <w:rFonts w:ascii="仿宋" w:hAnsi="仿宋" w:eastAsia="仿宋"/>
          <w:b/>
          <w:sz w:val="24"/>
        </w:rPr>
      </w:pPr>
      <w:bookmarkStart w:id="567" w:name="_Toc30599"/>
      <w:bookmarkStart w:id="568" w:name="_Toc4355"/>
      <w:bookmarkStart w:id="569" w:name="_Toc18540"/>
      <w:r>
        <w:rPr>
          <w:rFonts w:hint="eastAsia" w:ascii="仿宋" w:hAnsi="仿宋" w:eastAsia="仿宋"/>
          <w:b/>
          <w:sz w:val="24"/>
        </w:rPr>
        <w:t>2.18 计量单位</w:t>
      </w:r>
      <w:bookmarkEnd w:id="562"/>
      <w:bookmarkEnd w:id="563"/>
      <w:bookmarkEnd w:id="564"/>
      <w:bookmarkEnd w:id="567"/>
      <w:bookmarkEnd w:id="568"/>
      <w:bookmarkEnd w:id="56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570" w:name="_Toc487900373"/>
      <w:bookmarkStart w:id="571" w:name="_Toc279701263"/>
      <w:bookmarkStart w:id="572" w:name="_Toc12773"/>
      <w:bookmarkStart w:id="573" w:name="_Toc18567"/>
      <w:bookmarkStart w:id="574" w:name="_Toc259093692"/>
      <w:bookmarkStart w:id="575" w:name="_Toc10330"/>
      <w:r>
        <w:rPr>
          <w:rFonts w:hint="eastAsia" w:ascii="仿宋" w:hAnsi="仿宋" w:eastAsia="仿宋"/>
          <w:b/>
          <w:sz w:val="24"/>
        </w:rPr>
        <w:t>2.19 合同使用的文字和适用的法律</w:t>
      </w:r>
      <w:bookmarkEnd w:id="570"/>
      <w:bookmarkEnd w:id="571"/>
      <w:bookmarkEnd w:id="572"/>
      <w:bookmarkEnd w:id="573"/>
      <w:bookmarkEnd w:id="574"/>
      <w:bookmarkEnd w:id="575"/>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576" w:name="_Toc12004"/>
      <w:bookmarkStart w:id="577" w:name="_Toc279701264"/>
      <w:bookmarkStart w:id="578" w:name="_Toc3148"/>
      <w:bookmarkStart w:id="579" w:name="_Toc259093693"/>
      <w:bookmarkStart w:id="580" w:name="_Toc16673"/>
      <w:bookmarkStart w:id="581" w:name="_Toc487900374"/>
      <w:r>
        <w:rPr>
          <w:rFonts w:hint="eastAsia" w:ascii="仿宋" w:hAnsi="仿宋" w:eastAsia="仿宋"/>
          <w:b/>
          <w:sz w:val="24"/>
        </w:rPr>
        <w:t>2.20 履约保证金</w:t>
      </w:r>
      <w:bookmarkEnd w:id="576"/>
      <w:bookmarkEnd w:id="577"/>
      <w:bookmarkEnd w:id="578"/>
      <w:bookmarkEnd w:id="579"/>
      <w:bookmarkEnd w:id="580"/>
    </w:p>
    <w:p>
      <w:pPr>
        <w:pStyle w:val="628"/>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5%</w:t>
      </w:r>
      <w:r>
        <w:rPr>
          <w:rFonts w:hint="eastAsia" w:ascii="仿宋" w:hAnsi="仿宋" w:eastAsia="仿宋"/>
        </w:rPr>
        <w:t>的履约保证金；</w:t>
      </w:r>
      <w:r>
        <w:rPr>
          <w:rFonts w:hint="eastAsia" w:ascii="仿宋" w:hAnsi="仿宋" w:eastAsia="仿宋"/>
          <w:highlight w:val="yellow"/>
        </w:rPr>
        <w:t>鼓励和支持乙方以银行、保险公司出具的保函形式提供履约保证。</w:t>
      </w:r>
    </w:p>
    <w:p>
      <w:pPr>
        <w:spacing w:line="560" w:lineRule="exact"/>
        <w:ind w:firstLine="480" w:firstLineChars="200"/>
        <w:rPr>
          <w:rFonts w:ascii="仿宋" w:hAnsi="仿宋" w:eastAsia="仿宋"/>
          <w:sz w:val="24"/>
        </w:rPr>
      </w:pPr>
      <w:r>
        <w:rPr>
          <w:rFonts w:hint="eastAsia" w:ascii="仿宋" w:hAnsi="仿宋" w:eastAsia="仿宋"/>
          <w:sz w:val="24"/>
        </w:rPr>
        <w:t>2.20.2  履约保证金在</w:t>
      </w:r>
      <w:r>
        <w:rPr>
          <w:rFonts w:hint="eastAsia" w:ascii="仿宋" w:hAnsi="仿宋" w:eastAsia="仿宋"/>
          <w:b/>
          <w:i/>
          <w:sz w:val="24"/>
          <w:u w:val="single"/>
        </w:rPr>
        <w:t>合同专用条款</w:t>
      </w:r>
      <w:r>
        <w:rPr>
          <w:rFonts w:hint="eastAsia" w:ascii="仿宋" w:hAnsi="仿宋" w:eastAsia="仿宋"/>
          <w:sz w:val="24"/>
        </w:rPr>
        <w:t>约定期间内或者货物质量保证期内</w:t>
      </w:r>
      <w:r>
        <w:rPr>
          <w:rFonts w:hint="eastAsia" w:ascii="仿宋" w:hAnsi="仿宋" w:eastAsia="仿宋"/>
          <w:sz w:val="24"/>
          <w:highlight w:val="yellow"/>
        </w:rPr>
        <w:t>不予退还</w:t>
      </w:r>
      <w:r>
        <w:rPr>
          <w:rFonts w:hint="eastAsia" w:ascii="仿宋" w:hAnsi="仿宋" w:eastAsia="仿宋"/>
          <w:sz w:val="24"/>
        </w:rPr>
        <w:t>或者应完全有效。乙方在前述约定期间届满或者货物质量保证期届满前能履行完合同约定义务事项的，甲方在前述约定期间届满或者货物质量保证期届满之日起个工作日内，</w:t>
      </w:r>
      <w:r>
        <w:rPr>
          <w:rFonts w:hint="eastAsia" w:ascii="仿宋" w:hAnsi="仿宋" w:eastAsia="仿宋"/>
          <w:sz w:val="24"/>
          <w:highlight w:val="yellow"/>
        </w:rPr>
        <w:t>按</w:t>
      </w:r>
      <w:r>
        <w:rPr>
          <w:rFonts w:hint="eastAsia" w:ascii="仿宋" w:hAnsi="仿宋" w:eastAsia="仿宋"/>
          <w:b/>
          <w:i/>
          <w:sz w:val="24"/>
          <w:highlight w:val="yellow"/>
          <w:u w:val="single"/>
        </w:rPr>
        <w:t>合同专用条款</w:t>
      </w:r>
      <w:r>
        <w:rPr>
          <w:rFonts w:hint="eastAsia" w:ascii="仿宋" w:hAnsi="仿宋" w:eastAsia="仿宋"/>
          <w:sz w:val="24"/>
          <w:highlight w:val="yellow"/>
        </w:rPr>
        <w:t>约定的方式</w:t>
      </w:r>
      <w:r>
        <w:rPr>
          <w:rFonts w:hint="eastAsia" w:ascii="仿宋" w:hAnsi="仿宋" w:eastAsia="仿宋"/>
          <w:sz w:val="24"/>
        </w:rPr>
        <w:t>将履约保证金退还乙方，</w:t>
      </w:r>
      <w:r>
        <w:rPr>
          <w:rFonts w:hint="eastAsia" w:ascii="仿宋" w:hAnsi="仿宋" w:eastAsia="仿宋"/>
          <w:sz w:val="24"/>
          <w:highlight w:val="yellow"/>
        </w:rPr>
        <w:t>逾期退还的，乙方可要求甲方支付违约金，违约金按每迟延退还一日的应退还而未退还金额的%计算，最高限额为本合同履约保证金的%；；</w:t>
      </w:r>
    </w:p>
    <w:p>
      <w:pPr>
        <w:spacing w:line="560" w:lineRule="exact"/>
        <w:ind w:firstLine="480" w:firstLineChars="200"/>
        <w:rPr>
          <w:rFonts w:ascii="仿宋" w:hAnsi="仿宋" w:eastAsia="仿宋"/>
          <w:sz w:val="24"/>
        </w:rPr>
      </w:pPr>
      <w:r>
        <w:rPr>
          <w:rFonts w:hint="eastAsia" w:ascii="仿宋" w:hAnsi="仿宋" w:eastAsia="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28"/>
        <w:spacing w:before="0" w:beforeAutospacing="0" w:after="0" w:afterAutospacing="0" w:line="360" w:lineRule="auto"/>
        <w:ind w:firstLine="420"/>
        <w:rPr>
          <w:rFonts w:ascii="仿宋" w:hAnsi="仿宋" w:eastAsia="仿宋" w:cs="Times New Roman"/>
        </w:rPr>
      </w:pPr>
      <w:r>
        <w:rPr>
          <w:rFonts w:hint="eastAsia" w:ascii="仿宋" w:hAnsi="仿宋" w:eastAsia="仿宋" w:cs="Times New Roman"/>
          <w:highlight w:val="yellow"/>
        </w:rPr>
        <w:t>2.21.4</w:t>
      </w:r>
      <w:r>
        <w:rPr>
          <w:rFonts w:hint="eastAsia"/>
          <w:highlight w:val="yellow"/>
        </w:rPr>
        <w:t> </w:t>
      </w:r>
      <w:r>
        <w:rPr>
          <w:rFonts w:hint="eastAsia" w:ascii="仿宋" w:hAnsi="仿宋" w:eastAsia="仿宋" w:cs="Times New Roman"/>
          <w:highlight w:val="yellow"/>
        </w:rPr>
        <w:t>甲方根据杭州市政府采购网公布的供应商履约评价情况减免履约保证金。乙方履约验收评价总分为100分的，甲方应当免收履约保证金；评价总分在90分以上的，收取履约保证金不得高于合同金额2%；评价总分在</w:t>
      </w:r>
      <w:r>
        <w:rPr>
          <w:rFonts w:hint="eastAsia" w:ascii="仿宋" w:hAnsi="仿宋" w:eastAsia="仿宋" w:cs="Times New Roman"/>
          <w:color w:val="FF0000"/>
          <w:highlight w:val="yellow"/>
        </w:rPr>
        <w:t>不满</w:t>
      </w:r>
      <w:r>
        <w:rPr>
          <w:rFonts w:hint="eastAsia" w:ascii="仿宋" w:hAnsi="仿宋" w:eastAsia="仿宋" w:cs="Times New Roman"/>
          <w:highlight w:val="yellow"/>
        </w:rPr>
        <w:t>90分或者暂无评分的，收取履约保证金不得高于合同金额5%。</w:t>
      </w:r>
    </w:p>
    <w:bookmarkEnd w:id="581"/>
    <w:p>
      <w:pPr>
        <w:spacing w:line="560" w:lineRule="exact"/>
        <w:ind w:firstLine="482" w:firstLineChars="200"/>
        <w:outlineLvl w:val="0"/>
        <w:rPr>
          <w:rFonts w:ascii="仿宋" w:hAnsi="仿宋" w:eastAsia="仿宋"/>
          <w:b/>
          <w:sz w:val="24"/>
        </w:rPr>
      </w:pPr>
      <w:bookmarkStart w:id="582" w:name="_Toc6885"/>
      <w:bookmarkStart w:id="583" w:name="_Toc19890"/>
      <w:bookmarkStart w:id="584" w:name="_Toc14001"/>
      <w:r>
        <w:rPr>
          <w:rFonts w:hint="eastAsia" w:ascii="仿宋" w:hAnsi="仿宋" w:eastAsia="仿宋"/>
          <w:b/>
          <w:sz w:val="24"/>
        </w:rPr>
        <w:t>2.21 合同份数</w:t>
      </w:r>
      <w:bookmarkEnd w:id="582"/>
      <w:bookmarkEnd w:id="583"/>
      <w:bookmarkEnd w:id="58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00"/>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85" w:name="_Toc331685784"/>
      <w:r>
        <w:rPr>
          <w:rFonts w:hint="eastAsia" w:ascii="仿宋" w:hAnsi="仿宋" w:eastAsia="仿宋"/>
          <w:b/>
          <w:szCs w:val="24"/>
        </w:rPr>
        <w:t>第三部分  合同专用条款</w:t>
      </w:r>
      <w:bookmarkEnd w:id="585"/>
    </w:p>
    <w:p>
      <w:pPr>
        <w:spacing w:line="560" w:lineRule="exact"/>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r>
              <w:rPr>
                <w:rFonts w:hint="eastAsia" w:ascii="仿宋" w:hAnsi="仿宋" w:eastAsia="仿宋"/>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bl>
    <w:p>
      <w:pPr>
        <w:pStyle w:val="2"/>
      </w:pPr>
      <w:r>
        <w:br w:type="page"/>
      </w:r>
      <w:r>
        <w:rPr>
          <w:rFonts w:hint="eastAsia"/>
        </w:rPr>
        <w:t>第六部分</w:t>
      </w:r>
      <w:bookmarkEnd w:id="427"/>
      <w:bookmarkEnd w:id="428"/>
      <w:r>
        <w:rPr>
          <w:rFonts w:hint="eastAsia"/>
        </w:rPr>
        <w:t>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（1）符合参加政府采购活动应当具备的一般条件的承诺函……………（页码）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（2）落实政府采购政策需满足的资格要求………………………………（页码）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（3）本项目的特定资格要求………………………………………………（页码）</w:t>
      </w:r>
    </w:p>
    <w:p>
      <w:pPr>
        <w:snapToGrid w:val="0"/>
        <w:spacing w:line="360" w:lineRule="auto"/>
        <w:rPr>
          <w:rFonts w:ascii="仿宋" w:hAnsi="仿宋" w:eastAsia="仿宋" w:cs="仿宋_GB2312"/>
          <w:color w:val="000000"/>
          <w:sz w:val="36"/>
          <w:szCs w:val="36"/>
        </w:rPr>
      </w:pPr>
    </w:p>
    <w:p>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我方参与XXX采购项目【招标编号：</w:t>
      </w:r>
      <w:r>
        <w:rPr>
          <w:rFonts w:hint="eastAsia" w:ascii="仿宋_GB2312" w:hAnsi="仿宋" w:eastAsia="仿宋_GB2312"/>
          <w:sz w:val="24"/>
        </w:rPr>
        <w:t>XXX</w:t>
      </w:r>
      <w:r>
        <w:rPr>
          <w:rFonts w:hint="eastAsia" w:ascii="仿宋_GB2312" w:hAnsi="仿宋" w:eastAsia="仿宋_GB2312" w:cs="仿宋_GB2312"/>
          <w:sz w:val="24"/>
        </w:rPr>
        <w:t>】政府采购活动，郑重承诺：</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rPr>
          <w:rFonts w:ascii="仿宋_GB2312" w:hAnsi="仿宋" w:eastAsia="仿宋_GB2312"/>
          <w:sz w:val="24"/>
        </w:rPr>
      </w:pPr>
      <w:r>
        <w:rPr>
          <w:rFonts w:hint="eastAsia" w:ascii="仿宋_GB2312" w:hAnsi="仿宋" w:eastAsia="仿宋_GB2312"/>
          <w:sz w:val="24"/>
        </w:rPr>
        <w:t>（5）参加政府采购活动前三年内，在经营活动中没有重大违法记录；</w:t>
      </w:r>
    </w:p>
    <w:p>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yellow"/>
        </w:rPr>
      </w:pPr>
      <w:r>
        <w:rPr>
          <w:rFonts w:hint="eastAsia" w:ascii="仿宋_GB2312" w:hAnsi="仿宋" w:eastAsia="仿宋_GB2312" w:cs="仿宋_GB2312"/>
          <w:kern w:val="0"/>
          <w:sz w:val="24"/>
          <w:highlight w:val="yellow"/>
          <w:lang w:val="zh-CN"/>
        </w:rPr>
        <w:t>投标人名称(电子签章)：</w:t>
      </w:r>
    </w:p>
    <w:p>
      <w:pPr>
        <w:snapToGrid w:val="0"/>
        <w:spacing w:line="360" w:lineRule="auto"/>
        <w:rPr>
          <w:rFonts w:ascii="仿宋_GB2312" w:hAnsi="仿宋" w:eastAsia="仿宋_GB2312" w:cs="仿宋_GB2312"/>
          <w:kern w:val="0"/>
          <w:sz w:val="24"/>
          <w:highlight w:val="yellow"/>
        </w:rPr>
      </w:pPr>
      <w:r>
        <w:rPr>
          <w:rFonts w:hint="eastAsia" w:ascii="仿宋_GB2312" w:hAnsi="仿宋" w:eastAsia="仿宋_GB2312" w:cs="仿宋_GB2312"/>
          <w:kern w:val="0"/>
          <w:sz w:val="24"/>
          <w:highlight w:val="yellow"/>
          <w:lang w:val="zh-CN"/>
        </w:rPr>
        <w:t>日期</w:t>
      </w:r>
      <w:r>
        <w:rPr>
          <w:rFonts w:hint="eastAsia" w:ascii="仿宋_GB2312" w:hAnsi="仿宋" w:eastAsia="仿宋_GB2312" w:cs="仿宋_GB2312"/>
          <w:kern w:val="0"/>
          <w:sz w:val="24"/>
          <w:highlight w:val="yellow"/>
        </w:rPr>
        <w:t xml:space="preserve">：  年  </w:t>
      </w:r>
      <w:r>
        <w:rPr>
          <w:rFonts w:hint="eastAsia" w:ascii="仿宋_GB2312" w:hAnsi="仿宋" w:eastAsia="仿宋_GB2312" w:cs="仿宋_GB2312"/>
          <w:kern w:val="0"/>
          <w:sz w:val="24"/>
          <w:highlight w:val="yellow"/>
          <w:lang w:val="zh-CN"/>
        </w:rPr>
        <w:t>月日</w:t>
      </w:r>
    </w:p>
    <w:p>
      <w:pPr>
        <w:spacing w:line="360" w:lineRule="auto"/>
        <w:jc w:val="center"/>
        <w:rPr>
          <w:rFonts w:ascii="仿宋" w:hAnsi="仿宋" w:eastAsia="仿宋" w:cs="仿宋_GB2312"/>
          <w:b/>
          <w:color w:val="000000"/>
          <w:sz w:val="30"/>
          <w:szCs w:val="30"/>
        </w:rPr>
      </w:pPr>
    </w:p>
    <w:p>
      <w:pPr>
        <w:spacing w:line="360" w:lineRule="auto"/>
        <w:jc w:val="center"/>
        <w:rPr>
          <w:rFonts w:ascii="仿宋" w:hAnsi="仿宋" w:eastAsia="仿宋" w:cs="仿宋_GB2312"/>
          <w:b/>
          <w:color w:val="000000"/>
          <w:sz w:val="30"/>
          <w:szCs w:val="30"/>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highlight w:val="yellow"/>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落实政府采购政策需满足的资格要求选择提供相应的材料；未要求的，无需提供，本项目采用货物、服务、工程的分类按前附表要求</w:t>
      </w:r>
      <w:r>
        <w:rPr>
          <w:rFonts w:hint="eastAsia" w:ascii="仿宋_GB2312" w:hAnsi="仿宋" w:eastAsia="仿宋_GB2312" w:cs="仿宋_GB2312"/>
          <w:sz w:val="24"/>
        </w:rPr>
        <w:t>）</w:t>
      </w:r>
    </w:p>
    <w:p>
      <w:pPr>
        <w:pStyle w:val="502"/>
        <w:numPr>
          <w:ilvl w:val="0"/>
          <w:numId w:val="9"/>
        </w:numPr>
        <w:snapToGrid w:val="0"/>
        <w:spacing w:before="50" w:after="50"/>
        <w:ind w:firstLineChars="0"/>
        <w:jc w:val="center"/>
        <w:rPr>
          <w:rFonts w:ascii="仿宋_GB2312" w:hAnsi="仿宋" w:eastAsia="仿宋_GB2312" w:cs="仿宋_GB2312"/>
          <w:b/>
        </w:rPr>
      </w:pPr>
      <w:r>
        <w:rPr>
          <w:rFonts w:hint="eastAsia" w:ascii="仿宋_GB2312" w:hAnsi="仿宋" w:eastAsia="仿宋_GB2312" w:cs="仿宋_GB2312"/>
          <w:b/>
        </w:rPr>
        <w:t>专门面向中小企业，货物全部由符合政策要求的中小企业（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）制造或者服务全部由符合政策要求的中小企业（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 xml:space="preserve">）承接的，提供相应的中小企业声明函。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highlight w:val="yellow"/>
        </w:rPr>
      </w:pP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kern w:val="0"/>
          <w:sz w:val="24"/>
          <w:highlight w:val="yellow"/>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sz w:val="24"/>
          <w:highlight w:val="yellow"/>
        </w:rPr>
        <w:t>中小企业合同金额达到%，小微企业合同金额达到%</w:t>
      </w:r>
      <w:r>
        <w:rPr>
          <w:rFonts w:hint="eastAsia" w:ascii="仿宋_GB2312" w:hAnsi="仿宋" w:eastAsia="仿宋_GB2312" w:cs="仿宋_GB2312"/>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yellow"/>
        </w:rPr>
      </w:pPr>
    </w:p>
    <w:p>
      <w:pPr>
        <w:snapToGrid w:val="0"/>
        <w:spacing w:line="360" w:lineRule="auto"/>
        <w:ind w:right="480"/>
        <w:rPr>
          <w:rFonts w:ascii="仿宋_GB2312" w:hAnsi="仿宋" w:eastAsia="仿宋_GB2312" w:cs="仿宋_GB2312"/>
          <w:b/>
          <w:kern w:val="0"/>
          <w:sz w:val="32"/>
          <w:szCs w:val="32"/>
        </w:rPr>
        <w:sectPr>
          <w:headerReference r:id="rId6" w:type="first"/>
          <w:footerReference r:id="rId8" w:type="first"/>
          <w:headerReference r:id="rId5" w:type="default"/>
          <w:footerReference r:id="rId7" w:type="default"/>
          <w:pgSz w:w="11906" w:h="16838"/>
          <w:pgMar w:top="1440" w:right="1800" w:bottom="1440" w:left="1800" w:header="851" w:footer="992" w:gutter="0"/>
          <w:cols w:space="720" w:num="1"/>
          <w:titlePg/>
          <w:docGrid w:linePitch="312" w:charSpace="0"/>
        </w:sectPr>
      </w:pPr>
    </w:p>
    <w:p/>
    <w:p>
      <w:pPr>
        <w:spacing w:line="360" w:lineRule="auto"/>
        <w:ind w:firstLine="482" w:firstLineChars="200"/>
        <w:rPr>
          <w:rFonts w:ascii="仿宋" w:hAnsi="仿宋" w:eastAsia="仿宋"/>
          <w:sz w:val="24"/>
        </w:rPr>
      </w:pPr>
      <w:r>
        <w:rPr>
          <w:rFonts w:hint="eastAsia" w:ascii="仿宋_GB2312" w:hAnsi="仿宋" w:eastAsia="仿宋_GB2312" w:cs="仿宋_GB2312"/>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highlight w:val="yellow"/>
        </w:rPr>
        <w:t>中小企业合同金额达到%，小微企业合同金额达到%</w:t>
      </w:r>
      <w:r>
        <w:rPr>
          <w:rFonts w:hint="eastAsia" w:ascii="仿宋_GB2312" w:hAnsi="仿宋" w:eastAsia="仿宋_GB2312" w:cs="仿宋_GB2312"/>
          <w:kern w:val="0"/>
          <w:sz w:val="24"/>
          <w:lang w:val="zh-CN"/>
        </w:rPr>
        <w:t xml:space="preserve">  。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_GB2312"/>
          <w:bCs/>
        </w:rPr>
      </w:pPr>
    </w:p>
    <w:p>
      <w:pPr>
        <w:rPr>
          <w:highlight w:val="yellow"/>
        </w:rPr>
      </w:pPr>
    </w:p>
    <w:p>
      <w:pPr>
        <w:rPr>
          <w:rFonts w:cs="仿宋_GB2312"/>
          <w:bCs/>
        </w:rPr>
      </w:pPr>
    </w:p>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highlight w:val="yellow"/>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502"/>
        <w:snapToGrid w:val="0"/>
        <w:spacing w:before="50" w:after="50"/>
        <w:ind w:left="360" w:firstLine="0" w:firstLineChars="0"/>
        <w:rPr>
          <w:rFonts w:ascii="仿宋_GB2312" w:hAnsi="仿宋" w:eastAsia="仿宋_GB2312" w:cs="仿宋_GB2312"/>
          <w:b/>
        </w:rPr>
      </w:pPr>
    </w:p>
    <w:p>
      <w:pPr>
        <w:spacing w:line="360" w:lineRule="auto"/>
        <w:jc w:val="center"/>
        <w:rPr>
          <w:rFonts w:ascii="仿宋" w:hAnsi="仿宋" w:eastAsia="仿宋" w:cs="仿宋_GB2312"/>
          <w:b/>
          <w:color w:val="000000"/>
          <w:sz w:val="28"/>
          <w:szCs w:val="32"/>
        </w:rPr>
      </w:pPr>
    </w:p>
    <w:p>
      <w:pPr>
        <w:snapToGrid w:val="0"/>
        <w:spacing w:line="360" w:lineRule="auto"/>
        <w:ind w:firstLine="2891" w:firstLineChars="900"/>
        <w:rPr>
          <w:rFonts w:ascii="仿宋" w:hAnsi="仿宋" w:eastAsia="仿宋" w:cs="仿宋_GB2312"/>
          <w:b/>
          <w:color w:val="000000"/>
          <w:kern w:val="0"/>
          <w:sz w:val="36"/>
          <w:szCs w:val="36"/>
        </w:rPr>
      </w:pPr>
      <w:r>
        <w:rPr>
          <w:rFonts w:hint="eastAsia" w:ascii="仿宋" w:hAnsi="仿宋" w:eastAsia="仿宋" w:cs="仿宋_GB2312"/>
          <w:b/>
          <w:bCs/>
          <w:color w:val="000000"/>
          <w:sz w:val="32"/>
          <w:szCs w:val="32"/>
        </w:rPr>
        <w:br w:type="page"/>
      </w: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（1）开标一览表（报价表）………………………………………………………（页码）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720" w:num="1"/>
          <w:titlePg/>
          <w:docGrid w:linePitch="312" w:charSpace="0"/>
        </w:sect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二、投标(开标)一览表</w:t>
      </w:r>
    </w:p>
    <w:p>
      <w:pPr>
        <w:snapToGrid w:val="0"/>
        <w:spacing w:line="360" w:lineRule="auto"/>
        <w:rPr>
          <w:rFonts w:ascii="仿宋" w:hAnsi="仿宋" w:eastAsia="仿宋" w:cs="仿宋_GB2312"/>
          <w:color w:val="000000"/>
          <w:kern w:val="0"/>
          <w:sz w:val="24"/>
        </w:rPr>
      </w:pPr>
      <w:bookmarkStart w:id="586" w:name="_Toc86217005"/>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XXXXXX项目</w:t>
      </w:r>
      <w:r>
        <w:rPr>
          <w:rFonts w:hint="eastAsia" w:ascii="仿宋" w:hAnsi="仿宋" w:eastAsia="仿宋" w:cs="仿宋_GB2312"/>
          <w:color w:val="000000"/>
          <w:kern w:val="0"/>
          <w:sz w:val="24"/>
          <w:lang w:val="zh-CN"/>
        </w:rPr>
        <w:t>【招标文件编号：</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bookmarkEnd w:id="586"/>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w:t>
      </w:r>
      <w:r>
        <w:rPr>
          <w:rFonts w:hint="eastAsia" w:ascii="仿宋_GB2312" w:hAnsi="仿宋" w:eastAsia="仿宋_GB2312" w:cs="仿宋_GB2312"/>
          <w:kern w:val="0"/>
          <w:sz w:val="24"/>
          <w:highlight w:val="yellow"/>
          <w:lang w:val="zh-CN"/>
        </w:rPr>
        <w:t>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r>
        <w:rPr>
          <w:rFonts w:hint="eastAsia" w:ascii="仿宋_GB2312" w:hAnsi="仿宋" w:eastAsia="仿宋_GB2312" w:cs="仿宋_GB2312"/>
          <w:b/>
          <w:kern w:val="0"/>
          <w:sz w:val="24"/>
          <w:highlight w:val="yellow"/>
          <w:lang w:val="zh-CN"/>
        </w:rPr>
        <w:t>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highlight w:val="yellow"/>
          <w:lang w:val="zh-CN"/>
        </w:rPr>
        <w:t>5、</w:t>
      </w:r>
      <w:r>
        <w:rPr>
          <w:rFonts w:hint="eastAsia" w:ascii="仿宋_GB2312" w:hAnsi="仿宋" w:eastAsia="仿宋_GB2312" w:cs="仿宋_GB2312"/>
          <w:kern w:val="0"/>
          <w:sz w:val="24"/>
          <w:highlight w:val="yellow"/>
          <w:lang w:val="zh-CN"/>
        </w:rPr>
        <w:t>符合招标文件中列明的可享受中小企业扶持政策的投标人，请填写中小企业声明函。注：投标人</w:t>
      </w:r>
      <w:r>
        <w:rPr>
          <w:rFonts w:ascii="仿宋_GB2312" w:hAnsi="仿宋" w:eastAsia="仿宋_GB2312" w:cs="仿宋_GB2312"/>
          <w:kern w:val="0"/>
          <w:sz w:val="24"/>
          <w:highlight w:val="yellow"/>
          <w:lang w:val="zh-CN"/>
        </w:rPr>
        <w:t>提供</w:t>
      </w:r>
      <w:r>
        <w:rPr>
          <w:rFonts w:hint="eastAsia" w:ascii="仿宋_GB2312" w:hAnsi="仿宋" w:eastAsia="仿宋_GB2312" w:cs="仿宋_GB2312"/>
          <w:kern w:val="0"/>
          <w:sz w:val="24"/>
          <w:highlight w:val="yellow"/>
          <w:lang w:val="zh-CN"/>
        </w:rPr>
        <w:t>的中小企业</w:t>
      </w:r>
      <w:r>
        <w:rPr>
          <w:rFonts w:ascii="仿宋_GB2312" w:hAnsi="仿宋" w:eastAsia="仿宋_GB2312" w:cs="仿宋_GB2312"/>
          <w:kern w:val="0"/>
          <w:sz w:val="24"/>
          <w:highlight w:val="yellow"/>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ind w:firstLine="482"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40" w:right="1800" w:bottom="1440" w:left="1800" w:header="851" w:footer="992" w:gutter="0"/>
          <w:cols w:space="720" w:num="1"/>
        </w:sect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三、中小企业声明函（如</w:t>
      </w:r>
      <w:r>
        <w:rPr>
          <w:rFonts w:ascii="仿宋" w:hAnsi="仿宋" w:eastAsia="仿宋" w:cs="仿宋_GB2312"/>
          <w:color w:val="000000"/>
          <w:kern w:val="2"/>
          <w:sz w:val="32"/>
          <w:szCs w:val="32"/>
        </w:rPr>
        <w:t>有</w:t>
      </w:r>
      <w:r>
        <w:rPr>
          <w:rFonts w:hint="eastAsia" w:ascii="仿宋" w:hAnsi="仿宋" w:eastAsia="仿宋" w:cs="仿宋_GB2312"/>
          <w:color w:val="000000"/>
          <w:kern w:val="2"/>
          <w:sz w:val="32"/>
          <w:szCs w:val="32"/>
        </w:rPr>
        <w:t>）</w:t>
      </w:r>
    </w:p>
    <w:p>
      <w:pPr>
        <w:spacing w:line="360" w:lineRule="auto"/>
        <w:ind w:firstLine="480" w:firstLineChars="200"/>
        <w:jc w:val="left"/>
        <w:rPr>
          <w:rFonts w:ascii="仿宋_GB2312" w:hAnsi="宋体" w:eastAsia="仿宋_GB2312"/>
          <w:sz w:val="24"/>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ascii="仿宋_GB2312" w:hAnsi="宋体" w:eastAsia="仿宋_GB2312"/>
          <w:sz w:val="24"/>
        </w:rPr>
      </w:pPr>
    </w:p>
    <w:p>
      <w:pPr>
        <w:pStyle w:val="596"/>
        <w:keepNext w:val="0"/>
        <w:pageBreakBefore w:val="0"/>
        <w:tabs>
          <w:tab w:val="clear" w:pos="720"/>
        </w:tabs>
        <w:snapToGrid w:val="0"/>
        <w:ind w:firstLine="640"/>
        <w:outlineLvl w:val="9"/>
        <w:rPr>
          <w:rFonts w:ascii="仿宋_GB2312" w:hAnsi="宋体" w:eastAsia="仿宋_GB2312"/>
          <w:sz w:val="24"/>
        </w:rPr>
      </w:pPr>
      <w:r>
        <w:rPr>
          <w:rFonts w:ascii="仿宋_GB2312" w:hAnsi="宋体" w:eastAsia="仿宋_GB2312"/>
          <w:sz w:val="24"/>
        </w:rPr>
        <w:br w:type="page"/>
      </w:r>
      <w:r>
        <w:rPr>
          <w:rFonts w:ascii="仿宋" w:hAnsi="仿宋" w:eastAsia="仿宋" w:cs="仿宋_GB2312"/>
          <w:snapToGrid w:val="0"/>
          <w:kern w:val="2"/>
          <w:sz w:val="32"/>
          <w:szCs w:val="32"/>
        </w:rPr>
        <w:t>中小企业声明函（工程、 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投标人提供的中小企业声明函与实际情况不符的，投标价格不可享受价格扣除。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kern w:val="0"/>
          <w:sz w:val="36"/>
          <w:szCs w:val="36"/>
        </w:rPr>
        <w:sectPr>
          <w:pgSz w:w="11906" w:h="16838"/>
          <w:pgMar w:top="1440" w:right="1800" w:bottom="1440" w:left="1800" w:header="851" w:footer="992" w:gutter="0"/>
          <w:cols w:space="720" w:num="1"/>
        </w:sect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highlight w:val="yellow"/>
        </w:rPr>
        <w:t>（1）投标函</w:t>
      </w:r>
      <w:r>
        <w:rPr>
          <w:rFonts w:hint="eastAsia" w:cs="仿宋_GB2312"/>
        </w:rPr>
        <w:t>…………………………………………………………………………………（页码）</w:t>
      </w:r>
      <w:r>
        <w:rPr>
          <w:rFonts w:hint="eastAsia" w:ascii="仿宋_GB2312" w:hAnsi="仿宋" w:eastAsia="仿宋_GB2312" w:cs="仿宋_GB2312"/>
          <w:sz w:val="24"/>
          <w:highlight w:val="yellow"/>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（6）评标标准相应的商务技术资料</w:t>
      </w:r>
      <w:r>
        <w:rPr>
          <w:rFonts w:hint="eastAsia" w:cs="仿宋_GB2312"/>
        </w:rPr>
        <w:t>…………………………</w:t>
      </w:r>
      <w:r>
        <w:rPr>
          <w:rFonts w:hint="eastAsia" w:ascii="仿宋_GB2312" w:hAnsi="仿宋" w:eastAsia="仿宋_GB2312" w:cs="仿宋_GB2312"/>
          <w:sz w:val="24"/>
          <w:highlight w:val="yellow"/>
        </w:rPr>
        <w:t>………</w:t>
      </w:r>
      <w:r>
        <w:rPr>
          <w:rFonts w:hint="eastAsia" w:cs="仿宋_GB2312"/>
        </w:rPr>
        <w:t>…</w:t>
      </w:r>
      <w:r>
        <w:rPr>
          <w:rFonts w:hint="eastAsia" w:ascii="仿宋_GB2312" w:hAnsi="仿宋" w:eastAsia="仿宋_GB2312" w:cs="仿宋_GB2312"/>
          <w:sz w:val="24"/>
          <w:highlight w:val="yellow"/>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lang w:val="zh-CN"/>
        </w:rPr>
        <w:t>（</w:t>
      </w:r>
      <w:r>
        <w:rPr>
          <w:rFonts w:hint="eastAsia" w:ascii="仿宋_GB2312" w:hAnsi="仿宋" w:eastAsia="仿宋_GB2312" w:cs="仿宋_GB2312"/>
          <w:sz w:val="24"/>
          <w:highlight w:val="yellow"/>
        </w:rPr>
        <w:t>8</w:t>
      </w:r>
      <w:r>
        <w:rPr>
          <w:rFonts w:hint="eastAsia" w:ascii="仿宋_GB2312" w:hAnsi="仿宋" w:eastAsia="仿宋_GB2312" w:cs="仿宋_GB2312"/>
          <w:sz w:val="24"/>
          <w:highlight w:val="yellow"/>
          <w:lang w:val="zh-CN"/>
        </w:rPr>
        <w:t>）政府采购供应商廉洁自律承诺书</w:t>
      </w:r>
      <w:r>
        <w:rPr>
          <w:rFonts w:hint="eastAsia" w:cs="仿宋_GB2312"/>
        </w:rPr>
        <w:t>…………………………………………………（页码）</w:t>
      </w:r>
    </w:p>
    <w:p>
      <w:pPr>
        <w:spacing w:line="360" w:lineRule="auto"/>
        <w:rPr>
          <w:rFonts w:ascii="仿宋" w:hAnsi="仿宋" w:eastAsia="仿宋" w:cs="仿宋_GB2312"/>
          <w:b/>
          <w:bCs/>
          <w:color w:val="000000"/>
          <w:sz w:val="24"/>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1、我方承诺投标有效期从提交投标文件的截止之日起天（不少于90天）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2.1.2落实政府采购政策需满足的资格要求；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2.2.3联合协议；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2.2.4分包意向协议；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2.2.5符合性审查资料；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2.3.2中小企业声明函。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1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17"/>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highlight w:val="yellow"/>
        </w:rPr>
        <w:t>提供的全部货物由小微企业制造，其合同份额占到合同总金额%以上；</w:t>
      </w:r>
      <w:r>
        <w:rPr>
          <w:rFonts w:hint="eastAsia" w:ascii="仿宋_GB2312" w:hAnsi="仿宋" w:eastAsia="仿宋_GB2312" w:cs="仿宋_GB2312"/>
          <w:kern w:val="0"/>
          <w:sz w:val="24"/>
          <w:highlight w:val="yellow"/>
          <w:lang w:val="zh-CN"/>
        </w:rPr>
        <w:t>……。</w:t>
      </w:r>
      <w:r>
        <w:rPr>
          <w:rFonts w:hint="eastAsia" w:ascii="仿宋_GB2312" w:hAnsi="仿宋" w:eastAsia="仿宋_GB2312" w:cs="仿宋_GB2312"/>
          <w:b/>
          <w:kern w:val="0"/>
          <w:sz w:val="24"/>
          <w:highlight w:val="yellow"/>
          <w:lang w:val="zh-CN"/>
        </w:rPr>
        <w:t>（适用于联合体其中一方提供的货物全部由小微企业制造，</w:t>
      </w:r>
      <w:r>
        <w:rPr>
          <w:rFonts w:hint="eastAsia" w:ascii="仿宋_GB2312" w:hAnsi="仿宋" w:eastAsia="仿宋_GB2312" w:cs="仿宋_GB2312"/>
          <w:b/>
          <w:kern w:val="0"/>
          <w:sz w:val="24"/>
          <w:lang w:val="zh-CN"/>
        </w:rPr>
        <w:t>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6" w:type="first"/>
          <w:footerReference r:id="rId18" w:type="first"/>
          <w:headerReference r:id="rId15" w:type="default"/>
          <w:footerReference r:id="rId17" w:type="default"/>
          <w:pgSz w:w="11906" w:h="16838"/>
          <w:pgMar w:top="1440" w:right="1800" w:bottom="1440" w:left="1800"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中标后以分包方式履行合同的，提供分包意向协议；采购人不同意分包或者投标人中标后不以分包方式履行合同的，则不需要提供。本条写“无”或删除</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u w:val="single"/>
        </w:rPr>
        <w:t>（分包供应商名称）提供的货物全部由小微企业制造，</w:t>
      </w:r>
      <w:r>
        <w:rPr>
          <w:rFonts w:hint="eastAsia" w:ascii="仿宋_GB2312" w:hAnsi="仿宋" w:eastAsia="仿宋_GB2312" w:cs="仿宋_GB2312"/>
          <w:kern w:val="0"/>
          <w:sz w:val="24"/>
          <w:highlight w:val="yellow"/>
        </w:rPr>
        <w:t>其合同份额占到合同总金额%以上</w:t>
      </w:r>
      <w:r>
        <w:rPr>
          <w:rFonts w:hint="eastAsia" w:ascii="仿宋_GB2312" w:hAnsi="仿宋" w:eastAsia="仿宋_GB2312"/>
        </w:rPr>
        <w:t>。</w:t>
      </w:r>
      <w:r>
        <w:rPr>
          <w:rFonts w:hint="eastAsia" w:ascii="仿宋_GB2312" w:hAnsi="仿宋" w:eastAsia="仿宋_GB2312" w:cs="仿宋_GB2312"/>
          <w:b/>
          <w:kern w:val="0"/>
          <w:sz w:val="24"/>
          <w:highlight w:val="yellow"/>
          <w:lang w:val="zh-CN"/>
        </w:rPr>
        <w:t>（</w:t>
      </w:r>
      <w:r>
        <w:rPr>
          <w:rFonts w:hint="eastAsia" w:ascii="仿宋_GB2312" w:hAnsi="仿宋" w:eastAsia="仿宋_GB2312" w:cs="仿宋_GB2312"/>
          <w:b/>
          <w:kern w:val="0"/>
          <w:sz w:val="24"/>
          <w:lang w:val="zh-CN"/>
        </w:rPr>
        <w:t>适用于分包供应商提供的货物全部由小微企业制造，且其合同份额占到合同总金额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五、符合性审查资料索引表及具体内容</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1</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numPr>
                <w:ilvl w:val="0"/>
                <w:numId w:val="0"/>
              </w:numPr>
              <w:ind w:left="432"/>
              <w:rPr>
                <w:lang w:val="en-US"/>
              </w:rPr>
            </w:pPr>
            <w:r>
              <w:rPr>
                <w:rFonts w:hint="eastAsia" w:ascii="仿宋" w:eastAsia="仿宋" w:cs="仿宋_GB2312"/>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3</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170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4</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 xml:space="preserve">） </w:t>
      </w:r>
    </w:p>
    <w:p>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w:t>
      </w:r>
    </w:p>
    <w:p>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序号</w:t>
            </w:r>
          </w:p>
        </w:tc>
        <w:tc>
          <w:tcPr>
            <w:tcW w:w="3683"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招标文件章节及具体内容</w:t>
            </w:r>
          </w:p>
        </w:tc>
        <w:tc>
          <w:tcPr>
            <w:tcW w:w="354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投标文件章节及具体内容</w:t>
            </w:r>
          </w:p>
        </w:tc>
        <w:tc>
          <w:tcPr>
            <w:tcW w:w="127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numPr>
          <w:ilvl w:val="0"/>
          <w:numId w:val="10"/>
        </w:numPr>
        <w:spacing w:line="360" w:lineRule="auto"/>
        <w:jc w:val="center"/>
        <w:rPr>
          <w:rFonts w:ascii="仿宋_GB2312" w:hAnsi="仿宋" w:eastAsia="仿宋_GB2312" w:cs="仿宋_GB2312"/>
          <w:b/>
          <w:bCs/>
          <w:kern w:val="0"/>
          <w:sz w:val="24"/>
        </w:rPr>
        <w:sectPr>
          <w:pgSz w:w="11906" w:h="16838"/>
          <w:pgMar w:top="1440" w:right="1800" w:bottom="1440" w:left="1800" w:header="851" w:footer="992" w:gutter="0"/>
          <w:cols w:space="720" w:num="1"/>
        </w:sectPr>
      </w:pPr>
    </w:p>
    <w:p>
      <w:pPr>
        <w:spacing w:line="360" w:lineRule="auto"/>
        <w:ind w:right="420"/>
        <w:rPr>
          <w:rFonts w:ascii="仿宋" w:hAnsi="仿宋" w:eastAsia="仿宋" w:cs="仿宋_GB2312"/>
          <w:b/>
          <w:color w:val="000000"/>
          <w:sz w:val="24"/>
        </w:rPr>
      </w:pPr>
    </w:p>
    <w:p>
      <w:pPr>
        <w:pStyle w:val="2"/>
      </w:pPr>
      <w:bookmarkStart w:id="587" w:name="_Toc465665161"/>
      <w:r>
        <w:rPr>
          <w:rFonts w:hint="eastAsia"/>
        </w:rPr>
        <w:t>附件</w:t>
      </w:r>
      <w:bookmarkEnd w:id="58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附件1：</w:t>
      </w:r>
    </w:p>
    <w:p>
      <w:pPr>
        <w:spacing w:line="360" w:lineRule="auto"/>
        <w:jc w:val="center"/>
        <w:rPr>
          <w:rFonts w:ascii="仿宋" w:hAnsi="仿宋" w:eastAsia="仿宋"/>
          <w:b/>
          <w:color w:val="000000"/>
          <w:spacing w:val="6"/>
          <w:sz w:val="32"/>
          <w:szCs w:val="32"/>
        </w:rPr>
      </w:pPr>
      <w:bookmarkStart w:id="588" w:name="OLE_LINK13"/>
      <w:bookmarkStart w:id="589" w:name="OLE_LINK14"/>
      <w:r>
        <w:rPr>
          <w:rFonts w:hint="eastAsia" w:ascii="仿宋" w:hAnsi="仿宋" w:eastAsia="仿宋"/>
          <w:b/>
          <w:color w:val="000000"/>
          <w:spacing w:val="6"/>
          <w:sz w:val="32"/>
          <w:szCs w:val="32"/>
        </w:rPr>
        <w:t>残疾人福利性单位声明函</w:t>
      </w:r>
    </w:p>
    <w:bookmarkEnd w:id="588"/>
    <w:bookmarkEnd w:id="58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电子签章</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日  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附件2：</w:t>
      </w:r>
      <w:r>
        <w:rPr>
          <w:rFonts w:hint="eastAsia" w:ascii="仿宋" w:hAnsi="仿宋" w:eastAsia="仿宋"/>
          <w:b/>
          <w:color w:val="000000"/>
          <w:spacing w:val="6"/>
          <w:sz w:val="32"/>
          <w:szCs w:val="32"/>
        </w:rP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地址：邮箱：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 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质疑项目的编号：标项号：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附件3</w:t>
      </w:r>
      <w:r>
        <w:rPr>
          <w:rFonts w:hint="eastAsia" w:ascii="仿宋" w:hAnsi="仿宋" w:eastAsia="仿宋"/>
          <w:b/>
          <w:color w:val="000000"/>
          <w:spacing w:val="6"/>
          <w:sz w:val="32"/>
          <w:szCs w:val="32"/>
        </w:rPr>
        <w:t>：投诉书范本及制作说明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采购代理机构名称：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采购人/采购代理机构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s="仿宋_GB2312"/>
          <w:b/>
          <w:color w:val="000000"/>
          <w:sz w:val="24"/>
        </w:rPr>
      </w:pPr>
      <w:r>
        <w:rPr>
          <w:rFonts w:ascii="仿宋" w:hAnsi="仿宋" w:eastAsia="仿宋" w:cs="仿宋_GB2312"/>
          <w:b/>
          <w:color w:val="000000"/>
          <w:sz w:val="24"/>
        </w:rPr>
        <w:br w:type="page"/>
      </w:r>
    </w:p>
    <w:p>
      <w:pPr>
        <w:jc w:val="left"/>
        <w:rPr>
          <w:sz w:val="40"/>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4 质疑答复范本</w:t>
      </w: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关于**项目质疑的答复</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质疑项目名称：</w:t>
      </w:r>
      <w:r>
        <w:rPr>
          <w:rFonts w:hint="eastAsia" w:ascii="仿宋" w:hAnsi="仿宋" w:eastAsia="仿宋" w:cs="仿宋"/>
          <w:color w:val="000000"/>
          <w:sz w:val="24"/>
          <w:u w:val="dotted"/>
        </w:rPr>
        <w:t xml:space="preserve"> ***政府采购项目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质疑项目编号：</w:t>
      </w:r>
      <w:r>
        <w:rPr>
          <w:rFonts w:hint="eastAsia" w:ascii="仿宋" w:hAnsi="仿宋" w:eastAsia="仿宋" w:cs="仿宋"/>
          <w:color w:val="000000"/>
          <w:sz w:val="24"/>
          <w:u w:val="dotted"/>
        </w:rPr>
        <w:t xml:space="preserve"> ***                                     </w:t>
      </w:r>
    </w:p>
    <w:p>
      <w:pPr>
        <w:snapToGrid w:val="0"/>
        <w:spacing w:line="360" w:lineRule="auto"/>
        <w:rPr>
          <w:rFonts w:ascii="仿宋" w:hAnsi="仿宋" w:eastAsia="仿宋" w:cs="仿宋"/>
          <w:bCs/>
          <w:color w:val="000000"/>
          <w:sz w:val="24"/>
        </w:rPr>
      </w:pPr>
      <w:r>
        <w:rPr>
          <w:rFonts w:hint="eastAsia" w:ascii="仿宋" w:hAnsi="仿宋" w:eastAsia="仿宋" w:cs="仿宋"/>
          <w:color w:val="000000"/>
          <w:sz w:val="24"/>
        </w:rPr>
        <w:t>本单位于月日收到质疑函，月日收到补充材料，答复内容如下。</w:t>
      </w:r>
    </w:p>
    <w:p>
      <w:pPr>
        <w:numPr>
          <w:ilvl w:val="0"/>
          <w:numId w:val="11"/>
        </w:numPr>
        <w:snapToGrid w:val="0"/>
        <w:spacing w:line="360" w:lineRule="auto"/>
        <w:jc w:val="left"/>
        <w:rPr>
          <w:rFonts w:ascii="仿宋" w:hAnsi="仿宋" w:eastAsia="仿宋" w:cs="仿宋"/>
          <w:bCs/>
          <w:color w:val="000000"/>
          <w:sz w:val="24"/>
        </w:rPr>
      </w:pPr>
      <w:r>
        <w:rPr>
          <w:rFonts w:hint="eastAsia" w:ascii="仿宋" w:hAnsi="仿宋" w:eastAsia="仿宋" w:cs="仿宋"/>
          <w:bCs/>
          <w:color w:val="000000"/>
          <w:sz w:val="24"/>
        </w:rPr>
        <w:t>质疑人</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联系人：联系电话：</w:t>
      </w:r>
      <w:r>
        <w:rPr>
          <w:rFonts w:hint="eastAsia" w:ascii="仿宋" w:hAnsi="仿宋" w:eastAsia="仿宋" w:cs="仿宋"/>
          <w:color w:val="000000"/>
          <w:sz w:val="24"/>
          <w:u w:val="dotted"/>
        </w:rPr>
        <w:t xml:space="preserve">          /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授权代表：联系电话：</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地址：邮箱：</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二、项目采购人和代理机构</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采购人地址：</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质疑联系人：质疑联系方式：</w:t>
      </w:r>
      <w:r>
        <w:rPr>
          <w:rFonts w:ascii="仿宋" w:hAnsi="仿宋" w:eastAsia="仿宋" w:cs="仿宋"/>
          <w:color w:val="000000"/>
          <w:sz w:val="24"/>
          <w:u w:val="dotted"/>
        </w:rPr>
        <w:t xml:space="preserve">              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采购代理机构：</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采购代理机构地址：</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质疑联系人：质疑联系方式：</w:t>
      </w:r>
      <w:r>
        <w:rPr>
          <w:rFonts w:ascii="仿宋" w:hAnsi="仿宋" w:eastAsia="仿宋" w:cs="仿宋"/>
          <w:color w:val="000000"/>
          <w:sz w:val="24"/>
          <w:u w:val="dotted"/>
        </w:rPr>
        <w:t>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质疑事项2：</w:t>
      </w:r>
    </w:p>
    <w:p>
      <w:pPr>
        <w:numPr>
          <w:ilvl w:val="0"/>
          <w:numId w:val="12"/>
        </w:num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审查及答复</w:t>
      </w:r>
    </w:p>
    <w:p>
      <w:pPr>
        <w:snapToGrid w:val="0"/>
        <w:spacing w:line="360" w:lineRule="auto"/>
        <w:rPr>
          <w:rFonts w:ascii="仿宋" w:hAnsi="仿宋" w:eastAsia="仿宋" w:cs="仿宋"/>
          <w:color w:val="000000"/>
          <w:sz w:val="24"/>
          <w:u w:val="dotted"/>
        </w:rPr>
      </w:pPr>
      <w:r>
        <w:rPr>
          <w:rFonts w:hint="eastAsia" w:ascii="仿宋" w:hAnsi="仿宋" w:eastAsia="仿宋" w:cs="仿宋"/>
          <w:bCs/>
          <w:color w:val="000000"/>
          <w:sz w:val="24"/>
        </w:rPr>
        <w:t>事项1：</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事项</w:t>
      </w:r>
      <w:r>
        <w:rPr>
          <w:rFonts w:ascii="仿宋" w:hAnsi="仿宋" w:eastAsia="仿宋" w:cs="仿宋"/>
          <w:bCs/>
          <w:color w:val="000000"/>
          <w:sz w:val="24"/>
        </w:rPr>
        <w:t>2</w:t>
      </w:r>
      <w:r>
        <w:rPr>
          <w:rFonts w:hint="eastAsia" w:ascii="仿宋" w:hAnsi="仿宋" w:eastAsia="仿宋" w:cs="仿宋"/>
          <w:bCs/>
          <w:color w:val="000000"/>
          <w:sz w:val="24"/>
        </w:rPr>
        <w:t>：</w:t>
      </w:r>
    </w:p>
    <w:p>
      <w:pPr>
        <w:snapToGrid w:val="0"/>
        <w:spacing w:line="360" w:lineRule="auto"/>
        <w:ind w:firstLine="480"/>
        <w:rPr>
          <w:rFonts w:ascii="仿宋" w:hAnsi="仿宋" w:eastAsia="仿宋" w:cs="仿宋"/>
          <w:bCs/>
          <w:color w:val="000000"/>
          <w:sz w:val="24"/>
        </w:rPr>
      </w:pPr>
      <w:r>
        <w:rPr>
          <w:rFonts w:hint="eastAsia" w:ascii="仿宋" w:hAnsi="仿宋" w:eastAsia="仿宋" w:cs="仿宋"/>
          <w:bCs/>
          <w:color w:val="000000"/>
          <w:sz w:val="24"/>
        </w:rPr>
        <w:t>欢迎并感谢你单位对政府采购活动的参与和支持。</w:t>
      </w:r>
    </w:p>
    <w:p>
      <w:pPr>
        <w:snapToGrid w:val="0"/>
        <w:spacing w:line="360" w:lineRule="auto"/>
        <w:rPr>
          <w:rFonts w:ascii="仿宋" w:hAnsi="仿宋" w:eastAsia="仿宋" w:cs="仿宋"/>
          <w:bCs/>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 xml:space="preserve">                                            采购单位：</w:t>
      </w:r>
    </w:p>
    <w:p>
      <w:pPr>
        <w:spacing w:line="360" w:lineRule="auto"/>
        <w:ind w:firstLine="5520" w:firstLineChars="2300"/>
        <w:rPr>
          <w:rFonts w:ascii="仿宋" w:hAnsi="仿宋" w:eastAsia="仿宋"/>
          <w:color w:val="000000"/>
          <w:sz w:val="24"/>
        </w:rPr>
      </w:pPr>
      <w:r>
        <w:rPr>
          <w:rFonts w:hint="eastAsia" w:ascii="仿宋" w:hAnsi="仿宋" w:eastAsia="仿宋"/>
          <w:color w:val="000000"/>
          <w:sz w:val="24"/>
        </w:rPr>
        <w:t xml:space="preserve">年月日 </w:t>
      </w:r>
    </w:p>
    <w:p>
      <w:pPr>
        <w:spacing w:line="360" w:lineRule="auto"/>
        <w:rPr>
          <w:rFonts w:ascii="仿宋" w:hAnsi="仿宋" w:eastAsia="仿宋" w:cs="仿宋_GB2312"/>
          <w:b/>
          <w:color w:val="000000"/>
          <w:sz w:val="24"/>
        </w:rPr>
      </w:pPr>
    </w:p>
    <w:p>
      <w:pPr>
        <w:rPr>
          <w:rFonts w:ascii="仿宋" w:hAnsi="仿宋" w:eastAsia="仿宋" w:cs="仿宋_GB2312"/>
          <w:b/>
          <w:color w:val="000000"/>
          <w:sz w:val="24"/>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5</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手机：，代表我公司前来递交</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【项目编号：】（标项号： ）投标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rFonts w:ascii="仿宋" w:hAnsi="仿宋" w:eastAsia="仿宋" w:cs="仿宋_GB2312"/>
          <w:b/>
          <w:color w:val="000000"/>
          <w:sz w:val="24"/>
        </w:rPr>
      </w:pPr>
      <w:r>
        <w:rPr>
          <w:rFonts w:ascii="仿宋" w:hAnsi="仿宋" w:eastAsia="仿宋" w:cs="仿宋_GB2312"/>
          <w:b/>
          <w:color w:val="000000"/>
          <w:sz w:val="24"/>
        </w:rPr>
        <w:t>同时有样品和演示的</w:t>
      </w:r>
      <w:r>
        <w:rPr>
          <w:rFonts w:hint="eastAsia" w:ascii="仿宋" w:hAnsi="仿宋" w:eastAsia="仿宋" w:cs="仿宋_GB2312"/>
          <w:b/>
          <w:color w:val="000000"/>
          <w:sz w:val="24"/>
        </w:rPr>
        <w:t>，</w:t>
      </w:r>
      <w:r>
        <w:rPr>
          <w:rFonts w:ascii="仿宋" w:hAnsi="仿宋" w:eastAsia="仿宋" w:cs="仿宋_GB2312"/>
          <w:b/>
          <w:color w:val="000000"/>
          <w:sz w:val="24"/>
        </w:rPr>
        <w:t>可委托不同人员</w:t>
      </w:r>
      <w:r>
        <w:rPr>
          <w:rFonts w:hint="eastAsia" w:ascii="仿宋" w:hAnsi="仿宋" w:eastAsia="仿宋" w:cs="仿宋_GB2312"/>
          <w:b/>
          <w:color w:val="000000"/>
          <w:sz w:val="24"/>
        </w:rPr>
        <w:t>。</w:t>
      </w:r>
    </w:p>
    <w:sectPr>
      <w:headerReference r:id="rId20" w:type="first"/>
      <w:footerReference r:id="rId23" w:type="first"/>
      <w:headerReference r:id="rId19" w:type="default"/>
      <w:footerReference r:id="rId21" w:type="default"/>
      <w:footerReference r:id="rId22"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bookmarkStart w:id="590" w:name="_Toc36110187"/>
    <w:bookmarkStart w:id="591" w:name="_Toc131845147"/>
    <w:bookmarkStart w:id="592" w:name="_Toc164085800"/>
    <w:bookmarkStart w:id="593" w:name="_Toc91899912"/>
    <w:r>
      <w:rPr>
        <w:rFonts w:hint="eastAsia" w:ascii="仿宋_GB2312" w:eastAsia="仿宋_GB2312"/>
        <w:kern w:val="0"/>
        <w:szCs w:val="21"/>
      </w:rPr>
      <w:t xml:space="preserve"> 页</w:t>
    </w:r>
    <w:bookmarkEnd w:id="590"/>
    <w:bookmarkEnd w:id="591"/>
    <w:bookmarkEnd w:id="592"/>
    <w:bookmarkEnd w:id="5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萧山区政府采购公开招标文件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p>
  <w:p>
    <w:pPr>
      <w:pStyle w:val="38"/>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萧山区政府采购公开招标文件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p>
  <w:p>
    <w:pPr>
      <w:pStyle w:val="38"/>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1"/>
  </w:num>
  <w:num w:numId="7">
    <w:abstractNumId w:val="10"/>
  </w:num>
  <w:num w:numId="8">
    <w:abstractNumId w:val="7"/>
  </w:num>
  <w:num w:numId="9">
    <w:abstractNumId w:val="9"/>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23F6"/>
    <w:rsid w:val="000039B1"/>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6A71"/>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341"/>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A0A"/>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6DCB"/>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3F99"/>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A7DED"/>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277"/>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2BF9"/>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8CB"/>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818"/>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84F"/>
    <w:rsid w:val="001B5B10"/>
    <w:rsid w:val="001B5E9A"/>
    <w:rsid w:val="001B7A15"/>
    <w:rsid w:val="001B7B69"/>
    <w:rsid w:val="001C08DB"/>
    <w:rsid w:val="001C10BD"/>
    <w:rsid w:val="001C1F01"/>
    <w:rsid w:val="001C232F"/>
    <w:rsid w:val="001C2544"/>
    <w:rsid w:val="001C2A17"/>
    <w:rsid w:val="001C31F5"/>
    <w:rsid w:val="001C41BE"/>
    <w:rsid w:val="001C457B"/>
    <w:rsid w:val="001C6047"/>
    <w:rsid w:val="001C6698"/>
    <w:rsid w:val="001C7CE0"/>
    <w:rsid w:val="001D005B"/>
    <w:rsid w:val="001D0947"/>
    <w:rsid w:val="001D0C71"/>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22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4819"/>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3E75"/>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C72A6"/>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851"/>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4D16"/>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659"/>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0D82"/>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3F6"/>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2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1F5E"/>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574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3F64"/>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26AD"/>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0591"/>
    <w:rsid w:val="00601506"/>
    <w:rsid w:val="00601596"/>
    <w:rsid w:val="00601C92"/>
    <w:rsid w:val="00601F66"/>
    <w:rsid w:val="00602B29"/>
    <w:rsid w:val="00603373"/>
    <w:rsid w:val="006036D0"/>
    <w:rsid w:val="006042CD"/>
    <w:rsid w:val="00604C53"/>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630"/>
    <w:rsid w:val="00690C8D"/>
    <w:rsid w:val="00691890"/>
    <w:rsid w:val="00691AAD"/>
    <w:rsid w:val="00692416"/>
    <w:rsid w:val="00692AFF"/>
    <w:rsid w:val="00693B73"/>
    <w:rsid w:val="006945A1"/>
    <w:rsid w:val="006945DD"/>
    <w:rsid w:val="00694A53"/>
    <w:rsid w:val="00694E38"/>
    <w:rsid w:val="00695A61"/>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B7501"/>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987"/>
    <w:rsid w:val="00725E72"/>
    <w:rsid w:val="0072608B"/>
    <w:rsid w:val="007263A2"/>
    <w:rsid w:val="007266B9"/>
    <w:rsid w:val="00727351"/>
    <w:rsid w:val="00727AC5"/>
    <w:rsid w:val="00727C65"/>
    <w:rsid w:val="007300F0"/>
    <w:rsid w:val="00730EB5"/>
    <w:rsid w:val="0073245C"/>
    <w:rsid w:val="00732493"/>
    <w:rsid w:val="00733230"/>
    <w:rsid w:val="00733652"/>
    <w:rsid w:val="00733A43"/>
    <w:rsid w:val="00733D5F"/>
    <w:rsid w:val="00733FBB"/>
    <w:rsid w:val="00734932"/>
    <w:rsid w:val="00735D53"/>
    <w:rsid w:val="007364A3"/>
    <w:rsid w:val="007378FD"/>
    <w:rsid w:val="007403FE"/>
    <w:rsid w:val="007413EB"/>
    <w:rsid w:val="007419CA"/>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613"/>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62"/>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6ED"/>
    <w:rsid w:val="008E1C24"/>
    <w:rsid w:val="008E2626"/>
    <w:rsid w:val="008E27A9"/>
    <w:rsid w:val="008E323C"/>
    <w:rsid w:val="008E3316"/>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A4"/>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AA0"/>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3CAA"/>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14B"/>
    <w:rsid w:val="00996D1C"/>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3B8D"/>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C12"/>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25F"/>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58A"/>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180"/>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BDE"/>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5CED"/>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2ED"/>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D24"/>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1A6C"/>
    <w:rsid w:val="00CB2913"/>
    <w:rsid w:val="00CB3970"/>
    <w:rsid w:val="00CB42B9"/>
    <w:rsid w:val="00CB4F39"/>
    <w:rsid w:val="00CB52A4"/>
    <w:rsid w:val="00CB537C"/>
    <w:rsid w:val="00CB5A26"/>
    <w:rsid w:val="00CB645B"/>
    <w:rsid w:val="00CB67BF"/>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396"/>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17E7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2C3"/>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65E6"/>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48F5"/>
    <w:rsid w:val="00EA552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BC1"/>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63"/>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410"/>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78A"/>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38C"/>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8F7"/>
    <w:rsid w:val="00FF1A06"/>
    <w:rsid w:val="00FF1AD3"/>
    <w:rsid w:val="00FF1B46"/>
    <w:rsid w:val="00FF219D"/>
    <w:rsid w:val="00FF2693"/>
    <w:rsid w:val="00FF2BB3"/>
    <w:rsid w:val="00FF49B4"/>
    <w:rsid w:val="00FF49F4"/>
    <w:rsid w:val="00FF651D"/>
    <w:rsid w:val="00FF6843"/>
    <w:rsid w:val="00FF7724"/>
    <w:rsid w:val="00FF78E2"/>
    <w:rsid w:val="010651D9"/>
    <w:rsid w:val="01CF008A"/>
    <w:rsid w:val="01D55085"/>
    <w:rsid w:val="01F05076"/>
    <w:rsid w:val="0365214C"/>
    <w:rsid w:val="03DD35E4"/>
    <w:rsid w:val="04D939D7"/>
    <w:rsid w:val="065A6178"/>
    <w:rsid w:val="06656008"/>
    <w:rsid w:val="0A5B7E63"/>
    <w:rsid w:val="0BED0F30"/>
    <w:rsid w:val="0C6F5DE9"/>
    <w:rsid w:val="0C87121B"/>
    <w:rsid w:val="0D060E05"/>
    <w:rsid w:val="0DF702FE"/>
    <w:rsid w:val="0F816ACD"/>
    <w:rsid w:val="0F827BE2"/>
    <w:rsid w:val="0F985657"/>
    <w:rsid w:val="10FC16EA"/>
    <w:rsid w:val="117A3266"/>
    <w:rsid w:val="118963A1"/>
    <w:rsid w:val="11F8062F"/>
    <w:rsid w:val="127723A9"/>
    <w:rsid w:val="12E7492B"/>
    <w:rsid w:val="13072A44"/>
    <w:rsid w:val="13ED41C3"/>
    <w:rsid w:val="144D4C62"/>
    <w:rsid w:val="15D31197"/>
    <w:rsid w:val="1ABF7F3C"/>
    <w:rsid w:val="1B2A271F"/>
    <w:rsid w:val="1CB257E9"/>
    <w:rsid w:val="1CD75A11"/>
    <w:rsid w:val="1D0B41F3"/>
    <w:rsid w:val="1D266CE1"/>
    <w:rsid w:val="1D3963AF"/>
    <w:rsid w:val="1D4A4435"/>
    <w:rsid w:val="1DB4365C"/>
    <w:rsid w:val="1DBA2C3C"/>
    <w:rsid w:val="1E714A66"/>
    <w:rsid w:val="1FE868A9"/>
    <w:rsid w:val="201D4A5E"/>
    <w:rsid w:val="24E94533"/>
    <w:rsid w:val="259E0118"/>
    <w:rsid w:val="28996270"/>
    <w:rsid w:val="29312005"/>
    <w:rsid w:val="29763EBB"/>
    <w:rsid w:val="29D60DFE"/>
    <w:rsid w:val="2A0F0615"/>
    <w:rsid w:val="2A8B7E3A"/>
    <w:rsid w:val="2AEC6F16"/>
    <w:rsid w:val="2CF03F85"/>
    <w:rsid w:val="2D2B1461"/>
    <w:rsid w:val="2D347C96"/>
    <w:rsid w:val="2D485B6F"/>
    <w:rsid w:val="2D55725B"/>
    <w:rsid w:val="2DCA2D5B"/>
    <w:rsid w:val="2DD15014"/>
    <w:rsid w:val="2DDF4725"/>
    <w:rsid w:val="2ED7364E"/>
    <w:rsid w:val="2F6078FA"/>
    <w:rsid w:val="2FD25781"/>
    <w:rsid w:val="31570A76"/>
    <w:rsid w:val="319C6071"/>
    <w:rsid w:val="342E63AB"/>
    <w:rsid w:val="34BD1B6F"/>
    <w:rsid w:val="365302AE"/>
    <w:rsid w:val="36730100"/>
    <w:rsid w:val="36D6671D"/>
    <w:rsid w:val="372238D5"/>
    <w:rsid w:val="383C4838"/>
    <w:rsid w:val="38461D18"/>
    <w:rsid w:val="3961619F"/>
    <w:rsid w:val="39D51B05"/>
    <w:rsid w:val="3A12378C"/>
    <w:rsid w:val="3BE241CB"/>
    <w:rsid w:val="3C5F759A"/>
    <w:rsid w:val="3EE33949"/>
    <w:rsid w:val="42E1381E"/>
    <w:rsid w:val="46C202E8"/>
    <w:rsid w:val="47215957"/>
    <w:rsid w:val="4A6A13C3"/>
    <w:rsid w:val="4BA57959"/>
    <w:rsid w:val="4E683E6B"/>
    <w:rsid w:val="4EC24797"/>
    <w:rsid w:val="51A0432A"/>
    <w:rsid w:val="52A96B6F"/>
    <w:rsid w:val="53513120"/>
    <w:rsid w:val="537F6E15"/>
    <w:rsid w:val="550764A4"/>
    <w:rsid w:val="564762D5"/>
    <w:rsid w:val="56F20776"/>
    <w:rsid w:val="5809221B"/>
    <w:rsid w:val="589870FB"/>
    <w:rsid w:val="58AE4F0C"/>
    <w:rsid w:val="58FE78A6"/>
    <w:rsid w:val="5999312B"/>
    <w:rsid w:val="5A2A7C7B"/>
    <w:rsid w:val="5B2B24A8"/>
    <w:rsid w:val="5BCA1CC1"/>
    <w:rsid w:val="5C80234E"/>
    <w:rsid w:val="5DE0757A"/>
    <w:rsid w:val="5E261785"/>
    <w:rsid w:val="5E7108C2"/>
    <w:rsid w:val="5EF13A09"/>
    <w:rsid w:val="5F6366B5"/>
    <w:rsid w:val="5FCC5339"/>
    <w:rsid w:val="61054A27"/>
    <w:rsid w:val="611D2366"/>
    <w:rsid w:val="62885958"/>
    <w:rsid w:val="62DB2AD1"/>
    <w:rsid w:val="63EF0B44"/>
    <w:rsid w:val="640D4E41"/>
    <w:rsid w:val="64CE2EAA"/>
    <w:rsid w:val="662E75B1"/>
    <w:rsid w:val="66342C2E"/>
    <w:rsid w:val="663E784C"/>
    <w:rsid w:val="66AF0431"/>
    <w:rsid w:val="68A31D9B"/>
    <w:rsid w:val="690516C5"/>
    <w:rsid w:val="697823B7"/>
    <w:rsid w:val="6A617C95"/>
    <w:rsid w:val="6AF723A7"/>
    <w:rsid w:val="6BD947B3"/>
    <w:rsid w:val="6BE7241B"/>
    <w:rsid w:val="6D54588F"/>
    <w:rsid w:val="6D8B12D8"/>
    <w:rsid w:val="6DDA0F4A"/>
    <w:rsid w:val="6E8E12EF"/>
    <w:rsid w:val="6FC84312"/>
    <w:rsid w:val="71142526"/>
    <w:rsid w:val="71D43752"/>
    <w:rsid w:val="72247F25"/>
    <w:rsid w:val="72A42E14"/>
    <w:rsid w:val="749C4185"/>
    <w:rsid w:val="74B80DF9"/>
    <w:rsid w:val="75DA2C18"/>
    <w:rsid w:val="76337537"/>
    <w:rsid w:val="7A24483B"/>
    <w:rsid w:val="7A285C01"/>
    <w:rsid w:val="7A67303B"/>
    <w:rsid w:val="7AAB1D04"/>
    <w:rsid w:val="7ABA4368"/>
    <w:rsid w:val="7B257FFD"/>
    <w:rsid w:val="7B277908"/>
    <w:rsid w:val="7D627B54"/>
    <w:rsid w:val="7E555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1"/>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1"/>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39"/>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09"/>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4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5"/>
    <w:qFormat/>
    <w:uiPriority w:val="99"/>
    <w:pPr>
      <w:jc w:val="left"/>
    </w:pPr>
  </w:style>
  <w:style w:type="paragraph" w:styleId="20">
    <w:name w:val="Salutation"/>
    <w:basedOn w:val="1"/>
    <w:next w:val="1"/>
    <w:link w:val="210"/>
    <w:qFormat/>
    <w:uiPriority w:val="0"/>
    <w:rPr>
      <w:rFonts w:ascii="仿宋_GB2312" w:eastAsia="仿宋_GB2312"/>
      <w:sz w:val="28"/>
      <w:szCs w:val="20"/>
    </w:rPr>
  </w:style>
  <w:style w:type="paragraph" w:styleId="21">
    <w:name w:val="Body Text 3"/>
    <w:basedOn w:val="1"/>
    <w:link w:val="183"/>
    <w:qFormat/>
    <w:uiPriority w:val="0"/>
    <w:pPr>
      <w:jc w:val="center"/>
    </w:pPr>
    <w:rPr>
      <w:szCs w:val="20"/>
    </w:rPr>
  </w:style>
  <w:style w:type="paragraph" w:styleId="22">
    <w:name w:val="Body Text"/>
    <w:basedOn w:val="1"/>
    <w:link w:val="119"/>
    <w:qFormat/>
    <w:uiPriority w:val="0"/>
    <w:pPr>
      <w:autoSpaceDE w:val="0"/>
      <w:autoSpaceDN w:val="0"/>
      <w:spacing w:line="360" w:lineRule="auto"/>
    </w:pPr>
    <w:rPr>
      <w:rFonts w:ascii="宋体"/>
      <w:sz w:val="24"/>
      <w:szCs w:val="21"/>
      <w:lang w:val="zh-CN"/>
    </w:rPr>
  </w:style>
  <w:style w:type="paragraph" w:styleId="23">
    <w:name w:val="Body Text Indent"/>
    <w:basedOn w:val="1"/>
    <w:link w:val="100"/>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1"/>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8"/>
    <w:qFormat/>
    <w:uiPriority w:val="0"/>
    <w:pPr>
      <w:ind w:left="100" w:leftChars="2500"/>
    </w:pPr>
    <w:rPr>
      <w:rFonts w:ascii="宋体"/>
      <w:sz w:val="24"/>
      <w:szCs w:val="21"/>
      <w:lang w:val="zh-CN"/>
    </w:rPr>
  </w:style>
  <w:style w:type="paragraph" w:styleId="35">
    <w:name w:val="Body Text Indent 2"/>
    <w:basedOn w:val="1"/>
    <w:link w:val="80"/>
    <w:qFormat/>
    <w:uiPriority w:val="0"/>
    <w:pPr>
      <w:spacing w:line="360" w:lineRule="auto"/>
      <w:ind w:firstLine="601"/>
      <w:textAlignment w:val="baseline"/>
    </w:pPr>
    <w:rPr>
      <w:rFonts w:ascii="宋体"/>
      <w:kern w:val="0"/>
      <w:sz w:val="28"/>
      <w:szCs w:val="20"/>
    </w:rPr>
  </w:style>
  <w:style w:type="paragraph" w:styleId="36">
    <w:name w:val="Balloon Text"/>
    <w:basedOn w:val="1"/>
    <w:link w:val="246"/>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5"/>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132"/>
    <w:qFormat/>
    <w:uiPriority w:val="0"/>
    <w:pPr>
      <w:ind w:firstLine="420"/>
    </w:pPr>
    <w:rPr>
      <w:szCs w:val="20"/>
    </w:rPr>
  </w:style>
  <w:style w:type="paragraph" w:styleId="59">
    <w:name w:val="Body Text First Indent 2"/>
    <w:basedOn w:val="23"/>
    <w:link w:val="243"/>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solutionfonts"/>
    <w:qFormat/>
    <w:uiPriority w:val="0"/>
  </w:style>
  <w:style w:type="character" w:customStyle="1" w:styleId="72">
    <w:name w:val="Font Style82"/>
    <w:qFormat/>
    <w:uiPriority w:val="99"/>
    <w:rPr>
      <w:rFonts w:ascii="宋体" w:eastAsia="宋体" w:cs="宋体"/>
      <w:color w:val="000000"/>
      <w:sz w:val="14"/>
      <w:szCs w:val="14"/>
    </w:rPr>
  </w:style>
  <w:style w:type="character" w:customStyle="1" w:styleId="73">
    <w:name w:val="此正文 Char"/>
    <w:link w:val="74"/>
    <w:qFormat/>
    <w:uiPriority w:val="0"/>
    <w:rPr>
      <w:kern w:val="2"/>
      <w:sz w:val="24"/>
      <w:szCs w:val="24"/>
    </w:rPr>
  </w:style>
  <w:style w:type="paragraph" w:customStyle="1" w:styleId="74">
    <w:name w:val="此正文"/>
    <w:basedOn w:val="1"/>
    <w:link w:val="73"/>
    <w:qFormat/>
    <w:uiPriority w:val="0"/>
    <w:pPr>
      <w:adjustRightInd/>
      <w:spacing w:line="360" w:lineRule="auto"/>
      <w:ind w:firstLine="200" w:firstLineChars="200"/>
    </w:pPr>
    <w:rPr>
      <w:sz w:val="24"/>
    </w:rPr>
  </w:style>
  <w:style w:type="character" w:customStyle="1" w:styleId="75">
    <w:name w:val="Char Char10"/>
    <w:semiHidden/>
    <w:qFormat/>
    <w:uiPriority w:val="0"/>
    <w:rPr>
      <w:rFonts w:ascii="宋体" w:hAnsi="宋体"/>
      <w:kern w:val="2"/>
      <w:sz w:val="21"/>
      <w:szCs w:val="24"/>
      <w:lang w:val="en-US" w:eastAsia="zh-CN"/>
    </w:rPr>
  </w:style>
  <w:style w:type="character" w:customStyle="1" w:styleId="76">
    <w:name w:val="h Char Char"/>
    <w:qFormat/>
    <w:uiPriority w:val="0"/>
    <w:rPr>
      <w:rFonts w:eastAsia="宋体"/>
      <w:kern w:val="2"/>
      <w:sz w:val="18"/>
      <w:lang w:val="en-US" w:eastAsia="zh-CN" w:bidi="ar-SA"/>
    </w:rPr>
  </w:style>
  <w:style w:type="character" w:customStyle="1" w:styleId="77">
    <w:name w:val="Bold"/>
    <w:qFormat/>
    <w:uiPriority w:val="0"/>
    <w:rPr>
      <w:rFonts w:ascii="Arial" w:hAnsi="Arial" w:eastAsia="黑体" w:cs="Times New Roman"/>
      <w:b/>
      <w:kern w:val="2"/>
      <w:sz w:val="32"/>
      <w:szCs w:val="32"/>
      <w:lang w:val="en-US" w:eastAsia="zh-CN" w:bidi="ar-SA"/>
    </w:rPr>
  </w:style>
  <w:style w:type="character" w:customStyle="1" w:styleId="78">
    <w:name w:val="Ò³Ã¼ Char Char"/>
    <w:qFormat/>
    <w:uiPriority w:val="0"/>
    <w:rPr>
      <w:rFonts w:eastAsia="宋体"/>
      <w:kern w:val="2"/>
      <w:sz w:val="18"/>
      <w:lang w:val="en-US" w:eastAsia="zh-CN" w:bidi="ar-SA"/>
    </w:rPr>
  </w:style>
  <w:style w:type="character" w:customStyle="1" w:styleId="79">
    <w:name w:val="标准正文格式 Char"/>
    <w:qFormat/>
    <w:uiPriority w:val="0"/>
    <w:rPr>
      <w:rFonts w:ascii="宋体" w:eastAsia="仿宋_GB2312" w:cs="宋体"/>
      <w:color w:val="000000"/>
      <w:sz w:val="24"/>
      <w:lang w:val="en-US" w:eastAsia="zh-CN" w:bidi="ar-SA"/>
    </w:rPr>
  </w:style>
  <w:style w:type="character" w:customStyle="1" w:styleId="80">
    <w:name w:val="正文文本缩进 2 Char"/>
    <w:link w:val="35"/>
    <w:qFormat/>
    <w:uiPriority w:val="0"/>
    <w:rPr>
      <w:rFonts w:ascii="宋体"/>
      <w:sz w:val="28"/>
    </w:rPr>
  </w:style>
  <w:style w:type="character" w:customStyle="1" w:styleId="81">
    <w:name w:val="Char Char8"/>
    <w:qFormat/>
    <w:uiPriority w:val="0"/>
    <w:rPr>
      <w:rFonts w:eastAsia="宋体"/>
      <w:b/>
      <w:sz w:val="24"/>
      <w:lang w:val="en-GB" w:eastAsia="zh-CN"/>
    </w:rPr>
  </w:style>
  <w:style w:type="character" w:customStyle="1" w:styleId="82">
    <w:name w:val="No Spacing Char"/>
    <w:link w:val="83"/>
    <w:qFormat/>
    <w:uiPriority w:val="1"/>
    <w:rPr>
      <w:rFonts w:ascii="Calibri" w:hAnsi="Calibri"/>
      <w:sz w:val="22"/>
      <w:szCs w:val="22"/>
      <w:lang w:val="en-US" w:eastAsia="zh-CN" w:bidi="ar-SA"/>
    </w:rPr>
  </w:style>
  <w:style w:type="paragraph" w:customStyle="1" w:styleId="83">
    <w:name w:val="无间隔1"/>
    <w:link w:val="82"/>
    <w:qFormat/>
    <w:uiPriority w:val="1"/>
    <w:rPr>
      <w:rFonts w:ascii="Calibri" w:hAnsi="Calibri" w:eastAsia="宋体" w:cs="Times New Roman"/>
      <w:sz w:val="22"/>
      <w:szCs w:val="22"/>
      <w:lang w:val="en-US" w:eastAsia="zh-CN" w:bidi="ar-SA"/>
    </w:rPr>
  </w:style>
  <w:style w:type="character" w:customStyle="1" w:styleId="84">
    <w:name w:val="blue1"/>
    <w:basedOn w:val="62"/>
    <w:qFormat/>
    <w:uiPriority w:val="0"/>
    <w:rPr>
      <w:rFonts w:ascii="Arial" w:hAnsi="Arial" w:eastAsia="黑体" w:cs="Arial"/>
      <w:snapToGrid w:val="0"/>
      <w:kern w:val="0"/>
      <w:szCs w:val="21"/>
    </w:rPr>
  </w:style>
  <w:style w:type="character" w:customStyle="1" w:styleId="85">
    <w:name w:val="highlight1"/>
    <w:qFormat/>
    <w:uiPriority w:val="0"/>
    <w:rPr>
      <w:rFonts w:ascii="仿宋_GB2312" w:eastAsia="微软雅黑"/>
      <w:b/>
      <w:kern w:val="2"/>
      <w:sz w:val="23"/>
      <w:szCs w:val="23"/>
      <w:lang w:val="en-US" w:eastAsia="zh-CN" w:bidi="ar-SA"/>
    </w:rPr>
  </w:style>
  <w:style w:type="character" w:customStyle="1" w:styleId="86">
    <w:name w:val="ca-131"/>
    <w:qFormat/>
    <w:uiPriority w:val="0"/>
    <w:rPr>
      <w:rFonts w:hint="eastAsia" w:ascii="仿宋_GB2312" w:eastAsia="仿宋_GB2312"/>
      <w:b/>
      <w:bCs/>
      <w:color w:val="000000"/>
      <w:spacing w:val="-20"/>
      <w:sz w:val="24"/>
      <w:szCs w:val="24"/>
    </w:rPr>
  </w:style>
  <w:style w:type="character" w:customStyle="1" w:styleId="87">
    <w:name w:val="h3 Char"/>
    <w:qFormat/>
    <w:uiPriority w:val="0"/>
    <w:rPr>
      <w:rFonts w:eastAsia="宋体"/>
      <w:b/>
      <w:kern w:val="2"/>
      <w:sz w:val="32"/>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Comment Text Char"/>
    <w:semiHidden/>
    <w:qFormat/>
    <w:locked/>
    <w:uiPriority w:val="0"/>
    <w:rPr>
      <w:rFonts w:ascii="宋体" w:hAnsi="宋体" w:eastAsia="宋体"/>
      <w:kern w:val="2"/>
      <w:sz w:val="24"/>
      <w:lang w:val="en-US" w:eastAsia="zh-CN" w:bidi="ar-SA"/>
    </w:rPr>
  </w:style>
  <w:style w:type="character" w:customStyle="1" w:styleId="90">
    <w:name w:val="批注文字 Char"/>
    <w:qFormat/>
    <w:uiPriority w:val="99"/>
    <w:rPr>
      <w:kern w:val="2"/>
      <w:sz w:val="21"/>
      <w:szCs w:val="24"/>
    </w:rPr>
  </w:style>
  <w:style w:type="character" w:customStyle="1" w:styleId="91">
    <w:name w:val="仿宋正文 Char"/>
    <w:link w:val="92"/>
    <w:qFormat/>
    <w:uiPriority w:val="0"/>
    <w:rPr>
      <w:rFonts w:ascii="仿宋_GB2312" w:eastAsia="仿宋_GB2312"/>
      <w:kern w:val="2"/>
      <w:sz w:val="24"/>
      <w:lang w:val="en-US" w:eastAsia="zh-CN" w:bidi="ar-SA"/>
    </w:rPr>
  </w:style>
  <w:style w:type="paragraph" w:customStyle="1" w:styleId="92">
    <w:name w:val="仿宋正文"/>
    <w:basedOn w:val="1"/>
    <w:link w:val="91"/>
    <w:qFormat/>
    <w:uiPriority w:val="0"/>
    <w:pPr>
      <w:adjustRightInd/>
      <w:spacing w:line="360" w:lineRule="auto"/>
      <w:ind w:firstLine="480" w:firstLineChars="200"/>
    </w:pPr>
    <w:rPr>
      <w:rFonts w:ascii="仿宋_GB2312" w:eastAsia="仿宋_GB2312"/>
      <w:sz w:val="24"/>
      <w:szCs w:val="20"/>
    </w:rPr>
  </w:style>
  <w:style w:type="character" w:customStyle="1" w:styleId="93">
    <w:name w:val="style91"/>
    <w:qFormat/>
    <w:uiPriority w:val="0"/>
    <w:rPr>
      <w:color w:val="333333"/>
    </w:rPr>
  </w:style>
  <w:style w:type="character" w:customStyle="1" w:styleId="94">
    <w:name w:val="Char Char4"/>
    <w:qFormat/>
    <w:uiPriority w:val="0"/>
    <w:rPr>
      <w:rFonts w:eastAsia="宋体"/>
      <w:b/>
      <w:sz w:val="24"/>
      <w:lang w:val="en-GB" w:eastAsia="zh-CN" w:bidi="ar-SA"/>
    </w:rPr>
  </w:style>
  <w:style w:type="character" w:customStyle="1" w:styleId="95">
    <w:name w:val="Char Char2"/>
    <w:qFormat/>
    <w:uiPriority w:val="0"/>
    <w:rPr>
      <w:rFonts w:eastAsia="宋体"/>
      <w:b/>
      <w:bCs/>
      <w:kern w:val="2"/>
      <w:sz w:val="21"/>
      <w:szCs w:val="24"/>
      <w:lang w:val="en-US" w:eastAsia="zh-CN" w:bidi="ar-SA"/>
    </w:rPr>
  </w:style>
  <w:style w:type="character" w:customStyle="1" w:styleId="96">
    <w:name w:val="正文 项目2 Char"/>
    <w:basedOn w:val="97"/>
    <w:qFormat/>
    <w:uiPriority w:val="0"/>
    <w:rPr>
      <w:rFonts w:ascii="仿宋_GB2312" w:hAnsi="仿宋_GB2312" w:eastAsia="仿宋_GB2312"/>
      <w:kern w:val="2"/>
      <w:sz w:val="24"/>
      <w:lang w:bidi="ar-SA"/>
    </w:rPr>
  </w:style>
  <w:style w:type="character" w:customStyle="1" w:styleId="97">
    <w:name w:val="正文 项目 Char"/>
    <w:qFormat/>
    <w:uiPriority w:val="0"/>
    <w:rPr>
      <w:rFonts w:ascii="仿宋_GB2312" w:hAnsi="仿宋_GB2312" w:eastAsia="仿宋_GB2312"/>
      <w:kern w:val="2"/>
      <w:sz w:val="24"/>
      <w:lang w:bidi="ar-SA"/>
    </w:rPr>
  </w:style>
  <w:style w:type="character" w:customStyle="1" w:styleId="98">
    <w:name w:val="页眉 Char1"/>
    <w:qFormat/>
    <w:uiPriority w:val="0"/>
    <w:rPr>
      <w:rFonts w:eastAsia="宋体"/>
      <w:kern w:val="2"/>
      <w:sz w:val="18"/>
      <w:szCs w:val="18"/>
      <w:lang w:val="en-US" w:eastAsia="zh-CN" w:bidi="ar-SA"/>
    </w:rPr>
  </w:style>
  <w:style w:type="character" w:customStyle="1" w:styleId="99">
    <w:name w:val="副标题 Char"/>
    <w:link w:val="44"/>
    <w:qFormat/>
    <w:uiPriority w:val="0"/>
    <w:rPr>
      <w:rFonts w:ascii="Arial" w:hAnsi="Arial" w:eastAsia="隶书"/>
      <w:b/>
      <w:bCs/>
      <w:kern w:val="28"/>
      <w:sz w:val="44"/>
      <w:szCs w:val="32"/>
      <w:lang w:val="en-US" w:eastAsia="zh-CN" w:bidi="ar-SA"/>
    </w:rPr>
  </w:style>
  <w:style w:type="character" w:customStyle="1" w:styleId="100">
    <w:name w:val="正文文本缩进 Char1"/>
    <w:link w:val="23"/>
    <w:qFormat/>
    <w:uiPriority w:val="0"/>
    <w:rPr>
      <w:rFonts w:ascii="宋体" w:hAnsi="宋体"/>
      <w:kern w:val="2"/>
      <w:sz w:val="24"/>
      <w:szCs w:val="24"/>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h Char Char1"/>
    <w:qFormat/>
    <w:uiPriority w:val="0"/>
    <w:rPr>
      <w:rFonts w:eastAsia="宋体"/>
      <w:kern w:val="2"/>
      <w:sz w:val="18"/>
      <w:szCs w:val="18"/>
      <w:lang w:val="en-US" w:eastAsia="zh-CN" w:bidi="ar-SA"/>
    </w:rPr>
  </w:style>
  <w:style w:type="character" w:customStyle="1" w:styleId="103">
    <w:name w:val="样式8 Char"/>
    <w:qFormat/>
    <w:uiPriority w:val="0"/>
    <w:rPr>
      <w:rFonts w:ascii="仿宋_GB2312" w:hAnsi="宋体" w:eastAsia="仿宋_GB2312"/>
      <w:b/>
      <w:bCs/>
      <w:kern w:val="2"/>
      <w:sz w:val="24"/>
      <w:szCs w:val="24"/>
    </w:rPr>
  </w:style>
  <w:style w:type="character" w:customStyle="1" w:styleId="104">
    <w:name w:val="HTML 预设格式 Char"/>
    <w:link w:val="54"/>
    <w:qFormat/>
    <w:uiPriority w:val="0"/>
    <w:rPr>
      <w:rFonts w:ascii="黑体" w:hAnsi="Courier New" w:eastAsia="黑体"/>
    </w:rPr>
  </w:style>
  <w:style w:type="character" w:customStyle="1" w:styleId="105">
    <w:name w:val="页脚 Char1"/>
    <w:qFormat/>
    <w:uiPriority w:val="0"/>
    <w:rPr>
      <w:rFonts w:eastAsia="宋体"/>
      <w:kern w:val="2"/>
      <w:sz w:val="18"/>
      <w:szCs w:val="18"/>
      <w:lang w:val="en-US" w:eastAsia="zh-CN" w:bidi="ar-SA"/>
    </w:rPr>
  </w:style>
  <w:style w:type="character" w:customStyle="1" w:styleId="106">
    <w:name w:val="myp11"/>
    <w:qFormat/>
    <w:uiPriority w:val="0"/>
    <w:rPr>
      <w:rFonts w:ascii="仿宋_GB2312" w:eastAsia="微软雅黑"/>
      <w:b/>
      <w:kern w:val="2"/>
      <w:sz w:val="32"/>
      <w:szCs w:val="32"/>
      <w:lang w:val="en-US" w:eastAsia="zh-CN" w:bidi="ar-SA"/>
    </w:rPr>
  </w:style>
  <w:style w:type="character" w:customStyle="1" w:styleId="107">
    <w:name w:val="正文文本 2 Char"/>
    <w:qFormat/>
    <w:uiPriority w:val="0"/>
    <w:rPr>
      <w:rFonts w:eastAsia="宋体"/>
      <w:kern w:val="2"/>
      <w:sz w:val="21"/>
      <w:szCs w:val="24"/>
      <w:lang w:val="en-US" w:eastAsia="zh-CN" w:bidi="ar-SA"/>
    </w:rPr>
  </w:style>
  <w:style w:type="character" w:customStyle="1" w:styleId="108">
    <w:name w:val="tw4winTerm"/>
    <w:qFormat/>
    <w:uiPriority w:val="0"/>
    <w:rPr>
      <w:color w:val="0000FF"/>
    </w:rPr>
  </w:style>
  <w:style w:type="character" w:customStyle="1" w:styleId="109">
    <w:name w:val="标题 8 Char"/>
    <w:link w:val="9"/>
    <w:qFormat/>
    <w:uiPriority w:val="0"/>
    <w:rPr>
      <w:rFonts w:ascii="Arial" w:hAnsi="Arial" w:eastAsia="黑体"/>
      <w:kern w:val="2"/>
      <w:sz w:val="24"/>
      <w:szCs w:val="24"/>
    </w:rPr>
  </w:style>
  <w:style w:type="character" w:customStyle="1" w:styleId="110">
    <w:name w:val="标题 2 Char Char"/>
    <w:qFormat/>
    <w:uiPriority w:val="0"/>
    <w:rPr>
      <w:rFonts w:ascii="楷体_GB2312" w:hAnsi="Arial" w:eastAsia="楷体_GB2312"/>
      <w:b/>
      <w:bCs/>
      <w:kern w:val="2"/>
      <w:sz w:val="24"/>
      <w:szCs w:val="32"/>
      <w:lang w:val="en-US" w:eastAsia="zh-CN" w:bidi="ar-SA"/>
    </w:rPr>
  </w:style>
  <w:style w:type="character" w:customStyle="1" w:styleId="111">
    <w:name w:val="hei16b1"/>
    <w:qFormat/>
    <w:uiPriority w:val="0"/>
    <w:rPr>
      <w:rFonts w:hint="default" w:ascii="Arial" w:hAnsi="Arial" w:cs="Arial"/>
      <w:b/>
      <w:bCs/>
      <w:color w:val="000000"/>
      <w:sz w:val="24"/>
      <w:szCs w:val="24"/>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 w:val="24"/>
      <w:szCs w:val="20"/>
    </w:rPr>
  </w:style>
  <w:style w:type="character" w:customStyle="1" w:styleId="116">
    <w:name w:val="pt141"/>
    <w:qFormat/>
    <w:uiPriority w:val="0"/>
    <w:rPr>
      <w:color w:val="330066"/>
      <w:sz w:val="22"/>
      <w:szCs w:val="22"/>
    </w:rPr>
  </w:style>
  <w:style w:type="character" w:customStyle="1" w:styleId="117">
    <w:name w:val="普通文字 Char3"/>
    <w:qFormat/>
    <w:uiPriority w:val="0"/>
    <w:rPr>
      <w:rFonts w:ascii="宋体" w:hAnsi="Courier New" w:eastAsia="宋体"/>
      <w:kern w:val="2"/>
      <w:sz w:val="21"/>
      <w:lang w:val="en-US" w:eastAsia="zh-CN" w:bidi="ar-SA"/>
    </w:rPr>
  </w:style>
  <w:style w:type="character" w:customStyle="1" w:styleId="11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9">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标题 9 Char"/>
    <w:link w:val="10"/>
    <w:qFormat/>
    <w:uiPriority w:val="0"/>
    <w:rPr>
      <w:rFonts w:ascii="Arial" w:hAnsi="Arial" w:eastAsia="黑体"/>
      <w:kern w:val="2"/>
      <w:sz w:val="21"/>
      <w:szCs w:val="21"/>
    </w:rPr>
  </w:style>
  <w:style w:type="character" w:customStyle="1" w:styleId="123">
    <w:name w:val="Header Char"/>
    <w:semiHidden/>
    <w:qFormat/>
    <w:locked/>
    <w:uiPriority w:val="0"/>
    <w:rPr>
      <w:rFonts w:eastAsia="宋体"/>
      <w:kern w:val="2"/>
      <w:sz w:val="18"/>
      <w:szCs w:val="18"/>
      <w:lang w:val="en-US" w:eastAsia="zh-CN" w:bidi="ar-SA"/>
    </w:rPr>
  </w:style>
  <w:style w:type="character" w:customStyle="1" w:styleId="124">
    <w:name w:val="Footer-Even Char1"/>
    <w:qFormat/>
    <w:uiPriority w:val="0"/>
    <w:rPr>
      <w:rFonts w:eastAsia="宋体"/>
      <w:kern w:val="2"/>
      <w:sz w:val="18"/>
      <w:szCs w:val="18"/>
      <w:lang w:val="en-US" w:eastAsia="zh-CN" w:bidi="ar-SA"/>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纯文本 Char Char Char"/>
    <w:qFormat/>
    <w:uiPriority w:val="0"/>
    <w:rPr>
      <w:rFonts w:ascii="宋体" w:hAnsi="Courier New" w:eastAsia="宋体"/>
      <w:kern w:val="2"/>
      <w:sz w:val="21"/>
      <w:lang w:val="en-US" w:eastAsia="zh-CN" w:bidi="ar-SA"/>
    </w:rPr>
  </w:style>
  <w:style w:type="character" w:customStyle="1" w:styleId="127">
    <w:name w:val="Body Text(ch) Char Char"/>
    <w:qFormat/>
    <w:uiPriority w:val="0"/>
    <w:rPr>
      <w:rFonts w:ascii="宋体"/>
      <w:kern w:val="2"/>
      <w:sz w:val="24"/>
      <w:szCs w:val="21"/>
      <w:lang w:val="zh-CN"/>
    </w:rPr>
  </w:style>
  <w:style w:type="character" w:customStyle="1" w:styleId="128">
    <w:name w:val="插图说明 Char"/>
    <w:qFormat/>
    <w:uiPriority w:val="0"/>
    <w:rPr>
      <w:rFonts w:eastAsia="黑体"/>
      <w:sz w:val="24"/>
      <w:lang w:val="en-US" w:eastAsia="zh-CN"/>
    </w:rPr>
  </w:style>
  <w:style w:type="character" w:customStyle="1" w:styleId="129">
    <w:name w:val="tw4winExternal"/>
    <w:qFormat/>
    <w:uiPriority w:val="0"/>
    <w:rPr>
      <w:rFonts w:ascii="Courier New" w:hAnsi="Courier New" w:cs="Courier New"/>
      <w:color w:val="808080"/>
      <w:lang w:val="en-US" w:eastAsia="zh-CN"/>
    </w:rPr>
  </w:style>
  <w:style w:type="character" w:customStyle="1" w:styleId="130">
    <w:name w:val="font21"/>
    <w:qFormat/>
    <w:uiPriority w:val="0"/>
    <w:rPr>
      <w:rFonts w:hint="eastAsia" w:ascii="宋体" w:hAnsi="宋体" w:eastAsia="宋体"/>
      <w:kern w:val="2"/>
      <w:sz w:val="28"/>
      <w:szCs w:val="28"/>
      <w:lang w:val="en-US" w:eastAsia="zh-CN" w:bidi="ar-SA"/>
    </w:rPr>
  </w:style>
  <w:style w:type="character" w:customStyle="1" w:styleId="131">
    <w:name w:val="标书正文格式 Char"/>
    <w:qFormat/>
    <w:uiPriority w:val="0"/>
    <w:rPr>
      <w:rFonts w:eastAsia="楷体_GB2312"/>
      <w:kern w:val="2"/>
      <w:sz w:val="24"/>
      <w:szCs w:val="24"/>
      <w:lang w:bidi="ar-SA"/>
    </w:rPr>
  </w:style>
  <w:style w:type="character" w:customStyle="1" w:styleId="132">
    <w:name w:val="正文首行缩进 Char"/>
    <w:link w:val="58"/>
    <w:qFormat/>
    <w:uiPriority w:val="0"/>
    <w:rPr>
      <w:rFonts w:ascii="宋体"/>
      <w:kern w:val="2"/>
      <w:sz w:val="24"/>
      <w:lang w:val="zh-CN"/>
    </w:rPr>
  </w:style>
  <w:style w:type="character" w:customStyle="1" w:styleId="133">
    <w:name w:val="javascript"/>
    <w:qFormat/>
    <w:uiPriority w:val="0"/>
  </w:style>
  <w:style w:type="character" w:customStyle="1" w:styleId="134">
    <w:name w:val="Balloon Text Char"/>
    <w:semiHidden/>
    <w:qFormat/>
    <w:locked/>
    <w:uiPriority w:val="0"/>
    <w:rPr>
      <w:rFonts w:eastAsia="宋体"/>
      <w:kern w:val="2"/>
      <w:sz w:val="18"/>
      <w:szCs w:val="18"/>
      <w:lang w:val="en-US" w:eastAsia="zh-CN" w:bidi="ar-SA"/>
    </w:rPr>
  </w:style>
  <w:style w:type="character" w:customStyle="1" w:styleId="135">
    <w:name w:val="Char Char5"/>
    <w:qFormat/>
    <w:uiPriority w:val="0"/>
    <w:rPr>
      <w:rFonts w:ascii="宋体" w:hAnsi="Courier New" w:eastAsia="宋体"/>
      <w:kern w:val="2"/>
      <w:sz w:val="21"/>
      <w:lang w:val="en-US" w:eastAsia="zh-CN"/>
    </w:rPr>
  </w:style>
  <w:style w:type="character" w:customStyle="1" w:styleId="136">
    <w:name w:val="Char Char"/>
    <w:qFormat/>
    <w:uiPriority w:val="0"/>
    <w:rPr>
      <w:rFonts w:ascii="宋体" w:hAnsi="Courier New" w:eastAsia="宋体"/>
      <w:kern w:val="2"/>
      <w:sz w:val="21"/>
      <w:lang w:val="en-US" w:eastAsia="zh-CN" w:bidi="ar-SA"/>
    </w:rPr>
  </w:style>
  <w:style w:type="character" w:customStyle="1" w:styleId="137">
    <w:name w:val="mdeck"/>
    <w:qFormat/>
    <w:uiPriority w:val="0"/>
    <w:rPr>
      <w:rFonts w:ascii="仿宋_GB2312" w:eastAsia="微软雅黑"/>
      <w:b/>
      <w:kern w:val="2"/>
      <w:sz w:val="32"/>
      <w:szCs w:val="32"/>
      <w:lang w:val="en-US" w:eastAsia="zh-CN" w:bidi="ar-SA"/>
    </w:rPr>
  </w:style>
  <w:style w:type="character" w:customStyle="1" w:styleId="138">
    <w:name w:val="content"/>
    <w:qFormat/>
    <w:uiPriority w:val="0"/>
  </w:style>
  <w:style w:type="character" w:customStyle="1" w:styleId="139">
    <w:name w:val="Char Char3"/>
    <w:qFormat/>
    <w:uiPriority w:val="0"/>
    <w:rPr>
      <w:rFonts w:eastAsia="宋体"/>
      <w:kern w:val="2"/>
      <w:sz w:val="21"/>
      <w:szCs w:val="24"/>
      <w:lang w:val="en-US" w:eastAsia="zh-CN" w:bidi="ar-SA"/>
    </w:rPr>
  </w:style>
  <w:style w:type="character" w:customStyle="1" w:styleId="140">
    <w:name w:val="Char Char81"/>
    <w:qFormat/>
    <w:uiPriority w:val="6"/>
    <w:rPr>
      <w:rFonts w:eastAsia="宋体"/>
      <w:b/>
      <w:sz w:val="24"/>
      <w:lang w:val="en-GB" w:eastAsia="zh-CN"/>
    </w:rPr>
  </w:style>
  <w:style w:type="character" w:customStyle="1" w:styleId="141">
    <w:name w:val="标题 1 Char"/>
    <w:link w:val="2"/>
    <w:qFormat/>
    <w:uiPriority w:val="0"/>
    <w:rPr>
      <w:rFonts w:ascii="仿宋" w:hAnsi="仿宋" w:eastAsia="仿宋" w:cs="仿宋_GB2312"/>
      <w:b/>
      <w:color w:val="000000"/>
      <w:kern w:val="2"/>
      <w:sz w:val="36"/>
      <w:szCs w:val="36"/>
    </w:rPr>
  </w:style>
  <w:style w:type="character" w:customStyle="1" w:styleId="142">
    <w:name w:val="页眉 Char"/>
    <w:qFormat/>
    <w:uiPriority w:val="99"/>
    <w:rPr>
      <w:rFonts w:eastAsia="仿宋_GB2312"/>
      <w:kern w:val="2"/>
      <w:sz w:val="18"/>
      <w:lang w:val="en-US" w:eastAsia="zh-CN"/>
    </w:rPr>
  </w:style>
  <w:style w:type="character" w:customStyle="1" w:styleId="143">
    <w:name w:val="b11_01b Char"/>
    <w:link w:val="144"/>
    <w:qFormat/>
    <w:uiPriority w:val="0"/>
    <w:rPr>
      <w:rFonts w:ascii="Verdana" w:hAnsi="Verdana"/>
      <w:b/>
      <w:bCs/>
      <w:color w:val="4A82CA"/>
      <w:sz w:val="17"/>
      <w:szCs w:val="17"/>
    </w:rPr>
  </w:style>
  <w:style w:type="paragraph" w:customStyle="1" w:styleId="144">
    <w:name w:val="b11_01b"/>
    <w:basedOn w:val="1"/>
    <w:next w:val="1"/>
    <w:link w:val="1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批注主题 Char"/>
    <w:qFormat/>
    <w:uiPriority w:val="0"/>
    <w:rPr>
      <w:rFonts w:eastAsia="宋体"/>
      <w:b/>
      <w:bCs/>
      <w:kern w:val="2"/>
      <w:sz w:val="21"/>
      <w:szCs w:val="24"/>
      <w:lang w:val="en-US" w:eastAsia="zh-CN" w:bidi="ar-SA"/>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gray6"/>
    <w:basedOn w:val="62"/>
    <w:qFormat/>
    <w:uiPriority w:val="0"/>
    <w:rPr>
      <w:rFonts w:ascii="Arial" w:hAnsi="Arial" w:eastAsia="黑体" w:cs="Arial"/>
      <w:snapToGrid w:val="0"/>
      <w:kern w:val="0"/>
      <w:szCs w:val="21"/>
    </w:rPr>
  </w:style>
  <w:style w:type="character" w:customStyle="1" w:styleId="151">
    <w:name w:val="正文首行缩进两字 Char"/>
    <w:qFormat/>
    <w:uiPriority w:val="0"/>
    <w:rPr>
      <w:sz w:val="24"/>
      <w:szCs w:val="24"/>
      <w:lang w:val="en-US" w:eastAsia="zh-CN" w:bidi="ar-SA"/>
    </w:rPr>
  </w:style>
  <w:style w:type="character" w:customStyle="1" w:styleId="152">
    <w:name w:val="Char Char51"/>
    <w:qFormat/>
    <w:uiPriority w:val="0"/>
    <w:rPr>
      <w:rFonts w:ascii="宋体" w:hAnsi="Courier New" w:eastAsia="宋体"/>
      <w:kern w:val="2"/>
      <w:sz w:val="21"/>
      <w:lang w:val="en-US" w:eastAsia="zh-CN"/>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样式 标题 4h4H4Fab-4T5Ref Heading 1rh1Heading sqlsect 1.2.3.... Char"/>
    <w:link w:val="157"/>
    <w:qFormat/>
    <w:uiPriority w:val="0"/>
    <w:rPr>
      <w:rFonts w:ascii="微软雅黑" w:hAnsi="微软雅黑" w:eastAsia="微软雅黑"/>
      <w:b/>
      <w:bCs/>
      <w:kern w:val="2"/>
      <w:sz w:val="24"/>
      <w:szCs w:val="28"/>
    </w:rPr>
  </w:style>
  <w:style w:type="paragraph" w:customStyle="1" w:styleId="157">
    <w:name w:val="样式 标题 4h4H4Fab-4T5Ref Heading 1rh1Heading sqlsect 1.2.3...."/>
    <w:basedOn w:val="5"/>
    <w:link w:val="1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8">
    <w:name w:val="dandyren_title1"/>
    <w:qFormat/>
    <w:uiPriority w:val="0"/>
    <w:rPr>
      <w:b/>
      <w:bCs/>
      <w:color w:val="FF6633"/>
      <w:sz w:val="18"/>
      <w:szCs w:val="18"/>
    </w:rPr>
  </w:style>
  <w:style w:type="character" w:customStyle="1" w:styleId="159">
    <w:name w:val="普通文字 Char Char1"/>
    <w:qFormat/>
    <w:uiPriority w:val="0"/>
    <w:rPr>
      <w:rFonts w:ascii="宋体" w:hAnsi="Courier New"/>
      <w:kern w:val="2"/>
      <w:sz w:val="21"/>
    </w:rPr>
  </w:style>
  <w:style w:type="character" w:customStyle="1" w:styleId="160">
    <w:name w:val="PI Char"/>
    <w:qFormat/>
    <w:uiPriority w:val="0"/>
    <w:rPr>
      <w:rFonts w:ascii="宋体" w:hAnsi="宋体" w:eastAsia="宋体"/>
      <w:kern w:val="2"/>
      <w:sz w:val="24"/>
      <w:szCs w:val="24"/>
      <w:lang w:val="en-US" w:eastAsia="zh-CN" w:bidi="ar-SA"/>
    </w:rPr>
  </w:style>
  <w:style w:type="character" w:customStyle="1" w:styleId="161">
    <w:name w:val="Char Char11"/>
    <w:qFormat/>
    <w:locked/>
    <w:uiPriority w:val="0"/>
    <w:rPr>
      <w:rFonts w:ascii="宋体" w:hAnsi="宋体" w:eastAsia="宋体"/>
      <w:b/>
      <w:kern w:val="2"/>
      <w:sz w:val="24"/>
      <w:szCs w:val="24"/>
      <w:lang w:val="en-US" w:eastAsia="zh-CN" w:bidi="ar-SA"/>
    </w:rPr>
  </w:style>
  <w:style w:type="character" w:customStyle="1" w:styleId="1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3">
    <w:name w:val="Document Map Char"/>
    <w:semiHidden/>
    <w:qFormat/>
    <w:locked/>
    <w:uiPriority w:val="0"/>
    <w:rPr>
      <w:rFonts w:eastAsia="宋体"/>
      <w:kern w:val="2"/>
      <w:sz w:val="21"/>
      <w:szCs w:val="24"/>
      <w:lang w:val="en-US" w:eastAsia="zh-CN" w:bidi="ar-SA"/>
    </w:rPr>
  </w:style>
  <w:style w:type="character" w:customStyle="1" w:styleId="164">
    <w:name w:val="正文文本缩进 Char"/>
    <w:qFormat/>
    <w:uiPriority w:val="0"/>
    <w:rPr>
      <w:rFonts w:ascii="宋体" w:hAnsi="宋体"/>
      <w:kern w:val="2"/>
      <w:sz w:val="24"/>
      <w:szCs w:val="24"/>
    </w:rPr>
  </w:style>
  <w:style w:type="character" w:customStyle="1" w:styleId="165">
    <w:name w:val="文本正文 Char Char"/>
    <w:qFormat/>
    <w:locked/>
    <w:uiPriority w:val="0"/>
    <w:rPr>
      <w:sz w:val="24"/>
      <w:lang w:bidi="ar-SA"/>
    </w:rPr>
  </w:style>
  <w:style w:type="character" w:customStyle="1" w:styleId="166">
    <w:name w:val="样式7 Char"/>
    <w:qFormat/>
    <w:uiPriority w:val="0"/>
    <w:rPr>
      <w:rFonts w:ascii="仿宋_GB2312" w:hAnsi="仿宋" w:eastAsia="仿宋_GB2312"/>
      <w:b/>
      <w:kern w:val="2"/>
      <w:sz w:val="24"/>
      <w:szCs w:val="24"/>
    </w:rPr>
  </w:style>
  <w:style w:type="character" w:customStyle="1" w:styleId="167">
    <w:name w:val="样式3 Char"/>
    <w:basedOn w:val="168"/>
    <w:qFormat/>
    <w:uiPriority w:val="0"/>
    <w:rPr>
      <w:rFonts w:ascii="仿宋_GB2312" w:hAnsi="仿宋" w:eastAsia="仿宋_GB2312" w:cs="仿宋_GB2312"/>
      <w:sz w:val="32"/>
      <w:szCs w:val="30"/>
      <w:lang w:val="zh-CN"/>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二级标题 Char Char"/>
    <w:qFormat/>
    <w:uiPriority w:val="0"/>
    <w:rPr>
      <w:rFonts w:ascii="宋体" w:hAnsi="宋体" w:eastAsia="宋体"/>
      <w:b/>
      <w:snapToGrid w:val="0"/>
      <w:kern w:val="2"/>
      <w:sz w:val="24"/>
      <w:szCs w:val="24"/>
      <w:lang w:val="en-US" w:eastAsia="zh-CN" w:bidi="ar-SA"/>
    </w:rPr>
  </w:style>
  <w:style w:type="character" w:customStyle="1" w:styleId="170">
    <w:name w:val="Table Text Char1"/>
    <w:qFormat/>
    <w:uiPriority w:val="0"/>
    <w:rPr>
      <w:rFonts w:eastAsia="宋体"/>
      <w:sz w:val="24"/>
      <w:szCs w:val="24"/>
      <w:lang w:val="en-US" w:eastAsia="zh-CN" w:bidi="ar-SA"/>
    </w:rPr>
  </w:style>
  <w:style w:type="character" w:customStyle="1" w:styleId="171">
    <w:name w:val="shadow11"/>
    <w:qFormat/>
    <w:uiPriority w:val="0"/>
    <w:rPr>
      <w:color w:val="000000"/>
      <w:sz w:val="21"/>
    </w:rPr>
  </w:style>
  <w:style w:type="character" w:customStyle="1" w:styleId="172">
    <w:name w:val="HTML 地址 Char"/>
    <w:link w:val="28"/>
    <w:qFormat/>
    <w:uiPriority w:val="0"/>
    <w:rPr>
      <w:rFonts w:ascii="宋体" w:hAnsi="宋体"/>
      <w:i/>
      <w:iCs/>
      <w:sz w:val="24"/>
      <w:szCs w:val="24"/>
    </w:rPr>
  </w:style>
  <w:style w:type="character" w:customStyle="1" w:styleId="173">
    <w:name w:val="Char Char21"/>
    <w:qFormat/>
    <w:uiPriority w:val="0"/>
    <w:rPr>
      <w:rFonts w:eastAsia="宋体"/>
      <w:b/>
      <w:bCs/>
      <w:kern w:val="2"/>
      <w:sz w:val="21"/>
      <w:szCs w:val="24"/>
      <w:lang w:val="en-US" w:eastAsia="zh-CN" w:bidi="ar-SA"/>
    </w:rPr>
  </w:style>
  <w:style w:type="character" w:customStyle="1" w:styleId="174">
    <w:name w:val="标题 5 Char"/>
    <w:link w:val="6"/>
    <w:qFormat/>
    <w:uiPriority w:val="0"/>
    <w:rPr>
      <w:b/>
      <w:bCs/>
      <w:kern w:val="2"/>
      <w:sz w:val="28"/>
      <w:szCs w:val="28"/>
    </w:rPr>
  </w:style>
  <w:style w:type="character" w:customStyle="1" w:styleId="175">
    <w:name w:val="h3 Char1"/>
    <w:qFormat/>
    <w:uiPriority w:val="0"/>
    <w:rPr>
      <w:rFonts w:eastAsia="宋体"/>
      <w:b/>
      <w:bCs/>
      <w:kern w:val="2"/>
      <w:sz w:val="32"/>
      <w:szCs w:val="32"/>
      <w:lang w:bidi="ar-SA"/>
    </w:rPr>
  </w:style>
  <w:style w:type="character" w:customStyle="1" w:styleId="176">
    <w:name w:val="FA正文 Char Char"/>
    <w:qFormat/>
    <w:uiPriority w:val="0"/>
    <w:rPr>
      <w:rFonts w:hAnsi="宋体"/>
      <w:kern w:val="2"/>
      <w:sz w:val="24"/>
      <w:lang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hui"/>
    <w:basedOn w:val="62"/>
    <w:qFormat/>
    <w:uiPriority w:val="0"/>
    <w:rPr>
      <w:rFonts w:ascii="Arial" w:hAnsi="Arial" w:eastAsia="黑体" w:cs="Arial"/>
      <w:snapToGrid w:val="0"/>
      <w:kern w:val="0"/>
      <w:szCs w:val="21"/>
    </w:rPr>
  </w:style>
  <w:style w:type="character" w:customStyle="1" w:styleId="180">
    <w:name w:val="正文缩进 Char"/>
    <w:qFormat/>
    <w:uiPriority w:val="0"/>
    <w:rPr>
      <w:rFonts w:eastAsia="宋体"/>
      <w:kern w:val="2"/>
      <w:sz w:val="21"/>
      <w:lang w:val="en-US" w:eastAsia="zh-CN"/>
    </w:rPr>
  </w:style>
  <w:style w:type="character" w:customStyle="1" w:styleId="181">
    <w:name w:val="正文1 Char"/>
    <w:qFormat/>
    <w:uiPriority w:val="0"/>
    <w:rPr>
      <w:rFonts w:ascii="宋体" w:eastAsia="宋体"/>
      <w:snapToGrid w:val="0"/>
      <w:color w:val="000000"/>
      <w:kern w:val="28"/>
      <w:sz w:val="28"/>
      <w:lang w:val="en-US" w:eastAsia="zh-CN" w:bidi="ar-SA"/>
    </w:rPr>
  </w:style>
  <w:style w:type="character" w:customStyle="1" w:styleId="182">
    <w:name w:val="Char Char61"/>
    <w:qFormat/>
    <w:uiPriority w:val="0"/>
    <w:rPr>
      <w:rFonts w:eastAsia="宋体"/>
      <w:kern w:val="2"/>
      <w:sz w:val="21"/>
      <w:szCs w:val="24"/>
      <w:lang w:val="en-US" w:eastAsia="zh-CN" w:bidi="ar-SA"/>
    </w:rPr>
  </w:style>
  <w:style w:type="character" w:customStyle="1" w:styleId="183">
    <w:name w:val="正文文本 3 Char"/>
    <w:link w:val="21"/>
    <w:qFormat/>
    <w:uiPriority w:val="0"/>
    <w:rPr>
      <w:kern w:val="2"/>
      <w:sz w:val="21"/>
    </w:rPr>
  </w:style>
  <w:style w:type="character" w:customStyle="1" w:styleId="184">
    <w:name w:val="message1"/>
    <w:qFormat/>
    <w:uiPriority w:val="0"/>
    <w:rPr>
      <w:rFonts w:hint="default" w:ascii="Tahoma" w:hAnsi="Tahoma" w:cs="Tahoma"/>
      <w:sz w:val="18"/>
      <w:szCs w:val="18"/>
    </w:rPr>
  </w:style>
  <w:style w:type="character" w:customStyle="1" w:styleId="185">
    <w:name w:val="Heading 2 Hidden Char"/>
    <w:qFormat/>
    <w:uiPriority w:val="0"/>
    <w:rPr>
      <w:rFonts w:ascii="仿宋_GB2312" w:eastAsia="仿宋_GB2312"/>
      <w:b/>
      <w:bCs/>
      <w:kern w:val="2"/>
      <w:sz w:val="24"/>
      <w:szCs w:val="24"/>
      <w:lang w:val="zh-CN" w:eastAsia="zh-CN" w:bidi="ar-SA"/>
    </w:rPr>
  </w:style>
  <w:style w:type="character" w:customStyle="1" w:styleId="186">
    <w:name w:val="DO_NOT_TRANSLATE"/>
    <w:qFormat/>
    <w:uiPriority w:val="0"/>
    <w:rPr>
      <w:rFonts w:ascii="Courier New" w:hAnsi="Courier New" w:cs="Courier New"/>
      <w:color w:val="800000"/>
      <w:lang w:val="en-US" w:eastAsia="zh-CN"/>
    </w:rPr>
  </w:style>
  <w:style w:type="character" w:customStyle="1" w:styleId="187">
    <w:name w:val="unnamed11"/>
    <w:qFormat/>
    <w:uiPriority w:val="0"/>
    <w:rPr>
      <w:sz w:val="20"/>
      <w:szCs w:val="20"/>
    </w:rPr>
  </w:style>
  <w:style w:type="character" w:customStyle="1" w:styleId="188">
    <w:name w:val="tw4winInternal"/>
    <w:qFormat/>
    <w:uiPriority w:val="0"/>
    <w:rPr>
      <w:rFonts w:ascii="Courier New" w:hAnsi="Courier New" w:cs="Courier New"/>
      <w:color w:val="FF0000"/>
      <w:lang w:val="en-US" w:eastAsia="zh-CN"/>
    </w:rPr>
  </w:style>
  <w:style w:type="character" w:customStyle="1" w:styleId="189">
    <w:name w:val="正文（缩进2汉字） Char"/>
    <w:link w:val="190"/>
    <w:qFormat/>
    <w:uiPriority w:val="0"/>
    <w:rPr>
      <w:rFonts w:ascii="宋体"/>
    </w:rPr>
  </w:style>
  <w:style w:type="paragraph" w:customStyle="1" w:styleId="190">
    <w:name w:val="正文（缩进2汉字）"/>
    <w:basedOn w:val="1"/>
    <w:link w:val="1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1">
    <w:name w:val="页脚 Char"/>
    <w:qFormat/>
    <w:uiPriority w:val="99"/>
    <w:rPr>
      <w:rFonts w:eastAsia="仿宋_GB2312"/>
      <w:kern w:val="2"/>
      <w:sz w:val="18"/>
      <w:lang w:val="en-US" w:eastAsia="zh-CN"/>
    </w:rPr>
  </w:style>
  <w:style w:type="character" w:customStyle="1" w:styleId="192">
    <w:name w:val="正文文本缩进 3 Char"/>
    <w:link w:val="50"/>
    <w:qFormat/>
    <w:uiPriority w:val="0"/>
    <w:rPr>
      <w:kern w:val="2"/>
      <w:sz w:val="24"/>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style36"/>
    <w:basedOn w:val="62"/>
    <w:qFormat/>
    <w:uiPriority w:val="0"/>
    <w:rPr>
      <w:rFonts w:ascii="Arial" w:hAnsi="Arial" w:eastAsia="黑体" w:cs="Arial"/>
      <w:snapToGrid w:val="0"/>
      <w:kern w:val="0"/>
      <w:szCs w:val="21"/>
    </w:rPr>
  </w:style>
  <w:style w:type="character" w:customStyle="1" w:styleId="196">
    <w:name w:val="hui3"/>
    <w:qFormat/>
    <w:uiPriority w:val="0"/>
    <w:rPr>
      <w:color w:val="333333"/>
    </w:rPr>
  </w:style>
  <w:style w:type="character" w:customStyle="1" w:styleId="197">
    <w:name w:val="方案正文 Char"/>
    <w:qFormat/>
    <w:uiPriority w:val="0"/>
    <w:rPr>
      <w:rFonts w:ascii="仿宋_GB2312" w:eastAsia="仿宋_GB2312"/>
      <w:b/>
      <w:color w:val="000000"/>
      <w:kern w:val="2"/>
      <w:sz w:val="24"/>
      <w:lang w:val="en-US" w:eastAsia="zh-CN" w:bidi="ar-SA"/>
    </w:rPr>
  </w:style>
  <w:style w:type="character" w:customStyle="1" w:styleId="198">
    <w:name w:val="apple-converted-space"/>
    <w:qFormat/>
    <w:uiPriority w:val="0"/>
  </w:style>
  <w:style w:type="character" w:customStyle="1" w:styleId="199">
    <w:name w:val="文档结构图 Char"/>
    <w:qFormat/>
    <w:uiPriority w:val="0"/>
    <w:rPr>
      <w:rFonts w:eastAsia="宋体"/>
      <w:kern w:val="2"/>
      <w:sz w:val="21"/>
      <w:szCs w:val="24"/>
      <w:lang w:val="en-US" w:eastAsia="zh-CN" w:bidi="ar-SA"/>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dectext1"/>
    <w:qFormat/>
    <w:uiPriority w:val="0"/>
    <w:rPr>
      <w:rFonts w:ascii="宋体" w:hAnsi="宋体" w:eastAsia="宋体"/>
      <w:color w:val="333333"/>
      <w:sz w:val="21"/>
      <w:szCs w:val="21"/>
      <w:u w:val="none"/>
    </w:rPr>
  </w:style>
  <w:style w:type="character" w:customStyle="1" w:styleId="202">
    <w:name w:val="t21"/>
    <w:qFormat/>
    <w:uiPriority w:val="0"/>
    <w:rPr>
      <w:rFonts w:ascii="仿宋_GB2312" w:eastAsia="微软雅黑"/>
      <w:b/>
      <w:kern w:val="2"/>
      <w:sz w:val="23"/>
      <w:szCs w:val="23"/>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标题 7 Char"/>
    <w:link w:val="8"/>
    <w:qFormat/>
    <w:uiPriority w:val="0"/>
    <w:rPr>
      <w:b/>
      <w:bCs/>
      <w:kern w:val="2"/>
      <w:sz w:val="24"/>
      <w:szCs w:val="24"/>
    </w:rPr>
  </w:style>
  <w:style w:type="character" w:customStyle="1" w:styleId="206">
    <w:name w:val="Normal Indent Char Char"/>
    <w:qFormat/>
    <w:uiPriority w:val="0"/>
    <w:rPr>
      <w:rFonts w:eastAsia="宋体"/>
      <w:kern w:val="2"/>
      <w:sz w:val="21"/>
      <w:lang w:val="en-US" w:eastAsia="zh-CN" w:bidi="ar-SA"/>
    </w:rPr>
  </w:style>
  <w:style w:type="character" w:customStyle="1" w:styleId="207">
    <w:name w:val="f141"/>
    <w:qFormat/>
    <w:uiPriority w:val="0"/>
    <w:rPr>
      <w:rFonts w:ascii="Tahoma" w:hAnsi="Tahoma" w:eastAsia="宋体"/>
      <w:b/>
      <w:kern w:val="2"/>
      <w:sz w:val="21"/>
      <w:szCs w:val="21"/>
      <w:lang w:val="en-US" w:eastAsia="zh-CN" w:bidi="ar-SA"/>
    </w:rPr>
  </w:style>
  <w:style w:type="character" w:customStyle="1" w:styleId="208">
    <w:name w:val="日期 Char"/>
    <w:link w:val="34"/>
    <w:qFormat/>
    <w:uiPriority w:val="0"/>
    <w:rPr>
      <w:rFonts w:ascii="宋体"/>
      <w:kern w:val="2"/>
      <w:sz w:val="24"/>
      <w:szCs w:val="21"/>
      <w:lang w:val="zh-CN"/>
    </w:rPr>
  </w:style>
  <w:style w:type="character" w:customStyle="1" w:styleId="209">
    <w:name w:val="myp1111"/>
    <w:qFormat/>
    <w:uiPriority w:val="0"/>
    <w:rPr>
      <w:rFonts w:hint="default" w:ascii="ˎ̥" w:hAnsi="ˎ̥"/>
      <w:color w:val="000000"/>
      <w:sz w:val="20"/>
      <w:szCs w:val="20"/>
      <w:u w:val="none"/>
    </w:rPr>
  </w:style>
  <w:style w:type="character" w:customStyle="1" w:styleId="210">
    <w:name w:val="称呼 Char"/>
    <w:link w:val="20"/>
    <w:qFormat/>
    <w:uiPriority w:val="0"/>
    <w:rPr>
      <w:rFonts w:ascii="仿宋_GB2312" w:eastAsia="仿宋_GB2312"/>
      <w:kern w:val="2"/>
      <w:sz w:val="28"/>
    </w:rPr>
  </w:style>
  <w:style w:type="character" w:customStyle="1" w:styleId="211">
    <w:name w:val="标题 4 Char"/>
    <w:link w:val="5"/>
    <w:qFormat/>
    <w:uiPriority w:val="0"/>
    <w:rPr>
      <w:rFonts w:ascii="Arial" w:hAnsi="Arial" w:eastAsia="黑体"/>
      <w:b/>
      <w:bCs/>
      <w:kern w:val="2"/>
      <w:sz w:val="28"/>
      <w:szCs w:val="28"/>
      <w:lang w:val="zh-CN"/>
    </w:rPr>
  </w:style>
  <w:style w:type="character" w:customStyle="1" w:styleId="212">
    <w:name w:val="标书1 Char"/>
    <w:qFormat/>
    <w:uiPriority w:val="0"/>
    <w:rPr>
      <w:rFonts w:eastAsia="宋体"/>
      <w:b/>
      <w:bCs/>
      <w:kern w:val="44"/>
      <w:sz w:val="44"/>
      <w:szCs w:val="44"/>
      <w:lang w:val="en-US" w:eastAsia="zh-CN" w:bidi="ar-SA"/>
    </w:rPr>
  </w:style>
  <w:style w:type="character" w:customStyle="1" w:styleId="213">
    <w:name w:val="链接"/>
    <w:qFormat/>
    <w:uiPriority w:val="0"/>
    <w:rPr>
      <w:color w:val="0000FF"/>
      <w:sz w:val="21"/>
      <w:szCs w:val="21"/>
      <w:u w:val="single"/>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正文2 Char Char"/>
    <w:link w:val="216"/>
    <w:qFormat/>
    <w:uiPriority w:val="0"/>
    <w:rPr>
      <w:rFonts w:eastAsia="宋体"/>
      <w:kern w:val="2"/>
      <w:sz w:val="24"/>
      <w:lang w:val="en-US" w:eastAsia="zh-CN" w:bidi="ar-SA"/>
    </w:rPr>
  </w:style>
  <w:style w:type="paragraph" w:customStyle="1" w:styleId="216">
    <w:name w:val="正文2"/>
    <w:basedOn w:val="1"/>
    <w:link w:val="215"/>
    <w:qFormat/>
    <w:uiPriority w:val="0"/>
    <w:pPr>
      <w:spacing w:before="156" w:line="360" w:lineRule="auto"/>
      <w:ind w:firstLine="510" w:firstLineChars="200"/>
    </w:pPr>
    <w:rPr>
      <w:sz w:val="24"/>
      <w:szCs w:val="20"/>
    </w:rPr>
  </w:style>
  <w:style w:type="character" w:customStyle="1" w:styleId="217">
    <w:name w:val="tw4winError"/>
    <w:qFormat/>
    <w:uiPriority w:val="0"/>
    <w:rPr>
      <w:rFonts w:ascii="Courier New" w:hAnsi="Courier New" w:cs="Courier New"/>
      <w:color w:val="00FF00"/>
      <w:sz w:val="40"/>
      <w:szCs w:val="40"/>
    </w:rPr>
  </w:style>
  <w:style w:type="character" w:customStyle="1" w:styleId="218">
    <w:name w:val="正文1 Char1"/>
    <w:qFormat/>
    <w:uiPriority w:val="0"/>
    <w:rPr>
      <w:rFonts w:ascii="仿宋_GB2312" w:hAnsi="Courier New" w:eastAsia="仿宋_GB2312"/>
      <w:kern w:val="28"/>
      <w:sz w:val="24"/>
      <w:szCs w:val="24"/>
      <w:lang w:val="en-US" w:eastAsia="zh-CN"/>
    </w:rPr>
  </w:style>
  <w:style w:type="character" w:customStyle="1" w:styleId="219">
    <w:name w:val="Used by Word for text of Help footnotes Char Char"/>
    <w:semiHidden/>
    <w:qFormat/>
    <w:uiPriority w:val="0"/>
    <w:rPr>
      <w:rFonts w:ascii="Times New Roman" w:hAnsi="Times New Roman" w:eastAsia="宋体" w:cs="Times New Roman"/>
      <w:sz w:val="20"/>
      <w:szCs w:val="20"/>
    </w:rPr>
  </w:style>
  <w:style w:type="character" w:customStyle="1" w:styleId="220">
    <w:name w:val="c7 style3"/>
    <w:qFormat/>
    <w:uiPriority w:val="0"/>
  </w:style>
  <w:style w:type="character" w:customStyle="1" w:styleId="221">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2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3">
    <w:name w:val="表正文 Char"/>
    <w:qFormat/>
    <w:uiPriority w:val="0"/>
    <w:rPr>
      <w:rFonts w:ascii="宋体" w:eastAsia="宋体"/>
      <w:snapToGrid w:val="0"/>
      <w:color w:val="000000"/>
      <w:kern w:val="28"/>
      <w:sz w:val="28"/>
      <w:lang w:val="en-US" w:eastAsia="zh-CN" w:bidi="ar-SA"/>
    </w:rPr>
  </w:style>
  <w:style w:type="character" w:customStyle="1" w:styleId="224">
    <w:name w:val="普通文字 Char1 Char"/>
    <w:qFormat/>
    <w:uiPriority w:val="0"/>
    <w:rPr>
      <w:rFonts w:ascii="宋体" w:hAnsi="Courier New" w:eastAsia="宋体"/>
      <w:kern w:val="2"/>
      <w:sz w:val="21"/>
      <w:szCs w:val="24"/>
      <w:lang w:val="en-US" w:eastAsia="zh-CN" w:bidi="ar-SA"/>
    </w:rPr>
  </w:style>
  <w:style w:type="character" w:customStyle="1" w:styleId="225">
    <w:name w:val="pt9"/>
    <w:qFormat/>
    <w:uiPriority w:val="0"/>
    <w:rPr>
      <w:rFonts w:ascii="仿宋_GB2312" w:eastAsia="微软雅黑"/>
      <w:b/>
      <w:kern w:val="2"/>
      <w:sz w:val="32"/>
      <w:szCs w:val="32"/>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正文非缩进 Char"/>
    <w:qFormat/>
    <w:uiPriority w:val="0"/>
    <w:rPr>
      <w:rFonts w:ascii="宋体" w:eastAsia="宋体"/>
      <w:snapToGrid w:val="0"/>
      <w:color w:val="000000"/>
      <w:kern w:val="28"/>
      <w:sz w:val="28"/>
      <w:lang w:val="en-US" w:eastAsia="zh-CN" w:bidi="ar-SA"/>
    </w:rPr>
  </w:style>
  <w:style w:type="character" w:customStyle="1" w:styleId="228">
    <w:name w:val="冯广丽 Char"/>
    <w:link w:val="229"/>
    <w:qFormat/>
    <w:uiPriority w:val="0"/>
    <w:rPr>
      <w:rFonts w:ascii="宋体" w:hAnsi="宋体"/>
      <w:kern w:val="2"/>
      <w:sz w:val="24"/>
      <w:szCs w:val="22"/>
    </w:rPr>
  </w:style>
  <w:style w:type="paragraph" w:customStyle="1" w:styleId="229">
    <w:name w:val="冯广丽"/>
    <w:basedOn w:val="1"/>
    <w:link w:val="228"/>
    <w:qFormat/>
    <w:uiPriority w:val="0"/>
    <w:pPr>
      <w:adjustRightInd/>
      <w:spacing w:line="360" w:lineRule="auto"/>
      <w:ind w:firstLine="480" w:firstLineChars="200"/>
    </w:pPr>
    <w:rPr>
      <w:rFonts w:ascii="宋体" w:hAnsi="宋体"/>
      <w:sz w:val="24"/>
      <w:szCs w:val="22"/>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7"/>
    <w:link w:val="231"/>
    <w:qFormat/>
    <w:uiPriority w:val="0"/>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标题 4 Char1"/>
    <w:semiHidden/>
    <w:qFormat/>
    <w:uiPriority w:val="9"/>
    <w:rPr>
      <w:rFonts w:ascii="Cambria" w:hAnsi="Cambria" w:eastAsia="宋体" w:cs="Times New Roman"/>
      <w:b/>
      <w:bCs/>
      <w:kern w:val="2"/>
      <w:sz w:val="28"/>
      <w:szCs w:val="28"/>
    </w:rPr>
  </w:style>
  <w:style w:type="character" w:customStyle="1" w:styleId="235">
    <w:name w:val="脚注文本 Char"/>
    <w:link w:val="47"/>
    <w:qFormat/>
    <w:uiPriority w:val="0"/>
    <w:rPr>
      <w:color w:val="0000FF"/>
      <w:sz w:val="21"/>
    </w:rPr>
  </w:style>
  <w:style w:type="character" w:customStyle="1" w:styleId="236">
    <w:name w:val="zbggmain style9"/>
    <w:qFormat/>
    <w:uiPriority w:val="0"/>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标题 6 Char"/>
    <w:link w:val="7"/>
    <w:qFormat/>
    <w:uiPriority w:val="0"/>
    <w:rPr>
      <w:rFonts w:ascii="Arial" w:hAnsi="Arial" w:eastAsia="黑体"/>
      <w:b/>
      <w:bCs/>
      <w:kern w:val="2"/>
      <w:sz w:val="24"/>
      <w:szCs w:val="24"/>
    </w:rPr>
  </w:style>
  <w:style w:type="character" w:customStyle="1" w:styleId="240">
    <w:name w:val="样式 宋体"/>
    <w:qFormat/>
    <w:uiPriority w:val="0"/>
    <w:rPr>
      <w:rFonts w:ascii="宋体" w:hAnsi="宋体"/>
      <w:sz w:val="24"/>
    </w:rPr>
  </w:style>
  <w:style w:type="character" w:customStyle="1" w:styleId="241">
    <w:name w:val="正文缩进 Char2"/>
    <w:link w:val="15"/>
    <w:qFormat/>
    <w:uiPriority w:val="0"/>
    <w:rPr>
      <w:rFonts w:ascii="宋体" w:eastAsia="宋体"/>
      <w:snapToGrid w:val="0"/>
      <w:color w:val="000000"/>
      <w:kern w:val="28"/>
      <w:sz w:val="28"/>
      <w:lang w:val="en-US" w:eastAsia="zh-CN" w:bidi="ar-SA"/>
    </w:rPr>
  </w:style>
  <w:style w:type="character" w:customStyle="1" w:styleId="242">
    <w:name w:val="标题 Char"/>
    <w:qFormat/>
    <w:uiPriority w:val="0"/>
    <w:rPr>
      <w:rFonts w:eastAsia="宋体"/>
      <w:b/>
      <w:sz w:val="24"/>
      <w:lang w:val="en-GB" w:eastAsia="zh-CN" w:bidi="ar-SA"/>
    </w:rPr>
  </w:style>
  <w:style w:type="character" w:customStyle="1" w:styleId="243">
    <w:name w:val="正文首行缩进 2 Char"/>
    <w:link w:val="59"/>
    <w:qFormat/>
    <w:uiPriority w:val="0"/>
    <w:rPr>
      <w:rFonts w:ascii="宋体" w:hAnsi="宋体"/>
      <w:kern w:val="2"/>
      <w:sz w:val="21"/>
      <w:szCs w:val="24"/>
    </w:rPr>
  </w:style>
  <w:style w:type="character" w:customStyle="1" w:styleId="244">
    <w:name w:val="正文 编号 Char"/>
    <w:qFormat/>
    <w:uiPriority w:val="0"/>
    <w:rPr>
      <w:rFonts w:ascii="仿宋_GB2312" w:hAnsi="仿宋_GB2312" w:eastAsia="仿宋_GB2312"/>
      <w:kern w:val="2"/>
      <w:sz w:val="24"/>
      <w:lang w:bidi="ar-SA"/>
    </w:rPr>
  </w:style>
  <w:style w:type="character" w:customStyle="1" w:styleId="245">
    <w:name w:val="批注文字 Char1"/>
    <w:link w:val="19"/>
    <w:qFormat/>
    <w:uiPriority w:val="0"/>
    <w:rPr>
      <w:kern w:val="2"/>
      <w:sz w:val="21"/>
      <w:szCs w:val="24"/>
    </w:rPr>
  </w:style>
  <w:style w:type="character" w:customStyle="1" w:styleId="246">
    <w:name w:val="批注框文本 Char"/>
    <w:link w:val="36"/>
    <w:semiHidden/>
    <w:qFormat/>
    <w:uiPriority w:val="0"/>
    <w:rPr>
      <w:kern w:val="2"/>
      <w:sz w:val="18"/>
      <w:szCs w:val="18"/>
    </w:rPr>
  </w:style>
  <w:style w:type="character" w:customStyle="1" w:styleId="247">
    <w:name w:val="公文正文 Char"/>
    <w:qFormat/>
    <w:uiPriority w:val="0"/>
    <w:rPr>
      <w:rFonts w:ascii="仿宋_GB2312" w:eastAsia="仿宋_GB2312"/>
      <w:kern w:val="2"/>
      <w:sz w:val="24"/>
      <w:szCs w:val="24"/>
      <w:lang w:val="en-US" w:eastAsia="zh-CN" w:bidi="ar-SA"/>
    </w:rPr>
  </w:style>
  <w:style w:type="character" w:customStyle="1" w:styleId="248">
    <w:name w:val="Footer Char"/>
    <w:qFormat/>
    <w:locked/>
    <w:uiPriority w:val="0"/>
    <w:rPr>
      <w:rFonts w:eastAsia="宋体"/>
      <w:kern w:val="2"/>
      <w:sz w:val="18"/>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Char"/>
    <w:link w:val="39"/>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5"/>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6"/>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4"/>
    <w:qFormat/>
    <w:uiPriority w:val="0"/>
    <w:pPr>
      <w:numPr>
        <w:numId w:val="4"/>
      </w:numPr>
      <w:tabs>
        <w:tab w:val="left" w:pos="840"/>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5"/>
    <w:qFormat/>
    <w:uiPriority w:val="0"/>
    <w:pPr>
      <w:numPr>
        <w:numId w:val="4"/>
      </w:numPr>
      <w:tabs>
        <w:tab w:val="left" w:pos="840"/>
        <w:tab w:val="left" w:pos="2100"/>
        <w:tab w:val="clear" w:pos="864"/>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3"/>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6"/>
    <w:next w:val="1"/>
    <w:qFormat/>
    <w:uiPriority w:val="0"/>
    <w:pPr>
      <w:numPr>
        <w:numId w:val="5"/>
      </w:numPr>
      <w:tabs>
        <w:tab w:val="left" w:pos="480"/>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7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Lines="50"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6"/>
    <w:qFormat/>
    <w:uiPriority w:val="0"/>
    <w:pPr>
      <w:numPr>
        <w:numId w:val="4"/>
      </w:numPr>
      <w:tabs>
        <w:tab w:val="left" w:pos="840"/>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18"/>
    <w:qFormat/>
    <w:uiPriority w:val="0"/>
    <w:pPr>
      <w:snapToGrid w:val="0"/>
      <w:spacing w:line="360" w:lineRule="auto"/>
    </w:pPr>
  </w:style>
  <w:style w:type="paragraph" w:customStyle="1" w:styleId="425">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4"/>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3"/>
    <w:next w:val="1"/>
    <w:qFormat/>
    <w:uiPriority w:val="0"/>
    <w:pPr>
      <w:numPr>
        <w:ilvl w:val="1"/>
        <w:numId w:val="5"/>
      </w:numPr>
    </w:pPr>
    <w:rPr>
      <w:rFonts w:ascii="Times New Roman" w:eastAsia="宋体"/>
      <w:i/>
      <w:sz w:val="36"/>
      <w:szCs w:val="36"/>
      <w:lang w:val="en-US"/>
    </w:rPr>
  </w:style>
  <w:style w:type="paragraph" w:customStyle="1" w:styleId="44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Lines="0" w:afterLines="0"/>
      <w:ind w:left="1680"/>
      <w:outlineLvl w:val="2"/>
    </w:pPr>
  </w:style>
  <w:style w:type="paragraph" w:customStyle="1" w:styleId="465">
    <w:name w:val="章标题"/>
    <w:next w:val="3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2"/>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2"/>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Lines="50"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7"/>
    <w:qFormat/>
    <w:locked/>
    <w:uiPriority w:val="99"/>
    <w:rPr>
      <w:kern w:val="2"/>
      <w:sz w:val="18"/>
      <w:szCs w:val="18"/>
    </w:rPr>
  </w:style>
  <w:style w:type="character" w:customStyle="1" w:styleId="630">
    <w:name w:val="页眉 Char2"/>
    <w:link w:val="38"/>
    <w:qFormat/>
    <w:uiPriority w:val="99"/>
    <w:rPr>
      <w:kern w:val="2"/>
      <w:sz w:val="18"/>
      <w:szCs w:val="18"/>
    </w:rPr>
  </w:style>
  <w:style w:type="character" w:customStyle="1" w:styleId="631">
    <w:name w:val="font41"/>
    <w:basedOn w:val="6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EA674-A644-4EBA-B405-950D6110624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134</Pages>
  <Words>10357</Words>
  <Characters>59041</Characters>
  <Lines>492</Lines>
  <Paragraphs>138</Paragraphs>
  <TotalTime>130</TotalTime>
  <ScaleCrop>false</ScaleCrop>
  <LinksUpToDate>false</LinksUpToDate>
  <CharactersWithSpaces>69260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2021-11-11T08:23:00Z</dcterms:created>
  <dc:creator>玥</dc:creator>
  <cp:lastModifiedBy>Administrator</cp:lastModifiedBy>
  <cp:lastPrinted>2021-11-17T00:13:00Z</cp:lastPrinted>
  <dcterms:modified xsi:type="dcterms:W3CDTF">2021-11-17T08:22:55Z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E8E71273DA694422B5BA2DD6AD39A678</vt:lpwstr>
  </property>
</Properties>
</file>