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2024年杭州市萧山图书馆</w:t>
      </w:r>
    </w:p>
    <w:p>
      <w:pPr>
        <w:adjustRightInd/>
        <w:spacing w:line="360" w:lineRule="auto"/>
        <w:jc w:val="center"/>
        <w:rPr>
          <w:rFonts w:ascii="宋体" w:hAnsi="宋体" w:cs="宋体"/>
          <w:sz w:val="48"/>
          <w:szCs w:val="48"/>
        </w:rPr>
      </w:pPr>
      <w:r>
        <w:rPr>
          <w:rFonts w:hint="eastAsia" w:ascii="宋体" w:hAnsi="宋体" w:cs="宋体"/>
          <w:sz w:val="48"/>
          <w:szCs w:val="48"/>
        </w:rPr>
        <w:t>图书供应商政府采购项目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编号:TSG-GYGK-2024460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jc w:val="center"/>
        <w:rPr>
          <w:rFonts w:ascii="宋体" w:hAnsi="宋体" w:cs="宋体"/>
          <w:sz w:val="36"/>
        </w:rPr>
      </w:pPr>
      <w:r>
        <w:rPr>
          <w:rFonts w:hint="eastAsia" w:ascii="宋体" w:hAnsi="宋体" w:cs="宋体"/>
          <w:sz w:val="36"/>
        </w:rPr>
        <w:t>杭州市萧山图书馆</w:t>
      </w:r>
    </w:p>
    <w:p>
      <w:pPr>
        <w:spacing w:line="360" w:lineRule="auto"/>
        <w:jc w:val="center"/>
        <w:rPr>
          <w:rFonts w:ascii="宋体" w:hAnsi="宋体" w:cs="宋体"/>
          <w:bCs/>
          <w:sz w:val="32"/>
          <w:szCs w:val="32"/>
        </w:rPr>
      </w:pPr>
      <w:r>
        <w:rPr>
          <w:rFonts w:hint="eastAsia" w:ascii="宋体" w:hAnsi="宋体" w:cs="宋体"/>
          <w:sz w:val="36"/>
        </w:rPr>
        <w:t>浙江华域高宇项目管理有限公司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 xml:space="preserve">  2024年05月23日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 xml:space="preserve">2024年杭州市萧山图书馆图书供应商政府采购项目 </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rPr>
        <w:t>06月12日09点30分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项目编号：TSG-GYGK-2024460</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2024年杭州市萧山图书馆图书供应商政府采购项目</w:t>
      </w:r>
    </w:p>
    <w:p>
      <w:pPr>
        <w:spacing w:line="36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预算金额（元）：标项1：1396800.00 标项2：1100000.00  标项3：900000.00 标项4:860000.00元</w:t>
      </w:r>
    </w:p>
    <w:p>
      <w:pPr>
        <w:spacing w:line="360" w:lineRule="auto"/>
        <w:ind w:firstLine="480"/>
        <w:rPr>
          <w:rFonts w:ascii="宋体" w:hAnsi="宋体" w:cs="宋体"/>
          <w:sz w:val="24"/>
        </w:rPr>
      </w:pPr>
      <w:r>
        <w:rPr>
          <w:rFonts w:hint="eastAsia" w:ascii="宋体" w:hAnsi="宋体" w:cs="宋体"/>
          <w:b/>
          <w:sz w:val="24"/>
        </w:rPr>
        <w:t>最高限价（元）：标项1：1396800.00 标项2：1100000.00  标项3：900000.00 标项4:860000.00元</w:t>
      </w:r>
      <w:r>
        <w:rPr>
          <w:rFonts w:hint="eastAsia" w:ascii="宋体" w:hAnsi="宋体" w:cs="宋体"/>
          <w:sz w:val="24"/>
        </w:rPr>
        <w:t xml:space="preserve">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2024年杭州市萧山图书馆图书供应商政府采购项目，</w:t>
      </w:r>
      <w:r>
        <w:rPr>
          <w:rFonts w:hint="eastAsia" w:hAnsi="宋体" w:cs="宋体"/>
          <w:bCs/>
          <w:snapToGrid/>
          <w:color w:val="auto"/>
          <w:kern w:val="2"/>
          <w:sz w:val="24"/>
          <w:szCs w:val="24"/>
        </w:rPr>
        <w:t>主要内容：</w:t>
      </w:r>
      <w:r>
        <w:rPr>
          <w:rFonts w:hint="eastAsia" w:hAnsi="宋体" w:cs="宋体"/>
          <w:color w:val="auto"/>
          <w:sz w:val="24"/>
        </w:rPr>
        <w:t>2024年杭州市萧山图书馆图书供应商政府采购项目，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 xml:space="preserve">合同履约期限： </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46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6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46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46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46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46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jc w:val="left"/>
        <w:rPr>
          <w:rFonts w:ascii="宋体" w:hAnsi="宋体" w:cs="宋体"/>
          <w:kern w:val="0"/>
          <w:sz w:val="24"/>
        </w:rPr>
      </w:pPr>
      <w:r>
        <w:rPr>
          <w:rFonts w:ascii="宋体" w:hAnsi="宋体" w:cs="宋体"/>
          <w:sz w:val="24"/>
        </w:rPr>
        <w:t>4</w:t>
      </w:r>
      <w:r>
        <w:rPr>
          <w:rFonts w:hint="eastAsia" w:ascii="宋体" w:hAnsi="宋体" w:cs="宋体"/>
          <w:sz w:val="24"/>
        </w:rPr>
        <w:t>.本项目的特定资格要求：</w:t>
      </w:r>
      <w:sdt>
        <w:sdtPr>
          <w:rPr>
            <w:rFonts w:hint="eastAsia" w:ascii="宋体" w:hAnsi="宋体" w:cs="宋体"/>
            <w:kern w:val="0"/>
            <w:sz w:val="24"/>
          </w:rPr>
          <w:id w:val="465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pPr>
        <w:snapToGrid w:val="0"/>
        <w:spacing w:line="360" w:lineRule="auto"/>
        <w:ind w:firstLine="480" w:firstLineChars="200"/>
        <w:jc w:val="left"/>
        <w:rPr>
          <w:rFonts w:ascii="宋体" w:hAnsi="宋体" w:cs="宋体"/>
          <w:sz w:val="24"/>
        </w:rPr>
      </w:pPr>
      <w:sdt>
        <w:sdtPr>
          <w:rPr>
            <w:rFonts w:hint="eastAsia" w:ascii="宋体" w:hAnsi="宋体" w:cs="宋体"/>
            <w:kern w:val="0"/>
            <w:sz w:val="24"/>
          </w:rPr>
          <w:id w:val="46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2024年06月12日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2024年06月12日09点30分00秒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2024年06月12日09点30分00秒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名 称：杭州市萧山图书馆</w:t>
      </w:r>
    </w:p>
    <w:p>
      <w:pPr>
        <w:spacing w:line="360" w:lineRule="auto"/>
        <w:ind w:firstLine="480" w:firstLineChars="200"/>
        <w:rPr>
          <w:rFonts w:ascii="宋体" w:hAnsi="宋体" w:cs="宋体"/>
          <w:sz w:val="24"/>
        </w:rPr>
      </w:pPr>
      <w:r>
        <w:rPr>
          <w:rFonts w:hint="eastAsia" w:ascii="宋体" w:hAnsi="宋体" w:cs="宋体"/>
          <w:sz w:val="24"/>
        </w:rPr>
        <w:t>地址：浙江省杭州市萧山区市心中路958号</w:t>
      </w:r>
    </w:p>
    <w:p>
      <w:pPr>
        <w:spacing w:line="360" w:lineRule="auto"/>
        <w:ind w:firstLine="480" w:firstLineChars="200"/>
        <w:rPr>
          <w:rFonts w:ascii="宋体" w:hAnsi="宋体" w:cs="宋体"/>
          <w:sz w:val="24"/>
        </w:rPr>
      </w:pPr>
      <w:r>
        <w:rPr>
          <w:rFonts w:hint="eastAsia" w:ascii="宋体" w:hAnsi="宋体" w:cs="宋体"/>
          <w:sz w:val="24"/>
        </w:rPr>
        <w:t>传真：/</w:t>
      </w:r>
    </w:p>
    <w:p>
      <w:pPr>
        <w:spacing w:line="360" w:lineRule="auto"/>
        <w:ind w:firstLine="480" w:firstLineChars="200"/>
        <w:rPr>
          <w:rFonts w:ascii="宋体" w:hAnsi="宋体" w:cs="宋体"/>
          <w:sz w:val="24"/>
        </w:rPr>
      </w:pPr>
      <w:r>
        <w:rPr>
          <w:rFonts w:hint="eastAsia" w:ascii="宋体" w:hAnsi="宋体" w:cs="宋体"/>
          <w:sz w:val="24"/>
        </w:rPr>
        <w:t>项目联系人（询问）：葛天忆</w:t>
      </w:r>
    </w:p>
    <w:p>
      <w:pPr>
        <w:spacing w:line="360" w:lineRule="auto"/>
        <w:ind w:firstLine="480" w:firstLineChars="200"/>
        <w:rPr>
          <w:rFonts w:ascii="宋体" w:hAnsi="宋体" w:cs="宋体"/>
          <w:sz w:val="24"/>
        </w:rPr>
      </w:pPr>
      <w:r>
        <w:rPr>
          <w:rFonts w:hint="eastAsia" w:ascii="宋体" w:hAnsi="宋体" w:cs="宋体"/>
          <w:sz w:val="24"/>
        </w:rPr>
        <w:t>项目联系方式（询问）：0571-83869</w:t>
      </w:r>
      <w:r>
        <w:rPr>
          <w:rFonts w:ascii="宋体" w:hAnsi="宋体" w:cs="宋体"/>
          <w:sz w:val="24"/>
        </w:rPr>
        <w:t>047</w:t>
      </w:r>
    </w:p>
    <w:p>
      <w:pPr>
        <w:spacing w:line="360" w:lineRule="auto"/>
        <w:ind w:firstLine="480" w:firstLineChars="200"/>
        <w:rPr>
          <w:rFonts w:ascii="宋体" w:hAnsi="宋体" w:cs="宋体"/>
          <w:sz w:val="24"/>
        </w:rPr>
      </w:pPr>
      <w:r>
        <w:rPr>
          <w:rFonts w:hint="eastAsia" w:ascii="宋体" w:hAnsi="宋体" w:cs="宋体"/>
          <w:sz w:val="24"/>
        </w:rPr>
        <w:t>质疑联系人：方诗雅</w:t>
      </w:r>
    </w:p>
    <w:p>
      <w:pPr>
        <w:spacing w:line="360" w:lineRule="auto"/>
        <w:ind w:firstLine="480" w:firstLineChars="200"/>
        <w:rPr>
          <w:rFonts w:ascii="宋体" w:hAnsi="宋体" w:cs="宋体"/>
          <w:sz w:val="24"/>
        </w:rPr>
      </w:pPr>
      <w:r>
        <w:rPr>
          <w:rFonts w:hint="eastAsia" w:ascii="宋体" w:hAnsi="宋体" w:cs="宋体"/>
          <w:sz w:val="24"/>
        </w:rPr>
        <w:t>质疑联系方式：0571-83869048</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firstLineChars="200"/>
        <w:rPr>
          <w:rFonts w:ascii="宋体" w:hAnsi="宋体" w:cs="宋体"/>
          <w:sz w:val="24"/>
        </w:rPr>
      </w:pPr>
      <w:r>
        <w:rPr>
          <w:rFonts w:hint="eastAsia" w:ascii="宋体" w:hAnsi="宋体" w:cs="宋体"/>
          <w:sz w:val="24"/>
        </w:rPr>
        <w:t>名 称：浙江华域高宇项目管理有限公司</w:t>
      </w:r>
    </w:p>
    <w:p>
      <w:pPr>
        <w:spacing w:line="360" w:lineRule="auto"/>
        <w:ind w:firstLine="480" w:firstLineChars="200"/>
        <w:rPr>
          <w:rFonts w:ascii="宋体" w:hAnsi="宋体" w:cs="宋体"/>
          <w:sz w:val="24"/>
        </w:rPr>
      </w:pPr>
      <w:r>
        <w:rPr>
          <w:rFonts w:hint="eastAsia" w:ascii="宋体" w:hAnsi="宋体" w:cs="宋体"/>
          <w:sz w:val="24"/>
        </w:rPr>
        <w:t>地址：萧山区北干街道金城路560号心意广场2幢1101室</w:t>
      </w:r>
    </w:p>
    <w:p>
      <w:pPr>
        <w:spacing w:line="360" w:lineRule="auto"/>
        <w:ind w:firstLine="480" w:firstLineChars="200"/>
        <w:rPr>
          <w:rFonts w:ascii="宋体" w:hAnsi="宋体" w:cs="宋体"/>
          <w:sz w:val="24"/>
        </w:rPr>
      </w:pPr>
      <w:r>
        <w:rPr>
          <w:rFonts w:hint="eastAsia" w:ascii="宋体" w:hAnsi="宋体" w:cs="宋体"/>
          <w:sz w:val="24"/>
        </w:rPr>
        <w:t>传真：0571-22866657</w:t>
      </w:r>
    </w:p>
    <w:p>
      <w:pPr>
        <w:spacing w:line="360" w:lineRule="auto"/>
        <w:ind w:firstLine="480" w:firstLineChars="200"/>
        <w:rPr>
          <w:rFonts w:ascii="宋体" w:hAnsi="宋体" w:cs="宋体"/>
          <w:sz w:val="24"/>
        </w:rPr>
      </w:pPr>
      <w:r>
        <w:rPr>
          <w:rFonts w:hint="eastAsia" w:ascii="宋体" w:hAnsi="宋体" w:cs="宋体"/>
          <w:sz w:val="24"/>
        </w:rPr>
        <w:t>项目联系人（询问）：陈超</w:t>
      </w:r>
    </w:p>
    <w:p>
      <w:pPr>
        <w:spacing w:line="360" w:lineRule="auto"/>
        <w:ind w:firstLine="480" w:firstLineChars="200"/>
        <w:rPr>
          <w:rFonts w:ascii="宋体" w:hAnsi="宋体" w:cs="宋体"/>
          <w:sz w:val="24"/>
        </w:rPr>
      </w:pPr>
      <w:r>
        <w:rPr>
          <w:rFonts w:hint="eastAsia" w:ascii="宋体" w:hAnsi="宋体" w:cs="宋体"/>
          <w:sz w:val="24"/>
        </w:rPr>
        <w:t>项目联系方式（询问）：0571-22816663/13738195695</w:t>
      </w:r>
    </w:p>
    <w:p>
      <w:pPr>
        <w:spacing w:line="360" w:lineRule="auto"/>
        <w:ind w:firstLine="480" w:firstLineChars="200"/>
        <w:rPr>
          <w:rFonts w:ascii="宋体" w:hAnsi="宋体" w:cs="宋体"/>
          <w:sz w:val="24"/>
        </w:rPr>
      </w:pPr>
      <w:r>
        <w:rPr>
          <w:rFonts w:hint="eastAsia" w:ascii="宋体" w:hAnsi="宋体" w:cs="宋体"/>
          <w:sz w:val="24"/>
        </w:rPr>
        <w:t>质疑联系人：付钰航</w:t>
      </w:r>
    </w:p>
    <w:p>
      <w:pPr>
        <w:spacing w:line="360" w:lineRule="auto"/>
        <w:ind w:firstLine="480" w:firstLineChars="200"/>
        <w:rPr>
          <w:rFonts w:ascii="宋体" w:hAnsi="宋体" w:cs="宋体"/>
          <w:sz w:val="24"/>
        </w:rPr>
      </w:pPr>
      <w:r>
        <w:rPr>
          <w:rFonts w:hint="eastAsia" w:ascii="宋体" w:hAnsi="宋体" w:cs="宋体"/>
          <w:sz w:val="24"/>
        </w:rPr>
        <w:t>质疑联系方式：0571-22816663</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pPr>
        <w:spacing w:line="360" w:lineRule="auto"/>
        <w:ind w:left="237" w:leftChars="113" w:firstLine="180" w:firstLineChars="75"/>
        <w:rPr>
          <w:rFonts w:ascii="宋体" w:hAnsi="宋体" w:cs="宋体"/>
          <w:sz w:val="24"/>
        </w:rPr>
      </w:pPr>
      <w:r>
        <w:rPr>
          <w:rFonts w:hint="eastAsia" w:ascii="宋体" w:hAnsi="宋体" w:cs="宋体"/>
          <w:sz w:val="24"/>
        </w:rPr>
        <w:t>地    址：杭州市上城区四季青街道新业路市民之家G03办公室（快递仅限ems或顺丰）</w:t>
      </w:r>
    </w:p>
    <w:p>
      <w:pPr>
        <w:spacing w:line="360" w:lineRule="auto"/>
        <w:ind w:left="237" w:leftChars="113" w:firstLine="180" w:firstLineChars="75"/>
        <w:rPr>
          <w:rFonts w:ascii="宋体" w:hAnsi="宋体" w:cs="宋体"/>
          <w:sz w:val="24"/>
        </w:rPr>
      </w:pPr>
      <w:r>
        <w:rPr>
          <w:rFonts w:hint="eastAsia" w:ascii="宋体" w:hAnsi="宋体" w:cs="宋体"/>
          <w:sz w:val="24"/>
        </w:rPr>
        <w:t>传   真：/</w:t>
      </w:r>
    </w:p>
    <w:p>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监督投诉电话：0571-85252453 </w:t>
      </w:r>
    </w:p>
    <w:p>
      <w:pPr>
        <w:spacing w:line="360" w:lineRule="auto"/>
        <w:ind w:firstLine="420"/>
        <w:rPr>
          <w:rFonts w:ascii="宋体" w:hAnsi="宋体" w:cs="宋体"/>
          <w:sz w:val="24"/>
        </w:rPr>
      </w:pPr>
      <w:r>
        <w:rPr>
          <w:rFonts w:hint="eastAsia" w:ascii="宋体" w:hAnsi="宋体" w:cs="宋体"/>
          <w:sz w:val="24"/>
        </w:rPr>
        <w:t>政策咨询电话：0571-82756122  （汤先生）</w:t>
      </w:r>
    </w:p>
    <w:p>
      <w:pPr>
        <w:spacing w:line="360" w:lineRule="auto"/>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jc w:val="left"/>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图书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sz w:val="24"/>
              </w:rPr>
              <w:t>（1）标的：2024年杭州市萧山图书馆图书供应商政府采购项目-中文图书（社科类、自科类、综合类）、一键借阅“书店借书”图书 ，属于批发业行业；</w:t>
            </w:r>
          </w:p>
          <w:p>
            <w:pPr>
              <w:snapToGrid w:val="0"/>
              <w:spacing w:line="360" w:lineRule="auto"/>
              <w:rPr>
                <w:rFonts w:ascii="宋体" w:hAnsi="宋体" w:cs="宋体"/>
                <w:sz w:val="24"/>
              </w:rPr>
            </w:pPr>
            <w:r>
              <w:rPr>
                <w:rFonts w:hint="eastAsia" w:ascii="宋体" w:hAnsi="宋体" w:cs="宋体"/>
                <w:sz w:val="24"/>
              </w:rPr>
              <w:t>（2）标的：2024年杭州市萧山图书馆图书供应商政府采购项目-中文图书（人文类、艺术类、财经类、文学类、科技类、生活类）、一键借阅“网上借书”图书，属于批发业行业；</w:t>
            </w:r>
          </w:p>
          <w:p>
            <w:pPr>
              <w:snapToGrid w:val="0"/>
              <w:spacing w:line="360" w:lineRule="auto"/>
              <w:rPr>
                <w:rFonts w:ascii="宋体" w:hAnsi="宋体" w:cs="宋体"/>
                <w:sz w:val="24"/>
              </w:rPr>
            </w:pPr>
            <w:r>
              <w:rPr>
                <w:rFonts w:hint="eastAsia" w:ascii="宋体" w:hAnsi="宋体" w:cs="宋体"/>
                <w:sz w:val="24"/>
              </w:rPr>
              <w:t>（3）标的：2024年杭州市萧山图书馆图书供应商政府采购项目-中文图书（大众类、专业研究类），属于批发业行业；</w:t>
            </w:r>
          </w:p>
          <w:p>
            <w:pPr>
              <w:snapToGrid w:val="0"/>
              <w:spacing w:line="360" w:lineRule="auto"/>
              <w:rPr>
                <w:rFonts w:ascii="宋体" w:hAnsi="宋体" w:cs="宋体"/>
                <w:sz w:val="24"/>
              </w:rPr>
            </w:pPr>
            <w:r>
              <w:rPr>
                <w:rFonts w:hint="eastAsia" w:ascii="宋体" w:hAnsi="宋体" w:cs="宋体"/>
                <w:sz w:val="24"/>
              </w:rPr>
              <w:t>（4）标的：2024年杭州市萧山图书馆图书供应商政府采购项目-农家书屋图书，属于批发业行业；</w:t>
            </w:r>
          </w:p>
          <w:p>
            <w:pPr>
              <w:pStyle w:val="3"/>
              <w:rPr>
                <w:rFonts w:ascii="宋体" w:hAnsi="宋体" w:eastAsia="宋体" w:cs="宋体"/>
                <w:sz w:val="24"/>
                <w:szCs w:val="24"/>
                <w:lang w:val="en-US"/>
              </w:rPr>
            </w:pPr>
          </w:p>
          <w:p>
            <w:r>
              <w:rPr>
                <w:rFonts w:hint="eastAsia" w:ascii="宋体" w:hAnsi="宋体" w:cs="宋体"/>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sdt>
              <w:sdtPr>
                <w:rPr>
                  <w:rFonts w:hint="eastAsia"/>
                </w:rPr>
                <w:id w:val="4658"/>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本项目不允许采购进口产品。</w:t>
            </w:r>
          </w:p>
          <w:p>
            <w:sdt>
              <w:sdtPr>
                <w:rPr>
                  <w:rFonts w:hint="eastAsia"/>
                </w:rPr>
                <w:id w:val="465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可以就    采购进口产品。</w:t>
            </w:r>
            <w:r>
              <w:rPr>
                <w:rFonts w:hint="eastAsia" w:ascii="宋体" w:hAnsi="宋体" w:cs="宋体"/>
                <w:kern w:val="0"/>
                <w:sz w:val="24"/>
              </w:rPr>
              <w:t>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6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运输等    </w:t>
            </w:r>
            <w:r>
              <w:rPr>
                <w:rFonts w:hint="eastAsia" w:ascii="宋体" w:hAnsi="宋体" w:cs="宋体"/>
                <w:sz w:val="24"/>
              </w:rPr>
              <w:t>工作分包。</w:t>
            </w:r>
            <w:sdt>
              <w:sdtPr>
                <w:rPr>
                  <w:rFonts w:hint="eastAsia" w:ascii="宋体" w:hAnsi="宋体" w:cs="宋体"/>
                  <w:kern w:val="0"/>
                  <w:sz w:val="24"/>
                </w:rPr>
                <w:id w:val="46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4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4664"/>
                <w14:checkbox>
                  <w14:checked w14:val="1"/>
                  <w14:checkedState w14:val="00FE" w14:font="Wingdings"/>
                  <w14:uncheckedState w14:val="2610" w14:font="MS Gothic"/>
                </w14:checkbox>
              </w:sdtPr>
              <w:sdtEndPr>
                <w:rPr>
                  <w:rFonts w:hint="eastAsia"/>
                </w:rPr>
              </w:sdtEndPr>
              <w:sdtContent>
                <w:r>
                  <w:rPr>
                    <w:rFonts w:ascii="Wingdings" w:hAnsi="Wingdings"/>
                  </w:rPr>
                  <w:t></w:t>
                </w:r>
              </w:sdtContent>
            </w:sdt>
            <w:r>
              <w:rPr>
                <w:rFonts w:hint="eastAsia"/>
              </w:rPr>
              <w:t>A不要求提供。</w:t>
            </w:r>
          </w:p>
          <w:p>
            <w:pPr>
              <w:spacing w:line="360" w:lineRule="auto"/>
            </w:pPr>
            <w:sdt>
              <w:sdtPr>
                <w:rPr>
                  <w:rFonts w:hint="eastAsia"/>
                </w:rPr>
                <w:id w:val="1026831988"/>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7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20" w:firstLineChars="200"/>
            </w:pPr>
            <w:r>
              <w:rPr>
                <w:rFonts w:hint="eastAsi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sz w:val="22"/>
              </w:rPr>
            </w:pPr>
            <w:r>
              <w:rPr>
                <w:rFonts w:hint="eastAsia"/>
                <w:sz w:val="22"/>
              </w:rPr>
              <w:t>本项目</w:t>
            </w:r>
            <w:r>
              <w:rPr>
                <w:sz w:val="22"/>
              </w:rPr>
              <w:t>支持</w:t>
            </w:r>
            <w:r>
              <w:rPr>
                <w:rFonts w:hint="eastAsia"/>
                <w:sz w:val="22"/>
              </w:rPr>
              <w:t>《杭州市萧山区政府采购支持中小企业信用融资暂行办法》。</w:t>
            </w:r>
          </w:p>
          <w:p>
            <w:pPr>
              <w:rPr>
                <w:sz w:val="22"/>
              </w:rPr>
            </w:pPr>
            <w:r>
              <w:rPr>
                <w:rFonts w:hint="eastAsia"/>
                <w:sz w:val="22"/>
              </w:rPr>
              <w:t>有</w:t>
            </w:r>
            <w:r>
              <w:rPr>
                <w:sz w:val="22"/>
              </w:rPr>
              <w:t>融资需求的中标供应商可参照相关规定及银行方案</w:t>
            </w:r>
            <w:r>
              <w:rPr>
                <w:rFonts w:hint="eastAsia"/>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76"/>
                <w:rFonts w:ascii="仿宋" w:hAnsi="仿宋" w:eastAsia="仿宋" w:cstheme="majorBidi"/>
                <w:snapToGrid/>
                <w:color w:val="auto"/>
                <w:sz w:val="22"/>
                <w:szCs w:val="24"/>
              </w:rPr>
              <w:t>http://www.xiaoshan.gov.cn/art/2018/12/20/art_1229293109_1559514.html</w:t>
            </w:r>
            <w:r>
              <w:rPr>
                <w:rStyle w:val="76"/>
                <w:rFonts w:ascii="仿宋" w:hAnsi="仿宋" w:eastAsia="仿宋" w:cstheme="majorBidi"/>
                <w:snapToGrid/>
                <w:color w:val="auto"/>
                <w:sz w:val="22"/>
                <w:szCs w:val="24"/>
              </w:rPr>
              <w:fldChar w:fldCharType="end"/>
            </w:r>
          </w:p>
          <w:p>
            <w:pPr>
              <w:pStyle w:val="3"/>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本项目备份文件是否收取：不收取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r>
              <w:rPr>
                <w:rFonts w:hint="eastAsia"/>
                <w:b/>
                <w:sz w:val="22"/>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ascii="宋体" w:hAnsi="宋体" w:cs="宋体"/>
                <w:sz w:val="24"/>
              </w:rPr>
              <w:t>本项目代理费由采购人支付，收费标准按计价格【2002】1980号文件下浮30%计取。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pPr>
              <w:snapToGrid w:val="0"/>
              <w:spacing w:line="360" w:lineRule="auto"/>
              <w:rPr>
                <w:b/>
                <w:sz w:val="22"/>
              </w:rPr>
            </w:pPr>
            <w:r>
              <w:rPr>
                <w:rFonts w:hint="eastAsia"/>
                <w:b/>
                <w:sz w:val="22"/>
              </w:rPr>
              <w:t>线上提交质疑方式：政采云线上质疑路径：项目采购-询问质疑投诉-质疑列表。请使用ca签章在每一页质疑文件中加盖电子公章，上传完整附件。</w:t>
            </w:r>
          </w:p>
          <w:p>
            <w:pPr>
              <w:snapToGrid w:val="0"/>
              <w:spacing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pPr>
              <w:rPr>
                <w:rFonts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rPr>
              <w:t>后</w:t>
            </w:r>
            <w:r>
              <w:t>已有新文件</w:t>
            </w:r>
            <w:r>
              <w:rPr>
                <w:rFonts w:hint="eastAsia"/>
              </w:rPr>
              <w:t>规定</w:t>
            </w:r>
            <w:r>
              <w:t>，按照最新文件执行）。存在隐蔽工程的项目，采购单位及供应商应在货物到货并将实施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pPr>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4672"/>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pPr>
              <w:spacing w:line="360" w:lineRule="auto"/>
            </w:pPr>
            <w:sdt>
              <w:sdtPr>
                <w:rPr>
                  <w:rFonts w:hint="eastAsia"/>
                </w:rPr>
                <w:id w:val="1052570136"/>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p>
          <w:p>
            <w:pPr>
              <w:spacing w:line="360" w:lineRule="auto"/>
            </w:pPr>
            <w:r>
              <w:rPr>
                <w:rFonts w:hint="eastAsia" w:cs="Arial" w:asciiTheme="minorEastAsia" w:hAnsiTheme="minorEastAsia" w:eastAsiaTheme="minorEastAsia"/>
                <w:kern w:val="0"/>
                <w:sz w:val="22"/>
                <w:szCs w:val="22"/>
              </w:rPr>
              <w:t>评审因素对应的要求视为采购需求的一部分。</w:t>
            </w:r>
          </w:p>
          <w:p>
            <w:pPr>
              <w:spacing w:line="360" w:lineRule="auto"/>
              <w:rPr>
                <w:b/>
                <w:bCs/>
              </w:rPr>
            </w:pPr>
            <w:r>
              <w:rPr>
                <w:rFonts w:hint="eastAsia"/>
                <w:b/>
                <w:bCs/>
              </w:rPr>
              <w:t>严格执行预算限价，项目如涉及办公用房装修、通用办公设备家具的不得超限额标准。（萧财国资【2019】389号）</w:t>
            </w:r>
          </w:p>
          <w:p>
            <w:pPr>
              <w:spacing w:line="360" w:lineRule="auto"/>
            </w:pPr>
            <w:r>
              <w:rPr>
                <w:rFonts w:hint="eastAsia"/>
                <w:b/>
                <w:bCs/>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rPr>
            </w:pPr>
            <w:r>
              <w:rPr>
                <w:rFonts w:hint="eastAsia"/>
                <w:b/>
                <w:bCs/>
              </w:rPr>
              <w:t>本项目每个标项推荐中标候选人数量：1</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8"/>
        <w:spacing w:before="0"/>
        <w:ind w:firstLine="480"/>
        <w:rPr>
          <w:rFonts w:ascii="宋体" w:hAnsi="宋体" w:cs="宋体"/>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68073093"/>
      <w:bookmarkEnd w:id="20"/>
      <w:bookmarkStart w:id="21" w:name="_Hlt68057669"/>
      <w:bookmarkEnd w:id="21"/>
      <w:bookmarkStart w:id="22" w:name="_Hlt68072998"/>
      <w:bookmarkEnd w:id="22"/>
      <w:bookmarkStart w:id="23" w:name="_Hlt74729768"/>
      <w:bookmarkEnd w:id="23"/>
      <w:bookmarkStart w:id="24" w:name="_Hlt75236290"/>
      <w:bookmarkEnd w:id="24"/>
      <w:bookmarkStart w:id="25" w:name="_Hlt74707468"/>
      <w:bookmarkEnd w:id="25"/>
      <w:bookmarkStart w:id="26" w:name="_Hlt75236011"/>
      <w:bookmarkEnd w:id="26"/>
      <w:bookmarkStart w:id="27" w:name="_Hlt74714665"/>
      <w:bookmarkEnd w:id="27"/>
      <w:bookmarkStart w:id="28" w:name="_Hlt68403820"/>
      <w:bookmarkEnd w:id="28"/>
      <w:bookmarkStart w:id="29" w:name="_Hlt68072990"/>
      <w:bookmarkEnd w:id="29"/>
      <w:bookmarkStart w:id="30" w:name="_Hlt74730295"/>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napToGrid w:val="0"/>
        <w:rPr>
          <w:rStyle w:val="962"/>
        </w:rPr>
      </w:pPr>
      <w:r>
        <w:rPr>
          <w:rStyle w:val="962"/>
          <w:rFonts w:hint="eastAsia"/>
        </w:rPr>
        <w:t>属于实质性要求条款的，请用符号“▲”标明，否则属于非实质性要求。</w:t>
      </w:r>
    </w:p>
    <w:p>
      <w:pPr>
        <w:snapToGrid w:val="0"/>
        <w:rPr>
          <w:rStyle w:val="962"/>
        </w:rPr>
      </w:pPr>
      <w:r>
        <w:rPr>
          <w:rStyle w:val="962"/>
          <w:rFonts w:hint="eastAsia"/>
        </w:rPr>
        <w:t>“★”系产品采购项目中单一产品或核心产品。</w:t>
      </w:r>
    </w:p>
    <w:p>
      <w:pPr>
        <w:pStyle w:val="3"/>
      </w:pPr>
    </w:p>
    <w:p>
      <w:pPr>
        <w:pStyle w:val="3"/>
        <w:numPr>
          <w:ilvl w:val="0"/>
          <w:numId w:val="1"/>
        </w:numPr>
        <w:jc w:val="center"/>
        <w:rPr>
          <w:rFonts w:ascii="仿宋" w:eastAsia="仿宋" w:cs="仿宋"/>
        </w:rPr>
      </w:pPr>
      <w:r>
        <w:t>招标一览表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530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pPr>
              <w:tabs>
                <w:tab w:val="left" w:pos="720"/>
              </w:tabs>
              <w:spacing w:line="360" w:lineRule="auto"/>
              <w:jc w:val="center"/>
              <w:rPr>
                <w:rFonts w:ascii="宋体" w:hAnsi="宋体" w:cs="宋体"/>
                <w:b/>
              </w:rPr>
            </w:pPr>
            <w:r>
              <w:rPr>
                <w:rFonts w:hint="eastAsia" w:ascii="宋体" w:hAnsi="宋体" w:cs="宋体"/>
                <w:b/>
              </w:rPr>
              <w:t>标项</w:t>
            </w:r>
          </w:p>
        </w:tc>
        <w:tc>
          <w:tcPr>
            <w:tcW w:w="2856" w:type="pct"/>
            <w:vAlign w:val="center"/>
          </w:tcPr>
          <w:p>
            <w:pPr>
              <w:tabs>
                <w:tab w:val="left" w:pos="720"/>
              </w:tabs>
              <w:spacing w:line="360" w:lineRule="auto"/>
              <w:jc w:val="center"/>
              <w:rPr>
                <w:rFonts w:ascii="宋体" w:hAnsi="宋体" w:cs="宋体"/>
                <w:b/>
              </w:rPr>
            </w:pPr>
            <w:r>
              <w:rPr>
                <w:rFonts w:hint="eastAsia" w:ascii="宋体" w:hAnsi="宋体" w:cs="宋体"/>
                <w:b/>
              </w:rPr>
              <w:t>项目名称</w:t>
            </w:r>
          </w:p>
        </w:tc>
        <w:tc>
          <w:tcPr>
            <w:tcW w:w="1121" w:type="pct"/>
            <w:vAlign w:val="center"/>
          </w:tcPr>
          <w:p>
            <w:pPr>
              <w:tabs>
                <w:tab w:val="left" w:pos="720"/>
              </w:tabs>
              <w:spacing w:line="360" w:lineRule="auto"/>
              <w:jc w:val="center"/>
              <w:rPr>
                <w:rFonts w:ascii="宋体" w:hAnsi="宋体" w:cs="宋体"/>
                <w:b/>
              </w:rPr>
            </w:pPr>
            <w:r>
              <w:rPr>
                <w:rFonts w:hint="eastAsia" w:ascii="宋体" w:hAnsi="宋体" w:cs="宋体"/>
                <w:b/>
              </w:rPr>
              <w:t>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pPr>
              <w:tabs>
                <w:tab w:val="left" w:pos="720"/>
              </w:tabs>
              <w:spacing w:line="360" w:lineRule="auto"/>
              <w:jc w:val="center"/>
              <w:rPr>
                <w:rFonts w:ascii="宋体" w:hAnsi="宋体" w:cs="宋体"/>
              </w:rPr>
            </w:pPr>
            <w:r>
              <w:rPr>
                <w:rFonts w:hint="eastAsia" w:ascii="宋体" w:hAnsi="宋体" w:cs="宋体"/>
              </w:rPr>
              <w:t>标项一</w:t>
            </w:r>
          </w:p>
        </w:tc>
        <w:tc>
          <w:tcPr>
            <w:tcW w:w="2856" w:type="pct"/>
            <w:vAlign w:val="center"/>
          </w:tcPr>
          <w:p>
            <w:pPr>
              <w:tabs>
                <w:tab w:val="left" w:pos="720"/>
              </w:tabs>
              <w:jc w:val="center"/>
              <w:rPr>
                <w:rFonts w:ascii="宋体" w:hAnsi="宋体" w:cs="宋体"/>
              </w:rPr>
            </w:pPr>
            <w:r>
              <w:rPr>
                <w:rFonts w:hint="eastAsia" w:ascii="宋体" w:hAnsi="宋体" w:cs="宋体"/>
              </w:rPr>
              <w:t>中文图书（社科类、自科类、综合类）、一键借阅“书店借书”图书</w:t>
            </w:r>
          </w:p>
        </w:tc>
        <w:tc>
          <w:tcPr>
            <w:tcW w:w="1121" w:type="pct"/>
            <w:vAlign w:val="center"/>
          </w:tcPr>
          <w:p>
            <w:pPr>
              <w:tabs>
                <w:tab w:val="left" w:pos="720"/>
              </w:tabs>
              <w:spacing w:line="360" w:lineRule="auto"/>
              <w:jc w:val="center"/>
              <w:rPr>
                <w:rFonts w:ascii="宋体" w:hAnsi="宋体" w:cs="宋体"/>
              </w:rPr>
            </w:pPr>
            <w:r>
              <w:rPr>
                <w:rFonts w:hint="eastAsia" w:ascii="宋体" w:hAnsi="宋体" w:cs="宋体"/>
              </w:rPr>
              <w:t>139.68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22" w:type="pct"/>
            <w:vAlign w:val="center"/>
          </w:tcPr>
          <w:p>
            <w:pPr>
              <w:tabs>
                <w:tab w:val="left" w:pos="720"/>
              </w:tabs>
              <w:spacing w:line="360" w:lineRule="auto"/>
              <w:jc w:val="center"/>
              <w:rPr>
                <w:rFonts w:ascii="宋体" w:hAnsi="宋体" w:cs="宋体"/>
              </w:rPr>
            </w:pPr>
            <w:r>
              <w:rPr>
                <w:rFonts w:hint="eastAsia" w:ascii="宋体" w:hAnsi="宋体" w:cs="宋体"/>
              </w:rPr>
              <w:t>标项二</w:t>
            </w:r>
          </w:p>
        </w:tc>
        <w:tc>
          <w:tcPr>
            <w:tcW w:w="2856" w:type="pct"/>
            <w:vAlign w:val="center"/>
          </w:tcPr>
          <w:p>
            <w:pPr>
              <w:tabs>
                <w:tab w:val="left" w:pos="720"/>
              </w:tabs>
              <w:jc w:val="center"/>
              <w:rPr>
                <w:rFonts w:ascii="宋体" w:hAnsi="宋体" w:cs="宋体"/>
              </w:rPr>
            </w:pPr>
            <w:r>
              <w:rPr>
                <w:rFonts w:hint="eastAsia" w:ascii="宋体" w:hAnsi="宋体" w:cs="宋体"/>
              </w:rPr>
              <w:t>中文图书（人文类、艺术类、财经类、文学类、科技类、生活类）、一键借阅“网上借书”图书</w:t>
            </w:r>
          </w:p>
        </w:tc>
        <w:tc>
          <w:tcPr>
            <w:tcW w:w="1121" w:type="pct"/>
            <w:vAlign w:val="center"/>
          </w:tcPr>
          <w:p>
            <w:pPr>
              <w:tabs>
                <w:tab w:val="left" w:pos="720"/>
              </w:tabs>
              <w:spacing w:line="360" w:lineRule="auto"/>
              <w:jc w:val="center"/>
              <w:rPr>
                <w:rFonts w:ascii="宋体" w:hAnsi="宋体" w:cs="宋体"/>
              </w:rPr>
            </w:pPr>
            <w:r>
              <w:rPr>
                <w:rFonts w:hint="eastAsia" w:ascii="宋体" w:hAnsi="宋体" w:cs="宋体"/>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22" w:type="pct"/>
            <w:vAlign w:val="center"/>
          </w:tcPr>
          <w:p>
            <w:pPr>
              <w:spacing w:line="360" w:lineRule="auto"/>
              <w:jc w:val="center"/>
              <w:rPr>
                <w:rFonts w:ascii="宋体" w:hAnsi="宋体" w:cs="宋体"/>
              </w:rPr>
            </w:pPr>
            <w:r>
              <w:rPr>
                <w:rFonts w:hint="eastAsia" w:ascii="宋体" w:hAnsi="宋体" w:cs="宋体"/>
              </w:rPr>
              <w:t>标项三</w:t>
            </w:r>
          </w:p>
        </w:tc>
        <w:tc>
          <w:tcPr>
            <w:tcW w:w="2856" w:type="pct"/>
            <w:vAlign w:val="center"/>
          </w:tcPr>
          <w:p>
            <w:pPr>
              <w:jc w:val="center"/>
              <w:rPr>
                <w:rFonts w:ascii="宋体" w:hAnsi="宋体" w:cs="宋体"/>
              </w:rPr>
            </w:pPr>
            <w:r>
              <w:rPr>
                <w:rFonts w:hint="eastAsia" w:ascii="宋体" w:hAnsi="宋体" w:cs="宋体"/>
              </w:rPr>
              <w:t>中文图书（大众类、专业研究类）</w:t>
            </w:r>
          </w:p>
        </w:tc>
        <w:tc>
          <w:tcPr>
            <w:tcW w:w="1121" w:type="pct"/>
            <w:vAlign w:val="center"/>
          </w:tcPr>
          <w:p>
            <w:pPr>
              <w:tabs>
                <w:tab w:val="left" w:pos="720"/>
              </w:tabs>
              <w:spacing w:line="360" w:lineRule="auto"/>
              <w:jc w:val="center"/>
              <w:rPr>
                <w:rFonts w:ascii="宋体" w:hAnsi="宋体" w:cs="宋体"/>
              </w:rPr>
            </w:pPr>
            <w:r>
              <w:rPr>
                <w:rFonts w:hint="eastAsia" w:ascii="宋体"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22" w:type="pct"/>
            <w:vAlign w:val="center"/>
          </w:tcPr>
          <w:p>
            <w:pPr>
              <w:spacing w:line="360" w:lineRule="auto"/>
              <w:jc w:val="center"/>
              <w:rPr>
                <w:rFonts w:ascii="宋体" w:hAnsi="宋体" w:cs="宋体"/>
              </w:rPr>
            </w:pPr>
            <w:r>
              <w:rPr>
                <w:rFonts w:hint="eastAsia" w:ascii="宋体" w:hAnsi="宋体" w:cs="宋体"/>
              </w:rPr>
              <w:t>标项四</w:t>
            </w:r>
          </w:p>
        </w:tc>
        <w:tc>
          <w:tcPr>
            <w:tcW w:w="2856" w:type="pct"/>
            <w:vAlign w:val="center"/>
          </w:tcPr>
          <w:p>
            <w:pPr>
              <w:jc w:val="center"/>
              <w:rPr>
                <w:rFonts w:ascii="宋体" w:hAnsi="宋体" w:cs="宋体"/>
              </w:rPr>
            </w:pPr>
            <w:r>
              <w:rPr>
                <w:rFonts w:hint="eastAsia" w:ascii="宋体" w:hAnsi="宋体" w:cs="宋体"/>
              </w:rPr>
              <w:t>农家书屋图书</w:t>
            </w:r>
          </w:p>
        </w:tc>
        <w:tc>
          <w:tcPr>
            <w:tcW w:w="1121" w:type="pct"/>
            <w:vAlign w:val="center"/>
          </w:tcPr>
          <w:p>
            <w:pPr>
              <w:tabs>
                <w:tab w:val="left" w:pos="720"/>
              </w:tabs>
              <w:spacing w:line="360" w:lineRule="auto"/>
              <w:jc w:val="center"/>
              <w:rPr>
                <w:rFonts w:ascii="宋体" w:hAnsi="宋体" w:cs="宋体"/>
              </w:rPr>
            </w:pPr>
            <w:r>
              <w:rPr>
                <w:rFonts w:hint="eastAsia" w:ascii="宋体" w:hAnsi="宋体" w:cs="宋体"/>
              </w:rPr>
              <w:t>86</w:t>
            </w:r>
          </w:p>
        </w:tc>
      </w:tr>
    </w:tbl>
    <w:p>
      <w:pPr>
        <w:rPr>
          <w:rFonts w:ascii="仿宋" w:hAnsi="仿宋" w:eastAsia="仿宋" w:cs="仿宋"/>
          <w:b/>
          <w:sz w:val="22"/>
          <w:szCs w:val="22"/>
        </w:rPr>
      </w:pPr>
    </w:p>
    <w:p>
      <w:pPr>
        <w:pStyle w:val="3"/>
        <w:numPr>
          <w:ilvl w:val="0"/>
          <w:numId w:val="1"/>
        </w:numPr>
        <w:jc w:val="center"/>
        <w:rPr>
          <w:rFonts w:ascii="仿宋" w:eastAsia="仿宋" w:cs="仿宋"/>
        </w:rPr>
      </w:pPr>
      <w:r>
        <w:rPr>
          <w:rFonts w:hint="eastAsia" w:ascii="仿宋" w:eastAsia="仿宋" w:cs="仿宋"/>
        </w:rPr>
        <w:t>采购需求</w:t>
      </w:r>
    </w:p>
    <w:p>
      <w:pPr>
        <w:pStyle w:val="4"/>
        <w:spacing w:before="0" w:after="0" w:line="360" w:lineRule="auto"/>
        <w:rPr>
          <w:rFonts w:ascii="宋体" w:hAnsi="宋体" w:cs="宋体"/>
          <w:sz w:val="24"/>
          <w:szCs w:val="24"/>
        </w:rPr>
      </w:pPr>
      <w:r>
        <w:rPr>
          <w:rFonts w:hint="eastAsia" w:ascii="宋体" w:hAnsi="宋体" w:cs="宋体"/>
          <w:sz w:val="24"/>
          <w:szCs w:val="24"/>
        </w:rPr>
        <w:t>标项一：中文图书（社科类、自科类、综合类、）、一键借阅“书店借书”图书</w:t>
      </w:r>
    </w:p>
    <w:p>
      <w:pPr>
        <w:pStyle w:val="4"/>
        <w:spacing w:before="0" w:after="0" w:line="360" w:lineRule="auto"/>
        <w:rPr>
          <w:rFonts w:ascii="宋体" w:hAnsi="宋体" w:cs="宋体"/>
          <w:sz w:val="24"/>
          <w:szCs w:val="24"/>
        </w:rPr>
      </w:pPr>
      <w:r>
        <w:rPr>
          <w:rFonts w:hint="eastAsia" w:ascii="宋体" w:hAnsi="宋体" w:cs="宋体"/>
          <w:sz w:val="24"/>
          <w:szCs w:val="24"/>
        </w:rPr>
        <w:t>招标需求：</w:t>
      </w:r>
    </w:p>
    <w:p>
      <w:pPr>
        <w:spacing w:line="360" w:lineRule="auto"/>
        <w:ind w:firstLine="482" w:firstLineChars="200"/>
        <w:rPr>
          <w:rFonts w:ascii="宋体" w:hAnsi="宋体" w:cs="宋体"/>
          <w:b/>
          <w:sz w:val="24"/>
        </w:rPr>
      </w:pPr>
      <w:r>
        <w:rPr>
          <w:rFonts w:hint="eastAsia" w:ascii="宋体" w:hAnsi="宋体" w:cs="宋体"/>
          <w:b/>
          <w:sz w:val="24"/>
        </w:rPr>
        <w:t>1.技术需求</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(1)供应商为专门从事图书经销的法人单位，必须拥有国家新闻出版部门颁发的《出版物经营许可证》，有从事图书经销和数据加工业务的专业人员，近年有为县区级以上公共图书馆供应图书的经历。</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(2)在萧山区范围内设有实体门店（不包括超市内设立的图书卖场），具有较好的经营特色及业界信誉，能开展实体书店一键借阅“书店借书”服务。</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(3)供应商能够提供图书馆一键借阅“书店借书”服务所需的硬件设备，如标签读卡设备（安的：120）、身份证读写器（德卡：T10）、POS打印机、条码扫描枪、PC销售电脑（最低配置要求CPU：速度2.0G （双核）及以上；内存：4G及以上；硬盘：200G及以上；预装简体中文Windows 7）等。</w:t>
      </w:r>
    </w:p>
    <w:p>
      <w:pPr>
        <w:pStyle w:val="255"/>
      </w:pPr>
      <w:r>
        <w:rPr>
          <w:rFonts w:hint="eastAsia"/>
        </w:rPr>
        <w:t>(4)供应商具备规范的信息管理系统，且具备接口开发能力能够按照图书馆的要求进行书目信息的上传（书店图书ID、题名、作者、出版社、出版日期、单价、分类号、ISBN、MARC数据）。</w:t>
      </w:r>
    </w:p>
    <w:p>
      <w:pPr>
        <w:spacing w:line="360" w:lineRule="auto"/>
        <w:ind w:right="60" w:firstLine="480" w:firstLineChars="200"/>
        <w:rPr>
          <w:rFonts w:ascii="宋体" w:hAnsi="宋体" w:cs="宋体"/>
          <w:sz w:val="24"/>
        </w:rPr>
      </w:pPr>
      <w:r>
        <w:rPr>
          <w:rFonts w:hint="eastAsia" w:ascii="宋体" w:hAnsi="宋体" w:cs="宋体"/>
          <w:sz w:val="24"/>
        </w:rPr>
        <w:t>(5) 供应商每周提供书目信息服务，以订单形式发给采购人。书目预订部分：每份书目数据不少于2000种，1周1份全年书目提供10万种(含)以上，向用户提供主题书目精准率占比90%(含)以上精准率；书目提供时，指定出版社的作品保证在90%以上，新书在发行一周内出现在书目信息中。现书订购部分：供应商已到货图书通过编制现书目录（电子版书目格式、内容要求和递交办法同上）或提供样书供招标方选购，并保证现货地点的采购，包括全国或地区性书市、国内著名出版社等。</w:t>
      </w:r>
    </w:p>
    <w:p>
      <w:pPr>
        <w:spacing w:line="360" w:lineRule="auto"/>
        <w:ind w:firstLine="480" w:firstLineChars="200"/>
        <w:rPr>
          <w:rFonts w:ascii="宋体" w:hAnsi="宋体" w:cs="宋体"/>
          <w:sz w:val="24"/>
        </w:rPr>
      </w:pPr>
      <w:r>
        <w:rPr>
          <w:rFonts w:hint="eastAsia" w:ascii="宋体" w:hAnsi="宋体" w:cs="宋体"/>
          <w:sz w:val="24"/>
        </w:rPr>
        <w:t>(6) 供应商能免费提供规范的新书征订书目数据和机读编目数据（数据要参见《中国机读目录格式使用手册》），并且其数据须完全符合甲方图书集成管理系统的格式及运行要求，提供的所有数据都能在甲方系统无障碍的使用。供应商提供的征订书目内容均需符合公共图书馆读者的要求；编目数据应比同批次送达的图书提前到馆，并达到100%的覆盖率。应建立“萧山图书馆预订图书数据库”，有对甲方预订的图书进行查重的能力。甲方可以退回由于采访数据不完整而造成错订的图书。</w:t>
      </w:r>
    </w:p>
    <w:p>
      <w:pPr>
        <w:spacing w:line="360" w:lineRule="auto"/>
        <w:ind w:firstLine="480" w:firstLineChars="200"/>
        <w:rPr>
          <w:rFonts w:ascii="宋体" w:hAnsi="宋体" w:cs="宋体"/>
          <w:sz w:val="24"/>
        </w:rPr>
      </w:pPr>
      <w:r>
        <w:rPr>
          <w:rFonts w:hint="eastAsia" w:ascii="宋体" w:hAnsi="宋体" w:cs="宋体"/>
          <w:sz w:val="24"/>
        </w:rPr>
        <w:t>(7) 图书加工服务</w:t>
      </w:r>
    </w:p>
    <w:p>
      <w:pPr>
        <w:spacing w:line="360" w:lineRule="auto"/>
        <w:ind w:firstLine="480" w:firstLineChars="200"/>
        <w:rPr>
          <w:rFonts w:ascii="宋体" w:hAnsi="宋体" w:cs="宋体"/>
          <w:sz w:val="24"/>
        </w:rPr>
      </w:pPr>
      <w:r>
        <w:rPr>
          <w:rFonts w:hint="eastAsia" w:ascii="宋体" w:hAnsi="宋体" w:cs="宋体"/>
          <w:sz w:val="24"/>
        </w:rPr>
        <w:t>7.1中标人提供所供图书的全加工工作，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2中标人需承担采购人通过其他渠道入藏图书的全加工工作，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3</w:t>
      </w:r>
      <w:r>
        <w:rPr>
          <w:rFonts w:hint="eastAsia" w:ascii="宋体" w:hAnsi="宋体" w:cs="宋体"/>
          <w:sz w:val="24"/>
        </w:rPr>
        <w:t>中标人提供不少于3名全加工人员到馆加工图书，其中编目加工人员须持有国家图书馆或其他大型公共图书馆颁发的编目资格证书，加工人员接受采购人的培训、指导和管理。中标人派驻的到馆全加工人员一年内更换不得超过三人次。</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4</w:t>
      </w:r>
      <w:r>
        <w:rPr>
          <w:rFonts w:hint="eastAsia" w:ascii="宋体" w:hAnsi="宋体" w:cs="宋体"/>
          <w:sz w:val="24"/>
        </w:rPr>
        <w:t>无特殊情况，到馆图书在送达后的5个工作日内加工完毕。</w:t>
      </w:r>
    </w:p>
    <w:p>
      <w:pPr>
        <w:spacing w:line="360" w:lineRule="auto"/>
        <w:ind w:firstLine="480" w:firstLineChars="200"/>
        <w:rPr>
          <w:rFonts w:ascii="宋体" w:hAnsi="宋体" w:cs="宋体"/>
          <w:sz w:val="24"/>
        </w:rPr>
      </w:pPr>
      <w:r>
        <w:rPr>
          <w:rFonts w:hint="eastAsia" w:ascii="宋体" w:hAnsi="宋体" w:cs="宋体"/>
          <w:sz w:val="24"/>
        </w:rPr>
        <w:t>(8)供应商能提供符合国家财税法律规定要求的售书发票。</w:t>
      </w:r>
    </w:p>
    <w:p>
      <w:pPr>
        <w:spacing w:line="360" w:lineRule="auto"/>
        <w:ind w:firstLine="480" w:firstLineChars="200"/>
        <w:rPr>
          <w:rFonts w:ascii="宋体" w:hAnsi="宋体" w:cs="宋体"/>
          <w:sz w:val="24"/>
        </w:rPr>
      </w:pPr>
      <w:r>
        <w:rPr>
          <w:rFonts w:hint="eastAsia" w:ascii="宋体" w:hAnsi="宋体" w:cs="宋体"/>
          <w:sz w:val="24"/>
        </w:rPr>
        <w:t>(9)供应商应具有良好的商业信誉和健全的财务会计制度。</w:t>
      </w:r>
    </w:p>
    <w:p>
      <w:pPr>
        <w:spacing w:line="360" w:lineRule="auto"/>
        <w:ind w:firstLine="482" w:firstLineChars="200"/>
        <w:rPr>
          <w:rFonts w:ascii="宋体" w:hAnsi="宋体" w:cs="宋体"/>
          <w:b/>
          <w:sz w:val="24"/>
        </w:rPr>
      </w:pPr>
      <w:r>
        <w:rPr>
          <w:rFonts w:ascii="宋体" w:hAnsi="宋体" w:cs="宋体"/>
          <w:b/>
          <w:sz w:val="24"/>
        </w:rPr>
        <w:t>2.</w:t>
      </w:r>
      <w:r>
        <w:rPr>
          <w:rFonts w:hint="eastAsia" w:ascii="宋体" w:hAnsi="宋体" w:cs="宋体"/>
          <w:b/>
          <w:sz w:val="24"/>
        </w:rPr>
        <w:t>服务要求：</w:t>
      </w:r>
    </w:p>
    <w:p>
      <w:pPr>
        <w:overflowPunct w:val="0"/>
        <w:autoSpaceDE w:val="0"/>
        <w:autoSpaceDN w:val="0"/>
        <w:snapToGrid w:val="0"/>
        <w:spacing w:line="360" w:lineRule="auto"/>
        <w:rPr>
          <w:rFonts w:ascii="宋体" w:hAnsi="宋体" w:cs="宋体"/>
          <w:sz w:val="24"/>
        </w:rPr>
      </w:pPr>
      <w:r>
        <w:rPr>
          <w:rFonts w:hint="eastAsia" w:ascii="宋体" w:hAnsi="宋体" w:cs="宋体"/>
          <w:sz w:val="24"/>
        </w:rPr>
        <w:t xml:space="preserve">    (1)供应商在收到图书订单后应及时回复，确认是否收到订单，并按甲方提出的书目及包装要求，将图书及时送交到甲方指定地点，为此所发生的费用全部由供应商承担。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(3)供应商在递交每一批图书时，同时免费提供加盖供应商公章的该批图书的清单一式三份。图书分类法应采用现行《中图法》的最新版本。</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overflowPunct w:val="0"/>
        <w:autoSpaceDE w:val="0"/>
        <w:autoSpaceDN w:val="0"/>
        <w:snapToGrid w:val="0"/>
        <w:spacing w:line="360" w:lineRule="auto"/>
        <w:ind w:firstLine="480" w:firstLineChars="200"/>
        <w:rPr>
          <w:rFonts w:ascii="宋体" w:hAnsi="宋体" w:cs="宋体"/>
          <w:sz w:val="24"/>
        </w:rPr>
      </w:pPr>
      <w:r>
        <w:rPr>
          <w:rStyle w:val="962"/>
          <w:rFonts w:hint="eastAsia" w:ascii="宋体" w:hAnsi="宋体" w:cs="宋体"/>
          <w:i w:val="0"/>
          <w:iCs w:val="0"/>
          <w:sz w:val="24"/>
        </w:rPr>
        <w:t>▲(5)</w:t>
      </w:r>
      <w:r>
        <w:rPr>
          <w:rFonts w:hint="eastAsia" w:ascii="宋体" w:hAnsi="宋体" w:cs="宋体"/>
          <w:sz w:val="24"/>
        </w:rPr>
        <w:t>实体书店一键借阅“书店借书”服务：</w:t>
      </w:r>
    </w:p>
    <w:p>
      <w:pPr>
        <w:snapToGrid w:val="0"/>
        <w:spacing w:line="360" w:lineRule="auto"/>
        <w:ind w:firstLine="480" w:firstLineChars="200"/>
        <w:rPr>
          <w:rFonts w:ascii="宋体" w:hAnsi="宋体" w:cs="宋体"/>
          <w:sz w:val="24"/>
        </w:rPr>
      </w:pPr>
      <w:r>
        <w:rPr>
          <w:rFonts w:hint="eastAsia" w:ascii="宋体" w:hAnsi="宋体" w:cs="宋体"/>
          <w:sz w:val="24"/>
        </w:rPr>
        <w:t>A．供应商必须按图书馆要求提供最新最全的采访书目，新书到店上架前上传至图书馆网借一体化平台“书店借书”模块。</w:t>
      </w:r>
    </w:p>
    <w:p>
      <w:pPr>
        <w:snapToGrid w:val="0"/>
        <w:spacing w:line="360" w:lineRule="auto"/>
        <w:ind w:firstLine="480" w:firstLineChars="200"/>
        <w:rPr>
          <w:rFonts w:ascii="宋体" w:hAnsi="宋体" w:cs="宋体"/>
          <w:sz w:val="24"/>
        </w:rPr>
      </w:pPr>
      <w:r>
        <w:rPr>
          <w:rFonts w:hint="eastAsia" w:ascii="宋体" w:hAnsi="宋体" w:cs="宋体"/>
          <w:sz w:val="24"/>
        </w:rPr>
        <w:t>B．供应商需在书店现场做初加工服务，内容包括：用户方馆藏章、图书条码、RFID芯片、磁条、RFID芯片转换。</w:t>
      </w:r>
    </w:p>
    <w:p>
      <w:pPr>
        <w:spacing w:line="360" w:lineRule="auto"/>
        <w:ind w:firstLine="480" w:firstLineChars="200"/>
        <w:rPr>
          <w:rFonts w:ascii="宋体" w:hAnsi="宋体" w:cs="宋体"/>
          <w:sz w:val="24"/>
        </w:rPr>
      </w:pPr>
      <w:r>
        <w:rPr>
          <w:rFonts w:hint="eastAsia" w:ascii="宋体" w:hAnsi="宋体" w:cs="宋体"/>
          <w:sz w:val="24"/>
        </w:rPr>
        <w:t>C.供应商需在现场对初加工后图书在一键借阅系统平台上操作读者借阅手续。</w:t>
      </w:r>
    </w:p>
    <w:p>
      <w:pPr>
        <w:spacing w:line="360" w:lineRule="auto"/>
        <w:ind w:firstLine="480" w:firstLineChars="200"/>
        <w:rPr>
          <w:rFonts w:ascii="宋体" w:hAnsi="宋体" w:cs="宋体"/>
          <w:sz w:val="24"/>
        </w:rPr>
      </w:pPr>
      <w:r>
        <w:rPr>
          <w:rFonts w:hint="eastAsia" w:ascii="宋体" w:hAnsi="宋体" w:cs="宋体"/>
          <w:sz w:val="24"/>
        </w:rPr>
        <w:t>D.供应商配合开展“一键借阅”项目宣传、推广活动。</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(6)供应商送交到甲方的应是无破损、附件齐全的正式出版物，不能有任何质量问题。若验收时发现有污染、图文不清、缺页、倒装、缺附件等不合格的图书，以及与订单不符的图书，一律予以退换，退换费用由供应商承担。若发现明显不适宜甲方收藏的图书，供应商应允许甲方无条件退还。</w:t>
      </w:r>
    </w:p>
    <w:p>
      <w:pPr>
        <w:spacing w:line="360" w:lineRule="auto"/>
        <w:ind w:firstLine="480" w:firstLineChars="200"/>
        <w:rPr>
          <w:rFonts w:ascii="宋体" w:hAnsi="宋体" w:cs="宋体"/>
          <w:sz w:val="24"/>
        </w:rPr>
      </w:pPr>
      <w:r>
        <w:rPr>
          <w:rFonts w:hint="eastAsia" w:ascii="宋体" w:hAnsi="宋体" w:cs="宋体"/>
          <w:sz w:val="24"/>
        </w:rPr>
        <w:t>（7）供应商能按甲方的订购书目提供未经使用的</w:t>
      </w:r>
      <w:r>
        <w:rPr>
          <w:rFonts w:hint="eastAsia" w:ascii="宋体" w:hAnsi="宋体" w:cs="宋体"/>
          <w:bCs/>
          <w:sz w:val="24"/>
        </w:rPr>
        <w:t>国内中文正版图书（含国内出版的外文图书）</w:t>
      </w:r>
      <w:r>
        <w:rPr>
          <w:rFonts w:hint="eastAsia" w:ascii="宋体" w:hAnsi="宋体" w:cs="宋体"/>
          <w:sz w:val="24"/>
        </w:rPr>
        <w:t>，</w:t>
      </w:r>
      <w:r>
        <w:rPr>
          <w:rFonts w:hint="eastAsia" w:ascii="宋体" w:hAnsi="宋体" w:cs="宋体"/>
          <w:bCs/>
          <w:sz w:val="24"/>
        </w:rPr>
        <w:t>出版时间为</w:t>
      </w:r>
      <w:r>
        <w:rPr>
          <w:rFonts w:ascii="宋体" w:hAnsi="宋体" w:cs="宋体"/>
          <w:spacing w:val="-2"/>
          <w:sz w:val="24"/>
        </w:rPr>
        <w:t>2024</w:t>
      </w:r>
      <w:r>
        <w:rPr>
          <w:rFonts w:hint="eastAsia" w:ascii="宋体" w:hAnsi="宋体" w:cs="宋体"/>
          <w:spacing w:val="-2"/>
          <w:sz w:val="24"/>
        </w:rPr>
        <w:t>年</w:t>
      </w:r>
      <w:r>
        <w:rPr>
          <w:rFonts w:hint="eastAsia" w:ascii="宋体" w:hAnsi="宋体" w:cs="宋体"/>
          <w:bCs/>
          <w:sz w:val="24"/>
        </w:rPr>
        <w:t>出版或发行的，原则上不得少于90%，</w:t>
      </w:r>
      <w:r>
        <w:rPr>
          <w:rFonts w:hint="eastAsia" w:ascii="宋体" w:hAnsi="宋体" w:cs="宋体"/>
          <w:sz w:val="24"/>
        </w:rPr>
        <w:t>图书来源渠道较广，经营图书品种多，质量好，性价比高，与全国300家以上的图书出版单位有供货关系。</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凡交到甲方的图书，以图书定价作为计算书款的依据，经验收发现书款与发货单不符的，甲方及时通知供应商派员到验收地核算，供应商接到通知之日起5个工作日内不能及时派员核算的，以甲方验收的实际数额计算书款金额。</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(9)供应商在收到甲方订单后，若现货60天、期货180天还不能到货的图书，应列出清单,并说明原因向甲方反馈。甲方有权根据实际情况再确定是否改换供应商或继续征订。</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(10)供应商应在甲方提供订单后及时征订图书，并在收到订单后及时反馈预订书目信息。预订图书前3个月到馆率不得低于60%，6个月不低于80%，全年平均不低于95%。本次招标图书要求在2024年11月31日前完成供货。</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标项二：中文图书（人文类、艺术类、财经类、文学类、科技类、生活类）、</w:t>
      </w:r>
      <w:r>
        <w:rPr>
          <w:rFonts w:hint="eastAsia" w:ascii="宋体" w:hAnsi="宋体" w:cs="宋体"/>
          <w:sz w:val="24"/>
        </w:rPr>
        <w:t>一键借阅“网上借书”</w:t>
      </w:r>
      <w:r>
        <w:rPr>
          <w:rFonts w:hint="eastAsia" w:ascii="宋体" w:hAnsi="宋体" w:cs="宋体"/>
          <w:b/>
          <w:sz w:val="24"/>
        </w:rPr>
        <w:t>图书</w:t>
      </w:r>
    </w:p>
    <w:p>
      <w:pPr>
        <w:spacing w:line="360" w:lineRule="auto"/>
        <w:ind w:firstLine="482" w:firstLineChars="200"/>
        <w:rPr>
          <w:rFonts w:ascii="宋体" w:hAnsi="宋体" w:cs="宋体"/>
          <w:b/>
          <w:sz w:val="24"/>
        </w:rPr>
      </w:pPr>
      <w:r>
        <w:rPr>
          <w:rFonts w:hint="eastAsia" w:ascii="宋体" w:hAnsi="宋体" w:cs="宋体"/>
          <w:b/>
          <w:sz w:val="24"/>
        </w:rPr>
        <w:t>1.技术需求</w:t>
      </w:r>
    </w:p>
    <w:p>
      <w:pPr>
        <w:overflowPunct w:val="0"/>
        <w:autoSpaceDE w:val="0"/>
        <w:autoSpaceDN w:val="0"/>
        <w:snapToGrid w:val="0"/>
        <w:spacing w:line="360" w:lineRule="auto"/>
        <w:ind w:firstLine="360" w:firstLineChars="150"/>
        <w:rPr>
          <w:rFonts w:ascii="宋体" w:hAnsi="宋体" w:cs="宋体"/>
          <w:sz w:val="24"/>
        </w:rPr>
      </w:pPr>
      <w:r>
        <w:rPr>
          <w:rFonts w:hint="eastAsia" w:ascii="宋体" w:hAnsi="宋体" w:cs="宋体"/>
          <w:sz w:val="24"/>
        </w:rPr>
        <w:t>(1)供应商为专门从事图书经销的法人单位，必须拥有国家新闻出版部门颁发的《出版物经营许可证》，有从事图书经销和数据加工业务的专业人员，近年有为县区级以上公共图书馆供应图书的经历。</w:t>
      </w:r>
    </w:p>
    <w:p>
      <w:pPr>
        <w:spacing w:line="360" w:lineRule="auto"/>
        <w:ind w:firstLine="480" w:firstLineChars="200"/>
        <w:rPr>
          <w:rFonts w:ascii="宋体" w:hAnsi="宋体" w:cs="宋体"/>
          <w:sz w:val="24"/>
        </w:rPr>
      </w:pPr>
      <w:r>
        <w:rPr>
          <w:rFonts w:hint="eastAsia" w:ascii="宋体" w:hAnsi="宋体" w:cs="宋体"/>
          <w:sz w:val="24"/>
        </w:rPr>
        <w:t>(2) 供应商每周提供书目信息服务，以订单形式发给采购人。书目预订部分：每份书目数据不少于2000种，1周1份， 全年书目提供10万种(含)以上，向用户（主题分馆）提供主题书目精准率占比90%(含)以上精准率；中标人每周提供书目信息服务，书目提供时，指定出版社的作品保证在90%以上，新书在发行一周内出现在书目信息中。现书订购部分：供应商已到货图书通过编制现书目录（电子版书目格式、内容要求和递交办法同上）或提供样书供招标方选购，并保证现货地点的采购，包括全国或地区性书市、国内著名出版社等。</w:t>
      </w:r>
    </w:p>
    <w:p>
      <w:pPr>
        <w:spacing w:line="360" w:lineRule="auto"/>
        <w:ind w:right="60" w:firstLine="540" w:firstLineChars="225"/>
        <w:rPr>
          <w:rFonts w:ascii="宋体" w:hAnsi="宋体" w:cs="宋体"/>
          <w:sz w:val="24"/>
        </w:rPr>
      </w:pPr>
      <w:r>
        <w:rPr>
          <w:rFonts w:hint="eastAsia" w:ascii="宋体" w:hAnsi="宋体" w:cs="宋体"/>
          <w:sz w:val="24"/>
        </w:rPr>
        <w:t>(3) 供应商能免费提供规范的新书征订书目数据和机读编目数据（数据要参见《中国机读目录格式使用手册》），并且其数据须完全符合甲方图书集成管理系统的格式及运行要求，提供的所有数据都能在甲方系统无障碍的使用。供应商提供的征订书目内容均需符合公共图书馆读者的要求；编目数据应比同批次送达的图书提前到馆，并达到100%的覆盖率。应建立“萧山图书馆预订图书数据库”，有对甲方预订的图书进行查重的能力。甲方可以退回由于采访数据不完整而造成错订的图书。</w:t>
      </w:r>
    </w:p>
    <w:p>
      <w:pPr>
        <w:spacing w:line="360" w:lineRule="auto"/>
        <w:ind w:right="60" w:firstLine="540" w:firstLineChars="225"/>
        <w:rPr>
          <w:rFonts w:ascii="宋体" w:hAnsi="宋体" w:cs="宋体"/>
          <w:sz w:val="24"/>
        </w:rPr>
      </w:pPr>
      <w:r>
        <w:rPr>
          <w:rFonts w:hint="eastAsia" w:ascii="宋体" w:hAnsi="宋体" w:cs="宋体"/>
          <w:sz w:val="24"/>
        </w:rPr>
        <w:t>(4) 供应商能提供符合国家财税法律规定要求的售书发票。</w:t>
      </w:r>
    </w:p>
    <w:p>
      <w:pPr>
        <w:spacing w:line="360" w:lineRule="auto"/>
        <w:ind w:right="60" w:firstLine="540" w:firstLineChars="225"/>
        <w:rPr>
          <w:rFonts w:ascii="宋体" w:hAnsi="宋体" w:cs="宋体"/>
          <w:sz w:val="24"/>
        </w:rPr>
      </w:pPr>
      <w:r>
        <w:rPr>
          <w:rFonts w:hint="eastAsia" w:ascii="宋体" w:hAnsi="宋体" w:cs="宋体"/>
          <w:sz w:val="24"/>
        </w:rPr>
        <w:t>(5)供应商应具有良好的商业信誉和健全的财务会计制度。</w:t>
      </w:r>
    </w:p>
    <w:p>
      <w:pPr>
        <w:spacing w:line="360" w:lineRule="auto"/>
        <w:ind w:right="60" w:firstLine="540" w:firstLineChars="225"/>
        <w:rPr>
          <w:rFonts w:ascii="宋体" w:hAnsi="宋体" w:cs="宋体"/>
          <w:sz w:val="24"/>
        </w:rPr>
      </w:pPr>
      <w:r>
        <w:rPr>
          <w:rFonts w:hint="eastAsia" w:ascii="宋体" w:hAnsi="宋体" w:cs="宋体"/>
          <w:sz w:val="24"/>
        </w:rPr>
        <w:t>(6) 图书加工服务</w:t>
      </w:r>
    </w:p>
    <w:p>
      <w:pPr>
        <w:spacing w:line="360" w:lineRule="auto"/>
        <w:ind w:right="60" w:firstLine="540" w:firstLineChars="225"/>
        <w:rPr>
          <w:rFonts w:ascii="宋体" w:hAnsi="宋体" w:cs="宋体"/>
          <w:sz w:val="24"/>
        </w:rPr>
      </w:pPr>
      <w:r>
        <w:rPr>
          <w:rFonts w:hint="eastAsia" w:ascii="宋体" w:hAnsi="宋体" w:cs="宋体"/>
          <w:sz w:val="24"/>
        </w:rPr>
        <w:t>6.1中标人提供所供图书的全加工工作，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hint="eastAsia" w:ascii="宋体" w:hAnsi="宋体" w:cs="宋体"/>
          <w:sz w:val="24"/>
        </w:rPr>
        <w:t>6.2中标人需承担采购人通过其他渠道入藏图书的全加工工作，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3</w:t>
      </w:r>
      <w:r>
        <w:rPr>
          <w:rFonts w:hint="eastAsia" w:ascii="宋体" w:hAnsi="宋体" w:cs="宋体"/>
          <w:sz w:val="24"/>
        </w:rPr>
        <w:t>中标人提供不少于3名全加工人员到馆加工图书，其中编目加工人员须持有国家图书馆或其他大型公共图书馆颁发的编目资格证书，加工人员接受采购人的培训、指导和管理。中标人派驻的到馆全加工人员一年内更换不得超过三人次。</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4</w:t>
      </w:r>
      <w:r>
        <w:rPr>
          <w:rFonts w:hint="eastAsia" w:ascii="宋体" w:hAnsi="宋体" w:cs="宋体"/>
          <w:sz w:val="24"/>
        </w:rPr>
        <w:t>无特殊情况，到馆图书在送达后的5个工作日内加工完毕。</w:t>
      </w:r>
    </w:p>
    <w:p>
      <w:pPr>
        <w:spacing w:line="360" w:lineRule="auto"/>
        <w:ind w:firstLine="482" w:firstLineChars="200"/>
        <w:rPr>
          <w:rFonts w:ascii="宋体" w:hAnsi="宋体" w:cs="宋体"/>
          <w:b/>
          <w:sz w:val="24"/>
        </w:rPr>
      </w:pPr>
      <w:r>
        <w:rPr>
          <w:rFonts w:hint="eastAsia" w:ascii="宋体" w:hAnsi="宋体" w:cs="宋体"/>
          <w:b/>
          <w:sz w:val="24"/>
        </w:rPr>
        <w:t>2</w:t>
      </w:r>
      <w:r>
        <w:rPr>
          <w:rFonts w:ascii="宋体" w:hAnsi="宋体" w:cs="宋体"/>
          <w:b/>
          <w:sz w:val="24"/>
        </w:rPr>
        <w:t>.</w:t>
      </w:r>
      <w:r>
        <w:rPr>
          <w:rFonts w:hint="eastAsia" w:ascii="宋体" w:hAnsi="宋体" w:cs="宋体"/>
          <w:b/>
          <w:sz w:val="24"/>
        </w:rPr>
        <w:t>服务要求：</w:t>
      </w:r>
    </w:p>
    <w:p>
      <w:pPr>
        <w:overflowPunct w:val="0"/>
        <w:autoSpaceDE w:val="0"/>
        <w:autoSpaceDN w:val="0"/>
        <w:snapToGrid w:val="0"/>
        <w:spacing w:line="360" w:lineRule="auto"/>
        <w:rPr>
          <w:rFonts w:ascii="宋体" w:hAnsi="宋体" w:cs="宋体"/>
          <w:sz w:val="24"/>
        </w:rPr>
      </w:pPr>
      <w:r>
        <w:rPr>
          <w:rFonts w:hint="eastAsia" w:ascii="宋体" w:hAnsi="宋体" w:cs="宋体"/>
          <w:sz w:val="24"/>
        </w:rPr>
        <w:t xml:space="preserve">    (1)供应商在收到图书订单后应及时回复，确认是否收到订单，并按甲方提出的书目及包装要求，将图书及时送交到甲方指定地点，为此所发生的费用全部由供应商承担。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(3)供应商在递交每一批图书时，同时免费提供加盖供应商公章的该批图书的清单一式三份。图书分类法应采用现行《中图法》的最新版本。</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spacing w:line="360" w:lineRule="auto"/>
        <w:ind w:right="60" w:firstLine="540" w:firstLineChars="225"/>
        <w:rPr>
          <w:rFonts w:ascii="宋体" w:hAnsi="宋体" w:cs="宋体"/>
          <w:sz w:val="24"/>
        </w:rPr>
      </w:pPr>
      <w:r>
        <w:rPr>
          <w:rStyle w:val="962"/>
          <w:rFonts w:hint="eastAsia" w:ascii="宋体" w:hAnsi="宋体" w:cs="宋体"/>
          <w:i w:val="0"/>
          <w:iCs w:val="0"/>
          <w:sz w:val="24"/>
        </w:rPr>
        <w:t>▲</w:t>
      </w:r>
      <w:r>
        <w:rPr>
          <w:rFonts w:hint="eastAsia" w:ascii="宋体" w:hAnsi="宋体" w:cs="宋体"/>
          <w:sz w:val="24"/>
        </w:rPr>
        <w:t>(5)一键借阅“网上借书”服务要求：</w:t>
      </w:r>
    </w:p>
    <w:p>
      <w:pPr>
        <w:pStyle w:val="788"/>
        <w:ind w:firstLine="600" w:firstLineChars="250"/>
        <w:rPr>
          <w:rFonts w:ascii="宋体" w:hAnsi="宋体" w:cs="宋体"/>
          <w:szCs w:val="24"/>
        </w:rPr>
      </w:pPr>
      <w:r>
        <w:rPr>
          <w:rFonts w:hint="eastAsia" w:ascii="宋体" w:hAnsi="宋体" w:cs="宋体"/>
          <w:szCs w:val="24"/>
        </w:rPr>
        <w:t>A、采访书目完整、准确，新书到店后3个工作日内上传至图书馆网借一体化平台。</w:t>
      </w:r>
    </w:p>
    <w:p>
      <w:pPr>
        <w:pStyle w:val="788"/>
        <w:ind w:firstLine="600" w:firstLineChars="250"/>
        <w:rPr>
          <w:rFonts w:ascii="宋体" w:hAnsi="宋体" w:cs="宋体"/>
          <w:szCs w:val="24"/>
        </w:rPr>
      </w:pPr>
      <w:r>
        <w:rPr>
          <w:rFonts w:hint="eastAsia" w:ascii="宋体" w:hAnsi="宋体" w:cs="宋体"/>
          <w:szCs w:val="24"/>
        </w:rPr>
        <w:t>B、能提供网上借书“悦借”图书的著录和全加工工作，内容包括：加贴条码、磁条、RFID芯片、盖章、完整的书目著录、馆藏分配、加贴书标、加贴标识、附件加工、RFID转换、发书。全加工所产生的劳务费用由中标人承担，加工进度和质量须按采购人要求</w:t>
      </w:r>
    </w:p>
    <w:p>
      <w:pPr>
        <w:pStyle w:val="788"/>
        <w:ind w:firstLine="600" w:firstLineChars="250"/>
        <w:rPr>
          <w:rFonts w:ascii="宋体" w:hAnsi="宋体" w:cs="宋体"/>
          <w:szCs w:val="24"/>
        </w:rPr>
      </w:pPr>
      <w:r>
        <w:rPr>
          <w:rFonts w:hint="eastAsia" w:ascii="宋体" w:hAnsi="宋体" w:cs="宋体"/>
          <w:szCs w:val="24"/>
        </w:rPr>
        <w:t>C、能提供一键借阅“网上借书”服务：必须具备接口开发能力，按采购人接口开发标准完成书目数据的导入，书目数据内容包括：书店图书ID、题名、作者、出版社、出版日期、单价、分类号、ISBN、MARC数据；对图书馆“网上借书”服务采购的快速响应要求在1--3个自然日内物流配送。</w:t>
      </w:r>
    </w:p>
    <w:p>
      <w:pPr>
        <w:snapToGrid w:val="0"/>
        <w:spacing w:line="360" w:lineRule="auto"/>
        <w:ind w:firstLine="612"/>
        <w:rPr>
          <w:rFonts w:ascii="宋体" w:hAnsi="宋体" w:cs="宋体"/>
          <w:sz w:val="24"/>
        </w:rPr>
      </w:pPr>
      <w:r>
        <w:rPr>
          <w:rFonts w:hint="eastAsia" w:ascii="宋体" w:hAnsi="宋体" w:cs="宋体"/>
          <w:sz w:val="24"/>
        </w:rPr>
        <w:t>D、具备对图书馆自备清单或自定较窄主题采购能力；并能快速响应，在2-3个工作日内给与回复。</w:t>
      </w:r>
    </w:p>
    <w:p>
      <w:pPr>
        <w:snapToGrid w:val="0"/>
        <w:spacing w:line="360" w:lineRule="auto"/>
        <w:ind w:firstLine="612"/>
        <w:rPr>
          <w:rFonts w:ascii="宋体" w:hAnsi="宋体" w:cs="宋体"/>
          <w:sz w:val="24"/>
        </w:rPr>
      </w:pPr>
      <w:r>
        <w:rPr>
          <w:rFonts w:hint="eastAsia" w:ascii="宋体" w:hAnsi="宋体" w:cs="宋体"/>
          <w:sz w:val="24"/>
        </w:rPr>
        <w:t>E、中标人对图书馆已预订，但因到货、出版推迟等不能及时到馆的图书，或取消出版的信息能否及时予以反馈，中标人有义务给出解决方案。</w:t>
      </w:r>
    </w:p>
    <w:p>
      <w:pPr>
        <w:snapToGrid w:val="0"/>
        <w:spacing w:line="360" w:lineRule="auto"/>
        <w:ind w:firstLine="612"/>
        <w:rPr>
          <w:rFonts w:ascii="宋体" w:hAnsi="宋体" w:cs="宋体"/>
          <w:sz w:val="24"/>
        </w:rPr>
      </w:pPr>
      <w:r>
        <w:rPr>
          <w:rFonts w:hint="eastAsia" w:ascii="宋体" w:hAnsi="宋体" w:cs="宋体"/>
          <w:sz w:val="24"/>
        </w:rPr>
        <w:t>F、对图书质量问题、与馆藏要求不符、与预订不符等原因造成的退单应及时处理。</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(6)供应商送交到甲方的应是无破损、附件齐全的正式出版物，不能有任何质量问题。若验收时发现有污染、图文不清、缺页、倒装、缺附件等不合格的图书，以及与订单不符的图书，一律予以退换，退换费用由供应商承担。若发现明显不适宜甲方收藏的图书，供应商应允许甲方无条件退还。</w:t>
      </w:r>
    </w:p>
    <w:p>
      <w:pPr>
        <w:spacing w:line="360" w:lineRule="auto"/>
        <w:ind w:firstLine="480" w:firstLineChars="200"/>
        <w:rPr>
          <w:rFonts w:ascii="宋体" w:hAnsi="宋体" w:cs="宋体"/>
          <w:sz w:val="24"/>
        </w:rPr>
      </w:pPr>
      <w:r>
        <w:rPr>
          <w:rFonts w:hint="eastAsia" w:ascii="宋体" w:hAnsi="宋体" w:cs="宋体"/>
          <w:sz w:val="24"/>
        </w:rPr>
        <w:t>（7）供应商能按甲方的订购书目提供未经使用的</w:t>
      </w:r>
      <w:r>
        <w:rPr>
          <w:rFonts w:hint="eastAsia" w:ascii="宋体" w:hAnsi="宋体" w:cs="宋体"/>
          <w:bCs/>
          <w:sz w:val="24"/>
        </w:rPr>
        <w:t>国内中文正版图书（含国内出版的外文图书）</w:t>
      </w:r>
      <w:r>
        <w:rPr>
          <w:rFonts w:hint="eastAsia" w:ascii="宋体" w:hAnsi="宋体" w:cs="宋体"/>
          <w:sz w:val="24"/>
        </w:rPr>
        <w:t>，</w:t>
      </w:r>
      <w:r>
        <w:rPr>
          <w:rFonts w:hint="eastAsia" w:ascii="宋体" w:hAnsi="宋体" w:cs="宋体"/>
          <w:bCs/>
          <w:sz w:val="24"/>
        </w:rPr>
        <w:t>出版时间为</w:t>
      </w:r>
      <w:r>
        <w:rPr>
          <w:rFonts w:hint="eastAsia" w:ascii="宋体" w:hAnsi="宋体" w:cs="宋体"/>
          <w:spacing w:val="-2"/>
          <w:sz w:val="24"/>
        </w:rPr>
        <w:t>202</w:t>
      </w:r>
      <w:r>
        <w:rPr>
          <w:rFonts w:ascii="宋体" w:hAnsi="宋体" w:cs="宋体"/>
          <w:spacing w:val="-2"/>
          <w:sz w:val="24"/>
        </w:rPr>
        <w:t>4</w:t>
      </w:r>
      <w:r>
        <w:rPr>
          <w:rFonts w:hint="eastAsia" w:ascii="宋体" w:hAnsi="宋体" w:cs="宋体"/>
          <w:spacing w:val="-2"/>
          <w:sz w:val="24"/>
        </w:rPr>
        <w:t>年</w:t>
      </w:r>
      <w:r>
        <w:rPr>
          <w:rFonts w:hint="eastAsia" w:ascii="宋体" w:hAnsi="宋体" w:cs="宋体"/>
          <w:bCs/>
          <w:sz w:val="24"/>
        </w:rPr>
        <w:t>出版或发行的，原则上不得少于90%，</w:t>
      </w:r>
      <w:r>
        <w:rPr>
          <w:rFonts w:hint="eastAsia" w:ascii="宋体" w:hAnsi="宋体" w:cs="宋体"/>
          <w:sz w:val="24"/>
        </w:rPr>
        <w:t>图书来源渠道较广，经营图书品种多，质量好，性价比高，与全国300家以上的图书出版单位有供货关系。</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凡交到甲方的图书，以图书定价作为计算书款的依据，经验收发现书款与发货单不符的，甲方及时通知供应商派员到验收地核算，供应商接到通知之日起5个工作日内不能及时派员核算的，以甲方验收的实际数额计算书款金额。</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(9)供应商在收到甲方订单后，若现货60天、期货180天还不能到货的图书，应列出清单,并说明原因向甲方反馈。甲方有权根据实际情况再确定是否改换供应商或继续征订。</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(10)供应商应在甲方提供订单后及时征订图书，并在收到订单后及时反馈预订书目信息。预订图书前3个月到馆率不得低于60%，6个月不低于80%，全年平均不低于95%。本次招标图书要求在2024年11月31日前完成供货。</w:t>
      </w:r>
    </w:p>
    <w:p>
      <w:pPr>
        <w:spacing w:line="360" w:lineRule="auto"/>
        <w:rPr>
          <w:rFonts w:ascii="宋体" w:hAnsi="宋体" w:cs="宋体"/>
          <w:b/>
          <w:sz w:val="24"/>
        </w:rPr>
      </w:pPr>
    </w:p>
    <w:p>
      <w:pPr>
        <w:spacing w:line="360" w:lineRule="auto"/>
        <w:rPr>
          <w:rFonts w:ascii="宋体" w:hAnsi="宋体" w:cs="宋体"/>
          <w:b/>
          <w:sz w:val="24"/>
        </w:rPr>
      </w:pPr>
    </w:p>
    <w:p>
      <w:pPr>
        <w:pStyle w:val="4"/>
        <w:spacing w:before="0" w:after="0" w:line="360" w:lineRule="auto"/>
        <w:rPr>
          <w:rFonts w:ascii="宋体" w:hAnsi="宋体" w:cs="宋体"/>
          <w:sz w:val="24"/>
          <w:szCs w:val="24"/>
        </w:rPr>
      </w:pPr>
      <w:r>
        <w:rPr>
          <w:rFonts w:hint="eastAsia" w:ascii="宋体" w:hAnsi="宋体" w:cs="宋体"/>
          <w:sz w:val="24"/>
          <w:szCs w:val="24"/>
        </w:rPr>
        <w:t>标项三中文图书（大众类、专业研究类）招标需求：</w:t>
      </w:r>
    </w:p>
    <w:p>
      <w:pPr>
        <w:spacing w:line="360" w:lineRule="auto"/>
        <w:ind w:firstLine="482" w:firstLineChars="200"/>
        <w:rPr>
          <w:rFonts w:ascii="宋体" w:hAnsi="宋体" w:cs="宋体"/>
          <w:b/>
          <w:sz w:val="24"/>
        </w:rPr>
      </w:pPr>
      <w:r>
        <w:rPr>
          <w:rFonts w:hint="eastAsia" w:ascii="宋体" w:hAnsi="宋体" w:cs="宋体"/>
          <w:b/>
          <w:sz w:val="24"/>
        </w:rPr>
        <w:t>1.技术需求</w:t>
      </w:r>
    </w:p>
    <w:p>
      <w:pPr>
        <w:overflowPunct w:val="0"/>
        <w:autoSpaceDE w:val="0"/>
        <w:autoSpaceDN w:val="0"/>
        <w:snapToGrid w:val="0"/>
        <w:spacing w:line="360" w:lineRule="auto"/>
        <w:ind w:firstLine="360" w:firstLineChars="150"/>
        <w:rPr>
          <w:rFonts w:ascii="宋体" w:hAnsi="宋体" w:cs="宋体"/>
          <w:sz w:val="24"/>
        </w:rPr>
      </w:pPr>
      <w:r>
        <w:rPr>
          <w:rFonts w:hint="eastAsia" w:ascii="宋体" w:hAnsi="宋体" w:cs="宋体"/>
          <w:sz w:val="24"/>
        </w:rPr>
        <w:t>(1)供应商为专门从事图书经销的法人单位，必须拥有国家新闻出版部门颁发的《出版物经营许可证》，有从事图书经销和数据加工业务的专业人员，近年有为县区级以上公共图书馆供应图书的经历。</w:t>
      </w:r>
    </w:p>
    <w:p>
      <w:pPr>
        <w:spacing w:line="360" w:lineRule="auto"/>
        <w:ind w:firstLine="480" w:firstLineChars="200"/>
        <w:rPr>
          <w:rFonts w:ascii="宋体" w:hAnsi="宋体" w:cs="宋体"/>
          <w:sz w:val="24"/>
        </w:rPr>
      </w:pPr>
      <w:r>
        <w:rPr>
          <w:rFonts w:hint="eastAsia" w:ascii="宋体" w:hAnsi="宋体" w:cs="宋体"/>
          <w:sz w:val="24"/>
        </w:rPr>
        <w:t>(2) 供应商每周提供书目信息服务，以订单形式发给采购人。书目预订部分：、每份书目数据不少于2000种，1周1份， 全年书目提供10万种(含)以上，向用户（主题分馆）提供主题书目精准率占比90%(含)以上精准率；中标人每周提供书目信息服务，书目提供时，指定出版社的作品保证在90%以上，新书在发行一周内出现在书目信息中。现书订购部分：供应商已到货图书通过编制现书目录（电子版书目格式、内容要求和递交办法同上）或提供样书供招标方选购，并保证现货地点的采购，包括全国或地区性书市、国内著名出版社等。</w:t>
      </w:r>
    </w:p>
    <w:p>
      <w:pPr>
        <w:spacing w:line="360" w:lineRule="auto"/>
        <w:ind w:right="60" w:firstLine="540" w:firstLineChars="225"/>
        <w:rPr>
          <w:rFonts w:ascii="宋体" w:hAnsi="宋体" w:cs="宋体"/>
          <w:sz w:val="24"/>
        </w:rPr>
      </w:pPr>
      <w:r>
        <w:rPr>
          <w:rFonts w:hint="eastAsia" w:ascii="宋体" w:hAnsi="宋体" w:cs="宋体"/>
          <w:sz w:val="24"/>
        </w:rPr>
        <w:t>(3) 供应商能免费提供规范的新书征订书目数据和机读编目数据（数据要参见《中国机读目录格式使用手册》），并且其数据须完全符合甲方图书集成管理系统的格式及运行要求，提供的所有数据都能在甲方系统无障碍的使用。供应商提供的征订书目内容均需符合公共图书馆读者的要求；编目数据应比同批次送达的图书提前到馆，并达到100%的覆盖率。应建立“萧山图书馆预订图书数据库”，有对甲方预订的图书进行查重的能力。甲方可以退回由于采访数据不完整而造成错订的图书。</w:t>
      </w:r>
    </w:p>
    <w:p>
      <w:pPr>
        <w:spacing w:line="360" w:lineRule="auto"/>
        <w:ind w:right="60" w:firstLine="540" w:firstLineChars="225"/>
        <w:rPr>
          <w:rFonts w:ascii="宋体" w:hAnsi="宋体" w:cs="宋体"/>
          <w:sz w:val="24"/>
        </w:rPr>
      </w:pPr>
      <w:r>
        <w:rPr>
          <w:rFonts w:hint="eastAsia" w:ascii="宋体" w:hAnsi="宋体" w:cs="宋体"/>
          <w:sz w:val="24"/>
        </w:rPr>
        <w:t>(4) 供应商能提供符合国家财税法律规定要求的售书发票。</w:t>
      </w:r>
    </w:p>
    <w:p>
      <w:pPr>
        <w:spacing w:line="360" w:lineRule="auto"/>
        <w:ind w:right="60" w:firstLine="540" w:firstLineChars="225"/>
        <w:rPr>
          <w:rFonts w:ascii="宋体" w:hAnsi="宋体" w:cs="宋体"/>
          <w:sz w:val="24"/>
        </w:rPr>
      </w:pPr>
      <w:r>
        <w:rPr>
          <w:rFonts w:hint="eastAsia" w:ascii="宋体" w:hAnsi="宋体" w:cs="宋体"/>
          <w:sz w:val="24"/>
        </w:rPr>
        <w:t>(5)供应商应具有良好的商业信誉和健全的财务会计制度。</w:t>
      </w:r>
    </w:p>
    <w:p>
      <w:pPr>
        <w:spacing w:line="360" w:lineRule="auto"/>
        <w:ind w:right="60" w:firstLine="540" w:firstLineChars="225"/>
        <w:rPr>
          <w:rFonts w:ascii="宋体" w:hAnsi="宋体" w:cs="宋体"/>
          <w:sz w:val="24"/>
        </w:rPr>
      </w:pPr>
      <w:r>
        <w:rPr>
          <w:rFonts w:hint="eastAsia" w:ascii="宋体" w:hAnsi="宋体" w:cs="宋体"/>
          <w:sz w:val="24"/>
        </w:rPr>
        <w:t>(6) 图书加工服务</w:t>
      </w:r>
    </w:p>
    <w:p>
      <w:pPr>
        <w:spacing w:line="360" w:lineRule="auto"/>
        <w:ind w:right="60" w:firstLine="540" w:firstLineChars="225"/>
        <w:rPr>
          <w:rFonts w:ascii="宋体" w:hAnsi="宋体" w:cs="宋体"/>
          <w:sz w:val="24"/>
        </w:rPr>
      </w:pPr>
      <w:r>
        <w:rPr>
          <w:rFonts w:hint="eastAsia" w:ascii="宋体" w:hAnsi="宋体" w:cs="宋体"/>
          <w:sz w:val="24"/>
        </w:rPr>
        <w:t>6.1中标人提供所供图书的全加工工作，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hint="eastAsia" w:ascii="宋体" w:hAnsi="宋体" w:cs="宋体"/>
          <w:sz w:val="24"/>
        </w:rPr>
        <w:t>6.2中标人需承担采购人通过其他渠道入藏图书的全加工工作（数量不超过1</w:t>
      </w:r>
      <w:r>
        <w:rPr>
          <w:rFonts w:ascii="宋体" w:hAnsi="宋体" w:cs="宋体"/>
          <w:sz w:val="24"/>
        </w:rPr>
        <w:t>000</w:t>
      </w:r>
      <w:r>
        <w:rPr>
          <w:rFonts w:hint="eastAsia" w:ascii="宋体" w:hAnsi="宋体" w:cs="宋体"/>
          <w:sz w:val="24"/>
        </w:rPr>
        <w:t>册），内容包括：加贴条码、磁条、RFID芯片、盖章、完整的书目记录、馆藏分配、加贴书标、加贴标识、附件加工、RFID转换、分类上架。RFID（高频）标签由采购人提供，全加工所产生的劳务费用由中标人承担，加工进度和质量须按采购人要求。</w:t>
      </w:r>
    </w:p>
    <w:p>
      <w:pPr>
        <w:spacing w:line="360" w:lineRule="auto"/>
        <w:ind w:firstLine="480" w:firstLineChars="200"/>
        <w:rPr>
          <w:rFonts w:ascii="宋体" w:hAnsi="宋体" w:cs="宋体"/>
          <w:sz w:val="24"/>
        </w:rPr>
      </w:pPr>
      <w:r>
        <w:rPr>
          <w:rFonts w:hint="eastAsia" w:ascii="宋体" w:hAnsi="宋体" w:cs="宋体"/>
          <w:sz w:val="24"/>
        </w:rPr>
        <w:t>6.3中标人提供不少于3名全加工人员到馆加工图书，其中编目加工人员须持有国家图书馆或其他大型公共图书馆颁发的编目资格证书，加工人员接受采购人的培训、指导和管理。中标人派驻的到馆全加工人员一年内更换不得超过三人次。</w:t>
      </w:r>
    </w:p>
    <w:p>
      <w:pPr>
        <w:overflowPunct w:val="0"/>
        <w:autoSpaceDE w:val="0"/>
        <w:autoSpaceDN w:val="0"/>
        <w:snapToGrid w:val="0"/>
        <w:spacing w:line="360" w:lineRule="auto"/>
        <w:ind w:firstLine="360" w:firstLineChars="150"/>
        <w:rPr>
          <w:rFonts w:ascii="宋体" w:hAnsi="宋体" w:cs="宋体"/>
          <w:sz w:val="24"/>
        </w:rPr>
      </w:pPr>
      <w:r>
        <w:rPr>
          <w:rFonts w:hint="eastAsia" w:ascii="宋体" w:hAnsi="宋体" w:cs="宋体"/>
          <w:sz w:val="24"/>
        </w:rPr>
        <w:t>6.4无特殊情况，到馆图书在送达后的5个工作日内加工完毕。</w:t>
      </w:r>
    </w:p>
    <w:p>
      <w:pPr>
        <w:spacing w:line="360" w:lineRule="auto"/>
        <w:ind w:firstLine="482" w:firstLineChars="200"/>
        <w:rPr>
          <w:rFonts w:ascii="宋体" w:hAnsi="宋体" w:cs="宋体"/>
          <w:b/>
          <w:sz w:val="24"/>
        </w:rPr>
      </w:pPr>
      <w:r>
        <w:rPr>
          <w:rFonts w:ascii="宋体" w:hAnsi="宋体" w:cs="宋体"/>
          <w:b/>
          <w:sz w:val="24"/>
        </w:rPr>
        <w:t>2.</w:t>
      </w:r>
      <w:r>
        <w:rPr>
          <w:rFonts w:hint="eastAsia" w:ascii="宋体" w:hAnsi="宋体" w:cs="宋体"/>
          <w:b/>
          <w:sz w:val="24"/>
        </w:rPr>
        <w:t>服务要求：</w:t>
      </w:r>
    </w:p>
    <w:p>
      <w:pPr>
        <w:overflowPunct w:val="0"/>
        <w:autoSpaceDE w:val="0"/>
        <w:autoSpaceDN w:val="0"/>
        <w:snapToGrid w:val="0"/>
        <w:spacing w:line="360" w:lineRule="auto"/>
        <w:rPr>
          <w:rFonts w:ascii="宋体" w:hAnsi="宋体" w:cs="宋体"/>
          <w:sz w:val="24"/>
        </w:rPr>
      </w:pPr>
      <w:r>
        <w:rPr>
          <w:rFonts w:hint="eastAsia" w:ascii="宋体" w:hAnsi="宋体" w:cs="宋体"/>
          <w:sz w:val="24"/>
        </w:rPr>
        <w:t xml:space="preserve">    (1)供应商在收到图书订单后应及时回复，确认是否收到订单，并按甲方提出的书目及包装要求，将图书及时送交到甲方指定地点，为此所发生的费用全部由供应商承担。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(3)供应商在递交每一批图书时，同时免费提供加盖供应商公章的该批图书的清单一式三份。图书分类法应采用现行《中图法》的最新版本。</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ascii="宋体" w:hAnsi="宋体" w:cs="宋体"/>
          <w:sz w:val="24"/>
        </w:rPr>
        <w:t>5</w:t>
      </w:r>
      <w:r>
        <w:rPr>
          <w:rFonts w:hint="eastAsia" w:ascii="宋体" w:hAnsi="宋体" w:cs="宋体"/>
          <w:sz w:val="24"/>
        </w:rPr>
        <w:t>)供应商送交到甲方的应是无破损、附件齐全的正式出版物，不能有任何质量问题。若验收时发现有污染、图文不清、缺页、倒装、缺附件等不合格的图书，以及与订单不符的图书，一律予以退换，退换费用由供应商承担。若发现明显不适宜甲方收藏的图书，供应商应允许甲方无条件退还。</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)供应商能按甲方的订购书目提供未经使用的</w:t>
      </w:r>
      <w:r>
        <w:rPr>
          <w:rFonts w:hint="eastAsia" w:ascii="宋体" w:hAnsi="宋体" w:cs="宋体"/>
          <w:bCs/>
          <w:sz w:val="24"/>
        </w:rPr>
        <w:t>国内中文正版图书（含国内出版的外文图书）</w:t>
      </w:r>
      <w:r>
        <w:rPr>
          <w:rFonts w:hint="eastAsia" w:ascii="宋体" w:hAnsi="宋体" w:cs="宋体"/>
          <w:sz w:val="24"/>
        </w:rPr>
        <w:t>，</w:t>
      </w:r>
      <w:r>
        <w:rPr>
          <w:rFonts w:hint="eastAsia" w:ascii="宋体" w:hAnsi="宋体" w:cs="宋体"/>
          <w:bCs/>
          <w:sz w:val="24"/>
        </w:rPr>
        <w:t>出版时间为</w:t>
      </w:r>
      <w:r>
        <w:rPr>
          <w:rFonts w:ascii="宋体" w:hAnsi="宋体" w:cs="宋体"/>
          <w:spacing w:val="-2"/>
          <w:sz w:val="24"/>
        </w:rPr>
        <w:t>2024</w:t>
      </w:r>
      <w:r>
        <w:rPr>
          <w:rFonts w:hint="eastAsia" w:ascii="宋体" w:hAnsi="宋体" w:cs="宋体"/>
          <w:spacing w:val="-2"/>
          <w:sz w:val="24"/>
        </w:rPr>
        <w:t>年</w:t>
      </w:r>
      <w:r>
        <w:rPr>
          <w:rFonts w:hint="eastAsia" w:ascii="宋体" w:hAnsi="宋体" w:cs="宋体"/>
          <w:bCs/>
          <w:sz w:val="24"/>
        </w:rPr>
        <w:t>出版或发行的，原则上不得少于90%，</w:t>
      </w:r>
      <w:r>
        <w:rPr>
          <w:rFonts w:hint="eastAsia" w:ascii="宋体" w:hAnsi="宋体" w:cs="宋体"/>
          <w:sz w:val="24"/>
        </w:rPr>
        <w:t>图书来源渠道较广，经营图书品种多，质量好，性价比高，与全国300家以上的图书出版单位有供货关系。</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凡交到甲方的图书，以图书定价作为计算书款的依据，经验收发现书款与发货单不符的，甲方及时通知供应商派员到验收地核算，供应商接到通知之日起5个工作日内不能及时派员核算的，以甲方验收的实际数额计算书款金额。</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)供应商在收到甲方订单后，若现货60天、期货180天还不能到货的图书，应列出清单,并说明原因向甲方反馈。甲方有权根据实际情况再确定是否改换供应商或继续征订。</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)供应商应在甲方提供订单后及时征订图书，并在收到订单后及时反馈预订书目信息。预订图书前3个月到馆率不得低于60%，6个月不低于80%，全年平均不低于95%。本次招标图书要求在2024年11月31日前完成供货。</w:t>
      </w:r>
    </w:p>
    <w:p>
      <w:pPr>
        <w:pStyle w:val="837"/>
        <w:spacing w:line="360" w:lineRule="auto"/>
        <w:rPr>
          <w:rFonts w:ascii="宋体" w:hAnsi="宋体" w:eastAsia="宋体" w:cs="宋体"/>
        </w:rPr>
      </w:pPr>
    </w:p>
    <w:p>
      <w:pPr>
        <w:pStyle w:val="4"/>
        <w:spacing w:before="0" w:after="0" w:line="360" w:lineRule="auto"/>
        <w:rPr>
          <w:rFonts w:ascii="宋体" w:hAnsi="宋体" w:cs="宋体"/>
          <w:sz w:val="24"/>
          <w:szCs w:val="24"/>
        </w:rPr>
      </w:pPr>
      <w:r>
        <w:rPr>
          <w:rFonts w:hint="eastAsia" w:ascii="宋体" w:hAnsi="宋体" w:cs="宋体"/>
          <w:sz w:val="24"/>
          <w:szCs w:val="24"/>
        </w:rPr>
        <w:t>标项四农家书屋图书招标需求：</w:t>
      </w:r>
    </w:p>
    <w:p>
      <w:pPr>
        <w:spacing w:line="360" w:lineRule="auto"/>
        <w:ind w:firstLine="482" w:firstLineChars="200"/>
        <w:rPr>
          <w:rFonts w:ascii="宋体" w:hAnsi="宋体" w:cs="宋体"/>
          <w:b/>
          <w:bCs/>
          <w:sz w:val="24"/>
        </w:rPr>
      </w:pPr>
      <w:r>
        <w:rPr>
          <w:rFonts w:hint="eastAsia" w:ascii="宋体" w:hAnsi="宋体" w:cs="宋体"/>
          <w:b/>
          <w:bCs/>
          <w:sz w:val="24"/>
        </w:rPr>
        <w:t>1.技术需求</w:t>
      </w:r>
    </w:p>
    <w:p>
      <w:pPr>
        <w:spacing w:line="360" w:lineRule="auto"/>
        <w:ind w:firstLine="480" w:firstLineChars="200"/>
        <w:rPr>
          <w:rFonts w:ascii="宋体" w:hAnsi="宋体" w:cs="宋体"/>
          <w:sz w:val="24"/>
        </w:rPr>
      </w:pPr>
      <w:r>
        <w:rPr>
          <w:rStyle w:val="962"/>
          <w:rFonts w:hint="eastAsia" w:ascii="宋体" w:hAnsi="宋体" w:cs="宋体"/>
          <w:i w:val="0"/>
          <w:iCs w:val="0"/>
          <w:sz w:val="24"/>
        </w:rPr>
        <w:t>▲</w:t>
      </w:r>
      <w:r>
        <w:rPr>
          <w:rFonts w:hint="eastAsia" w:ascii="宋体" w:hAnsi="宋体" w:cs="宋体"/>
          <w:sz w:val="24"/>
        </w:rPr>
        <w:t>（1）为全区3</w:t>
      </w:r>
      <w:r>
        <w:rPr>
          <w:rFonts w:ascii="宋体" w:hAnsi="宋体" w:cs="宋体"/>
          <w:sz w:val="24"/>
        </w:rPr>
        <w:t>35</w:t>
      </w:r>
      <w:r>
        <w:rPr>
          <w:rFonts w:hint="eastAsia" w:ascii="宋体" w:hAnsi="宋体" w:cs="宋体"/>
          <w:sz w:val="24"/>
        </w:rPr>
        <w:t>个农家书屋采购书籍，采购图书每种复本数不超过1</w:t>
      </w:r>
      <w:r>
        <w:rPr>
          <w:rFonts w:ascii="宋体" w:hAnsi="宋体" w:cs="宋体"/>
          <w:sz w:val="24"/>
        </w:rPr>
        <w:t>0</w:t>
      </w:r>
      <w:r>
        <w:rPr>
          <w:rFonts w:hint="eastAsia" w:ascii="宋体" w:hAnsi="宋体" w:cs="宋体"/>
          <w:sz w:val="24"/>
        </w:rPr>
        <w:t>册，每个农家书屋采购图书不少于6</w:t>
      </w:r>
      <w:r>
        <w:rPr>
          <w:rFonts w:ascii="宋体" w:hAnsi="宋体" w:cs="宋体"/>
          <w:sz w:val="24"/>
        </w:rPr>
        <w:t>0</w:t>
      </w:r>
      <w:r>
        <w:rPr>
          <w:rFonts w:hint="eastAsia" w:ascii="宋体" w:hAnsi="宋体" w:cs="宋体"/>
          <w:sz w:val="24"/>
        </w:rPr>
        <w:t>种、8</w:t>
      </w:r>
      <w:r>
        <w:rPr>
          <w:rFonts w:ascii="宋体" w:hAnsi="宋体" w:cs="宋体"/>
          <w:sz w:val="24"/>
        </w:rPr>
        <w:t>0</w:t>
      </w:r>
      <w:r>
        <w:rPr>
          <w:rFonts w:hint="eastAsia" w:ascii="宋体" w:hAnsi="宋体" w:cs="宋体"/>
          <w:sz w:val="24"/>
        </w:rPr>
        <w:t>册。提高农家书屋出版物配备的针对性、适用性、可读性，着眼以文化人、以文育人，把提高质量作为工作的生命线,构建品位健康、品质优良、品类丰富的农家书屋内容供给体系，促进满足人民文化需求和增强人民精神力量相统一。</w:t>
      </w:r>
    </w:p>
    <w:p>
      <w:pPr>
        <w:overflowPunct w:val="0"/>
        <w:autoSpaceDE w:val="0"/>
        <w:autoSpaceDN w:val="0"/>
        <w:snapToGrid w:val="0"/>
        <w:spacing w:line="360" w:lineRule="auto"/>
        <w:ind w:firstLine="600" w:firstLineChars="25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）供应商为专门从事图书经销的法人单位，必须拥有国家新闻出版部门颁发的《出版物经营许可证》，有从事图书经销和数据加工业务的专业人员，近年有为县区级以上公共图书馆供应图书的经历。</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）供应商每周提供书目信息服务，以订单形式发给采购人。</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）保证图书质量，图书出现装订、印刷质量问题和损坏，投标人负责退换。</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本次采购，图书质量执行《中华人民共和国产品质量法》和新闻出版署《图书质量管理规定》（新出图[1997]79号）；印刷技术标准执行中华人民共和国国标GB9851；书刊印刷质量评价和分级方法依据CYZ-91标准；图书开本及幅面尺寸符合GB/T788-1999标准。</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所供图书均为国家正规出版物，无盗版、侵权和国家明令禁止发行的图书。供应商供应的图书中，应不含有色情、暴力、恐怖等不健康内容，应剔除小开本、活页、线装等不适合流通的书。不允许用库存书、下架、质次价高的劣质图书，不允许盗版图书。</w:t>
      </w:r>
    </w:p>
    <w:p>
      <w:pPr>
        <w:spacing w:line="360" w:lineRule="auto"/>
        <w:ind w:firstLine="480" w:firstLineChars="200"/>
        <w:rPr>
          <w:rFonts w:ascii="宋体" w:hAnsi="宋体" w:cs="宋体"/>
          <w:sz w:val="24"/>
        </w:rPr>
      </w:pPr>
      <w:r>
        <w:rPr>
          <w:rFonts w:hint="eastAsia" w:ascii="宋体" w:hAnsi="宋体" w:cs="宋体"/>
          <w:sz w:val="24"/>
        </w:rPr>
        <w:t>（7）图书加工服务</w:t>
      </w:r>
    </w:p>
    <w:p>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.1中标人提供所供图书的全加工工作，内容包括：加贴条码、磁条、RFID芯片、盖章、完整的书目记录、馆藏分配、加贴书标、加贴标识、附件加工、RFID转换、分类上架。</w:t>
      </w:r>
      <w:r>
        <w:rPr>
          <w:rFonts w:hint="eastAsia" w:ascii="宋体" w:hAnsi="宋体" w:cs="宋体"/>
          <w:b/>
          <w:sz w:val="24"/>
        </w:rPr>
        <w:t>RFID（高频）标签（按采购人要求）</w:t>
      </w:r>
      <w:r>
        <w:rPr>
          <w:rFonts w:hint="eastAsia" w:ascii="宋体" w:hAnsi="宋体" w:cs="宋体"/>
          <w:sz w:val="24"/>
        </w:rPr>
        <w:t>及全加工所产生的劳务费用</w:t>
      </w:r>
      <w:r>
        <w:rPr>
          <w:rFonts w:hint="eastAsia" w:ascii="宋体" w:hAnsi="宋体" w:cs="宋体"/>
          <w:b/>
          <w:sz w:val="24"/>
        </w:rPr>
        <w:t>由中标人承担</w:t>
      </w:r>
      <w:r>
        <w:rPr>
          <w:rFonts w:hint="eastAsia" w:ascii="宋体" w:hAnsi="宋体" w:cs="宋体"/>
          <w:sz w:val="24"/>
        </w:rPr>
        <w:t>，加工进度和质量须按采购人要求。</w:t>
      </w:r>
    </w:p>
    <w:p>
      <w:pPr>
        <w:spacing w:line="360" w:lineRule="auto"/>
        <w:ind w:firstLine="480" w:firstLineChars="200"/>
        <w:rPr>
          <w:rFonts w:ascii="宋体" w:hAnsi="宋体" w:cs="宋体"/>
          <w:sz w:val="24"/>
        </w:rPr>
      </w:pPr>
      <w:r>
        <w:rPr>
          <w:rFonts w:ascii="宋体" w:hAnsi="宋体" w:cs="宋体"/>
          <w:sz w:val="24"/>
        </w:rPr>
        <w:t>7.2</w:t>
      </w:r>
      <w:r>
        <w:rPr>
          <w:rFonts w:hint="eastAsia" w:ascii="宋体" w:hAnsi="宋体" w:cs="宋体"/>
          <w:sz w:val="24"/>
        </w:rPr>
        <w:t>中标人提供不少于3名全加工人员到馆加工图书，其中编目加工人员须持有国家图书馆或其他大型公共图书馆颁发的编目资格证书，加工人员接受采购人的培训、指导和管理。中标人派驻的到馆全加工人员一年内更换不得超过三人次。</w:t>
      </w:r>
    </w:p>
    <w:p>
      <w:pPr>
        <w:spacing w:line="360" w:lineRule="auto"/>
        <w:ind w:firstLine="482" w:firstLineChars="200"/>
        <w:rPr>
          <w:rFonts w:ascii="宋体" w:hAnsi="宋体" w:cs="宋体"/>
          <w:b/>
          <w:bCs/>
          <w:sz w:val="24"/>
        </w:rPr>
      </w:pPr>
      <w:r>
        <w:rPr>
          <w:rFonts w:hint="eastAsia" w:ascii="宋体" w:hAnsi="宋体" w:cs="宋体"/>
          <w:b/>
          <w:bCs/>
          <w:sz w:val="24"/>
        </w:rPr>
        <w:t>2.服务要求</w:t>
      </w:r>
    </w:p>
    <w:p>
      <w:pPr>
        <w:overflowPunct w:val="0"/>
        <w:autoSpaceDE w:val="0"/>
        <w:autoSpaceDN w:val="0"/>
        <w:snapToGrid w:val="0"/>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Style w:val="962"/>
          <w:rFonts w:hint="eastAsia" w:ascii="宋体" w:hAnsi="宋体" w:cs="宋体"/>
          <w:i w:val="0"/>
          <w:iCs w:val="0"/>
          <w:sz w:val="24"/>
        </w:rPr>
        <w:t>▲</w:t>
      </w:r>
      <w:r>
        <w:rPr>
          <w:rFonts w:hint="eastAsia" w:ascii="宋体" w:hAnsi="宋体" w:cs="宋体"/>
          <w:sz w:val="24"/>
        </w:rPr>
        <w:t>(1)供应商在收到图书订单后应及时回复，确认是否收到订单，并按甲方提出的书目及包装要求，</w:t>
      </w:r>
      <w:r>
        <w:rPr>
          <w:rFonts w:hint="eastAsia" w:ascii="宋体" w:hAnsi="宋体" w:cs="宋体"/>
          <w:b/>
          <w:sz w:val="24"/>
        </w:rPr>
        <w:t>将图书及时送达至3</w:t>
      </w:r>
      <w:r>
        <w:rPr>
          <w:rFonts w:ascii="宋体" w:hAnsi="宋体" w:cs="宋体"/>
          <w:b/>
          <w:sz w:val="24"/>
        </w:rPr>
        <w:t>35</w:t>
      </w:r>
      <w:r>
        <w:rPr>
          <w:rFonts w:hint="eastAsia" w:ascii="宋体" w:hAnsi="宋体" w:cs="宋体"/>
          <w:b/>
          <w:sz w:val="24"/>
        </w:rPr>
        <w:t>个农家书屋点，并提供各点位验收确认清单，</w:t>
      </w:r>
      <w:r>
        <w:rPr>
          <w:rFonts w:hint="eastAsia" w:ascii="宋体" w:hAnsi="宋体" w:cs="宋体"/>
          <w:sz w:val="24"/>
        </w:rPr>
        <w:t>为此所发生的费用全部由供应商承担。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spacing w:line="360" w:lineRule="auto"/>
        <w:ind w:firstLine="420" w:firstLineChars="200"/>
        <w:rPr>
          <w:rFonts w:ascii="宋体" w:hAnsi="宋体" w:cs="宋体"/>
          <w:sz w:val="24"/>
        </w:rPr>
      </w:pPr>
      <w:r>
        <w:rPr>
          <w:rFonts w:hint="eastAsia"/>
        </w:rPr>
        <w:t>（4）</w:t>
      </w:r>
      <w:r>
        <w:rPr>
          <w:rFonts w:hint="eastAsia" w:ascii="宋体" w:hAnsi="宋体" w:cs="宋体"/>
          <w:sz w:val="24"/>
        </w:rPr>
        <w:t>本次招标图书要求在2024年11月31日前完成供货。</w:t>
      </w:r>
    </w:p>
    <w:p>
      <w:pPr>
        <w:pStyle w:val="61"/>
        <w:spacing w:after="0" w:line="360" w:lineRule="auto"/>
        <w:ind w:firstLine="420"/>
      </w:pPr>
    </w:p>
    <w:p>
      <w:pPr>
        <w:pStyle w:val="61"/>
        <w:spacing w:after="0" w:line="360" w:lineRule="auto"/>
        <w:ind w:firstLine="420"/>
      </w:pPr>
    </w:p>
    <w:p>
      <w:pPr>
        <w:spacing w:line="360" w:lineRule="auto"/>
        <w:rPr>
          <w:rFonts w:ascii="仿宋" w:hAnsi="仿宋" w:eastAsia="仿宋" w:cs="仿宋"/>
        </w:rPr>
      </w:pPr>
    </w:p>
    <w:p>
      <w:pPr>
        <w:spacing w:line="360" w:lineRule="auto"/>
        <w:rPr>
          <w:rFonts w:ascii="宋体" w:hAnsi="宋体" w:cs="宋体"/>
          <w:b/>
          <w:bCs/>
          <w:sz w:val="28"/>
          <w:szCs w:val="28"/>
        </w:rPr>
      </w:pPr>
      <w:r>
        <w:rPr>
          <w:rFonts w:hint="eastAsia" w:ascii="宋体" w:hAnsi="宋体" w:cs="宋体"/>
          <w:b/>
          <w:bCs/>
          <w:sz w:val="28"/>
          <w:szCs w:val="28"/>
        </w:rPr>
        <w:t>商务需求：</w:t>
      </w:r>
    </w:p>
    <w:p>
      <w:pPr>
        <w:spacing w:line="360" w:lineRule="auto"/>
        <w:rPr>
          <w:rFonts w:ascii="仿宋" w:hAnsi="仿宋" w:eastAsia="仿宋" w:cs="仿宋"/>
        </w:rPr>
      </w:pP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
          <w:sz w:val="24"/>
        </w:rPr>
        <w:t>(1)服务期：根据采购人要求完成服务（标项1-标项4）</w:t>
      </w:r>
    </w:p>
    <w:p>
      <w:pPr>
        <w:snapToGrid w:val="0"/>
        <w:spacing w:line="360" w:lineRule="auto"/>
        <w:ind w:firstLine="482" w:firstLineChars="200"/>
        <w:rPr>
          <w:rFonts w:ascii="宋体" w:hAnsi="宋体" w:cs="宋体"/>
          <w:b/>
          <w:sz w:val="24"/>
        </w:rPr>
      </w:pPr>
      <w:r>
        <w:rPr>
          <w:rFonts w:hint="eastAsia" w:ascii="宋体" w:hAnsi="宋体" w:cs="宋体"/>
          <w:b/>
          <w:sz w:val="24"/>
        </w:rPr>
        <w:t>(2)项目实施计划</w:t>
      </w:r>
    </w:p>
    <w:p>
      <w:pPr>
        <w:snapToGrid w:val="0"/>
        <w:spacing w:line="360" w:lineRule="auto"/>
        <w:ind w:firstLine="480" w:firstLineChars="200"/>
        <w:rPr>
          <w:rFonts w:ascii="宋体" w:hAnsi="宋体" w:cs="宋体"/>
          <w:sz w:val="24"/>
        </w:rPr>
      </w:pPr>
      <w:r>
        <w:rPr>
          <w:rFonts w:hint="eastAsia" w:ascii="宋体" w:hAnsi="宋体" w:cs="宋体"/>
          <w:sz w:val="24"/>
        </w:rPr>
        <w:t>项目实施的组织工作方案：工作时间进度表、工作程序或步骤、管理和协调方法、送货方案等。</w:t>
      </w:r>
    </w:p>
    <w:p>
      <w:pPr>
        <w:snapToGrid w:val="0"/>
        <w:spacing w:line="360" w:lineRule="auto"/>
        <w:ind w:firstLine="480" w:firstLineChars="200"/>
        <w:rPr>
          <w:rFonts w:ascii="宋体" w:hAnsi="宋体" w:cs="宋体"/>
          <w:b/>
          <w:sz w:val="24"/>
        </w:rPr>
      </w:pPr>
      <w:r>
        <w:rPr>
          <w:rFonts w:hint="eastAsia" w:ascii="宋体" w:hAnsi="宋体" w:cs="宋体"/>
          <w:sz w:val="24"/>
        </w:rPr>
        <w:t>▲</w:t>
      </w:r>
      <w:r>
        <w:rPr>
          <w:rFonts w:hint="eastAsia" w:ascii="宋体" w:hAnsi="宋体" w:cs="宋体"/>
          <w:b/>
          <w:sz w:val="24"/>
        </w:rPr>
        <w:t>（3）付款方式</w:t>
      </w:r>
    </w:p>
    <w:p>
      <w:pPr>
        <w:spacing w:line="360" w:lineRule="auto"/>
        <w:ind w:firstLine="480" w:firstLineChars="200"/>
        <w:rPr>
          <w:rFonts w:ascii="宋体" w:hAnsi="宋体" w:cs="宋体"/>
          <w:b/>
          <w:sz w:val="24"/>
        </w:rPr>
      </w:pPr>
      <w:r>
        <w:rPr>
          <w:rFonts w:hint="eastAsia" w:ascii="宋体" w:hAnsi="宋体" w:cs="宋体"/>
          <w:sz w:val="24"/>
        </w:rPr>
        <w:t>合同签订生效后，采购人收到中标人提供的同等金额的正规发票后，采购人支付合同总金额的40%给中标人作为预付款；供货完成并经验收合格后由采购人向中标人支付剩余货款。</w:t>
      </w:r>
    </w:p>
    <w:p>
      <w:pPr>
        <w:spacing w:line="360" w:lineRule="auto"/>
        <w:rPr>
          <w:rFonts w:ascii="仿宋" w:hAnsi="仿宋" w:eastAsia="仿宋" w:cs="仿宋"/>
        </w:rPr>
      </w:pP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1、如有附图，仅作参考。</w:t>
      </w:r>
    </w:p>
    <w:p>
      <w:pPr>
        <w:spacing w:line="360" w:lineRule="auto"/>
        <w:ind w:firstLine="480" w:firstLineChars="200"/>
        <w:rPr>
          <w:rFonts w:ascii="宋体" w:hAnsi="宋体" w:cs="宋体"/>
          <w:sz w:val="24"/>
        </w:rPr>
      </w:pPr>
      <w:r>
        <w:rPr>
          <w:rFonts w:hint="eastAsia" w:ascii="宋体" w:hAnsi="宋体" w:cs="宋体"/>
          <w:sz w:val="24"/>
        </w:rPr>
        <w:t>2、打▲内容为实质性要求，不允许有负偏离，否则将以涉及无效投标条款作无效投标。</w:t>
      </w:r>
    </w:p>
    <w:p>
      <w:pPr>
        <w:spacing w:line="360" w:lineRule="auto"/>
        <w:ind w:firstLine="480" w:firstLineChars="200"/>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pPr>
        <w:ind w:firstLine="480" w:firstLineChars="200"/>
        <w:rPr>
          <w:rFonts w:ascii="宋体" w:hAnsi="宋体" w:cs="宋体"/>
          <w:sz w:val="24"/>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2106"/>
      <w:bookmarkEnd w:id="32"/>
      <w:bookmarkStart w:id="33" w:name="_Toc184308095"/>
      <w:bookmarkEnd w:id="33"/>
      <w:bookmarkStart w:id="34" w:name="_Toc184310301"/>
      <w:bookmarkEnd w:id="34"/>
      <w:bookmarkStart w:id="35" w:name="_Toc184312132"/>
      <w:bookmarkEnd w:id="35"/>
      <w:bookmarkStart w:id="36" w:name="_Toc184312131"/>
      <w:bookmarkEnd w:id="36"/>
      <w:bookmarkStart w:id="37" w:name="_Toc184308064"/>
      <w:bookmarkEnd w:id="37"/>
      <w:bookmarkStart w:id="38" w:name="_Toc184310344"/>
      <w:bookmarkEnd w:id="38"/>
      <w:bookmarkStart w:id="39" w:name="_Toc184310302"/>
      <w:bookmarkEnd w:id="39"/>
      <w:bookmarkStart w:id="40" w:name="_Toc184308103"/>
      <w:bookmarkEnd w:id="40"/>
      <w:bookmarkStart w:id="41" w:name="_Toc184312110"/>
      <w:bookmarkEnd w:id="41"/>
      <w:bookmarkStart w:id="42" w:name="_Toc184314429"/>
      <w:bookmarkEnd w:id="42"/>
      <w:bookmarkStart w:id="43" w:name="_Toc184314433"/>
      <w:bookmarkEnd w:id="43"/>
      <w:bookmarkStart w:id="44" w:name="_Toc184308098"/>
      <w:bookmarkEnd w:id="44"/>
      <w:bookmarkStart w:id="45" w:name="_Toc184310339"/>
      <w:bookmarkEnd w:id="45"/>
      <w:bookmarkStart w:id="46" w:name="_Toc184310328"/>
      <w:bookmarkEnd w:id="46"/>
      <w:bookmarkStart w:id="47" w:name="_Toc184314413"/>
      <w:bookmarkEnd w:id="47"/>
      <w:bookmarkStart w:id="48" w:name="_Toc184314473"/>
      <w:bookmarkEnd w:id="48"/>
      <w:bookmarkStart w:id="49" w:name="_Toc184313253"/>
      <w:bookmarkEnd w:id="49"/>
      <w:bookmarkStart w:id="50" w:name="_Toc184310286"/>
      <w:bookmarkEnd w:id="50"/>
      <w:bookmarkStart w:id="51" w:name="_Toc184314444"/>
      <w:bookmarkEnd w:id="51"/>
      <w:bookmarkStart w:id="52" w:name="_Toc184312133"/>
      <w:bookmarkEnd w:id="52"/>
      <w:bookmarkStart w:id="53" w:name="_Toc184312134"/>
      <w:bookmarkEnd w:id="53"/>
      <w:bookmarkStart w:id="54" w:name="_Toc184308100"/>
      <w:bookmarkEnd w:id="54"/>
      <w:bookmarkStart w:id="55" w:name="_Toc184314416"/>
      <w:bookmarkEnd w:id="55"/>
      <w:bookmarkStart w:id="56" w:name="_Toc184310298"/>
      <w:bookmarkEnd w:id="56"/>
      <w:bookmarkStart w:id="57" w:name="_Toc184312080"/>
      <w:bookmarkEnd w:id="57"/>
      <w:bookmarkStart w:id="58" w:name="_Toc184312086"/>
      <w:bookmarkEnd w:id="58"/>
      <w:bookmarkStart w:id="59" w:name="_Toc184313283"/>
      <w:bookmarkEnd w:id="59"/>
      <w:bookmarkStart w:id="60" w:name="_Toc184314431"/>
      <w:bookmarkEnd w:id="60"/>
      <w:bookmarkStart w:id="61" w:name="_Toc184308071"/>
      <w:bookmarkEnd w:id="61"/>
      <w:bookmarkStart w:id="62" w:name="_Toc184312116"/>
      <w:bookmarkEnd w:id="62"/>
      <w:bookmarkStart w:id="63" w:name="_Toc184313310"/>
      <w:bookmarkEnd w:id="63"/>
      <w:bookmarkStart w:id="64" w:name="_Toc184312112"/>
      <w:bookmarkEnd w:id="64"/>
      <w:bookmarkStart w:id="65" w:name="_Toc184310324"/>
      <w:bookmarkEnd w:id="65"/>
      <w:bookmarkStart w:id="66" w:name="_Toc184313295"/>
      <w:bookmarkEnd w:id="66"/>
      <w:bookmarkStart w:id="67" w:name="_Toc184314452"/>
      <w:bookmarkEnd w:id="67"/>
      <w:bookmarkStart w:id="68" w:name="_Toc184313288"/>
      <w:bookmarkEnd w:id="68"/>
      <w:bookmarkStart w:id="69" w:name="_Toc184310323"/>
      <w:bookmarkEnd w:id="69"/>
      <w:bookmarkStart w:id="70" w:name="_Toc184314421"/>
      <w:bookmarkEnd w:id="70"/>
      <w:bookmarkStart w:id="71" w:name="_Toc184313282"/>
      <w:bookmarkEnd w:id="71"/>
      <w:bookmarkStart w:id="72" w:name="_Toc184314436"/>
      <w:bookmarkEnd w:id="72"/>
      <w:bookmarkStart w:id="73" w:name="_Toc184314451"/>
      <w:bookmarkEnd w:id="73"/>
      <w:bookmarkStart w:id="74" w:name="_Toc184314426"/>
      <w:bookmarkEnd w:id="74"/>
      <w:bookmarkStart w:id="75" w:name="_Toc184313302"/>
      <w:bookmarkEnd w:id="75"/>
      <w:bookmarkStart w:id="76" w:name="_Toc184310295"/>
      <w:bookmarkEnd w:id="76"/>
      <w:bookmarkStart w:id="77" w:name="_Toc184313243"/>
      <w:bookmarkEnd w:id="77"/>
      <w:bookmarkStart w:id="78" w:name="_Toc184313305"/>
      <w:bookmarkEnd w:id="78"/>
      <w:bookmarkStart w:id="79" w:name="_Toc184310340"/>
      <w:bookmarkEnd w:id="79"/>
      <w:bookmarkStart w:id="80" w:name="_Toc184312071"/>
      <w:bookmarkEnd w:id="80"/>
      <w:bookmarkStart w:id="81" w:name="_Toc184314479"/>
      <w:bookmarkEnd w:id="81"/>
      <w:bookmarkStart w:id="82" w:name="_Toc184308087"/>
      <w:bookmarkEnd w:id="82"/>
      <w:bookmarkStart w:id="83" w:name="_Toc184310326"/>
      <w:bookmarkEnd w:id="83"/>
      <w:bookmarkStart w:id="84" w:name="_Toc184314457"/>
      <w:bookmarkEnd w:id="84"/>
      <w:bookmarkStart w:id="85" w:name="_Toc184313290"/>
      <w:bookmarkEnd w:id="85"/>
      <w:bookmarkStart w:id="86" w:name="_Toc184308085"/>
      <w:bookmarkEnd w:id="86"/>
      <w:bookmarkStart w:id="87" w:name="_Toc184313270"/>
      <w:bookmarkEnd w:id="87"/>
      <w:bookmarkStart w:id="88" w:name="_Toc184308074"/>
      <w:bookmarkEnd w:id="88"/>
      <w:bookmarkStart w:id="89" w:name="_Toc184312090"/>
      <w:bookmarkEnd w:id="89"/>
      <w:bookmarkStart w:id="90" w:name="_Toc184312078"/>
      <w:bookmarkEnd w:id="90"/>
      <w:bookmarkStart w:id="91" w:name="_Toc184313257"/>
      <w:bookmarkEnd w:id="91"/>
      <w:bookmarkStart w:id="92" w:name="_Toc184310274"/>
      <w:bookmarkEnd w:id="92"/>
      <w:bookmarkStart w:id="93" w:name="_Toc184314448"/>
      <w:bookmarkEnd w:id="93"/>
      <w:bookmarkStart w:id="94" w:name="_Toc184314476"/>
      <w:bookmarkEnd w:id="94"/>
      <w:bookmarkStart w:id="95" w:name="_Toc184312085"/>
      <w:bookmarkEnd w:id="95"/>
      <w:bookmarkStart w:id="96" w:name="_Toc184312138"/>
      <w:bookmarkEnd w:id="96"/>
      <w:bookmarkStart w:id="97" w:name="_Toc184312094"/>
      <w:bookmarkEnd w:id="97"/>
      <w:bookmarkStart w:id="98" w:name="_Toc184312101"/>
      <w:bookmarkEnd w:id="98"/>
      <w:bookmarkStart w:id="99" w:name="_Toc184313267"/>
      <w:bookmarkEnd w:id="99"/>
      <w:bookmarkStart w:id="100" w:name="_Toc184308084"/>
      <w:bookmarkEnd w:id="100"/>
      <w:bookmarkStart w:id="101" w:name="_Toc184308069"/>
      <w:bookmarkEnd w:id="101"/>
      <w:bookmarkStart w:id="102" w:name="_Toc184314445"/>
      <w:bookmarkEnd w:id="102"/>
      <w:bookmarkStart w:id="103" w:name="_Toc184310308"/>
      <w:bookmarkEnd w:id="103"/>
      <w:bookmarkStart w:id="104" w:name="_Toc184314414"/>
      <w:bookmarkEnd w:id="104"/>
      <w:bookmarkStart w:id="105" w:name="_Toc184312115"/>
      <w:bookmarkEnd w:id="105"/>
      <w:bookmarkStart w:id="106" w:name="_Toc184308039"/>
      <w:bookmarkEnd w:id="106"/>
      <w:bookmarkStart w:id="107" w:name="_Toc184308094"/>
      <w:bookmarkEnd w:id="107"/>
      <w:bookmarkStart w:id="108" w:name="_Toc184310342"/>
      <w:bookmarkEnd w:id="108"/>
      <w:bookmarkStart w:id="109" w:name="_Toc184312113"/>
      <w:bookmarkEnd w:id="109"/>
      <w:bookmarkStart w:id="110" w:name="_Toc184312093"/>
      <w:bookmarkEnd w:id="110"/>
      <w:bookmarkStart w:id="111" w:name="_Toc184314461"/>
      <w:bookmarkEnd w:id="111"/>
      <w:bookmarkStart w:id="112" w:name="_Toc184310290"/>
      <w:bookmarkEnd w:id="112"/>
      <w:bookmarkStart w:id="113" w:name="_Toc184308058"/>
      <w:bookmarkEnd w:id="113"/>
      <w:bookmarkStart w:id="114" w:name="_Toc184313244"/>
      <w:bookmarkEnd w:id="114"/>
      <w:bookmarkStart w:id="115" w:name="_Toc184313240"/>
      <w:bookmarkEnd w:id="115"/>
      <w:bookmarkStart w:id="116" w:name="_Toc184308067"/>
      <w:bookmarkEnd w:id="116"/>
      <w:bookmarkStart w:id="117" w:name="_Toc184310275"/>
      <w:bookmarkEnd w:id="117"/>
      <w:bookmarkStart w:id="118" w:name="_Toc184308061"/>
      <w:bookmarkEnd w:id="118"/>
      <w:bookmarkStart w:id="119" w:name="_Toc184313289"/>
      <w:bookmarkEnd w:id="119"/>
      <w:bookmarkStart w:id="120" w:name="_Toc184314411"/>
      <w:bookmarkEnd w:id="120"/>
      <w:bookmarkStart w:id="121" w:name="_Toc184312103"/>
      <w:bookmarkEnd w:id="121"/>
      <w:bookmarkStart w:id="122" w:name="_Toc184308106"/>
      <w:bookmarkEnd w:id="122"/>
      <w:bookmarkStart w:id="123" w:name="_Toc184312067"/>
      <w:bookmarkEnd w:id="123"/>
      <w:bookmarkStart w:id="124" w:name="_Toc184310277"/>
      <w:bookmarkEnd w:id="124"/>
      <w:bookmarkStart w:id="125" w:name="_Toc184308077"/>
      <w:bookmarkEnd w:id="125"/>
      <w:bookmarkStart w:id="126" w:name="_Toc184313261"/>
      <w:bookmarkEnd w:id="126"/>
      <w:bookmarkStart w:id="127" w:name="_Toc184312079"/>
      <w:bookmarkEnd w:id="127"/>
      <w:bookmarkStart w:id="128" w:name="_Toc184308041"/>
      <w:bookmarkEnd w:id="128"/>
      <w:bookmarkStart w:id="129" w:name="_Toc184313259"/>
      <w:bookmarkEnd w:id="129"/>
      <w:bookmarkStart w:id="130" w:name="_Toc184308048"/>
      <w:bookmarkEnd w:id="130"/>
      <w:bookmarkStart w:id="131" w:name="_Toc184314428"/>
      <w:bookmarkEnd w:id="131"/>
      <w:bookmarkStart w:id="132" w:name="_Toc184308076"/>
      <w:bookmarkEnd w:id="132"/>
      <w:bookmarkStart w:id="133" w:name="_Toc184308096"/>
      <w:bookmarkEnd w:id="133"/>
      <w:bookmarkStart w:id="134" w:name="_Toc184312068"/>
      <w:bookmarkEnd w:id="134"/>
      <w:bookmarkStart w:id="135" w:name="_Toc184313303"/>
      <w:bookmarkEnd w:id="135"/>
      <w:bookmarkStart w:id="136" w:name="_Toc184310282"/>
      <w:bookmarkEnd w:id="136"/>
      <w:bookmarkStart w:id="137" w:name="_Toc184310338"/>
      <w:bookmarkEnd w:id="137"/>
      <w:bookmarkStart w:id="138" w:name="_Toc184313291"/>
      <w:bookmarkEnd w:id="138"/>
      <w:bookmarkStart w:id="139" w:name="_Toc184310331"/>
      <w:bookmarkEnd w:id="139"/>
      <w:bookmarkStart w:id="140" w:name="_Toc184314412"/>
      <w:bookmarkEnd w:id="140"/>
      <w:bookmarkStart w:id="141" w:name="_Toc184310333"/>
      <w:bookmarkEnd w:id="141"/>
      <w:bookmarkStart w:id="142" w:name="_Toc184313293"/>
      <w:bookmarkEnd w:id="142"/>
      <w:bookmarkStart w:id="143" w:name="_Toc184310296"/>
      <w:bookmarkEnd w:id="143"/>
      <w:bookmarkStart w:id="144" w:name="_Toc184313272"/>
      <w:bookmarkEnd w:id="144"/>
      <w:bookmarkStart w:id="145" w:name="_Toc184308092"/>
      <w:bookmarkEnd w:id="145"/>
      <w:bookmarkStart w:id="146" w:name="_Toc184314469"/>
      <w:bookmarkEnd w:id="146"/>
      <w:bookmarkStart w:id="147" w:name="_Toc184312072"/>
      <w:bookmarkEnd w:id="147"/>
      <w:bookmarkStart w:id="148" w:name="_Toc184312098"/>
      <w:bookmarkEnd w:id="148"/>
      <w:bookmarkStart w:id="149" w:name="_Toc184308045"/>
      <w:bookmarkEnd w:id="149"/>
      <w:bookmarkStart w:id="150" w:name="_Toc184313238"/>
      <w:bookmarkEnd w:id="150"/>
      <w:bookmarkStart w:id="151" w:name="_Toc184308036"/>
      <w:bookmarkEnd w:id="151"/>
      <w:bookmarkStart w:id="152" w:name="_Toc184312121"/>
      <w:bookmarkEnd w:id="152"/>
      <w:bookmarkStart w:id="153" w:name="_Toc184310313"/>
      <w:bookmarkEnd w:id="153"/>
      <w:bookmarkStart w:id="154" w:name="_Toc184310289"/>
      <w:bookmarkEnd w:id="154"/>
      <w:bookmarkStart w:id="155" w:name="_Toc184313250"/>
      <w:bookmarkEnd w:id="155"/>
      <w:bookmarkStart w:id="156" w:name="_Toc184310343"/>
      <w:bookmarkEnd w:id="156"/>
      <w:bookmarkStart w:id="157" w:name="_Toc184313248"/>
      <w:bookmarkEnd w:id="157"/>
      <w:bookmarkStart w:id="158" w:name="_Toc184312136"/>
      <w:bookmarkEnd w:id="158"/>
      <w:bookmarkStart w:id="159" w:name="_Toc184308052"/>
      <w:bookmarkEnd w:id="159"/>
      <w:bookmarkStart w:id="160" w:name="_Toc184312137"/>
      <w:bookmarkEnd w:id="160"/>
      <w:bookmarkStart w:id="161" w:name="_Toc184314455"/>
      <w:bookmarkEnd w:id="161"/>
      <w:bookmarkStart w:id="162" w:name="_Toc184308042"/>
      <w:bookmarkEnd w:id="162"/>
      <w:bookmarkStart w:id="163" w:name="_Toc184314418"/>
      <w:bookmarkEnd w:id="163"/>
      <w:bookmarkStart w:id="164" w:name="_Toc184313276"/>
      <w:bookmarkEnd w:id="164"/>
      <w:bookmarkStart w:id="165" w:name="_Toc184313246"/>
      <w:bookmarkEnd w:id="165"/>
      <w:bookmarkStart w:id="166" w:name="_Toc184312128"/>
      <w:bookmarkEnd w:id="166"/>
      <w:bookmarkStart w:id="167" w:name="_Toc184313298"/>
      <w:bookmarkEnd w:id="167"/>
      <w:bookmarkStart w:id="168" w:name="_Toc184310306"/>
      <w:bookmarkEnd w:id="168"/>
      <w:bookmarkStart w:id="169" w:name="_Toc184308072"/>
      <w:bookmarkEnd w:id="169"/>
      <w:bookmarkStart w:id="170" w:name="_Toc184312118"/>
      <w:bookmarkEnd w:id="170"/>
      <w:bookmarkStart w:id="171" w:name="_Toc184312107"/>
      <w:bookmarkEnd w:id="171"/>
      <w:bookmarkStart w:id="172" w:name="_Toc184310299"/>
      <w:bookmarkEnd w:id="172"/>
      <w:bookmarkStart w:id="173" w:name="_Toc184314410"/>
      <w:bookmarkEnd w:id="173"/>
      <w:bookmarkStart w:id="174" w:name="_Toc184308057"/>
      <w:bookmarkEnd w:id="174"/>
      <w:bookmarkStart w:id="175" w:name="_Toc184308059"/>
      <w:bookmarkEnd w:id="175"/>
      <w:bookmarkStart w:id="176" w:name="_Toc184308065"/>
      <w:bookmarkEnd w:id="176"/>
      <w:bookmarkStart w:id="177" w:name="_Toc184308091"/>
      <w:bookmarkEnd w:id="177"/>
      <w:bookmarkStart w:id="178" w:name="_Toc184314424"/>
      <w:bookmarkEnd w:id="178"/>
      <w:bookmarkStart w:id="179" w:name="_Toc184312069"/>
      <w:bookmarkEnd w:id="179"/>
      <w:bookmarkStart w:id="180" w:name="_Toc184312100"/>
      <w:bookmarkEnd w:id="180"/>
      <w:bookmarkStart w:id="181" w:name="_Toc184308062"/>
      <w:bookmarkEnd w:id="181"/>
      <w:bookmarkStart w:id="182" w:name="_Toc184310279"/>
      <w:bookmarkEnd w:id="182"/>
      <w:bookmarkStart w:id="183" w:name="_Toc184310280"/>
      <w:bookmarkEnd w:id="183"/>
      <w:bookmarkStart w:id="184" w:name="_Toc184314437"/>
      <w:bookmarkEnd w:id="184"/>
      <w:bookmarkStart w:id="185" w:name="_Toc184312135"/>
      <w:bookmarkEnd w:id="185"/>
      <w:bookmarkStart w:id="186" w:name="_Toc184308073"/>
      <w:bookmarkEnd w:id="186"/>
      <w:bookmarkStart w:id="187" w:name="_Toc184312089"/>
      <w:bookmarkEnd w:id="187"/>
      <w:bookmarkStart w:id="188" w:name="_Toc184310294"/>
      <w:bookmarkEnd w:id="188"/>
      <w:bookmarkStart w:id="189" w:name="_Toc184312117"/>
      <w:bookmarkEnd w:id="189"/>
      <w:bookmarkStart w:id="190" w:name="_Toc184312130"/>
      <w:bookmarkEnd w:id="190"/>
      <w:bookmarkStart w:id="191" w:name="_Toc184308088"/>
      <w:bookmarkEnd w:id="191"/>
      <w:bookmarkStart w:id="192" w:name="_Toc184310309"/>
      <w:bookmarkEnd w:id="192"/>
      <w:bookmarkStart w:id="193" w:name="_Toc184312076"/>
      <w:bookmarkEnd w:id="193"/>
      <w:bookmarkStart w:id="194" w:name="_Toc184314432"/>
      <w:bookmarkEnd w:id="194"/>
      <w:bookmarkStart w:id="195" w:name="_Toc184312119"/>
      <w:bookmarkEnd w:id="195"/>
      <w:bookmarkStart w:id="196" w:name="_Toc184314453"/>
      <w:bookmarkEnd w:id="196"/>
      <w:bookmarkStart w:id="197" w:name="_Toc184310335"/>
      <w:bookmarkEnd w:id="197"/>
      <w:bookmarkStart w:id="198" w:name="_Toc184314470"/>
      <w:bookmarkEnd w:id="198"/>
      <w:bookmarkStart w:id="199" w:name="_Toc184310321"/>
      <w:bookmarkEnd w:id="199"/>
      <w:bookmarkStart w:id="200" w:name="_Toc184313299"/>
      <w:bookmarkEnd w:id="200"/>
      <w:bookmarkStart w:id="201" w:name="_Toc184314465"/>
      <w:bookmarkEnd w:id="201"/>
      <w:bookmarkStart w:id="202" w:name="_Toc184314438"/>
      <w:bookmarkEnd w:id="202"/>
      <w:bookmarkStart w:id="203" w:name="_Toc184310330"/>
      <w:bookmarkEnd w:id="203"/>
      <w:bookmarkStart w:id="204" w:name="_Toc184314481"/>
      <w:bookmarkEnd w:id="204"/>
      <w:bookmarkStart w:id="205" w:name="_Toc184310315"/>
      <w:bookmarkEnd w:id="205"/>
      <w:bookmarkStart w:id="206" w:name="_Toc184308099"/>
      <w:bookmarkEnd w:id="206"/>
      <w:bookmarkStart w:id="207" w:name="_Toc184310283"/>
      <w:bookmarkEnd w:id="207"/>
      <w:bookmarkStart w:id="208" w:name="_Toc184312091"/>
      <w:bookmarkEnd w:id="208"/>
      <w:bookmarkStart w:id="209" w:name="_Toc184308063"/>
      <w:bookmarkEnd w:id="209"/>
      <w:bookmarkStart w:id="210" w:name="_Toc184310334"/>
      <w:bookmarkEnd w:id="210"/>
      <w:bookmarkStart w:id="211" w:name="_Toc184314450"/>
      <w:bookmarkEnd w:id="211"/>
      <w:bookmarkStart w:id="212" w:name="_Toc184308081"/>
      <w:bookmarkEnd w:id="212"/>
      <w:bookmarkStart w:id="213" w:name="_Toc184314417"/>
      <w:bookmarkEnd w:id="213"/>
      <w:bookmarkStart w:id="214" w:name="_Toc184312070"/>
      <w:bookmarkEnd w:id="214"/>
      <w:bookmarkStart w:id="215" w:name="_Toc184313297"/>
      <w:bookmarkEnd w:id="215"/>
      <w:bookmarkStart w:id="216" w:name="_Toc184308079"/>
      <w:bookmarkEnd w:id="216"/>
      <w:bookmarkStart w:id="217" w:name="_Toc184314454"/>
      <w:bookmarkEnd w:id="217"/>
      <w:bookmarkStart w:id="218" w:name="_Toc184308049"/>
      <w:bookmarkEnd w:id="218"/>
      <w:bookmarkStart w:id="219" w:name="_Toc184313279"/>
      <w:bookmarkEnd w:id="219"/>
      <w:bookmarkStart w:id="220" w:name="_Toc184308090"/>
      <w:bookmarkEnd w:id="220"/>
      <w:bookmarkStart w:id="221" w:name="_Toc184313280"/>
      <w:bookmarkEnd w:id="221"/>
      <w:bookmarkStart w:id="222" w:name="_Toc184313242"/>
      <w:bookmarkEnd w:id="222"/>
      <w:bookmarkStart w:id="223" w:name="_Toc184313252"/>
      <w:bookmarkEnd w:id="223"/>
      <w:bookmarkStart w:id="224" w:name="_Toc184314477"/>
      <w:bookmarkEnd w:id="224"/>
      <w:bookmarkStart w:id="225" w:name="_Toc184308075"/>
      <w:bookmarkEnd w:id="225"/>
      <w:bookmarkStart w:id="226" w:name="_Toc184313265"/>
      <w:bookmarkEnd w:id="226"/>
      <w:bookmarkStart w:id="227" w:name="_Toc184313262"/>
      <w:bookmarkEnd w:id="227"/>
      <w:bookmarkStart w:id="228" w:name="_Toc184313294"/>
      <w:bookmarkEnd w:id="228"/>
      <w:bookmarkStart w:id="229" w:name="_Toc184314420"/>
      <w:bookmarkEnd w:id="229"/>
      <w:bookmarkStart w:id="230" w:name="_Toc184308068"/>
      <w:bookmarkEnd w:id="230"/>
      <w:bookmarkStart w:id="231" w:name="_Toc184310287"/>
      <w:bookmarkEnd w:id="231"/>
      <w:bookmarkStart w:id="232" w:name="_Toc184313271"/>
      <w:bookmarkEnd w:id="232"/>
      <w:bookmarkStart w:id="233" w:name="_Toc184312075"/>
      <w:bookmarkEnd w:id="233"/>
      <w:bookmarkStart w:id="234" w:name="_Toc184312139"/>
      <w:bookmarkEnd w:id="234"/>
      <w:bookmarkStart w:id="235" w:name="_Toc184308053"/>
      <w:bookmarkEnd w:id="235"/>
      <w:bookmarkStart w:id="236" w:name="_Toc184312095"/>
      <w:bookmarkEnd w:id="236"/>
      <w:bookmarkStart w:id="237" w:name="_Toc184314447"/>
      <w:bookmarkEnd w:id="237"/>
      <w:bookmarkStart w:id="238" w:name="_Toc184313256"/>
      <w:bookmarkEnd w:id="238"/>
      <w:bookmarkStart w:id="239" w:name="_Toc184312125"/>
      <w:bookmarkEnd w:id="239"/>
      <w:bookmarkStart w:id="240" w:name="_Toc184313281"/>
      <w:bookmarkEnd w:id="240"/>
      <w:bookmarkStart w:id="241" w:name="_Toc184313277"/>
      <w:bookmarkEnd w:id="241"/>
      <w:bookmarkStart w:id="242" w:name="_Toc184314446"/>
      <w:bookmarkEnd w:id="242"/>
      <w:bookmarkStart w:id="243" w:name="_Toc184308044"/>
      <w:bookmarkEnd w:id="243"/>
      <w:bookmarkStart w:id="244" w:name="_Toc184308066"/>
      <w:bookmarkEnd w:id="244"/>
      <w:bookmarkStart w:id="245" w:name="_Toc184314460"/>
      <w:bookmarkEnd w:id="245"/>
      <w:bookmarkStart w:id="246" w:name="_Toc184310288"/>
      <w:bookmarkEnd w:id="246"/>
      <w:bookmarkStart w:id="247" w:name="_Toc184313269"/>
      <w:bookmarkEnd w:id="247"/>
      <w:bookmarkStart w:id="248" w:name="_Toc184313304"/>
      <w:bookmarkEnd w:id="248"/>
      <w:bookmarkStart w:id="249" w:name="_Toc184308089"/>
      <w:bookmarkEnd w:id="249"/>
      <w:bookmarkStart w:id="250" w:name="_Toc184314419"/>
      <w:bookmarkEnd w:id="250"/>
      <w:bookmarkStart w:id="251" w:name="_Toc184310312"/>
      <w:bookmarkEnd w:id="251"/>
      <w:bookmarkStart w:id="252" w:name="_Toc184314459"/>
      <w:bookmarkEnd w:id="252"/>
      <w:bookmarkStart w:id="253" w:name="_Toc184308051"/>
      <w:bookmarkEnd w:id="253"/>
      <w:bookmarkStart w:id="254" w:name="_Toc184308080"/>
      <w:bookmarkEnd w:id="254"/>
      <w:bookmarkStart w:id="255" w:name="_Toc184314435"/>
      <w:bookmarkEnd w:id="255"/>
      <w:bookmarkStart w:id="256" w:name="_Toc184308108"/>
      <w:bookmarkEnd w:id="256"/>
      <w:bookmarkStart w:id="257" w:name="_Toc184312105"/>
      <w:bookmarkEnd w:id="257"/>
      <w:bookmarkStart w:id="258" w:name="_Toc184310319"/>
      <w:bookmarkEnd w:id="258"/>
      <w:bookmarkStart w:id="259" w:name="_Toc184314478"/>
      <w:bookmarkEnd w:id="259"/>
      <w:bookmarkStart w:id="260" w:name="_Toc184308101"/>
      <w:bookmarkEnd w:id="260"/>
      <w:bookmarkStart w:id="261" w:name="_Toc184312111"/>
      <w:bookmarkEnd w:id="261"/>
      <w:bookmarkStart w:id="262" w:name="_Toc184308060"/>
      <w:bookmarkEnd w:id="262"/>
      <w:bookmarkStart w:id="263" w:name="_Toc184313251"/>
      <w:bookmarkEnd w:id="263"/>
      <w:bookmarkStart w:id="264" w:name="_Toc184314443"/>
      <w:bookmarkEnd w:id="264"/>
      <w:bookmarkStart w:id="265" w:name="_Toc184313296"/>
      <w:bookmarkEnd w:id="265"/>
      <w:bookmarkStart w:id="266" w:name="_Toc184314462"/>
      <w:bookmarkEnd w:id="266"/>
      <w:bookmarkStart w:id="267" w:name="_Toc184314474"/>
      <w:bookmarkEnd w:id="267"/>
      <w:bookmarkStart w:id="268" w:name="_Toc184308105"/>
      <w:bookmarkEnd w:id="268"/>
      <w:bookmarkStart w:id="269" w:name="_Toc184310303"/>
      <w:bookmarkEnd w:id="269"/>
      <w:bookmarkStart w:id="270" w:name="_Toc184313254"/>
      <w:bookmarkEnd w:id="270"/>
      <w:bookmarkStart w:id="271" w:name="_Toc184312088"/>
      <w:bookmarkEnd w:id="271"/>
      <w:bookmarkStart w:id="272" w:name="_Toc184314471"/>
      <w:bookmarkEnd w:id="272"/>
      <w:bookmarkStart w:id="273" w:name="_Toc184314427"/>
      <w:bookmarkEnd w:id="273"/>
      <w:bookmarkStart w:id="274" w:name="_Toc184310336"/>
      <w:bookmarkEnd w:id="274"/>
      <w:bookmarkStart w:id="275" w:name="_Toc184310310"/>
      <w:bookmarkEnd w:id="275"/>
      <w:bookmarkStart w:id="276" w:name="_Toc184310300"/>
      <w:bookmarkEnd w:id="276"/>
      <w:bookmarkStart w:id="277" w:name="_Toc184314456"/>
      <w:bookmarkEnd w:id="277"/>
      <w:bookmarkStart w:id="278" w:name="_Toc184308107"/>
      <w:bookmarkEnd w:id="278"/>
      <w:bookmarkStart w:id="279" w:name="_Toc184313306"/>
      <w:bookmarkEnd w:id="279"/>
      <w:bookmarkStart w:id="280" w:name="_Toc184310316"/>
      <w:bookmarkEnd w:id="280"/>
      <w:bookmarkStart w:id="281" w:name="_Toc184310276"/>
      <w:bookmarkEnd w:id="281"/>
      <w:bookmarkStart w:id="282" w:name="_Toc184308104"/>
      <w:bookmarkEnd w:id="282"/>
      <w:bookmarkStart w:id="283" w:name="_Toc184314439"/>
      <w:bookmarkEnd w:id="283"/>
      <w:bookmarkStart w:id="284" w:name="_Toc184313273"/>
      <w:bookmarkEnd w:id="284"/>
      <w:bookmarkStart w:id="285" w:name="_Toc184308102"/>
      <w:bookmarkEnd w:id="285"/>
      <w:bookmarkStart w:id="286" w:name="_Toc184312073"/>
      <w:bookmarkEnd w:id="286"/>
      <w:bookmarkStart w:id="287" w:name="_Toc184308070"/>
      <w:bookmarkEnd w:id="287"/>
      <w:bookmarkStart w:id="288" w:name="_Toc184312087"/>
      <w:bookmarkEnd w:id="288"/>
      <w:bookmarkStart w:id="289" w:name="_Toc184308050"/>
      <w:bookmarkEnd w:id="289"/>
      <w:bookmarkStart w:id="290" w:name="_Toc184308054"/>
      <w:bookmarkEnd w:id="290"/>
      <w:bookmarkStart w:id="291" w:name="_Toc184312074"/>
      <w:bookmarkEnd w:id="291"/>
      <w:bookmarkStart w:id="292" w:name="_Toc184310285"/>
      <w:bookmarkEnd w:id="292"/>
      <w:bookmarkStart w:id="293" w:name="_Toc184313258"/>
      <w:bookmarkEnd w:id="293"/>
      <w:bookmarkStart w:id="294" w:name="_Toc184313287"/>
      <w:bookmarkEnd w:id="294"/>
      <w:bookmarkStart w:id="295" w:name="_Toc184310291"/>
      <w:bookmarkEnd w:id="295"/>
      <w:bookmarkStart w:id="296" w:name="_Toc184314415"/>
      <w:bookmarkEnd w:id="296"/>
      <w:bookmarkStart w:id="297" w:name="_Toc184314467"/>
      <w:bookmarkEnd w:id="297"/>
      <w:bookmarkStart w:id="298" w:name="_Toc184312081"/>
      <w:bookmarkEnd w:id="298"/>
      <w:bookmarkStart w:id="299" w:name="_Toc184313286"/>
      <w:bookmarkEnd w:id="299"/>
      <w:bookmarkStart w:id="300" w:name="_Toc184308040"/>
      <w:bookmarkEnd w:id="300"/>
      <w:bookmarkStart w:id="301" w:name="_Toc184308097"/>
      <w:bookmarkEnd w:id="301"/>
      <w:bookmarkStart w:id="302" w:name="_Toc184312123"/>
      <w:bookmarkEnd w:id="302"/>
      <w:bookmarkStart w:id="303" w:name="_Toc184314425"/>
      <w:bookmarkEnd w:id="303"/>
      <w:bookmarkStart w:id="304" w:name="_Toc184308056"/>
      <w:bookmarkEnd w:id="304"/>
      <w:bookmarkStart w:id="305" w:name="_Toc184313241"/>
      <w:bookmarkEnd w:id="305"/>
      <w:bookmarkStart w:id="306" w:name="_Toc184313284"/>
      <w:bookmarkEnd w:id="306"/>
      <w:bookmarkStart w:id="307" w:name="_Toc184310325"/>
      <w:bookmarkEnd w:id="307"/>
      <w:bookmarkStart w:id="308" w:name="_Toc184314475"/>
      <w:bookmarkEnd w:id="308"/>
      <w:bookmarkStart w:id="309" w:name="_Toc184313247"/>
      <w:bookmarkEnd w:id="309"/>
      <w:bookmarkStart w:id="310" w:name="_Toc184314442"/>
      <w:bookmarkEnd w:id="310"/>
      <w:bookmarkStart w:id="311" w:name="_Toc184312083"/>
      <w:bookmarkEnd w:id="311"/>
      <w:bookmarkStart w:id="312" w:name="_Toc184314480"/>
      <w:bookmarkEnd w:id="312"/>
      <w:bookmarkStart w:id="313" w:name="_Toc184308047"/>
      <w:bookmarkEnd w:id="313"/>
      <w:bookmarkStart w:id="314" w:name="_Toc184310322"/>
      <w:bookmarkEnd w:id="314"/>
      <w:bookmarkStart w:id="315" w:name="_Toc184310293"/>
      <w:bookmarkEnd w:id="315"/>
      <w:bookmarkStart w:id="316" w:name="_Toc184310329"/>
      <w:bookmarkEnd w:id="316"/>
      <w:bookmarkStart w:id="317" w:name="_Toc184313260"/>
      <w:bookmarkEnd w:id="317"/>
      <w:bookmarkStart w:id="318" w:name="_Toc184310278"/>
      <w:bookmarkEnd w:id="318"/>
      <w:bookmarkStart w:id="319" w:name="_Toc184308082"/>
      <w:bookmarkEnd w:id="319"/>
      <w:bookmarkStart w:id="320" w:name="_Toc184313278"/>
      <w:bookmarkEnd w:id="320"/>
      <w:bookmarkStart w:id="321" w:name="_Toc184312108"/>
      <w:bookmarkEnd w:id="321"/>
      <w:bookmarkStart w:id="322" w:name="_Toc184314464"/>
      <w:bookmarkEnd w:id="322"/>
      <w:bookmarkStart w:id="323" w:name="_Toc184308046"/>
      <w:bookmarkEnd w:id="323"/>
      <w:bookmarkStart w:id="324" w:name="_Toc184310307"/>
      <w:bookmarkEnd w:id="324"/>
      <w:bookmarkStart w:id="325" w:name="_Toc184312077"/>
      <w:bookmarkEnd w:id="325"/>
      <w:bookmarkStart w:id="326" w:name="_Toc184312102"/>
      <w:bookmarkEnd w:id="326"/>
      <w:bookmarkStart w:id="327" w:name="_Toc184313285"/>
      <w:bookmarkEnd w:id="327"/>
      <w:bookmarkStart w:id="328" w:name="_Toc184312092"/>
      <w:bookmarkEnd w:id="328"/>
      <w:bookmarkStart w:id="329" w:name="_Toc184313239"/>
      <w:bookmarkEnd w:id="329"/>
      <w:bookmarkStart w:id="330" w:name="_Toc184312097"/>
      <w:bookmarkEnd w:id="330"/>
      <w:bookmarkStart w:id="331" w:name="_Toc184312127"/>
      <w:bookmarkEnd w:id="331"/>
      <w:bookmarkStart w:id="332" w:name="_Toc184310317"/>
      <w:bookmarkEnd w:id="332"/>
      <w:bookmarkStart w:id="333" w:name="_Toc184314472"/>
      <w:bookmarkEnd w:id="333"/>
      <w:bookmarkStart w:id="334" w:name="_Toc184313264"/>
      <w:bookmarkEnd w:id="334"/>
      <w:bookmarkStart w:id="335" w:name="_Toc184312096"/>
      <w:bookmarkEnd w:id="335"/>
      <w:bookmarkStart w:id="336" w:name="_Toc184312124"/>
      <w:bookmarkEnd w:id="336"/>
      <w:bookmarkStart w:id="337" w:name="_Toc184310304"/>
      <w:bookmarkEnd w:id="337"/>
      <w:bookmarkStart w:id="338" w:name="_Toc184312099"/>
      <w:bookmarkEnd w:id="338"/>
      <w:bookmarkStart w:id="339" w:name="_Toc184310320"/>
      <w:bookmarkEnd w:id="339"/>
      <w:bookmarkStart w:id="340" w:name="_Toc184310314"/>
      <w:bookmarkEnd w:id="340"/>
      <w:bookmarkStart w:id="341" w:name="_Toc184314458"/>
      <w:bookmarkEnd w:id="341"/>
      <w:bookmarkStart w:id="342" w:name="_Toc184308038"/>
      <w:bookmarkEnd w:id="342"/>
      <w:bookmarkStart w:id="343" w:name="_Toc184314423"/>
      <w:bookmarkEnd w:id="343"/>
      <w:bookmarkStart w:id="344" w:name="_Toc184314468"/>
      <w:bookmarkEnd w:id="344"/>
      <w:bookmarkStart w:id="345" w:name="_Toc184313245"/>
      <w:bookmarkEnd w:id="345"/>
      <w:bookmarkStart w:id="346" w:name="_Toc184308083"/>
      <w:bookmarkEnd w:id="346"/>
      <w:bookmarkStart w:id="347" w:name="_Toc184313292"/>
      <w:bookmarkEnd w:id="347"/>
      <w:bookmarkStart w:id="348" w:name="_Toc184310273"/>
      <w:bookmarkEnd w:id="348"/>
      <w:bookmarkStart w:id="349" w:name="_Toc184310332"/>
      <w:bookmarkEnd w:id="349"/>
      <w:bookmarkStart w:id="350" w:name="_Toc184312120"/>
      <w:bookmarkEnd w:id="350"/>
      <w:bookmarkStart w:id="351" w:name="_Toc184308043"/>
      <w:bookmarkEnd w:id="351"/>
      <w:bookmarkStart w:id="352" w:name="_Toc184310292"/>
      <w:bookmarkEnd w:id="352"/>
      <w:bookmarkStart w:id="353" w:name="_Toc184313308"/>
      <w:bookmarkEnd w:id="353"/>
      <w:bookmarkStart w:id="354" w:name="_Toc184308037"/>
      <w:bookmarkEnd w:id="354"/>
      <w:bookmarkStart w:id="355" w:name="_Toc184314434"/>
      <w:bookmarkEnd w:id="355"/>
      <w:bookmarkStart w:id="356" w:name="_Toc184313300"/>
      <w:bookmarkEnd w:id="356"/>
      <w:bookmarkStart w:id="357" w:name="_Toc184314422"/>
      <w:bookmarkEnd w:id="357"/>
      <w:bookmarkStart w:id="358" w:name="_Toc184313255"/>
      <w:bookmarkEnd w:id="358"/>
      <w:bookmarkStart w:id="359" w:name="_Toc184313307"/>
      <w:bookmarkEnd w:id="359"/>
      <w:bookmarkStart w:id="360" w:name="_Toc184313301"/>
      <w:bookmarkEnd w:id="360"/>
      <w:bookmarkStart w:id="361" w:name="_Toc184312104"/>
      <w:bookmarkEnd w:id="361"/>
      <w:bookmarkStart w:id="362" w:name="_Toc184314482"/>
      <w:bookmarkEnd w:id="362"/>
      <w:bookmarkStart w:id="363" w:name="_Toc184314449"/>
      <w:bookmarkEnd w:id="363"/>
      <w:bookmarkStart w:id="364" w:name="_Toc184310305"/>
      <w:bookmarkEnd w:id="364"/>
      <w:bookmarkStart w:id="365" w:name="_Toc184313275"/>
      <w:bookmarkEnd w:id="365"/>
      <w:bookmarkStart w:id="366" w:name="_Toc184310311"/>
      <w:bookmarkEnd w:id="366"/>
      <w:bookmarkStart w:id="367" w:name="_Toc184310284"/>
      <w:bookmarkEnd w:id="367"/>
      <w:bookmarkStart w:id="368" w:name="_Toc184314463"/>
      <w:bookmarkEnd w:id="368"/>
      <w:bookmarkStart w:id="369" w:name="_Toc184313309"/>
      <w:bookmarkEnd w:id="369"/>
      <w:bookmarkStart w:id="370" w:name="_Toc184312084"/>
      <w:bookmarkEnd w:id="370"/>
      <w:bookmarkStart w:id="371" w:name="_Toc184310272"/>
      <w:bookmarkEnd w:id="371"/>
      <w:bookmarkStart w:id="372" w:name="_Toc184314466"/>
      <w:bookmarkEnd w:id="372"/>
      <w:bookmarkStart w:id="373" w:name="_Toc184312129"/>
      <w:bookmarkEnd w:id="373"/>
      <w:bookmarkStart w:id="374" w:name="_Toc184308093"/>
      <w:bookmarkEnd w:id="374"/>
      <w:bookmarkStart w:id="375" w:name="_Toc184313266"/>
      <w:bookmarkEnd w:id="375"/>
      <w:bookmarkStart w:id="376" w:name="_Toc184313274"/>
      <w:bookmarkEnd w:id="376"/>
      <w:bookmarkStart w:id="377" w:name="_Toc184313263"/>
      <w:bookmarkEnd w:id="377"/>
      <w:bookmarkStart w:id="378" w:name="_Toc184313268"/>
      <w:bookmarkEnd w:id="378"/>
      <w:bookmarkStart w:id="379" w:name="_Toc184312082"/>
      <w:bookmarkEnd w:id="379"/>
      <w:bookmarkStart w:id="380" w:name="_Toc184313249"/>
      <w:bookmarkEnd w:id="380"/>
      <w:bookmarkStart w:id="381" w:name="_Toc184308055"/>
      <w:bookmarkEnd w:id="381"/>
      <w:bookmarkStart w:id="382" w:name="_Toc184310341"/>
      <w:bookmarkEnd w:id="382"/>
      <w:bookmarkStart w:id="383" w:name="_Toc184312114"/>
      <w:bookmarkEnd w:id="383"/>
      <w:bookmarkStart w:id="384" w:name="_Toc184312126"/>
      <w:bookmarkEnd w:id="384"/>
      <w:bookmarkStart w:id="385" w:name="_Toc184310337"/>
      <w:bookmarkEnd w:id="385"/>
      <w:bookmarkStart w:id="386" w:name="_Toc184312122"/>
      <w:bookmarkEnd w:id="386"/>
      <w:bookmarkStart w:id="387" w:name="_Toc184314430"/>
      <w:bookmarkEnd w:id="387"/>
      <w:bookmarkStart w:id="388" w:name="_Toc184308078"/>
      <w:bookmarkEnd w:id="388"/>
      <w:bookmarkStart w:id="389" w:name="_Toc184310297"/>
      <w:bookmarkEnd w:id="389"/>
      <w:bookmarkStart w:id="390" w:name="_Toc184314441"/>
      <w:bookmarkEnd w:id="390"/>
      <w:bookmarkStart w:id="391" w:name="_Toc184308086"/>
      <w:bookmarkEnd w:id="391"/>
      <w:bookmarkStart w:id="392" w:name="_Toc184310281"/>
      <w:bookmarkEnd w:id="392"/>
      <w:bookmarkStart w:id="393" w:name="_Toc184310327"/>
      <w:bookmarkEnd w:id="393"/>
      <w:bookmarkStart w:id="394" w:name="_Toc184310318"/>
      <w:bookmarkEnd w:id="394"/>
      <w:bookmarkStart w:id="395" w:name="_Toc184312109"/>
      <w:bookmarkEnd w:id="395"/>
      <w:bookmarkStart w:id="396" w:name="_Toc184314440"/>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pStyle w:val="61"/>
        <w:ind w:left="0" w:leftChars="0" w:firstLine="0" w:firstLineChars="0"/>
      </w:pPr>
      <w:r>
        <w:rPr>
          <w:rFonts w:hint="eastAsia" w:cs="宋体"/>
          <w:b/>
          <w:sz w:val="32"/>
          <w:szCs w:val="20"/>
        </w:rPr>
        <w:t>标项1-标项</w:t>
      </w:r>
      <w:r>
        <w:rPr>
          <w:rFonts w:cs="宋体"/>
          <w:b/>
          <w:sz w:val="32"/>
          <w:szCs w:val="20"/>
        </w:rPr>
        <w:t>4</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42"/>
        <w:gridCol w:w="4578"/>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jc w:val="center"/>
              <w:rPr>
                <w:rFonts w:ascii="宋体" w:hAnsi="宋体" w:cs="宋体"/>
                <w:sz w:val="24"/>
              </w:rPr>
            </w:pPr>
          </w:p>
        </w:tc>
        <w:tc>
          <w:tcPr>
            <w:tcW w:w="553" w:type="dxa"/>
            <w:vAlign w:val="center"/>
          </w:tcPr>
          <w:p>
            <w:pPr>
              <w:jc w:val="center"/>
              <w:rPr>
                <w:rFonts w:ascii="宋体" w:hAnsi="宋体" w:cs="宋体"/>
                <w:sz w:val="24"/>
              </w:rPr>
            </w:pPr>
            <w:r>
              <w:rPr>
                <w:rFonts w:hint="eastAsia" w:ascii="宋体" w:hAnsi="宋体" w:cs="宋体"/>
                <w:sz w:val="24"/>
              </w:rPr>
              <w:t>序号</w:t>
            </w:r>
          </w:p>
        </w:tc>
        <w:tc>
          <w:tcPr>
            <w:tcW w:w="6520" w:type="dxa"/>
            <w:gridSpan w:val="2"/>
            <w:vAlign w:val="center"/>
          </w:tcPr>
          <w:p>
            <w:pPr>
              <w:jc w:val="center"/>
              <w:rPr>
                <w:rFonts w:ascii="宋体" w:hAnsi="宋体" w:cs="宋体"/>
                <w:sz w:val="24"/>
              </w:rPr>
            </w:pPr>
            <w:r>
              <w:rPr>
                <w:rFonts w:hint="eastAsia" w:ascii="宋体" w:hAnsi="宋体" w:cs="宋体"/>
                <w:sz w:val="24"/>
              </w:rPr>
              <w:t>评分内容和标准</w:t>
            </w:r>
          </w:p>
        </w:tc>
        <w:tc>
          <w:tcPr>
            <w:tcW w:w="709" w:type="dxa"/>
            <w:vAlign w:val="center"/>
          </w:tcPr>
          <w:p>
            <w:pPr>
              <w:jc w:val="center"/>
              <w:rPr>
                <w:rFonts w:ascii="宋体" w:hAnsi="宋体" w:cs="宋体"/>
                <w:sz w:val="24"/>
              </w:rPr>
            </w:pPr>
            <w:r>
              <w:rPr>
                <w:rFonts w:hint="eastAsia" w:ascii="宋体" w:hAnsi="宋体" w:cs="宋体"/>
                <w:sz w:val="24"/>
              </w:rPr>
              <w:t>分值区间</w:t>
            </w:r>
          </w:p>
        </w:tc>
        <w:tc>
          <w:tcPr>
            <w:tcW w:w="850" w:type="dxa"/>
            <w:vAlign w:val="center"/>
          </w:tcPr>
          <w:p>
            <w:pPr>
              <w:jc w:val="center"/>
              <w:rPr>
                <w:rFonts w:ascii="宋体" w:hAnsi="宋体" w:cs="宋体"/>
                <w:sz w:val="24"/>
              </w:rPr>
            </w:pPr>
            <w:r>
              <w:rPr>
                <w:rFonts w:hint="eastAsia" w:ascii="宋体" w:hAnsi="宋体" w:cs="宋体"/>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rPr>
                <w:rFonts w:ascii="宋体" w:hAnsi="宋体" w:cs="宋体"/>
                <w:sz w:val="24"/>
              </w:rPr>
            </w:pPr>
            <w:r>
              <w:rPr>
                <w:rFonts w:hint="eastAsia" w:ascii="宋体" w:hAnsi="宋体" w:cs="宋体"/>
                <w:sz w:val="24"/>
              </w:rPr>
              <w:t>商务资信分</w:t>
            </w:r>
          </w:p>
        </w:tc>
        <w:tc>
          <w:tcPr>
            <w:tcW w:w="553" w:type="dxa"/>
            <w:vAlign w:val="center"/>
          </w:tcPr>
          <w:p>
            <w:pPr>
              <w:pStyle w:val="255"/>
            </w:pPr>
            <w:r>
              <w:rPr>
                <w:rFonts w:hint="eastAsia"/>
              </w:rPr>
              <w:t>1</w:t>
            </w:r>
          </w:p>
        </w:tc>
        <w:tc>
          <w:tcPr>
            <w:tcW w:w="1942" w:type="dxa"/>
            <w:vAlign w:val="center"/>
          </w:tcPr>
          <w:p>
            <w:pPr>
              <w:rPr>
                <w:rFonts w:ascii="宋体" w:hAnsi="宋体" w:cs="宋体"/>
                <w:sz w:val="24"/>
              </w:rPr>
            </w:pPr>
            <w:r>
              <w:rPr>
                <w:rFonts w:hint="eastAsia" w:ascii="宋体" w:hAnsi="宋体" w:cs="宋体"/>
                <w:sz w:val="24"/>
              </w:rPr>
              <w:t>投标人优势</w:t>
            </w:r>
          </w:p>
        </w:tc>
        <w:tc>
          <w:tcPr>
            <w:tcW w:w="4578" w:type="dxa"/>
          </w:tcPr>
          <w:p>
            <w:pPr>
              <w:jc w:val="left"/>
              <w:rPr>
                <w:rFonts w:ascii="宋体" w:hAnsi="宋体" w:cs="宋体"/>
                <w:sz w:val="24"/>
              </w:rPr>
            </w:pPr>
            <w:r>
              <w:rPr>
                <w:rFonts w:hint="eastAsia" w:ascii="宋体" w:hAnsi="宋体" w:cs="宋体"/>
                <w:sz w:val="24"/>
              </w:rPr>
              <w:t>标项1：</w:t>
            </w:r>
          </w:p>
          <w:p>
            <w:pPr>
              <w:jc w:val="left"/>
              <w:rPr>
                <w:rFonts w:ascii="宋体" w:hAnsi="宋体" w:cs="宋体"/>
                <w:sz w:val="24"/>
              </w:rPr>
            </w:pPr>
            <w:r>
              <w:rPr>
                <w:rFonts w:hint="eastAsia" w:ascii="宋体" w:hAnsi="宋体" w:cs="宋体"/>
                <w:sz w:val="24"/>
              </w:rPr>
              <w:t>在</w:t>
            </w:r>
            <w:r>
              <w:rPr>
                <w:rFonts w:hint="eastAsia" w:ascii="宋体" w:hAnsi="宋体" w:cs="宋体"/>
                <w:sz w:val="24"/>
                <w:lang w:eastAsia="zh-CN"/>
              </w:rPr>
              <w:t>杭州</w:t>
            </w:r>
            <w:bookmarkStart w:id="410" w:name="_GoBack"/>
            <w:bookmarkEnd w:id="410"/>
            <w:r>
              <w:rPr>
                <w:rFonts w:hint="eastAsia" w:ascii="宋体" w:hAnsi="宋体" w:cs="宋体"/>
                <w:sz w:val="24"/>
              </w:rPr>
              <w:t xml:space="preserve">本地拥有可对外营业实体门店（面积大于 1000平米），1 家得 </w:t>
            </w:r>
            <w:r>
              <w:rPr>
                <w:rFonts w:ascii="宋体" w:hAnsi="宋体" w:cs="宋体"/>
                <w:sz w:val="24"/>
              </w:rPr>
              <w:t>0.5</w:t>
            </w:r>
            <w:r>
              <w:rPr>
                <w:rFonts w:hint="eastAsia" w:ascii="宋体" w:hAnsi="宋体" w:cs="宋体"/>
                <w:sz w:val="24"/>
              </w:rPr>
              <w:t>分，最高得</w:t>
            </w:r>
            <w:r>
              <w:rPr>
                <w:rFonts w:ascii="宋体" w:hAnsi="宋体" w:cs="宋体"/>
                <w:sz w:val="24"/>
              </w:rPr>
              <w:t>2</w:t>
            </w:r>
            <w:r>
              <w:rPr>
                <w:rFonts w:hint="eastAsia" w:ascii="宋体" w:hAnsi="宋体" w:cs="宋体"/>
                <w:sz w:val="24"/>
              </w:rPr>
              <w:t>分（提供租赁合同或房产证复印件及门店照片）；202</w:t>
            </w:r>
            <w:r>
              <w:rPr>
                <w:rFonts w:ascii="宋体" w:hAnsi="宋体" w:cs="宋体"/>
                <w:sz w:val="24"/>
              </w:rPr>
              <w:t>1</w:t>
            </w:r>
            <w:r>
              <w:rPr>
                <w:rFonts w:hint="eastAsia" w:ascii="宋体" w:hAnsi="宋体" w:cs="宋体"/>
                <w:sz w:val="24"/>
              </w:rPr>
              <w:t>年至今提供实体书店“书店借书”服务的合作案例。每签订一个为1分，最高3分。</w:t>
            </w:r>
          </w:p>
          <w:p>
            <w:pPr>
              <w:pStyle w:val="32"/>
              <w:jc w:val="left"/>
              <w:rPr>
                <w:rFonts w:hAnsi="宋体" w:cs="宋体"/>
                <w:sz w:val="24"/>
                <w:szCs w:val="24"/>
              </w:rPr>
            </w:pPr>
            <w:r>
              <w:rPr>
                <w:rFonts w:hint="eastAsia" w:hAnsi="宋体" w:cs="宋体"/>
                <w:sz w:val="24"/>
                <w:szCs w:val="24"/>
              </w:rPr>
              <w:t>标项2：</w:t>
            </w:r>
          </w:p>
          <w:p>
            <w:pPr>
              <w:pStyle w:val="32"/>
              <w:jc w:val="left"/>
              <w:rPr>
                <w:rFonts w:hAnsi="宋体" w:cs="宋体"/>
                <w:sz w:val="24"/>
                <w:szCs w:val="24"/>
              </w:rPr>
            </w:pPr>
            <w:r>
              <w:rPr>
                <w:rFonts w:hint="eastAsia" w:hAnsi="宋体" w:cs="宋体"/>
                <w:sz w:val="24"/>
                <w:szCs w:val="24"/>
              </w:rPr>
              <w:t>有大杭州地区公共图书馆网上借书服务平台的，得2分（需提供网站截屏）；</w:t>
            </w:r>
            <w:r>
              <w:rPr>
                <w:rFonts w:hAnsi="宋体" w:cs="宋体"/>
                <w:sz w:val="24"/>
                <w:szCs w:val="24"/>
              </w:rPr>
              <w:t>2021</w:t>
            </w:r>
            <w:r>
              <w:rPr>
                <w:rFonts w:hint="eastAsia" w:hAnsi="宋体" w:cs="宋体"/>
                <w:sz w:val="24"/>
                <w:szCs w:val="24"/>
              </w:rPr>
              <w:t>年至今提供“一键借阅”网上借书服务的，每服务一个图书馆为0.5分，最高得3分（提供此类服务证明文件复印件。不提供不得分，单个图书馆只计算一次，不同年份不重复计算。）</w:t>
            </w:r>
          </w:p>
          <w:p>
            <w:pPr>
              <w:pStyle w:val="32"/>
              <w:jc w:val="left"/>
              <w:rPr>
                <w:rFonts w:hAnsi="宋体" w:cs="宋体"/>
                <w:sz w:val="24"/>
                <w:szCs w:val="24"/>
              </w:rPr>
            </w:pPr>
            <w:r>
              <w:rPr>
                <w:rFonts w:hint="eastAsia" w:hAnsi="宋体" w:cs="宋体"/>
                <w:sz w:val="24"/>
                <w:szCs w:val="24"/>
              </w:rPr>
              <w:t>标项3：</w:t>
            </w:r>
          </w:p>
          <w:p>
            <w:pPr>
              <w:pStyle w:val="32"/>
              <w:jc w:val="left"/>
              <w:rPr>
                <w:rFonts w:hAnsi="宋体" w:cs="宋体"/>
                <w:sz w:val="24"/>
                <w:szCs w:val="24"/>
              </w:rPr>
            </w:pPr>
            <w:r>
              <w:rPr>
                <w:rFonts w:hint="eastAsia" w:hAnsi="宋体" w:cs="宋体"/>
                <w:sz w:val="24"/>
                <w:szCs w:val="24"/>
              </w:rPr>
              <w:t>在杭州本地拥有办事机构（提供租赁合同或房产证复印件及办事机构照片），最高5分。</w:t>
            </w:r>
          </w:p>
          <w:p>
            <w:r>
              <w:rPr>
                <w:rFonts w:hint="eastAsia" w:hAnsi="宋体" w:cs="宋体"/>
                <w:sz w:val="24"/>
              </w:rPr>
              <w:t>标项4：供应商服务本项目有杭州本地牌照固定车辆3辆、固定送货人员3人及以上的得</w:t>
            </w:r>
            <w:r>
              <w:rPr>
                <w:rFonts w:hAnsi="宋体" w:cs="宋体"/>
                <w:sz w:val="24"/>
              </w:rPr>
              <w:t>5</w:t>
            </w:r>
            <w:r>
              <w:rPr>
                <w:rFonts w:hint="eastAsia" w:hAnsi="宋体" w:cs="宋体"/>
                <w:sz w:val="24"/>
              </w:rPr>
              <w:t>分，供应商租赁配送车辆3辆及以上得</w:t>
            </w:r>
            <w:r>
              <w:rPr>
                <w:rFonts w:hAnsi="宋体" w:cs="宋体"/>
                <w:sz w:val="24"/>
              </w:rPr>
              <w:t>3</w:t>
            </w:r>
            <w:r>
              <w:rPr>
                <w:rFonts w:hint="eastAsia" w:hAnsi="宋体" w:cs="宋体"/>
                <w:sz w:val="24"/>
              </w:rPr>
              <w:t>分，供应商配送如发货运的得1分。</w:t>
            </w:r>
            <w:r>
              <w:rPr>
                <w:rFonts w:hint="eastAsia" w:ascii="宋体" w:hAnsi="宋体" w:cs="宋体"/>
                <w:sz w:val="24"/>
              </w:rPr>
              <w:t>注：提供车辆行驶证（投标人名下）或车辆租赁合同（提供出租方名下车辆行驶证）以及送货人员驾驶证、社保证明材料复印件加盖公章即可,不提供不得分。</w:t>
            </w:r>
          </w:p>
        </w:tc>
        <w:tc>
          <w:tcPr>
            <w:tcW w:w="709" w:type="dxa"/>
            <w:vAlign w:val="center"/>
          </w:tcPr>
          <w:p>
            <w:pPr>
              <w:jc w:val="center"/>
              <w:rPr>
                <w:rFonts w:ascii="宋体" w:hAnsi="宋体" w:cs="宋体"/>
                <w:sz w:val="24"/>
              </w:rPr>
            </w:pPr>
            <w:r>
              <w:rPr>
                <w:rFonts w:hint="eastAsia" w:ascii="宋体" w:hAnsi="宋体" w:cs="宋体"/>
                <w:sz w:val="24"/>
              </w:rPr>
              <w:t>5</w:t>
            </w:r>
          </w:p>
        </w:tc>
        <w:tc>
          <w:tcPr>
            <w:tcW w:w="850" w:type="dxa"/>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Align w:val="center"/>
          </w:tcPr>
          <w:p>
            <w:pPr>
              <w:pStyle w:val="255"/>
            </w:pPr>
            <w:r>
              <w:rPr>
                <w:rFonts w:hint="eastAsia"/>
              </w:rPr>
              <w:t>2</w:t>
            </w:r>
          </w:p>
        </w:tc>
        <w:tc>
          <w:tcPr>
            <w:tcW w:w="1942" w:type="dxa"/>
            <w:vAlign w:val="center"/>
          </w:tcPr>
          <w:p>
            <w:pPr>
              <w:rPr>
                <w:rFonts w:ascii="宋体" w:hAnsi="宋体" w:cs="宋体"/>
                <w:sz w:val="24"/>
              </w:rPr>
            </w:pPr>
            <w:r>
              <w:rPr>
                <w:rFonts w:hint="eastAsia" w:ascii="宋体" w:hAnsi="宋体" w:cs="宋体"/>
                <w:sz w:val="24"/>
              </w:rPr>
              <w:t>业绩</w:t>
            </w:r>
          </w:p>
        </w:tc>
        <w:tc>
          <w:tcPr>
            <w:tcW w:w="4578" w:type="dxa"/>
          </w:tcPr>
          <w:p>
            <w:pPr>
              <w:rPr>
                <w:rFonts w:ascii="宋体" w:hAnsi="宋体" w:cs="宋体"/>
                <w:sz w:val="24"/>
              </w:rPr>
            </w:pPr>
            <w:r>
              <w:rPr>
                <w:rFonts w:hint="eastAsia" w:ascii="宋体" w:hAnsi="宋体" w:cs="宋体"/>
                <w:sz w:val="24"/>
              </w:rPr>
              <w:t>2021年至今主要用户分布和业绩概况、与省内公共图书馆合作情况。每签订一个公共图书馆为0.5分，最高得3分（提供此类项目合同复印件，不提供不得分。）</w:t>
            </w:r>
          </w:p>
        </w:tc>
        <w:tc>
          <w:tcPr>
            <w:tcW w:w="709" w:type="dxa"/>
            <w:vAlign w:val="center"/>
          </w:tcPr>
          <w:p>
            <w:pPr>
              <w:jc w:val="center"/>
              <w:rPr>
                <w:rFonts w:ascii="宋体" w:hAnsi="宋体" w:cs="宋体"/>
                <w:sz w:val="24"/>
              </w:rPr>
            </w:pPr>
            <w:r>
              <w:rPr>
                <w:rFonts w:hint="eastAsia"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rPr>
                <w:rFonts w:ascii="宋体" w:hAnsi="宋体" w:cs="宋体"/>
                <w:sz w:val="24"/>
              </w:rPr>
            </w:pPr>
            <w:r>
              <w:rPr>
                <w:rFonts w:hint="eastAsia" w:ascii="宋体" w:hAnsi="宋体" w:cs="宋体"/>
                <w:sz w:val="24"/>
              </w:rPr>
              <w:t>技术服务分</w:t>
            </w:r>
          </w:p>
        </w:tc>
        <w:tc>
          <w:tcPr>
            <w:tcW w:w="553" w:type="dxa"/>
            <w:vAlign w:val="center"/>
          </w:tcPr>
          <w:p>
            <w:pPr>
              <w:pStyle w:val="255"/>
            </w:pPr>
            <w:r>
              <w:rPr>
                <w:rFonts w:hint="eastAsia"/>
              </w:rPr>
              <w:t>3</w:t>
            </w:r>
          </w:p>
        </w:tc>
        <w:tc>
          <w:tcPr>
            <w:tcW w:w="1942" w:type="dxa"/>
            <w:vAlign w:val="center"/>
          </w:tcPr>
          <w:p>
            <w:pPr>
              <w:rPr>
                <w:rFonts w:ascii="宋体" w:hAnsi="宋体" w:cs="宋体"/>
                <w:sz w:val="24"/>
              </w:rPr>
            </w:pPr>
            <w:r>
              <w:rPr>
                <w:rFonts w:hint="eastAsia" w:ascii="宋体" w:hAnsi="宋体" w:cs="宋体"/>
                <w:sz w:val="24"/>
              </w:rPr>
              <w:t>产品整体性能及质量保证</w:t>
            </w:r>
          </w:p>
        </w:tc>
        <w:tc>
          <w:tcPr>
            <w:tcW w:w="4578" w:type="dxa"/>
            <w:vAlign w:val="center"/>
          </w:tcPr>
          <w:p>
            <w:pPr>
              <w:rPr>
                <w:rFonts w:ascii="宋体" w:hAnsi="宋体" w:cs="宋体"/>
                <w:sz w:val="24"/>
              </w:rPr>
            </w:pPr>
            <w:r>
              <w:rPr>
                <w:rFonts w:hint="eastAsia" w:ascii="宋体" w:hAnsi="宋体" w:cs="宋体"/>
                <w:sz w:val="24"/>
              </w:rPr>
              <w:t>货物整体性能的可靠性、先进性、完整性等，根据图书质量、质保期限、可实现程度、提供优惠等情况（方案内容完整且与项目匹配度好的得5分；方案内容基本完整且与项目匹配度较好的得3分；方案内容存在欠缺或与项目匹配度一般的得1分；方案内容缺失严重或与项目不匹配的不得分。）</w:t>
            </w:r>
          </w:p>
        </w:tc>
        <w:tc>
          <w:tcPr>
            <w:tcW w:w="709" w:type="dxa"/>
            <w:vAlign w:val="center"/>
          </w:tcPr>
          <w:p>
            <w:pPr>
              <w:jc w:val="center"/>
              <w:rPr>
                <w:rFonts w:ascii="宋体" w:hAnsi="宋体" w:cs="宋体"/>
                <w:sz w:val="24"/>
              </w:rPr>
            </w:pPr>
            <w:r>
              <w:rPr>
                <w:rFonts w:hint="eastAsia" w:ascii="宋体" w:hAnsi="宋体" w:cs="宋体"/>
                <w:sz w:val="24"/>
              </w:rPr>
              <w:t>5</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Align w:val="center"/>
          </w:tcPr>
          <w:p>
            <w:pPr>
              <w:pStyle w:val="255"/>
            </w:pPr>
            <w:r>
              <w:t>4</w:t>
            </w:r>
          </w:p>
        </w:tc>
        <w:tc>
          <w:tcPr>
            <w:tcW w:w="1942" w:type="dxa"/>
            <w:vAlign w:val="center"/>
          </w:tcPr>
          <w:p>
            <w:pPr>
              <w:rPr>
                <w:rFonts w:ascii="宋体" w:hAnsi="宋体" w:cs="宋体"/>
                <w:sz w:val="24"/>
              </w:rPr>
            </w:pPr>
            <w:r>
              <w:rPr>
                <w:rFonts w:hint="eastAsia" w:ascii="宋体" w:hAnsi="宋体" w:cs="宋体"/>
                <w:sz w:val="24"/>
              </w:rPr>
              <w:t>组织方案和措施</w:t>
            </w:r>
          </w:p>
        </w:tc>
        <w:tc>
          <w:tcPr>
            <w:tcW w:w="4578" w:type="dxa"/>
            <w:vAlign w:val="center"/>
          </w:tcPr>
          <w:p>
            <w:pPr>
              <w:rPr>
                <w:rFonts w:ascii="宋体" w:hAnsi="宋体" w:cs="宋体"/>
                <w:sz w:val="24"/>
              </w:rPr>
            </w:pPr>
            <w:r>
              <w:rPr>
                <w:rFonts w:hint="eastAsia" w:ascii="宋体" w:hAnsi="宋体" w:cs="宋体"/>
                <w:sz w:val="24"/>
              </w:rPr>
              <w:t xml:space="preserve">保证进度和项目完成的方案和措施等（方案内容完整且与项目匹配度好的得5分；方案内容基本完整且与项目匹配度较好的得3分；方案内容存在欠缺或与项目匹配度一般的得1分；方案内容缺失严重或与项目不匹配的不得分。） </w:t>
            </w:r>
          </w:p>
        </w:tc>
        <w:tc>
          <w:tcPr>
            <w:tcW w:w="709" w:type="dxa"/>
            <w:vAlign w:val="center"/>
          </w:tcPr>
          <w:p>
            <w:pPr>
              <w:jc w:val="center"/>
              <w:rPr>
                <w:rFonts w:ascii="宋体" w:hAnsi="宋体" w:cs="宋体"/>
                <w:sz w:val="24"/>
              </w:rPr>
            </w:pPr>
            <w:r>
              <w:rPr>
                <w:rFonts w:hint="eastAsia" w:ascii="宋体" w:hAnsi="宋体" w:cs="宋体"/>
                <w:sz w:val="24"/>
              </w:rPr>
              <w:t>5</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09" w:type="dxa"/>
            <w:vMerge w:val="continue"/>
          </w:tcPr>
          <w:p>
            <w:pPr>
              <w:pStyle w:val="255"/>
            </w:pPr>
          </w:p>
        </w:tc>
        <w:tc>
          <w:tcPr>
            <w:tcW w:w="553" w:type="dxa"/>
            <w:vMerge w:val="restart"/>
            <w:vAlign w:val="center"/>
          </w:tcPr>
          <w:p>
            <w:pPr>
              <w:pStyle w:val="255"/>
            </w:pPr>
            <w:r>
              <w:t>5</w:t>
            </w:r>
          </w:p>
        </w:tc>
        <w:tc>
          <w:tcPr>
            <w:tcW w:w="1942" w:type="dxa"/>
            <w:vMerge w:val="restart"/>
            <w:vAlign w:val="center"/>
          </w:tcPr>
          <w:p>
            <w:pPr>
              <w:rPr>
                <w:rFonts w:ascii="宋体" w:hAnsi="宋体" w:cs="宋体"/>
                <w:sz w:val="24"/>
              </w:rPr>
            </w:pPr>
            <w:r>
              <w:rPr>
                <w:rFonts w:hint="eastAsia" w:ascii="宋体" w:hAnsi="宋体" w:cs="宋体"/>
                <w:sz w:val="24"/>
              </w:rPr>
              <w:t>进货渠道</w:t>
            </w:r>
          </w:p>
        </w:tc>
        <w:tc>
          <w:tcPr>
            <w:tcW w:w="4578" w:type="dxa"/>
            <w:vAlign w:val="center"/>
          </w:tcPr>
          <w:p>
            <w:pPr>
              <w:rPr>
                <w:rFonts w:ascii="宋体" w:hAnsi="宋体" w:cs="宋体"/>
                <w:sz w:val="24"/>
              </w:rPr>
            </w:pPr>
            <w:r>
              <w:rPr>
                <w:rFonts w:hint="eastAsia" w:ascii="宋体" w:hAnsi="宋体" w:cs="宋体"/>
                <w:bCs/>
                <w:sz w:val="24"/>
              </w:rPr>
              <w:t>投标人应具有较强的货源组织能力，</w:t>
            </w:r>
            <w:r>
              <w:rPr>
                <w:rFonts w:hint="eastAsia" w:ascii="宋体" w:hAnsi="宋体" w:cs="宋体"/>
                <w:sz w:val="24"/>
              </w:rPr>
              <w:t xml:space="preserve">能提供有供书保障的各类国家级出版社、大学出版社200家以上的出版社名单（有供货合同或授权书复印件）为2分，否则酌情扣分。 </w:t>
            </w:r>
          </w:p>
        </w:tc>
        <w:tc>
          <w:tcPr>
            <w:tcW w:w="709"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850" w:type="dxa"/>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rPr>
                <w:rFonts w:hint="eastAsia" w:ascii="宋体" w:hAnsi="宋体" w:cs="宋体"/>
                <w:sz w:val="24"/>
              </w:rPr>
            </w:pPr>
          </w:p>
        </w:tc>
        <w:tc>
          <w:tcPr>
            <w:tcW w:w="4578" w:type="dxa"/>
            <w:vAlign w:val="center"/>
          </w:tcPr>
          <w:p>
            <w:pPr>
              <w:rPr>
                <w:rFonts w:hint="eastAsia" w:ascii="宋体" w:hAnsi="宋体" w:cs="宋体"/>
                <w:sz w:val="24"/>
              </w:rPr>
            </w:pPr>
            <w:r>
              <w:rPr>
                <w:rFonts w:hint="eastAsia" w:ascii="宋体" w:hAnsi="宋体" w:cs="宋体"/>
                <w:sz w:val="24"/>
              </w:rPr>
              <w:t>在杭州市区有3000平方米以上的现采场所（提供现采场所房产证或房产租赁合同复印件及现场照片），能组织大型书市现采活动的，得0-4分。根据投标文件提供的</w:t>
            </w:r>
            <w:r>
              <w:rPr>
                <w:rFonts w:hint="eastAsia" w:ascii="宋体" w:hAnsi="宋体" w:cs="宋体"/>
                <w:sz w:val="24"/>
                <w:lang w:eastAsia="zh-CN"/>
              </w:rPr>
              <w:t>方案及</w:t>
            </w:r>
            <w:r>
              <w:rPr>
                <w:rFonts w:hint="eastAsia" w:ascii="宋体" w:hAnsi="宋体" w:cs="宋体"/>
                <w:sz w:val="24"/>
              </w:rPr>
              <w:t>能组织大型书市现采活动的的方案内容完整且与项目匹配度好的得</w:t>
            </w:r>
            <w:r>
              <w:rPr>
                <w:rFonts w:hint="eastAsia" w:ascii="宋体" w:hAnsi="宋体" w:cs="宋体"/>
                <w:sz w:val="24"/>
                <w:lang w:val="en-US" w:eastAsia="zh-CN"/>
              </w:rPr>
              <w:t>4</w:t>
            </w:r>
            <w:r>
              <w:rPr>
                <w:rFonts w:hint="eastAsia" w:ascii="宋体" w:hAnsi="宋体" w:cs="宋体"/>
                <w:sz w:val="24"/>
              </w:rPr>
              <w:t>分；方案内容基本完整且与项目匹配度较好的得</w:t>
            </w:r>
            <w:r>
              <w:rPr>
                <w:rFonts w:hint="eastAsia" w:ascii="宋体" w:hAnsi="宋体" w:cs="宋体"/>
                <w:sz w:val="24"/>
                <w:lang w:val="en-US" w:eastAsia="zh-CN"/>
              </w:rPr>
              <w:t>3</w:t>
            </w:r>
            <w:r>
              <w:rPr>
                <w:rFonts w:hint="eastAsia" w:ascii="宋体" w:hAnsi="宋体" w:cs="宋体"/>
                <w:sz w:val="24"/>
              </w:rPr>
              <w:t>分；方案内容存在欠缺或与项目匹配度一般的得1</w:t>
            </w:r>
            <w:r>
              <w:rPr>
                <w:rFonts w:hint="eastAsia" w:ascii="宋体" w:hAnsi="宋体" w:cs="宋体"/>
                <w:sz w:val="24"/>
                <w:lang w:val="en-US" w:eastAsia="zh-CN"/>
              </w:rPr>
              <w:t>-2</w:t>
            </w:r>
            <w:r>
              <w:rPr>
                <w:rFonts w:hint="eastAsia" w:ascii="宋体" w:hAnsi="宋体" w:cs="宋体"/>
                <w:sz w:val="24"/>
              </w:rPr>
              <w:t>分；方案内容缺失严重或与项目不匹配的不得分。</w:t>
            </w:r>
          </w:p>
        </w:tc>
        <w:tc>
          <w:tcPr>
            <w:tcW w:w="709"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850" w:type="dxa"/>
            <w:vAlign w:val="center"/>
          </w:tcPr>
          <w:p>
            <w:pPr>
              <w:jc w:val="center"/>
              <w:rPr>
                <w:rFonts w:hint="default" w:ascii="宋体" w:hAnsi="宋体" w:eastAsia="宋体" w:cs="宋体"/>
                <w:sz w:val="24"/>
                <w:lang w:val="en-US" w:eastAsia="zh-CN"/>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9" w:type="dxa"/>
            <w:vMerge w:val="continue"/>
          </w:tcPr>
          <w:p>
            <w:pPr>
              <w:pStyle w:val="255"/>
            </w:pPr>
          </w:p>
        </w:tc>
        <w:tc>
          <w:tcPr>
            <w:tcW w:w="553" w:type="dxa"/>
            <w:vMerge w:val="restart"/>
            <w:vAlign w:val="center"/>
          </w:tcPr>
          <w:p>
            <w:pPr>
              <w:rPr>
                <w:rFonts w:ascii="宋体" w:hAnsi="宋体" w:cs="宋体"/>
              </w:rPr>
            </w:pPr>
            <w:r>
              <w:rPr>
                <w:rFonts w:ascii="宋体" w:hAnsi="宋体" w:cs="宋体"/>
                <w:sz w:val="22"/>
              </w:rPr>
              <w:t>6</w:t>
            </w:r>
          </w:p>
        </w:tc>
        <w:tc>
          <w:tcPr>
            <w:tcW w:w="1942" w:type="dxa"/>
            <w:vMerge w:val="restart"/>
            <w:vAlign w:val="center"/>
          </w:tcPr>
          <w:p>
            <w:pPr>
              <w:rPr>
                <w:rFonts w:ascii="宋体" w:hAnsi="宋体" w:cs="宋体"/>
                <w:sz w:val="24"/>
              </w:rPr>
            </w:pPr>
            <w:r>
              <w:rPr>
                <w:rFonts w:hint="eastAsia" w:ascii="宋体" w:hAnsi="宋体" w:cs="宋体"/>
                <w:sz w:val="24"/>
              </w:rPr>
              <w:t>到书率</w:t>
            </w:r>
          </w:p>
          <w:p>
            <w:pPr>
              <w:rPr>
                <w:rFonts w:ascii="宋体" w:hAnsi="宋体" w:cs="宋体"/>
                <w:sz w:val="24"/>
              </w:rPr>
            </w:pPr>
          </w:p>
        </w:tc>
        <w:tc>
          <w:tcPr>
            <w:tcW w:w="4578" w:type="dxa"/>
            <w:vAlign w:val="center"/>
          </w:tcPr>
          <w:p>
            <w:pPr>
              <w:snapToGrid w:val="0"/>
              <w:spacing w:line="288" w:lineRule="auto"/>
              <w:rPr>
                <w:rFonts w:ascii="宋体" w:hAnsi="宋体" w:cs="宋体"/>
                <w:sz w:val="24"/>
              </w:rPr>
            </w:pPr>
            <w:r>
              <w:rPr>
                <w:rFonts w:hint="eastAsia" w:ascii="宋体" w:hAnsi="宋体" w:cs="宋体"/>
                <w:sz w:val="24"/>
              </w:rPr>
              <w:t>投标人承诺的图书到书率、到货周期对采购需求要求的满足程度、到货周期服务承诺保证措施等情况。（根据投标文件提供的服务承诺保证措施的方案内容完整且与项目匹配度好的得3分；方案内容基本完整且与项目匹配度较好的得2分；方案内容存在欠缺或与项目匹配度一般的得1分；方案内容缺失严重或与项目不匹配的不得分。）</w:t>
            </w:r>
          </w:p>
        </w:tc>
        <w:tc>
          <w:tcPr>
            <w:tcW w:w="709" w:type="dxa"/>
            <w:vAlign w:val="center"/>
          </w:tcPr>
          <w:p>
            <w:pPr>
              <w:jc w:val="center"/>
              <w:rPr>
                <w:rFonts w:ascii="宋体" w:hAnsi="宋体" w:cs="宋体"/>
                <w:sz w:val="24"/>
              </w:rPr>
            </w:pPr>
            <w:r>
              <w:rPr>
                <w:rFonts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rPr>
                <w:rFonts w:ascii="宋体" w:hAnsi="宋体" w:cs="宋体"/>
                <w:sz w:val="24"/>
              </w:rPr>
            </w:pPr>
          </w:p>
        </w:tc>
        <w:tc>
          <w:tcPr>
            <w:tcW w:w="4578" w:type="dxa"/>
            <w:vAlign w:val="center"/>
          </w:tcPr>
          <w:p>
            <w:pPr>
              <w:rPr>
                <w:rFonts w:ascii="宋体" w:hAnsi="宋体" w:cs="宋体"/>
                <w:sz w:val="24"/>
              </w:rPr>
            </w:pPr>
            <w:r>
              <w:rPr>
                <w:rFonts w:hint="eastAsia" w:ascii="宋体" w:hAnsi="宋体" w:cs="宋体"/>
                <w:sz w:val="24"/>
              </w:rPr>
              <w:t>年到书率95%以上，需提供202</w:t>
            </w:r>
            <w:r>
              <w:rPr>
                <w:rFonts w:ascii="宋体" w:hAnsi="宋体" w:cs="宋体"/>
                <w:sz w:val="24"/>
              </w:rPr>
              <w:t>1</w:t>
            </w:r>
            <w:r>
              <w:rPr>
                <w:rFonts w:hint="eastAsia" w:ascii="宋体" w:hAnsi="宋体" w:cs="宋体"/>
                <w:sz w:val="24"/>
              </w:rPr>
              <w:t>-202</w:t>
            </w:r>
            <w:r>
              <w:rPr>
                <w:rFonts w:ascii="宋体" w:hAnsi="宋体" w:cs="宋体"/>
                <w:sz w:val="24"/>
              </w:rPr>
              <w:t>3</w:t>
            </w:r>
            <w:r>
              <w:rPr>
                <w:rFonts w:hint="eastAsia" w:ascii="宋体" w:hAnsi="宋体" w:cs="宋体"/>
                <w:sz w:val="24"/>
              </w:rPr>
              <w:t>年省内公共图书馆开具的图书到书率证明复印件，每增加1个得1分，满分</w:t>
            </w:r>
            <w:r>
              <w:rPr>
                <w:rFonts w:ascii="宋体" w:hAnsi="宋体" w:cs="宋体"/>
                <w:sz w:val="24"/>
              </w:rPr>
              <w:t>7</w:t>
            </w:r>
            <w:r>
              <w:rPr>
                <w:rFonts w:hint="eastAsia" w:ascii="宋体" w:hAnsi="宋体" w:cs="宋体"/>
                <w:sz w:val="24"/>
              </w:rPr>
              <w:t>分。</w:t>
            </w:r>
          </w:p>
        </w:tc>
        <w:tc>
          <w:tcPr>
            <w:tcW w:w="709" w:type="dxa"/>
            <w:vAlign w:val="center"/>
          </w:tcPr>
          <w:p>
            <w:pPr>
              <w:jc w:val="center"/>
              <w:rPr>
                <w:rFonts w:ascii="宋体" w:hAnsi="宋体" w:cs="宋体"/>
                <w:sz w:val="24"/>
              </w:rPr>
            </w:pPr>
            <w:r>
              <w:rPr>
                <w:rFonts w:ascii="宋体" w:hAnsi="宋体" w:cs="宋体"/>
                <w:sz w:val="24"/>
              </w:rPr>
              <w:t>7</w:t>
            </w:r>
          </w:p>
        </w:tc>
        <w:tc>
          <w:tcPr>
            <w:tcW w:w="850" w:type="dxa"/>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9" w:type="dxa"/>
            <w:vMerge w:val="continue"/>
          </w:tcPr>
          <w:p>
            <w:pPr>
              <w:pStyle w:val="255"/>
            </w:pPr>
          </w:p>
        </w:tc>
        <w:tc>
          <w:tcPr>
            <w:tcW w:w="553" w:type="dxa"/>
            <w:vMerge w:val="restart"/>
            <w:vAlign w:val="center"/>
          </w:tcPr>
          <w:p>
            <w:pPr>
              <w:pStyle w:val="255"/>
            </w:pPr>
            <w:r>
              <w:t>7</w:t>
            </w:r>
          </w:p>
        </w:tc>
        <w:tc>
          <w:tcPr>
            <w:tcW w:w="1942" w:type="dxa"/>
            <w:vMerge w:val="restart"/>
            <w:vAlign w:val="center"/>
          </w:tcPr>
          <w:p>
            <w:pPr>
              <w:rPr>
                <w:rFonts w:ascii="宋体" w:hAnsi="宋体" w:cs="宋体"/>
                <w:sz w:val="24"/>
              </w:rPr>
            </w:pPr>
            <w:r>
              <w:rPr>
                <w:rFonts w:hint="eastAsia" w:ascii="宋体" w:hAnsi="宋体" w:cs="宋体"/>
                <w:sz w:val="24"/>
              </w:rPr>
              <w:t>项目人员</w:t>
            </w:r>
          </w:p>
        </w:tc>
        <w:tc>
          <w:tcPr>
            <w:tcW w:w="4578" w:type="dxa"/>
            <w:vAlign w:val="center"/>
          </w:tcPr>
          <w:p>
            <w:pPr>
              <w:rPr>
                <w:rFonts w:ascii="宋体" w:hAnsi="宋体" w:cs="宋体"/>
                <w:sz w:val="24"/>
              </w:rPr>
            </w:pPr>
            <w:r>
              <w:rPr>
                <w:rFonts w:hint="eastAsia" w:ascii="宋体" w:hAnsi="宋体" w:cs="宋体"/>
                <w:sz w:val="24"/>
              </w:rPr>
              <w:t>项目负责人专业素质、技术能力、经验等情况。（以投标文件提供的证明文件及社保缴纳证明为准，不提供不得分。）</w:t>
            </w:r>
          </w:p>
        </w:tc>
        <w:tc>
          <w:tcPr>
            <w:tcW w:w="709" w:type="dxa"/>
            <w:vAlign w:val="center"/>
          </w:tcPr>
          <w:p>
            <w:pPr>
              <w:jc w:val="center"/>
              <w:rPr>
                <w:rFonts w:ascii="宋体" w:hAnsi="宋体" w:cs="宋体"/>
                <w:sz w:val="24"/>
              </w:rPr>
            </w:pPr>
            <w:r>
              <w:rPr>
                <w:rFonts w:hint="eastAsia"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rPr>
                <w:rFonts w:ascii="宋体" w:hAnsi="宋体" w:cs="宋体"/>
                <w:sz w:val="24"/>
              </w:rPr>
            </w:pPr>
          </w:p>
        </w:tc>
        <w:tc>
          <w:tcPr>
            <w:tcW w:w="4578" w:type="dxa"/>
            <w:vAlign w:val="center"/>
          </w:tcPr>
          <w:p>
            <w:pPr>
              <w:rPr>
                <w:rFonts w:ascii="宋体" w:hAnsi="宋体" w:cs="宋体"/>
                <w:sz w:val="24"/>
              </w:rPr>
            </w:pPr>
            <w:r>
              <w:rPr>
                <w:rFonts w:hint="eastAsia" w:ascii="宋体" w:hAnsi="宋体" w:cs="宋体"/>
                <w:sz w:val="24"/>
              </w:rPr>
              <w:t>项目团队人员专业素质、技术能力、专业分布、经验等情况。（以投标文件提供的证明文件及近社保缴纳证明为准，不提供不得分。）</w:t>
            </w:r>
          </w:p>
        </w:tc>
        <w:tc>
          <w:tcPr>
            <w:tcW w:w="709" w:type="dxa"/>
            <w:vAlign w:val="center"/>
          </w:tcPr>
          <w:p>
            <w:pPr>
              <w:jc w:val="center"/>
              <w:rPr>
                <w:rFonts w:ascii="宋体" w:hAnsi="宋体" w:cs="宋体"/>
                <w:sz w:val="24"/>
              </w:rPr>
            </w:pPr>
            <w:r>
              <w:rPr>
                <w:rFonts w:hint="eastAsia"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Align w:val="center"/>
          </w:tcPr>
          <w:p>
            <w:pPr>
              <w:pStyle w:val="255"/>
            </w:pPr>
            <w:r>
              <w:t>8</w:t>
            </w:r>
          </w:p>
        </w:tc>
        <w:tc>
          <w:tcPr>
            <w:tcW w:w="1942" w:type="dxa"/>
            <w:vAlign w:val="center"/>
          </w:tcPr>
          <w:p>
            <w:pPr>
              <w:rPr>
                <w:rFonts w:ascii="宋体" w:hAnsi="宋体" w:cs="宋体"/>
                <w:sz w:val="24"/>
              </w:rPr>
            </w:pPr>
            <w:r>
              <w:rPr>
                <w:rFonts w:hint="eastAsia" w:ascii="宋体" w:hAnsi="宋体" w:cs="宋体"/>
                <w:sz w:val="24"/>
              </w:rPr>
              <w:t>合理化建议</w:t>
            </w:r>
          </w:p>
        </w:tc>
        <w:tc>
          <w:tcPr>
            <w:tcW w:w="4578" w:type="dxa"/>
            <w:vAlign w:val="center"/>
          </w:tcPr>
          <w:p>
            <w:pPr>
              <w:rPr>
                <w:rFonts w:ascii="宋体" w:hAnsi="宋体" w:cs="宋体"/>
                <w:sz w:val="24"/>
              </w:rPr>
            </w:pPr>
            <w:r>
              <w:rPr>
                <w:rFonts w:hint="eastAsia" w:ascii="宋体" w:hAnsi="宋体" w:cs="宋体"/>
                <w:sz w:val="24"/>
              </w:rPr>
              <w:t xml:space="preserve">对本项目的合理化建议（方案内容完整且与项目匹配度好的得5分；方案内容基本完整且与项目匹配度较好的得3分；方案内容存在欠缺或与项目匹配度一般的得1分；方案内容缺失严重或与项目不匹配的不得分。） </w:t>
            </w:r>
          </w:p>
        </w:tc>
        <w:tc>
          <w:tcPr>
            <w:tcW w:w="709" w:type="dxa"/>
            <w:vAlign w:val="center"/>
          </w:tcPr>
          <w:p>
            <w:pPr>
              <w:jc w:val="center"/>
              <w:rPr>
                <w:rFonts w:ascii="宋体" w:hAnsi="宋体" w:cs="宋体"/>
                <w:sz w:val="24"/>
              </w:rPr>
            </w:pPr>
            <w:r>
              <w:rPr>
                <w:rFonts w:hint="eastAsia" w:ascii="宋体" w:hAnsi="宋体" w:cs="宋体"/>
                <w:sz w:val="24"/>
              </w:rPr>
              <w:t>5</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Merge w:val="restart"/>
            <w:vAlign w:val="center"/>
          </w:tcPr>
          <w:p>
            <w:pPr>
              <w:pStyle w:val="255"/>
            </w:pPr>
            <w:r>
              <w:t>9</w:t>
            </w:r>
          </w:p>
        </w:tc>
        <w:tc>
          <w:tcPr>
            <w:tcW w:w="1942" w:type="dxa"/>
            <w:vMerge w:val="restart"/>
            <w:vAlign w:val="center"/>
          </w:tcPr>
          <w:p>
            <w:pPr>
              <w:snapToGrid w:val="0"/>
              <w:spacing w:line="360" w:lineRule="auto"/>
              <w:rPr>
                <w:rFonts w:ascii="宋体" w:hAnsi="宋体" w:cs="宋体"/>
                <w:sz w:val="24"/>
              </w:rPr>
            </w:pPr>
            <w:r>
              <w:rPr>
                <w:rFonts w:hint="eastAsia" w:ascii="宋体" w:hAnsi="宋体" w:cs="宋体"/>
                <w:sz w:val="24"/>
              </w:rPr>
              <w:t>售后服务</w:t>
            </w:r>
          </w:p>
        </w:tc>
        <w:tc>
          <w:tcPr>
            <w:tcW w:w="4578" w:type="dxa"/>
            <w:vAlign w:val="center"/>
          </w:tcPr>
          <w:p>
            <w:pPr>
              <w:rPr>
                <w:rFonts w:ascii="宋体" w:hAnsi="宋体" w:cs="宋体"/>
                <w:sz w:val="24"/>
              </w:rPr>
            </w:pPr>
            <w:r>
              <w:rPr>
                <w:rFonts w:hint="eastAsia" w:ascii="宋体" w:hAnsi="宋体" w:cs="宋体"/>
                <w:sz w:val="24"/>
              </w:rPr>
              <w:t xml:space="preserve">根据售后服务方案、措施响应及本地化服务能力等情况。（方案内容完整且与项目匹配度好的得3分；方案内容基本完整且与项目匹配度较好的得2分；方案内容存在欠缺或与项目匹配度一般的得1分；方案内容缺失严重或与项目不匹配的不得分。） </w:t>
            </w:r>
          </w:p>
        </w:tc>
        <w:tc>
          <w:tcPr>
            <w:tcW w:w="709" w:type="dxa"/>
            <w:vAlign w:val="center"/>
          </w:tcPr>
          <w:p>
            <w:pPr>
              <w:jc w:val="center"/>
              <w:rPr>
                <w:rFonts w:ascii="宋体" w:hAnsi="宋体" w:cs="宋体"/>
                <w:sz w:val="24"/>
              </w:rPr>
            </w:pPr>
            <w:r>
              <w:rPr>
                <w:rFonts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snapToGrid w:val="0"/>
              <w:spacing w:line="360" w:lineRule="auto"/>
              <w:rPr>
                <w:rFonts w:ascii="宋体" w:hAnsi="宋体" w:cs="宋体"/>
                <w:sz w:val="24"/>
              </w:rPr>
            </w:pPr>
          </w:p>
        </w:tc>
        <w:tc>
          <w:tcPr>
            <w:tcW w:w="4578" w:type="dxa"/>
            <w:vAlign w:val="center"/>
          </w:tcPr>
          <w:p>
            <w:pPr>
              <w:rPr>
                <w:rFonts w:ascii="宋体" w:hAnsi="宋体" w:cs="宋体"/>
                <w:sz w:val="24"/>
              </w:rPr>
            </w:pPr>
            <w:r>
              <w:rPr>
                <w:rFonts w:hint="eastAsia" w:ascii="宋体" w:hAnsi="宋体" w:cs="宋体"/>
                <w:sz w:val="24"/>
              </w:rPr>
              <w:t xml:space="preserve">对订单调整要求的反应能力。对已订清单因情况变化，能满足图书馆减少订数或要求取消订购的要求。（根据投标文件提供的服务承诺保证措施的方案内容完整且与项目匹配度好的得3分；方案内容基本完整且与项目匹配度较好的得2分；方案内容存在欠缺或与项目匹配度一般的得1分；方案内容缺失严重或与项目不匹配的不得分。） </w:t>
            </w:r>
          </w:p>
        </w:tc>
        <w:tc>
          <w:tcPr>
            <w:tcW w:w="709" w:type="dxa"/>
            <w:vAlign w:val="center"/>
          </w:tcPr>
          <w:p>
            <w:pPr>
              <w:jc w:val="center"/>
              <w:rPr>
                <w:rFonts w:ascii="宋体" w:hAnsi="宋体" w:cs="宋体"/>
                <w:sz w:val="24"/>
              </w:rPr>
            </w:pPr>
            <w:r>
              <w:rPr>
                <w:rFonts w:hint="eastAsia" w:ascii="宋体" w:hAnsi="宋体" w:cs="宋体"/>
                <w:sz w:val="24"/>
              </w:rPr>
              <w:t>3</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snapToGrid w:val="0"/>
              <w:spacing w:line="360" w:lineRule="auto"/>
              <w:rPr>
                <w:rFonts w:ascii="宋体" w:hAnsi="宋体" w:cs="宋体"/>
                <w:sz w:val="24"/>
              </w:rPr>
            </w:pPr>
          </w:p>
        </w:tc>
        <w:tc>
          <w:tcPr>
            <w:tcW w:w="4578" w:type="dxa"/>
            <w:vAlign w:val="center"/>
          </w:tcPr>
          <w:p>
            <w:pPr>
              <w:rPr>
                <w:rFonts w:ascii="宋体" w:hAnsi="宋体" w:cs="宋体"/>
                <w:sz w:val="24"/>
              </w:rPr>
            </w:pPr>
            <w:r>
              <w:rPr>
                <w:rFonts w:hint="eastAsia" w:ascii="宋体" w:hAnsi="宋体" w:cs="宋体"/>
                <w:sz w:val="24"/>
              </w:rPr>
              <w:t>对未能采购图书订单的处理。对因各种原因未能满足图书馆订单的情况能及时作出反馈，并给出解决方案。根据投标文件提供的服务承诺保证措施的内容完整且与项目匹配度好的得2分；内容基本完整且与项目匹配度较好的得1分。）</w:t>
            </w:r>
          </w:p>
        </w:tc>
        <w:tc>
          <w:tcPr>
            <w:tcW w:w="709" w:type="dxa"/>
            <w:vAlign w:val="center"/>
          </w:tcPr>
          <w:p>
            <w:pPr>
              <w:jc w:val="center"/>
              <w:rPr>
                <w:rFonts w:ascii="宋体" w:hAnsi="宋体" w:cs="宋体"/>
                <w:sz w:val="24"/>
              </w:rPr>
            </w:pPr>
            <w:r>
              <w:rPr>
                <w:rFonts w:ascii="宋体" w:hAnsi="宋体" w:cs="宋体"/>
                <w:sz w:val="24"/>
              </w:rPr>
              <w:t>2</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Merge w:val="continue"/>
            <w:vAlign w:val="center"/>
          </w:tcPr>
          <w:p>
            <w:pPr>
              <w:pStyle w:val="255"/>
            </w:pPr>
          </w:p>
        </w:tc>
        <w:tc>
          <w:tcPr>
            <w:tcW w:w="1942" w:type="dxa"/>
            <w:vMerge w:val="continue"/>
            <w:vAlign w:val="center"/>
          </w:tcPr>
          <w:p>
            <w:pPr>
              <w:snapToGrid w:val="0"/>
              <w:spacing w:line="360" w:lineRule="auto"/>
              <w:rPr>
                <w:rFonts w:ascii="宋体" w:hAnsi="宋体" w:cs="宋体"/>
                <w:sz w:val="24"/>
              </w:rPr>
            </w:pPr>
          </w:p>
        </w:tc>
        <w:tc>
          <w:tcPr>
            <w:tcW w:w="4578" w:type="dxa"/>
            <w:vAlign w:val="center"/>
          </w:tcPr>
          <w:p>
            <w:pPr>
              <w:rPr>
                <w:rFonts w:ascii="宋体" w:hAnsi="宋体" w:cs="宋体"/>
                <w:sz w:val="24"/>
              </w:rPr>
            </w:pPr>
            <w:r>
              <w:rPr>
                <w:rFonts w:hint="eastAsia" w:ascii="宋体" w:hAnsi="宋体" w:cs="宋体"/>
                <w:sz w:val="24"/>
              </w:rPr>
              <w:t>退单的处理。及时处理因图书质量问题、与馆藏要求不符、与预订不符等原因造成的退单。（根据投标文件提供的服务承诺保证措施的内容完整且与项目匹配度好的得2分；内容基本完整且与项目匹配度较好的得1分。）</w:t>
            </w:r>
          </w:p>
        </w:tc>
        <w:tc>
          <w:tcPr>
            <w:tcW w:w="709" w:type="dxa"/>
            <w:vAlign w:val="center"/>
          </w:tcPr>
          <w:p>
            <w:pPr>
              <w:jc w:val="center"/>
              <w:rPr>
                <w:rFonts w:ascii="宋体" w:hAnsi="宋体" w:cs="宋体"/>
                <w:sz w:val="24"/>
              </w:rPr>
            </w:pPr>
            <w:r>
              <w:rPr>
                <w:rFonts w:ascii="宋体" w:hAnsi="宋体" w:cs="宋体"/>
                <w:sz w:val="24"/>
              </w:rPr>
              <w:t>2</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55"/>
            </w:pPr>
          </w:p>
        </w:tc>
        <w:tc>
          <w:tcPr>
            <w:tcW w:w="553" w:type="dxa"/>
            <w:vAlign w:val="center"/>
          </w:tcPr>
          <w:p>
            <w:pPr>
              <w:pStyle w:val="255"/>
            </w:pPr>
            <w:r>
              <w:t>10</w:t>
            </w:r>
          </w:p>
        </w:tc>
        <w:tc>
          <w:tcPr>
            <w:tcW w:w="1942" w:type="dxa"/>
            <w:vAlign w:val="center"/>
          </w:tcPr>
          <w:p>
            <w:pPr>
              <w:snapToGrid w:val="0"/>
              <w:spacing w:line="360" w:lineRule="auto"/>
              <w:rPr>
                <w:rFonts w:ascii="宋体" w:hAnsi="宋体" w:cs="宋体"/>
                <w:sz w:val="24"/>
              </w:rPr>
            </w:pPr>
            <w:r>
              <w:rPr>
                <w:rFonts w:hint="eastAsia" w:ascii="宋体" w:hAnsi="宋体" w:cs="宋体"/>
                <w:sz w:val="24"/>
              </w:rPr>
              <w:t>特色服务</w:t>
            </w:r>
          </w:p>
        </w:tc>
        <w:tc>
          <w:tcPr>
            <w:tcW w:w="4578" w:type="dxa"/>
            <w:vAlign w:val="center"/>
          </w:tcPr>
          <w:p>
            <w:pPr>
              <w:rPr>
                <w:rFonts w:ascii="宋体" w:hAnsi="宋体" w:cs="宋体"/>
                <w:sz w:val="24"/>
              </w:rPr>
            </w:pPr>
            <w:r>
              <w:rPr>
                <w:rFonts w:hint="eastAsia" w:ascii="宋体" w:hAnsi="宋体" w:cs="宋体"/>
                <w:sz w:val="24"/>
              </w:rPr>
              <w:t>为用户的馆藏建设提供其它特色服务及本地化服务（内容完整且与项目匹配度好的得5分；内容基本完整且与项目匹配度较好的得3分；内容存在欠缺或与项目匹配度一般的得</w:t>
            </w:r>
            <w:r>
              <w:rPr>
                <w:rFonts w:ascii="宋体" w:hAnsi="宋体" w:cs="宋体"/>
                <w:sz w:val="24"/>
              </w:rPr>
              <w:t>1</w:t>
            </w:r>
            <w:r>
              <w:rPr>
                <w:rFonts w:hint="eastAsia" w:ascii="宋体" w:hAnsi="宋体" w:cs="宋体"/>
                <w:sz w:val="24"/>
              </w:rPr>
              <w:t>分；内容缺失严重或与项目不匹配的不得分。）</w:t>
            </w:r>
          </w:p>
        </w:tc>
        <w:tc>
          <w:tcPr>
            <w:tcW w:w="709" w:type="dxa"/>
            <w:vAlign w:val="center"/>
          </w:tcPr>
          <w:p>
            <w:pPr>
              <w:jc w:val="center"/>
              <w:rPr>
                <w:rFonts w:ascii="宋体" w:hAnsi="宋体" w:cs="宋体"/>
                <w:sz w:val="24"/>
              </w:rPr>
            </w:pPr>
            <w:r>
              <w:rPr>
                <w:rFonts w:ascii="宋体" w:hAnsi="宋体" w:cs="宋体"/>
                <w:sz w:val="24"/>
              </w:rPr>
              <w:t>5</w:t>
            </w:r>
          </w:p>
        </w:tc>
        <w:tc>
          <w:tcPr>
            <w:tcW w:w="850" w:type="dxa"/>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09" w:type="dxa"/>
            <w:vMerge w:val="restart"/>
          </w:tcPr>
          <w:p>
            <w:pPr>
              <w:pStyle w:val="255"/>
            </w:pPr>
          </w:p>
        </w:tc>
        <w:tc>
          <w:tcPr>
            <w:tcW w:w="553" w:type="dxa"/>
            <w:vMerge w:val="restart"/>
            <w:vAlign w:val="center"/>
          </w:tcPr>
          <w:p>
            <w:pPr>
              <w:pStyle w:val="255"/>
            </w:pPr>
            <w:r>
              <w:rPr>
                <w:rFonts w:hint="eastAsia"/>
              </w:rPr>
              <w:t>1</w:t>
            </w:r>
            <w:r>
              <w:t>1</w:t>
            </w:r>
          </w:p>
        </w:tc>
        <w:tc>
          <w:tcPr>
            <w:tcW w:w="1942" w:type="dxa"/>
            <w:vMerge w:val="restart"/>
            <w:vAlign w:val="center"/>
          </w:tcPr>
          <w:p>
            <w:pPr>
              <w:rPr>
                <w:rFonts w:ascii="宋体" w:hAnsi="宋体" w:cs="宋体"/>
                <w:sz w:val="24"/>
              </w:rPr>
            </w:pPr>
            <w:r>
              <w:rPr>
                <w:rFonts w:hint="eastAsia" w:ascii="宋体" w:hAnsi="宋体" w:cs="宋体"/>
                <w:sz w:val="24"/>
              </w:rPr>
              <w:t>图书全加工服务</w:t>
            </w:r>
          </w:p>
        </w:tc>
        <w:tc>
          <w:tcPr>
            <w:tcW w:w="4578" w:type="dxa"/>
            <w:vAlign w:val="center"/>
          </w:tcPr>
          <w:p>
            <w:pPr>
              <w:snapToGrid w:val="0"/>
              <w:rPr>
                <w:rFonts w:ascii="宋体" w:hAnsi="宋体" w:cs="宋体"/>
                <w:sz w:val="24"/>
              </w:rPr>
            </w:pPr>
            <w:r>
              <w:rPr>
                <w:rFonts w:hint="eastAsia" w:ascii="宋体" w:hAnsi="宋体" w:cs="宋体"/>
                <w:sz w:val="24"/>
              </w:rPr>
              <w:t>编目数据的质量符合招标要求的程度；与到馆图书匹配程度（不漏发、错发）；与到馆图书同时到达情况。每项各1分。（根据投标文件提供的服务承诺保证措施的明确性及可行性打分。）</w:t>
            </w:r>
          </w:p>
        </w:tc>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850" w:type="dxa"/>
            <w:vAlign w:val="center"/>
          </w:tcPr>
          <w:p>
            <w:pPr>
              <w:snapToGrid w:val="0"/>
              <w:spacing w:line="360" w:lineRule="auto"/>
              <w:jc w:val="center"/>
              <w:rPr>
                <w:rFonts w:ascii="宋体" w:hAnsi="宋体" w:cs="宋体"/>
                <w:sz w:val="24"/>
              </w:rPr>
            </w:pPr>
            <w:r>
              <w:rPr>
                <w:rFonts w:hint="eastAsia" w:ascii="宋体" w:hAnsi="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09" w:type="dxa"/>
            <w:vMerge w:val="continue"/>
          </w:tcPr>
          <w:p>
            <w:pPr>
              <w:jc w:val="center"/>
            </w:pPr>
          </w:p>
        </w:tc>
        <w:tc>
          <w:tcPr>
            <w:tcW w:w="553" w:type="dxa"/>
            <w:vMerge w:val="continue"/>
            <w:vAlign w:val="center"/>
          </w:tcPr>
          <w:p>
            <w:pPr>
              <w:jc w:val="center"/>
            </w:pPr>
          </w:p>
        </w:tc>
        <w:tc>
          <w:tcPr>
            <w:tcW w:w="1942" w:type="dxa"/>
            <w:vMerge w:val="continue"/>
            <w:vAlign w:val="center"/>
          </w:tcPr>
          <w:p>
            <w:pPr>
              <w:jc w:val="center"/>
            </w:pPr>
          </w:p>
        </w:tc>
        <w:tc>
          <w:tcPr>
            <w:tcW w:w="4578" w:type="dxa"/>
            <w:vAlign w:val="center"/>
          </w:tcPr>
          <w:p>
            <w:pPr>
              <w:snapToGrid w:val="0"/>
              <w:rPr>
                <w:rFonts w:ascii="宋体" w:hAnsi="宋体" w:cs="宋体"/>
                <w:sz w:val="24"/>
              </w:rPr>
            </w:pPr>
            <w:r>
              <w:rPr>
                <w:rFonts w:hint="eastAsia" w:ascii="宋体" w:hAnsi="宋体" w:cs="宋体"/>
                <w:sz w:val="24"/>
              </w:rPr>
              <w:t>数据加工和物理加工服务的保障性方案（根据投标文件提供的内容完整且与项目匹配度好的得</w:t>
            </w:r>
            <w:r>
              <w:rPr>
                <w:rFonts w:ascii="宋体" w:hAnsi="宋体" w:cs="宋体"/>
                <w:sz w:val="24"/>
              </w:rPr>
              <w:t>3</w:t>
            </w:r>
            <w:r>
              <w:rPr>
                <w:rFonts w:hint="eastAsia" w:ascii="宋体" w:hAnsi="宋体" w:cs="宋体"/>
                <w:sz w:val="24"/>
              </w:rPr>
              <w:t>分；内容基本完整且与项目匹配度较好的得</w:t>
            </w:r>
            <w:r>
              <w:rPr>
                <w:rFonts w:ascii="宋体" w:hAnsi="宋体" w:cs="宋体"/>
                <w:sz w:val="24"/>
              </w:rPr>
              <w:t>2</w:t>
            </w:r>
            <w:r>
              <w:rPr>
                <w:rFonts w:hint="eastAsia" w:ascii="宋体" w:hAnsi="宋体" w:cs="宋体"/>
                <w:sz w:val="24"/>
              </w:rPr>
              <w:t>分；内容存在欠缺或与项目匹配度一般的得</w:t>
            </w:r>
            <w:r>
              <w:rPr>
                <w:rFonts w:ascii="宋体" w:hAnsi="宋体" w:cs="宋体"/>
                <w:sz w:val="24"/>
              </w:rPr>
              <w:t>1</w:t>
            </w:r>
            <w:r>
              <w:rPr>
                <w:rFonts w:hint="eastAsia" w:ascii="宋体" w:hAnsi="宋体" w:cs="宋体"/>
                <w:sz w:val="24"/>
              </w:rPr>
              <w:t>分；内容缺失严重或与项目不匹配的不得分。）</w:t>
            </w:r>
          </w:p>
        </w:tc>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850" w:type="dxa"/>
            <w:vAlign w:val="center"/>
          </w:tcPr>
          <w:p>
            <w:pPr>
              <w:snapToGrid w:val="0"/>
              <w:spacing w:line="360" w:lineRule="auto"/>
              <w:jc w:val="center"/>
              <w:rPr>
                <w:rFonts w:ascii="宋体" w:hAnsi="宋体" w:cs="宋体"/>
                <w:sz w:val="24"/>
              </w:rPr>
            </w:pPr>
            <w:r>
              <w:rPr>
                <w:rFonts w:hint="eastAsia" w:ascii="宋体" w:hAnsi="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09" w:type="dxa"/>
            <w:vMerge w:val="continue"/>
          </w:tcPr>
          <w:p>
            <w:pPr>
              <w:jc w:val="center"/>
              <w:rPr>
                <w:rFonts w:ascii="宋体" w:hAnsi="宋体" w:cs="宋体"/>
                <w:sz w:val="24"/>
              </w:rPr>
            </w:pPr>
          </w:p>
        </w:tc>
        <w:tc>
          <w:tcPr>
            <w:tcW w:w="553" w:type="dxa"/>
            <w:vMerge w:val="continue"/>
            <w:vAlign w:val="center"/>
          </w:tcPr>
          <w:p>
            <w:pPr>
              <w:jc w:val="center"/>
              <w:rPr>
                <w:rFonts w:ascii="宋体" w:hAnsi="宋体" w:cs="宋体"/>
                <w:sz w:val="24"/>
              </w:rPr>
            </w:pPr>
          </w:p>
        </w:tc>
        <w:tc>
          <w:tcPr>
            <w:tcW w:w="1942" w:type="dxa"/>
            <w:vMerge w:val="continue"/>
            <w:vAlign w:val="center"/>
          </w:tcPr>
          <w:p>
            <w:pPr>
              <w:jc w:val="center"/>
              <w:rPr>
                <w:rFonts w:ascii="宋体" w:hAnsi="宋体" w:cs="宋体"/>
                <w:sz w:val="24"/>
              </w:rPr>
            </w:pPr>
          </w:p>
        </w:tc>
        <w:tc>
          <w:tcPr>
            <w:tcW w:w="4578" w:type="dxa"/>
            <w:vAlign w:val="center"/>
          </w:tcPr>
          <w:p>
            <w:pPr>
              <w:snapToGrid w:val="0"/>
              <w:rPr>
                <w:rFonts w:ascii="宋体" w:hAnsi="宋体" w:cs="宋体"/>
                <w:sz w:val="24"/>
              </w:rPr>
            </w:pPr>
            <w:r>
              <w:rPr>
                <w:rFonts w:hint="eastAsia" w:ascii="宋体" w:hAnsi="宋体" w:cs="宋体"/>
                <w:sz w:val="24"/>
              </w:rPr>
              <w:t>拟派本项目驻场加工人员数量，不足2人不得分，2人得1分，3人及以上得2分；拟派本项目驻场加工人员每具有一位国家图书馆或其他大型公共图书馆颁发的编目资格证书得1分，最多得2分。（根据投标文件提供的服务承诺保证措施的明确性及可行性打分。）</w:t>
            </w:r>
          </w:p>
        </w:tc>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850" w:type="dxa"/>
            <w:vAlign w:val="center"/>
          </w:tcPr>
          <w:p>
            <w:pPr>
              <w:snapToGrid w:val="0"/>
              <w:spacing w:line="360" w:lineRule="auto"/>
              <w:jc w:val="center"/>
              <w:rPr>
                <w:rFonts w:ascii="宋体" w:hAnsi="宋体" w:cs="宋体"/>
                <w:sz w:val="24"/>
              </w:rPr>
            </w:pPr>
            <w:r>
              <w:rPr>
                <w:rFonts w:hint="eastAsia" w:ascii="宋体" w:hAnsi="宋体" w:cs="宋体"/>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09" w:type="dxa"/>
          </w:tcPr>
          <w:p>
            <w:pPr>
              <w:jc w:val="center"/>
              <w:rPr>
                <w:rFonts w:ascii="宋体" w:hAnsi="宋体" w:cs="宋体"/>
                <w:sz w:val="24"/>
              </w:rPr>
            </w:pPr>
            <w:r>
              <w:rPr>
                <w:rFonts w:hint="eastAsia" w:ascii="宋体" w:hAnsi="宋体" w:cs="宋体"/>
                <w:sz w:val="24"/>
              </w:rPr>
              <w:t>价格部分</w:t>
            </w:r>
          </w:p>
        </w:tc>
        <w:tc>
          <w:tcPr>
            <w:tcW w:w="553" w:type="dxa"/>
            <w:vAlign w:val="center"/>
          </w:tcPr>
          <w:p>
            <w:pPr>
              <w:jc w:val="center"/>
              <w:rPr>
                <w:rFonts w:ascii="宋体" w:hAnsi="宋体" w:cs="宋体"/>
                <w:sz w:val="24"/>
              </w:rPr>
            </w:pPr>
            <w:r>
              <w:rPr>
                <w:rFonts w:hint="eastAsia" w:ascii="宋体" w:hAnsi="宋体" w:cs="宋体"/>
                <w:sz w:val="24"/>
              </w:rPr>
              <w:t>1</w:t>
            </w:r>
            <w:r>
              <w:rPr>
                <w:rFonts w:ascii="宋体" w:hAnsi="宋体" w:cs="宋体"/>
                <w:sz w:val="24"/>
              </w:rPr>
              <w:t>2</w:t>
            </w:r>
          </w:p>
        </w:tc>
        <w:tc>
          <w:tcPr>
            <w:tcW w:w="1942" w:type="dxa"/>
            <w:vAlign w:val="center"/>
          </w:tcPr>
          <w:p>
            <w:pPr>
              <w:jc w:val="center"/>
              <w:rPr>
                <w:rFonts w:ascii="宋体" w:hAnsi="宋体" w:cs="宋体"/>
                <w:sz w:val="24"/>
              </w:rPr>
            </w:pPr>
            <w:r>
              <w:rPr>
                <w:rFonts w:hint="eastAsia" w:ascii="宋体" w:hAnsi="宋体" w:cs="宋体"/>
                <w:sz w:val="24"/>
              </w:rPr>
              <w:t>价格部分</w:t>
            </w:r>
          </w:p>
        </w:tc>
        <w:tc>
          <w:tcPr>
            <w:tcW w:w="4578" w:type="dxa"/>
            <w:vAlign w:val="center"/>
          </w:tcPr>
          <w:p>
            <w:pPr>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pPr>
              <w:widowControl/>
              <w:shd w:val="clear" w:color="auto" w:fill="FFFFFF"/>
              <w:adjustRightInd/>
              <w:spacing w:after="225"/>
              <w:rPr>
                <w:rFonts w:ascii="宋体" w:hAnsi="宋体" w:cs="宋体"/>
                <w:sz w:val="24"/>
              </w:rPr>
            </w:pPr>
            <w:r>
              <w:rPr>
                <w:rFonts w:hint="eastAsia" w:ascii="宋体" w:hAnsi="宋体" w:cs="宋体"/>
                <w:sz w:val="24"/>
              </w:rPr>
              <w:t>评标过程中，不得去掉报价中的最高报价和最低报价。</w:t>
            </w:r>
          </w:p>
          <w:p>
            <w:pPr>
              <w:widowControl/>
              <w:shd w:val="clear" w:color="auto" w:fill="FFFFFF"/>
              <w:adjustRightInd/>
              <w:spacing w:after="225"/>
              <w:rPr>
                <w:rFonts w:ascii="宋体" w:hAnsi="宋体" w:cs="宋体"/>
                <w:sz w:val="24"/>
              </w:rPr>
            </w:pPr>
            <w:r>
              <w:rPr>
                <w:rFonts w:hint="eastAsia" w:ascii="宋体" w:hAnsi="宋体" w:cs="宋体"/>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09" w:type="dxa"/>
            <w:vAlign w:val="center"/>
          </w:tcPr>
          <w:p>
            <w:pPr>
              <w:spacing w:line="360" w:lineRule="auto"/>
              <w:jc w:val="center"/>
              <w:outlineLvl w:val="0"/>
              <w:rPr>
                <w:rFonts w:ascii="宋体" w:hAnsi="宋体" w:cs="宋体"/>
                <w:sz w:val="24"/>
              </w:rPr>
            </w:pPr>
            <w:r>
              <w:rPr>
                <w:rFonts w:hint="eastAsia" w:ascii="宋体" w:hAnsi="宋体" w:cs="宋体"/>
                <w:sz w:val="24"/>
              </w:rPr>
              <w:t>30</w:t>
            </w:r>
          </w:p>
        </w:tc>
        <w:tc>
          <w:tcPr>
            <w:tcW w:w="850" w:type="dxa"/>
            <w:vAlign w:val="center"/>
          </w:tcPr>
          <w:p>
            <w:pPr>
              <w:spacing w:line="360" w:lineRule="auto"/>
              <w:jc w:val="center"/>
              <w:outlineLvl w:val="0"/>
              <w:rPr>
                <w:rFonts w:ascii="宋体" w:hAnsi="宋体" w:cs="宋体"/>
                <w:sz w:val="24"/>
              </w:rPr>
            </w:pPr>
            <w:r>
              <w:rPr>
                <w:rFonts w:hint="eastAsia" w:ascii="宋体" w:hAnsi="宋体" w:cs="宋体"/>
                <w:sz w:val="24"/>
              </w:rPr>
              <w:t>价格分</w:t>
            </w:r>
          </w:p>
        </w:tc>
      </w:tr>
    </w:tbl>
    <w:p>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pPr>
        <w:spacing w:line="360" w:lineRule="auto"/>
        <w:rPr>
          <w:rFonts w:cs="仿宋_GB231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pPr>
      <w:r>
        <w:rPr>
          <w:rFonts w:hint="eastAsia" w:ascii="宋体" w:hAnsi="宋体" w:cs="宋体"/>
          <w:kern w:val="0"/>
          <w:sz w:val="24"/>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360" w:lineRule="auto"/>
        <w:ind w:left="-420" w:leftChars="-200" w:right="-420" w:rightChars="-200" w:firstLine="480" w:firstLineChars="200"/>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rPr>
          <w:rFonts w:ascii="宋体" w:hAnsi="宋体" w:cs="宋体"/>
          <w:b/>
          <w:kern w:val="0"/>
          <w:sz w:val="32"/>
          <w:szCs w:val="32"/>
        </w:rPr>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39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399"/>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投标(开标)一览表</w:t>
      </w:r>
    </w:p>
    <w:p>
      <w:pPr>
        <w:spacing w:line="360" w:lineRule="auto"/>
        <w:rPr>
          <w:rFonts w:ascii="宋体" w:hAnsi="宋体"/>
          <w:sz w:val="24"/>
        </w:rPr>
      </w:pPr>
      <w:r>
        <w:rPr>
          <w:rFonts w:hint="eastAsia" w:ascii="宋体" w:hAnsi="宋体"/>
          <w:sz w:val="24"/>
        </w:rPr>
        <w:t xml:space="preserve">标项   ：                                                         </w:t>
      </w:r>
    </w:p>
    <w:tbl>
      <w:tblPr>
        <w:tblStyle w:val="62"/>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0"/>
        <w:gridCol w:w="3061"/>
        <w:gridCol w:w="1625"/>
        <w:gridCol w:w="1842"/>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名称</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0"/>
                <w:sz w:val="24"/>
              </w:rPr>
              <w:t>规格、型号及参数</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数量</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暂定总价（元）</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折扣率</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1、投标人需按本表格式填写，不得自行更改。</w:t>
      </w:r>
    </w:p>
    <w:p>
      <w:pPr>
        <w:spacing w:line="360" w:lineRule="auto"/>
        <w:ind w:right="960"/>
        <w:jc w:val="right"/>
        <w:rPr>
          <w:rFonts w:ascii="仿宋" w:hAnsi="仿宋" w:eastAsia="仿宋" w:cs="仿宋_GB2312"/>
          <w:sz w:val="24"/>
        </w:rPr>
      </w:pPr>
      <w:r>
        <w:rPr>
          <w:rFonts w:hint="eastAsia" w:ascii="仿宋" w:hAnsi="仿宋" w:eastAsia="仿宋" w:cs="仿宋_GB2312"/>
          <w:sz w:val="24"/>
        </w:rPr>
        <w:t>投标人名称（公章）：</w:t>
      </w:r>
    </w:p>
    <w:p>
      <w:pPr>
        <w:spacing w:line="360" w:lineRule="auto"/>
        <w:ind w:firstLine="480" w:firstLineChars="200"/>
        <w:jc w:val="right"/>
        <w:rPr>
          <w:rFonts w:ascii="仿宋" w:hAnsi="仿宋" w:eastAsia="仿宋" w:cs="仿宋_GB2312"/>
          <w:sz w:val="24"/>
        </w:rPr>
      </w:pPr>
      <w:r>
        <w:rPr>
          <w:rFonts w:hint="eastAsia" w:ascii="仿宋" w:hAnsi="仿宋" w:eastAsia="仿宋" w:cs="仿宋_GB2312"/>
          <w:sz w:val="24"/>
        </w:rPr>
        <w:t>法定代表人或其授权代表（签字）：</w:t>
      </w:r>
    </w:p>
    <w:p>
      <w:pPr>
        <w:spacing w:line="360" w:lineRule="auto"/>
        <w:jc w:val="right"/>
        <w:rPr>
          <w:rFonts w:ascii="仿宋" w:hAnsi="仿宋" w:eastAsia="仿宋" w:cs="仿宋_GB2312"/>
          <w:sz w:val="24"/>
        </w:rPr>
      </w:pPr>
      <w:r>
        <w:rPr>
          <w:rFonts w:hint="eastAsia" w:ascii="仿宋" w:hAnsi="仿宋" w:eastAsia="仿宋" w:cs="仿宋_GB2312"/>
          <w:sz w:val="24"/>
        </w:rPr>
        <w:t>日期：  年   月   日</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00" w:name="_Hlk101259491"/>
      <w:r>
        <w:rPr>
          <w:rFonts w:hint="eastAsia" w:ascii="宋体" w:hAnsi="宋体" w:eastAsia="宋体" w:cs="宋体"/>
          <w:sz w:val="32"/>
          <w:szCs w:val="32"/>
        </w:rPr>
        <w:t>（如果有）</w:t>
      </w:r>
      <w:bookmarkEnd w:id="400"/>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1" w:name="_Toc465665161"/>
      <w:r>
        <w:rPr>
          <w:rFonts w:hint="eastAsia" w:ascii="宋体" w:hAnsi="宋体" w:cs="宋体"/>
        </w:rPr>
        <w:t>附件</w:t>
      </w:r>
      <w:bookmarkEnd w:id="40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2" w:name="OLE_LINK14"/>
      <w:bookmarkStart w:id="403" w:name="OLE_LINK13"/>
      <w:r>
        <w:rPr>
          <w:rFonts w:hint="eastAsia" w:ascii="宋体" w:hAnsi="宋体" w:cs="宋体"/>
          <w:b/>
          <w:spacing w:val="6"/>
          <w:sz w:val="32"/>
          <w:szCs w:val="32"/>
        </w:rPr>
        <w:t>残疾人福利性单位声明函</w:t>
      </w:r>
    </w:p>
    <w:bookmarkEnd w:id="402"/>
    <w:bookmarkEnd w:id="40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0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r>
        <w:rPr>
          <w:rFonts w:ascii="宋体" w:hAnsi="宋体" w:cs="宋体"/>
          <w:b/>
          <w:sz w:val="32"/>
          <w:szCs w:val="32"/>
        </w:rPr>
        <w:br w:type="page"/>
      </w:r>
    </w:p>
    <w:p>
      <w:pPr>
        <w:pStyle w:val="3"/>
        <w:rPr>
          <w:rFonts w:cs="仿宋_GB2312"/>
          <w:sz w:val="24"/>
        </w:rPr>
      </w:pPr>
      <w:r>
        <w:rPr>
          <w:rFonts w:hint="eastAsia"/>
        </w:rPr>
        <w:t>附件</w:t>
      </w:r>
      <w:r>
        <w:rPr>
          <w:rFonts w:hint="eastAsia"/>
          <w:lang w:val="en-US"/>
        </w:rPr>
        <w:t>8</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rPr>
        <w:t>XXX（单位名称或采购机构名称）</w:t>
      </w:r>
      <w:r>
        <w:rPr>
          <w:rFonts w:hint="eastAsia" w:cs="仿宋"/>
          <w:lang w:val="zh-CN"/>
        </w:rPr>
        <w:t>：</w:t>
      </w:r>
    </w:p>
    <w:p>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hint="eastAsia" w:cs="仿宋"/>
          <w:lang w:val="zh-CN"/>
        </w:rPr>
        <w:t xml:space="preserve">  </w:t>
      </w: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r>
        <w:rPr>
          <w:rFonts w:hint="eastAsia" w:cs="仿宋"/>
          <w:lang w:val="zh-CN"/>
        </w:rPr>
        <w:t xml:space="preserve">                                                  </w:t>
      </w: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pStyle w:val="3"/>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06" w:name="_Toc164085800"/>
    <w:bookmarkStart w:id="407" w:name="_Toc131845147"/>
    <w:bookmarkStart w:id="408" w:name="_Toc3611018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43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63"/>
    <w:rsid w:val="000F1604"/>
    <w:rsid w:val="000F287A"/>
    <w:rsid w:val="000F2940"/>
    <w:rsid w:val="000F2AB3"/>
    <w:rsid w:val="000F3D08"/>
    <w:rsid w:val="000F4495"/>
    <w:rsid w:val="000F452C"/>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5FF"/>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109"/>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1E1"/>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D46"/>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90"/>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07F"/>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783"/>
    <w:rsid w:val="0027499D"/>
    <w:rsid w:val="002751CA"/>
    <w:rsid w:val="0027544D"/>
    <w:rsid w:val="002766D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CDF"/>
    <w:rsid w:val="00294012"/>
    <w:rsid w:val="002945B0"/>
    <w:rsid w:val="002946A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F4D"/>
    <w:rsid w:val="002B34E3"/>
    <w:rsid w:val="002B51B6"/>
    <w:rsid w:val="002B5AEE"/>
    <w:rsid w:val="002B6177"/>
    <w:rsid w:val="002B650C"/>
    <w:rsid w:val="002B68E6"/>
    <w:rsid w:val="002B6985"/>
    <w:rsid w:val="002B6D7A"/>
    <w:rsid w:val="002C029E"/>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6A"/>
    <w:rsid w:val="002D2CD6"/>
    <w:rsid w:val="002D2F81"/>
    <w:rsid w:val="002D38A3"/>
    <w:rsid w:val="002D3BA3"/>
    <w:rsid w:val="002D43EE"/>
    <w:rsid w:val="002D4892"/>
    <w:rsid w:val="002D4D06"/>
    <w:rsid w:val="002D4DDE"/>
    <w:rsid w:val="002D4EE7"/>
    <w:rsid w:val="002D4EED"/>
    <w:rsid w:val="002D571A"/>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4B"/>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B7BA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8A7"/>
    <w:rsid w:val="0045057B"/>
    <w:rsid w:val="0045069B"/>
    <w:rsid w:val="00450B22"/>
    <w:rsid w:val="00451709"/>
    <w:rsid w:val="004518FA"/>
    <w:rsid w:val="00451A02"/>
    <w:rsid w:val="00451A06"/>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65"/>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0FE9"/>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016"/>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AC"/>
    <w:rsid w:val="005C5F77"/>
    <w:rsid w:val="005C6AAB"/>
    <w:rsid w:val="005C6D5D"/>
    <w:rsid w:val="005C6FD0"/>
    <w:rsid w:val="005D01C3"/>
    <w:rsid w:val="005D05FF"/>
    <w:rsid w:val="005D0FB4"/>
    <w:rsid w:val="005D1176"/>
    <w:rsid w:val="005D1747"/>
    <w:rsid w:val="005D1F13"/>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5D"/>
    <w:rsid w:val="006673B9"/>
    <w:rsid w:val="0066790C"/>
    <w:rsid w:val="00667FF0"/>
    <w:rsid w:val="00670C7C"/>
    <w:rsid w:val="00671480"/>
    <w:rsid w:val="006717E7"/>
    <w:rsid w:val="00671FD5"/>
    <w:rsid w:val="006720BC"/>
    <w:rsid w:val="00672906"/>
    <w:rsid w:val="00672C73"/>
    <w:rsid w:val="00673B64"/>
    <w:rsid w:val="006746F6"/>
    <w:rsid w:val="00674DB8"/>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2F"/>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989"/>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6C2"/>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13"/>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543"/>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B86"/>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8F6"/>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33C8"/>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B03"/>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EC1"/>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922"/>
    <w:rsid w:val="00B51F56"/>
    <w:rsid w:val="00B52234"/>
    <w:rsid w:val="00B53623"/>
    <w:rsid w:val="00B53D1D"/>
    <w:rsid w:val="00B53E98"/>
    <w:rsid w:val="00B53F9B"/>
    <w:rsid w:val="00B54B19"/>
    <w:rsid w:val="00B55F64"/>
    <w:rsid w:val="00B56ECA"/>
    <w:rsid w:val="00B57093"/>
    <w:rsid w:val="00B57B5D"/>
    <w:rsid w:val="00B60613"/>
    <w:rsid w:val="00B608E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151"/>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028"/>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27B"/>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29A7"/>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5A2"/>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603"/>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61A"/>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49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9C3"/>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4F"/>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43F"/>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A2B"/>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9338B5"/>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DFD4901"/>
    <w:rsid w:val="2E0220AF"/>
    <w:rsid w:val="2E4B082A"/>
    <w:rsid w:val="2E5D4E86"/>
    <w:rsid w:val="2E5D790B"/>
    <w:rsid w:val="2E9A3C18"/>
    <w:rsid w:val="2EBB0FEE"/>
    <w:rsid w:val="2EC63002"/>
    <w:rsid w:val="2F0A6B38"/>
    <w:rsid w:val="2F946CCB"/>
    <w:rsid w:val="2FB97AFA"/>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0E3527"/>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1639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03AD5"/>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0180A"/>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7E7932"/>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autoRedefine/>
    <w:qFormat/>
    <w:uiPriority w:val="0"/>
    <w:rPr>
      <w:rFonts w:ascii="宋体" w:hAnsi="Courier New" w:cs="Arial"/>
      <w:snapToGrid w:val="0"/>
      <w:szCs w:val="21"/>
    </w:rPr>
  </w:style>
  <w:style w:type="paragraph" w:styleId="33">
    <w:name w:val="Date"/>
    <w:basedOn w:val="1"/>
    <w:next w:val="1"/>
    <w:link w:val="178"/>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3"/>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6897</Words>
  <Characters>39316</Characters>
  <Lines>327</Lines>
  <Paragraphs>92</Paragraphs>
  <TotalTime>21</TotalTime>
  <ScaleCrop>false</ScaleCrop>
  <LinksUpToDate>false</LinksUpToDate>
  <CharactersWithSpaces>46121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2024-05-22T07:53:00Z</dcterms:created>
  <dc:creator>玥</dc:creator>
  <cp:lastModifiedBy>北极熊不吃鱼</cp:lastModifiedBy>
  <cp:lastPrinted>2024-05-22T02:22:00Z</cp:lastPrinted>
  <dcterms:modified xsi:type="dcterms:W3CDTF">2024-05-23T03:42:23Z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BC97A2401D4E4A908A9901D20014B059_13</vt:lpwstr>
  </property>
</Properties>
</file>