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杭州市萧山区综合行政执法局</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2024年职工疗休养项目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仿宋" w:hAnsi="仿宋" w:eastAsia="仿宋" w:cs="仿宋"/>
          <w:color w:val="auto"/>
          <w:sz w:val="30"/>
          <w:szCs w:val="30"/>
          <w:highlight w:val="none"/>
          <w:lang w:val="en-US" w:eastAsia="zh-CN"/>
        </w:rPr>
        <w:t xml:space="preserve"> CG-GYGK-2024359（2）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杭州市萧山区综合行政执法局</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2024</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05</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14</w:t>
      </w:r>
      <w:r>
        <w:rPr>
          <w:rFonts w:hint="eastAsia" w:ascii="宋体" w:hAnsi="宋体" w:cs="宋体"/>
          <w:bCs/>
          <w:color w:val="auto"/>
          <w:sz w:val="32"/>
          <w:szCs w:val="32"/>
          <w:highlight w:val="none"/>
        </w:rPr>
        <w:t>日</w:t>
      </w:r>
    </w:p>
    <w:p>
      <w:pPr>
        <w:jc w:val="center"/>
        <w:rPr>
          <w:color w:val="auto"/>
          <w:highlight w:val="none"/>
        </w:rPr>
      </w:pPr>
      <w:r>
        <w:rPr>
          <w:rFonts w:hint="eastAsia"/>
          <w:color w:val="auto"/>
          <w:highlight w:val="none"/>
        </w:rPr>
        <w:t>本招标文件为202</w:t>
      </w:r>
      <w:r>
        <w:rPr>
          <w:rFonts w:hint="eastAsia"/>
          <w:color w:val="auto"/>
          <w:highlight w:val="none"/>
          <w:lang w:val="en-US" w:eastAsia="zh-CN"/>
        </w:rPr>
        <w:t>3年5月1日稿</w:t>
      </w:r>
      <w:r>
        <w:rPr>
          <w:rFonts w:hint="eastAsia"/>
          <w:color w:val="auto"/>
          <w:highlight w:val="none"/>
        </w:rPr>
        <w:t>，请各位投标人详细阅读各项条款</w:t>
      </w:r>
    </w:p>
    <w:p>
      <w:pPr>
        <w:pStyle w:val="3"/>
        <w:rPr>
          <w:color w:val="auto"/>
          <w:highlight w:val="none"/>
        </w:rPr>
      </w:pPr>
    </w:p>
    <w:p>
      <w:pPr>
        <w:spacing w:line="360" w:lineRule="auto"/>
        <w:jc w:val="center"/>
        <w:rPr>
          <w:rFonts w:ascii="宋体" w:hAnsi="宋体" w:cs="宋体"/>
          <w:color w:val="auto"/>
          <w:sz w:val="24"/>
          <w:highlight w:val="none"/>
        </w:rPr>
      </w:pPr>
      <w:bookmarkStart w:id="0" w:name="_Hlt67893495"/>
      <w:bookmarkEnd w:id="0"/>
    </w:p>
    <w:p>
      <w:pPr>
        <w:pStyle w:val="63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pStyle w:val="24"/>
      </w:pPr>
    </w:p>
    <w:p>
      <w:pPr>
        <w:spacing w:line="360" w:lineRule="auto"/>
        <w:rPr>
          <w:rFonts w:ascii="宋体" w:hAnsi="宋体" w:cs="宋体"/>
          <w:color w:val="auto"/>
          <w:sz w:val="24"/>
          <w:highlight w:val="none"/>
        </w:rPr>
      </w:pPr>
    </w:p>
    <w:bookmarkEnd w:id="2"/>
    <w:p>
      <w:pPr>
        <w:adjustRightInd/>
        <w:spacing w:line="360" w:lineRule="auto"/>
        <w:jc w:val="center"/>
        <w:outlineLvl w:val="0"/>
        <w:rPr>
          <w:rFonts w:ascii="宋体" w:hAnsi="宋体" w:cs="宋体"/>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杭州市萧山区综合行政执法局2024年职工疗休养项目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项目编号：CG-GYGK-2024359</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杭州市萧山区综合行政执法局2024年职工疗休养项目</w:t>
      </w:r>
    </w:p>
    <w:p>
      <w:pPr>
        <w:rPr>
          <w:rFonts w:hint="default" w:eastAsia="仿宋"/>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 xml:space="preserve">标项1：540000.00 标项2：525000.00  </w:t>
      </w:r>
      <w:r>
        <w:rPr>
          <w:rFonts w:hint="eastAsia"/>
          <w:lang w:val="en-US" w:eastAsia="zh-CN"/>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 xml:space="preserve">标项1：540000.00 标项2：525000.00 </w:t>
      </w:r>
      <w:r>
        <w:rPr>
          <w:rFonts w:hint="eastAsia"/>
          <w:lang w:val="en-US" w:eastAsia="zh-CN"/>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杭州市萧山区综合行政执法局2024年职工疗休养项目，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杭州市萧山区综合行政执法局2024年职工疗休养项目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杭州市萧山区综合行政执法局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萧山区北干街道博学路618号科创中心C座四楼</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童冠琴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0571-83861041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赵旭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0571-833518117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0571-85252453</w:t>
      </w:r>
      <w:r>
        <w:rPr>
          <w:rFonts w:hint="eastAsia" w:ascii="宋体" w:hAnsi="宋体" w:cs="宋体"/>
          <w:color w:val="auto"/>
          <w:sz w:val="24"/>
          <w:highlight w:val="none"/>
        </w:rPr>
        <w:t xml:space="preserve"> </w:t>
      </w:r>
    </w:p>
    <w:p>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pPr>
        <w:spacing w:line="360" w:lineRule="auto"/>
        <w:rPr>
          <w:rFonts w:hint="eastAsia" w:ascii="宋体" w:hAnsi="宋体" w:cs="宋体"/>
          <w:color w:val="auto"/>
          <w:sz w:val="24"/>
          <w:highlight w:val="none"/>
          <w:lang w:val="en-US" w:eastAsia="zh-CN"/>
        </w:rPr>
      </w:pP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cs="仿宋"/>
                <w:color w:val="auto"/>
                <w:sz w:val="22"/>
                <w:lang w:val="en-US" w:eastAsia="zh-CN"/>
              </w:rPr>
              <w:t>标</w:t>
            </w:r>
            <w:r>
              <w:rPr>
                <w:rFonts w:hint="eastAsia" w:ascii="Times New Roman" w:hAnsi="Times New Roman" w:cs="Times New Roman"/>
                <w:color w:val="auto"/>
                <w:highlight w:val="none"/>
                <w:lang w:val="en-US" w:eastAsia="zh-CN"/>
              </w:rPr>
              <w:t>项1：标的：2024年在编职工疗休养项目，属于其他未列明</w:t>
            </w:r>
            <w:r>
              <w:rPr>
                <w:rFonts w:hint="eastAsia" w:ascii="Times New Roman" w:hAnsi="Times New Roman" w:cs="Times New Roman"/>
                <w:color w:val="auto"/>
                <w:highlight w:val="none"/>
                <w:lang w:val="en-US"/>
              </w:rPr>
              <w:t>行业</w:t>
            </w:r>
            <w:r>
              <w:rPr>
                <w:rFonts w:hint="eastAsia" w:ascii="Times New Roman" w:hAnsi="Times New Roman" w:cs="Times New Roman"/>
                <w:color w:val="auto"/>
                <w:highlight w:val="none"/>
                <w:lang w:val="en-US" w:eastAsia="zh-CN"/>
              </w:rPr>
              <w:t xml:space="preserve"> 行业；</w:t>
            </w:r>
          </w:p>
          <w:p>
            <w:pPr>
              <w:rPr>
                <w:rFonts w:hint="eastAsia" w:cs="仿宋"/>
                <w:color w:val="auto"/>
                <w:sz w:val="22"/>
                <w:lang w:val="en-US"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Times New Roman" w:hAnsi="Times New Roman" w:cs="Times New Roman"/>
                <w:color w:val="auto"/>
                <w:highlight w:val="none"/>
                <w:lang w:val="en-US" w:eastAsia="zh-CN"/>
              </w:rPr>
              <w:t>标项2：标的：</w:t>
            </w:r>
            <w:r>
              <w:rPr>
                <w:rFonts w:hint="eastAsia" w:cs="仿宋"/>
                <w:color w:val="auto"/>
                <w:sz w:val="22"/>
                <w:lang w:val="en-US" w:eastAsia="zh-CN"/>
              </w:rPr>
              <w:t>2024年合同制职工疗休养项目，属于</w:t>
            </w:r>
            <w:r>
              <w:rPr>
                <w:rFonts w:hint="eastAsia"/>
                <w:color w:val="auto"/>
                <w:highlight w:val="none"/>
                <w:lang w:eastAsia="zh-CN"/>
              </w:rPr>
              <w:t>其他未列明</w:t>
            </w:r>
            <w:r>
              <w:rPr>
                <w:rFonts w:hint="eastAsia"/>
                <w:color w:val="auto"/>
                <w:highlight w:val="none"/>
              </w:rPr>
              <w:t>行业</w:t>
            </w:r>
            <w:r>
              <w:rPr>
                <w:rFonts w:hint="eastAsia" w:cs="仿宋"/>
                <w:color w:val="auto"/>
                <w:sz w:val="22"/>
                <w:lang w:val="en-US" w:eastAsia="zh-CN"/>
              </w:rPr>
              <w:t xml:space="preserve"> 行业；</w:t>
            </w:r>
          </w:p>
          <w:p>
            <w:pPr>
              <w:rPr>
                <w:color w:val="auto"/>
                <w:highlight w:val="none"/>
                <w:lang w:val="en-US"/>
              </w:rPr>
            </w:pPr>
            <w:r>
              <w:rPr>
                <w:rFonts w:hint="eastAsia"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spacing w:after="0"/>
              <w:rPr>
                <w:rFonts w:hint="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pPr>
              <w:spacing w:line="360" w:lineRule="auto"/>
              <w:rPr>
                <w:rFonts w:hint="eastAsia"/>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pPr>
        <w:snapToGrid w:val="0"/>
        <w:spacing w:line="360" w:lineRule="auto"/>
        <w:jc w:val="center"/>
        <w:rPr>
          <w:rFonts w:ascii="宋体" w:hAnsi="宋体" w:cs="宋体"/>
          <w:b/>
          <w:color w:val="auto"/>
          <w:sz w:val="32"/>
          <w:szCs w:val="20"/>
          <w:highlight w:val="none"/>
        </w:rPr>
      </w:pPr>
    </w:p>
    <w:bookmarkEnd w:id="9"/>
    <w:p>
      <w:pPr>
        <w:adjustRightInd/>
        <w:spacing w:line="360" w:lineRule="auto"/>
        <w:ind w:firstLine="3845" w:firstLineChars="1197"/>
        <w:outlineLvl w:val="0"/>
        <w:rPr>
          <w:rFonts w:hint="eastAsia" w:ascii="宋体" w:hAnsi="宋体" w:cs="宋体"/>
          <w:b/>
          <w:color w:val="auto"/>
          <w:sz w:val="32"/>
          <w:szCs w:val="20"/>
          <w:highlight w:val="none"/>
        </w:rPr>
      </w:pPr>
      <w:bookmarkStart w:id="10" w:name="_Toc164416483"/>
      <w:bookmarkStart w:id="11" w:name="第三部分"/>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pStyle w:val="24"/>
        <w:rPr>
          <w:rFonts w:hint="eastAsia" w:ascii="宋体" w:hAnsi="宋体" w:cs="宋体"/>
          <w:b/>
          <w:color w:val="auto"/>
          <w:sz w:val="32"/>
          <w:szCs w:val="20"/>
          <w:highlight w:val="none"/>
        </w:rPr>
      </w:pPr>
    </w:p>
    <w:p>
      <w:pPr>
        <w:rPr>
          <w:rFonts w:hint="eastAsia" w:ascii="宋体" w:hAnsi="宋体" w:cs="宋体"/>
          <w:b/>
          <w:color w:val="auto"/>
          <w:sz w:val="32"/>
          <w:szCs w:val="20"/>
          <w:highlight w:val="none"/>
        </w:rPr>
      </w:pPr>
    </w:p>
    <w:p>
      <w:pPr>
        <w:pStyle w:val="24"/>
        <w:rPr>
          <w:rFonts w:hint="eastAsia"/>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480"/>
        <w:jc w:val="left"/>
        <w:rPr>
          <w:rFonts w:hint="eastAsia" w:ascii="宋体" w:hAnsi="宋体" w:eastAsia="宋体" w:cs="宋体"/>
          <w:color w:val="auto"/>
          <w:highlight w:val="none"/>
          <w:lang w:eastAsia="zh-CN"/>
        </w:rPr>
      </w:pPr>
    </w:p>
    <w:p>
      <w:pPr>
        <w:pStyle w:val="132"/>
        <w:spacing w:before="0"/>
        <w:ind w:firstLine="480"/>
        <w:jc w:val="left"/>
        <w:rPr>
          <w:rFonts w:hint="eastAsia" w:ascii="宋体" w:hAnsi="宋体" w:eastAsia="宋体" w:cs="宋体"/>
          <w:color w:val="auto"/>
          <w:highlight w:val="none"/>
          <w:lang w:eastAsia="zh-CN"/>
        </w:rPr>
      </w:pPr>
    </w:p>
    <w:p>
      <w:pPr>
        <w:pStyle w:val="132"/>
        <w:spacing w:before="0"/>
        <w:ind w:firstLine="480"/>
        <w:jc w:val="left"/>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17.4在投标截止时间起至投标有效期届满，供应商投标文件不可撤销。</w:t>
      </w:r>
    </w:p>
    <w:p>
      <w:pPr>
        <w:pStyle w:val="132"/>
        <w:spacing w:before="0"/>
        <w:ind w:firstLine="480"/>
        <w:rPr>
          <w:rFonts w:ascii="宋体" w:hAnsi="宋体" w:cs="宋体"/>
          <w:color w:val="auto"/>
          <w:highlight w:val="none"/>
        </w:rPr>
      </w:pPr>
    </w:p>
    <w:p>
      <w:pPr>
        <w:pStyle w:val="132"/>
        <w:spacing w:before="0"/>
        <w:ind w:firstLine="643"/>
        <w:rPr>
          <w:rFonts w:ascii="宋体" w:hAnsi="宋体" w:cs="宋体"/>
          <w:b/>
          <w:color w:val="auto"/>
          <w:sz w:val="32"/>
          <w:highlight w:val="none"/>
        </w:rPr>
      </w:pPr>
    </w:p>
    <w:p>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0"/>
      <w:bookmarkEnd w:id="15"/>
      <w:bookmarkStart w:id="16" w:name="_Hlt74730295"/>
      <w:bookmarkEnd w:id="16"/>
      <w:bookmarkStart w:id="17" w:name="_Hlt74714665"/>
      <w:bookmarkEnd w:id="17"/>
      <w:bookmarkStart w:id="18" w:name="_Hlt68073093"/>
      <w:bookmarkEnd w:id="18"/>
      <w:bookmarkStart w:id="19" w:name="_Hlt68072998"/>
      <w:bookmarkEnd w:id="19"/>
      <w:bookmarkStart w:id="20" w:name="_Hlt74729768"/>
      <w:bookmarkEnd w:id="20"/>
      <w:bookmarkStart w:id="21" w:name="_Hlt75236101"/>
      <w:bookmarkEnd w:id="21"/>
      <w:bookmarkStart w:id="22" w:name="_Hlt74707468"/>
      <w:bookmarkEnd w:id="22"/>
      <w:bookmarkStart w:id="23" w:name="_Hlt68057669"/>
      <w:bookmarkEnd w:id="23"/>
      <w:bookmarkStart w:id="24" w:name="_Hlt68403820"/>
      <w:bookmarkEnd w:id="24"/>
      <w:bookmarkStart w:id="25" w:name="_Hlt75236011"/>
      <w:bookmarkEnd w:id="25"/>
    </w:p>
    <w:bookmarkEnd w:id="10"/>
    <w:bookmarkEnd w:id="11"/>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napToGrid w:val="0"/>
        <w:jc w:val="center"/>
        <w:rPr>
          <w:rStyle w:val="964"/>
          <w:i w:val="0"/>
          <w:iCs w:val="0"/>
          <w:color w:val="auto"/>
          <w:highlight w:val="none"/>
        </w:rPr>
      </w:pPr>
      <w:r>
        <w:rPr>
          <w:rStyle w:val="964"/>
          <w:rFonts w:hint="eastAsia"/>
          <w:i w:val="0"/>
          <w:iCs w:val="0"/>
          <w:color w:val="auto"/>
          <w:highlight w:val="none"/>
        </w:rPr>
        <w:t>属于实质性要求条款的，请用符号“▲”标明，否则属于非实质性要求。</w:t>
      </w:r>
    </w:p>
    <w:p>
      <w:pPr>
        <w:snapToGrid w:val="0"/>
        <w:jc w:val="center"/>
        <w:rPr>
          <w:rStyle w:val="964"/>
          <w:rFonts w:hint="eastAsia"/>
          <w:i w:val="0"/>
          <w:iCs w:val="0"/>
          <w:color w:val="auto"/>
          <w:highlight w:val="none"/>
        </w:rPr>
      </w:pPr>
      <w:r>
        <w:rPr>
          <w:rStyle w:val="964"/>
          <w:rFonts w:hint="eastAsia"/>
          <w:i w:val="0"/>
          <w:iCs w:val="0"/>
          <w:color w:val="auto"/>
          <w:highlight w:val="none"/>
        </w:rPr>
        <w:t>“★”系产品采购项目中单一产品或核心产品。</w:t>
      </w:r>
    </w:p>
    <w:p>
      <w:pPr>
        <w:pStyle w:val="3"/>
        <w:rPr>
          <w:rFonts w:hint="eastAsia" w:ascii="宋体" w:hAnsi="宋体" w:eastAsia="宋体" w:cs="宋体"/>
          <w:color w:val="auto"/>
          <w:highlight w:val="none"/>
        </w:rPr>
      </w:pPr>
    </w:p>
    <w:p>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tbl>
      <w:tblPr>
        <w:tblStyle w:val="62"/>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标项</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数量</w:t>
            </w:r>
          </w:p>
        </w:tc>
      </w:tr>
      <w:tr>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一</w:t>
            </w:r>
          </w:p>
        </w:tc>
        <w:tc>
          <w:tcPr>
            <w:tcW w:w="41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202</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年在编职工疗休养项目</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详见招标需求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人</w:t>
            </w:r>
          </w:p>
        </w:tc>
        <w:tc>
          <w:tcPr>
            <w:tcW w:w="10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180</w:t>
            </w:r>
          </w:p>
        </w:tc>
      </w:tr>
      <w:tr>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二</w:t>
            </w:r>
          </w:p>
        </w:tc>
        <w:tc>
          <w:tcPr>
            <w:tcW w:w="41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202</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lang w:val="en-US" w:eastAsia="zh-CN"/>
              </w:rPr>
              <w:t>合同制职工</w:t>
            </w:r>
            <w:r>
              <w:rPr>
                <w:rFonts w:hint="eastAsia" w:ascii="宋体" w:hAnsi="宋体" w:eastAsia="宋体" w:cs="宋体"/>
                <w:i w:val="0"/>
                <w:iCs w:val="0"/>
                <w:color w:val="auto"/>
                <w:sz w:val="24"/>
                <w:highlight w:val="none"/>
              </w:rPr>
              <w:t>疗休养项目</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详见招标需求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人</w:t>
            </w:r>
          </w:p>
        </w:tc>
        <w:tc>
          <w:tcPr>
            <w:tcW w:w="10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350</w:t>
            </w:r>
          </w:p>
        </w:tc>
      </w:tr>
    </w:tbl>
    <w:p>
      <w:pPr>
        <w:pStyle w:val="3"/>
        <w:numPr>
          <w:ilvl w:val="0"/>
          <w:numId w:val="0"/>
        </w:numPr>
        <w:ind w:leftChars="0"/>
        <w:jc w:val="both"/>
        <w:rPr>
          <w:rFonts w:hint="eastAsia" w:ascii="宋体" w:hAnsi="宋体" w:eastAsia="宋体" w:cs="宋体"/>
          <w:color w:val="auto"/>
        </w:rPr>
      </w:pPr>
      <w:r>
        <w:rPr>
          <w:rFonts w:hint="eastAsia" w:ascii="宋体" w:hAnsi="宋体" w:eastAsia="宋体" w:cs="宋体"/>
          <w:color w:val="auto"/>
          <w:sz w:val="24"/>
          <w:szCs w:val="24"/>
        </w:rPr>
        <w:t>注：1、以上各标项的人数为采购人初步统计数量，实际每标项的人数可能出现较大的差异，各投标人须综合衡量、充分考虑、综合考虑投标风险。为充分保障采购人的服务质量与服务要求，本项目分二个标项，二个标项投标人可以重复投标但不可以重复中标。开标顺序为标项一、标项二</w:t>
      </w:r>
      <w:r>
        <w:rPr>
          <w:rFonts w:hint="default" w:ascii="宋体" w:hAnsi="宋体" w:eastAsia="宋体" w:cs="宋体"/>
          <w:color w:val="auto"/>
          <w:sz w:val="24"/>
          <w:szCs w:val="24"/>
        </w:rPr>
        <w:t>，</w:t>
      </w:r>
      <w:r>
        <w:rPr>
          <w:rFonts w:hint="eastAsia" w:ascii="宋体" w:hAnsi="宋体" w:eastAsia="宋体" w:cs="宋体"/>
          <w:color w:val="auto"/>
          <w:sz w:val="24"/>
          <w:szCs w:val="24"/>
        </w:rPr>
        <w:t>若投标人标项一中标，则自动放弃标项二。</w:t>
      </w:r>
    </w:p>
    <w:p>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招标需求</w:t>
      </w:r>
    </w:p>
    <w:p>
      <w:pPr>
        <w:widowControl/>
        <w:numPr>
          <w:ilvl w:val="0"/>
          <w:numId w:val="0"/>
        </w:numPr>
        <w:spacing w:line="360" w:lineRule="auto"/>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（一）项目服务要求：</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需在投标文件中提供具体行程、出行方式、就餐标准等具体明细，投标报价根据要求提供每人次的单价。投标单价为投标人综合考虑后的统一单价，不得再有淡季旺季的价格区别。无论采购方在何时出团，均以投标单价为结算依据。投标人应允许中标后任何线路因报名人数不足或者不可抗力因素的不成团，不成团线路招标方不承担任何责任。</w:t>
      </w:r>
    </w:p>
    <w:p>
      <w:pPr>
        <w:adjustRightIn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质量标准</w:t>
      </w:r>
    </w:p>
    <w:p>
      <w:pPr>
        <w:adjustRightIn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GB/T15971—1995 导游服务质量</w:t>
      </w:r>
    </w:p>
    <w:p>
      <w:pPr>
        <w:adjustRightIn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GB/16153—1996 饭店（餐厅）卫生标准 </w:t>
      </w:r>
    </w:p>
    <w:p>
      <w:pPr>
        <w:adjustRightIn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GB/T19004.2—1994 质量管理和质量体系要素 第二部分：服务指南（idt ISO 9004—2：1991）</w:t>
      </w:r>
    </w:p>
    <w:p>
      <w:pPr>
        <w:adjustRightIn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LB/T 002—1995 旅游汽车服务质量</w:t>
      </w:r>
    </w:p>
    <w:p>
      <w:pPr>
        <w:adjustRightIn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GB/T15971 导游人员的基本素质及服务</w:t>
      </w:r>
    </w:p>
    <w:p>
      <w:pPr>
        <w:adjustRightInd w:val="0"/>
        <w:spacing w:line="360" w:lineRule="auto"/>
        <w:ind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以上标准若有最新标准，按最新标准执行。</w:t>
      </w:r>
    </w:p>
    <w:p>
      <w:pPr>
        <w:adjustRightIn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服务范围</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szCs w:val="20"/>
          <w:highlight w:val="none"/>
          <w:u w:val="none"/>
          <w:lang w:val="en-US" w:eastAsia="zh-CN" w:bidi="ar-SA"/>
        </w:rPr>
        <w:t>职工疗休养项目，服务期限为合同生效之日起至2024年12月31日。</w:t>
      </w:r>
    </w:p>
    <w:p>
      <w:pPr>
        <w:adjustRightInd w:val="0"/>
        <w:spacing w:line="360" w:lineRule="auto"/>
        <w:rPr>
          <w:rFonts w:hint="eastAsia" w:ascii="宋体" w:hAnsi="宋体" w:eastAsia="宋体" w:cs="宋体"/>
          <w:b/>
          <w:bCs/>
          <w:color w:val="auto"/>
          <w:sz w:val="24"/>
          <w:highlight w:val="none"/>
        </w:rPr>
      </w:pPr>
      <w:bookmarkStart w:id="27" w:name="_Toc351898267"/>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eastAsia="zh-CN"/>
        </w:rPr>
        <w:t>）</w:t>
      </w:r>
      <w:bookmarkEnd w:id="27"/>
      <w:r>
        <w:rPr>
          <w:rFonts w:hint="eastAsia" w:ascii="宋体" w:hAnsi="宋体" w:eastAsia="宋体" w:cs="宋体"/>
          <w:b/>
          <w:bCs/>
          <w:color w:val="auto"/>
          <w:sz w:val="24"/>
          <w:highlight w:val="none"/>
        </w:rPr>
        <w:t xml:space="preserve">行程安排等基本要求 </w:t>
      </w:r>
    </w:p>
    <w:p>
      <w:pPr>
        <w:tabs>
          <w:tab w:val="center" w:pos="415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线路安排（具体出行线路招标后由采购人确定，以下线路供本次招标报价参考，若遇本次招标参考线路之外的线路方案，由采购人与中标人根据实际出行天数、市场价自行协商确定）：</w:t>
      </w:r>
    </w:p>
    <w:p>
      <w:pPr>
        <w:tabs>
          <w:tab w:val="center" w:pos="4153"/>
        </w:tabs>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标项一</w:t>
      </w:r>
      <w:r>
        <w:rPr>
          <w:rFonts w:hint="eastAsia" w:ascii="宋体" w:hAnsi="宋体" w:eastAsia="宋体" w:cs="宋体"/>
          <w:b/>
          <w:bCs/>
          <w:color w:val="auto"/>
          <w:sz w:val="24"/>
          <w:highlight w:val="none"/>
        </w:rPr>
        <w:t>线路安排</w:t>
      </w:r>
      <w:r>
        <w:rPr>
          <w:rFonts w:hint="eastAsia" w:ascii="宋体" w:hAnsi="宋体" w:eastAsia="宋体" w:cs="宋体"/>
          <w:b/>
          <w:bCs/>
          <w:color w:val="auto"/>
          <w:sz w:val="24"/>
          <w:highlight w:val="none"/>
          <w:lang w:eastAsia="zh-CN"/>
        </w:rPr>
        <w:t>：</w:t>
      </w:r>
    </w:p>
    <w:p>
      <w:pPr>
        <w:pStyle w:val="32"/>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线路一：</w:t>
      </w:r>
      <w:r>
        <w:rPr>
          <w:rFonts w:hint="eastAsia" w:ascii="宋体" w:hAnsi="宋体" w:eastAsia="宋体" w:cs="宋体"/>
          <w:color w:val="auto"/>
          <w:kern w:val="0"/>
          <w:sz w:val="24"/>
          <w:szCs w:val="24"/>
          <w:highlight w:val="none"/>
          <w:lang w:eastAsia="zh-CN"/>
        </w:rPr>
        <w:t>四川康定</w:t>
      </w:r>
      <w:r>
        <w:rPr>
          <w:rFonts w:hint="eastAsia" w:ascii="宋体" w:hAnsi="宋体" w:eastAsia="宋体" w:cs="宋体"/>
          <w:color w:val="auto"/>
          <w:kern w:val="0"/>
          <w:sz w:val="24"/>
          <w:szCs w:val="24"/>
          <w:highlight w:val="none"/>
        </w:rPr>
        <w:t>往返</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日疗休养行程</w:t>
      </w:r>
      <w:r>
        <w:rPr>
          <w:rFonts w:hint="eastAsia" w:ascii="宋体" w:hAnsi="宋体" w:eastAsia="宋体" w:cs="宋体"/>
          <w:color w:val="auto"/>
          <w:kern w:val="0"/>
          <w:sz w:val="24"/>
          <w:szCs w:val="24"/>
          <w:highlight w:val="none"/>
          <w:lang w:eastAsia="zh-CN"/>
        </w:rPr>
        <w:t>（费用不高于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00元/人次</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含大交通（火车或飞机）费用</w:t>
      </w:r>
      <w:r>
        <w:rPr>
          <w:rFonts w:hint="eastAsia" w:ascii="宋体" w:hAnsi="宋体" w:eastAsia="宋体" w:cs="宋体"/>
          <w:color w:val="auto"/>
          <w:kern w:val="0"/>
          <w:sz w:val="24"/>
          <w:szCs w:val="24"/>
          <w:highlight w:val="none"/>
          <w:lang w:eastAsia="zh-CN"/>
        </w:rPr>
        <w:t>）</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景点不少于：</w:t>
      </w:r>
      <w:r>
        <w:rPr>
          <w:rFonts w:hint="eastAsia" w:ascii="宋体" w:hAnsi="宋体" w:eastAsia="宋体" w:cs="宋体"/>
          <w:color w:val="auto"/>
          <w:kern w:val="0"/>
          <w:sz w:val="24"/>
          <w:szCs w:val="24"/>
          <w:highlight w:val="none"/>
          <w:lang w:eastAsia="zh-CN"/>
        </w:rPr>
        <w:t>木格措、泸定桥、海螺沟（含往反缆车或索道）、康定情歌风景区，结对协作地康定必须住</w:t>
      </w:r>
      <w:r>
        <w:rPr>
          <w:rFonts w:hint="eastAsia" w:ascii="宋体" w:hAnsi="宋体" w:eastAsia="宋体" w:cs="宋体"/>
          <w:color w:val="auto"/>
          <w:kern w:val="0"/>
          <w:sz w:val="24"/>
          <w:szCs w:val="24"/>
          <w:highlight w:val="none"/>
        </w:rPr>
        <w:t>2晚</w:t>
      </w:r>
      <w:r>
        <w:rPr>
          <w:rFonts w:hint="eastAsia" w:ascii="宋体" w:hAnsi="宋体" w:eastAsia="宋体" w:cs="宋体"/>
          <w:color w:val="auto"/>
          <w:kern w:val="0"/>
          <w:sz w:val="24"/>
          <w:szCs w:val="24"/>
          <w:highlight w:val="none"/>
          <w:lang w:eastAsia="zh-CN"/>
        </w:rPr>
        <w:t>。</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不含大交通（火车或飞机）费，结算需提供原始票证。</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线路</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台州往返5日疗休养行程</w:t>
      </w:r>
      <w:r>
        <w:rPr>
          <w:rFonts w:hint="eastAsia" w:ascii="宋体" w:hAnsi="宋体" w:eastAsia="宋体" w:cs="宋体"/>
          <w:color w:val="auto"/>
          <w:kern w:val="0"/>
          <w:sz w:val="24"/>
          <w:szCs w:val="24"/>
          <w:highlight w:val="none"/>
        </w:rPr>
        <w:t>（费用不高于3000元/人次）</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线路</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湖州往返5日疗休养行程</w:t>
      </w:r>
      <w:r>
        <w:rPr>
          <w:rFonts w:hint="eastAsia" w:ascii="宋体" w:hAnsi="宋体" w:eastAsia="宋体" w:cs="宋体"/>
          <w:color w:val="auto"/>
          <w:kern w:val="0"/>
          <w:sz w:val="24"/>
          <w:szCs w:val="24"/>
          <w:highlight w:val="none"/>
        </w:rPr>
        <w:t>（费用不高于3000元/人次）</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val="en-US" w:eastAsia="zh-CN"/>
        </w:rPr>
        <w:t>线路四：</w:t>
      </w:r>
      <w:r>
        <w:rPr>
          <w:rFonts w:hint="eastAsia" w:ascii="宋体" w:hAnsi="宋体" w:eastAsia="宋体" w:cs="宋体"/>
          <w:color w:val="auto"/>
          <w:kern w:val="0"/>
          <w:sz w:val="24"/>
          <w:szCs w:val="24"/>
          <w:highlight w:val="none"/>
          <w:lang w:eastAsia="zh-CN"/>
        </w:rPr>
        <w:t>杭州市内（余杭临安）往返</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日疗休养行程（费用不高于</w:t>
      </w:r>
      <w:r>
        <w:rPr>
          <w:rFonts w:hint="eastAsia"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00元/人次）</w:t>
      </w:r>
    </w:p>
    <w:p>
      <w:pPr>
        <w:pStyle w:val="33"/>
        <w:ind w:left="0" w:leftChars="0"/>
        <w:rPr>
          <w:rFonts w:hint="default" w:eastAsia="宋体"/>
          <w:lang w:val="en-US" w:eastAsia="zh-CN"/>
        </w:rPr>
      </w:pP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要求行程安排轻松合理，休闲休养相结合。最终服务过程中包括但不仅限于以上线路，各投标人自行承担报价风险。</w:t>
      </w:r>
    </w:p>
    <w:p>
      <w:pPr>
        <w:pStyle w:val="32"/>
        <w:spacing w:line="360" w:lineRule="auto"/>
        <w:ind w:firstLine="472" w:firstLineChars="196"/>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标项二</w:t>
      </w:r>
      <w:r>
        <w:rPr>
          <w:rFonts w:hint="eastAsia" w:ascii="宋体" w:hAnsi="宋体" w:eastAsia="宋体" w:cs="宋体"/>
          <w:b/>
          <w:bCs/>
          <w:color w:val="auto"/>
          <w:kern w:val="0"/>
          <w:sz w:val="24"/>
          <w:szCs w:val="24"/>
          <w:highlight w:val="none"/>
        </w:rPr>
        <w:t>线路安排</w:t>
      </w:r>
      <w:r>
        <w:rPr>
          <w:rFonts w:hint="eastAsia" w:ascii="宋体" w:hAnsi="宋体" w:eastAsia="宋体" w:cs="宋体"/>
          <w:b/>
          <w:bCs/>
          <w:color w:val="auto"/>
          <w:kern w:val="0"/>
          <w:sz w:val="24"/>
          <w:szCs w:val="24"/>
          <w:highlight w:val="none"/>
          <w:lang w:eastAsia="zh-CN"/>
        </w:rPr>
        <w:t>：</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线路</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台州往返</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日疗休养行程</w:t>
      </w:r>
      <w:r>
        <w:rPr>
          <w:rFonts w:hint="eastAsia" w:ascii="宋体" w:hAnsi="宋体" w:eastAsia="宋体" w:cs="宋体"/>
          <w:color w:val="auto"/>
          <w:kern w:val="0"/>
          <w:sz w:val="24"/>
          <w:szCs w:val="24"/>
          <w:highlight w:val="none"/>
        </w:rPr>
        <w:t>（费用不高于</w:t>
      </w:r>
      <w:r>
        <w:rPr>
          <w:rFonts w:hint="eastAsia" w:ascii="宋体" w:hAnsi="宋体" w:eastAsia="宋体" w:cs="宋体"/>
          <w:color w:val="auto"/>
          <w:kern w:val="0"/>
          <w:sz w:val="24"/>
          <w:szCs w:val="24"/>
          <w:highlight w:val="none"/>
          <w:lang w:eastAsia="zh-CN"/>
        </w:rPr>
        <w:t>1500</w:t>
      </w:r>
      <w:r>
        <w:rPr>
          <w:rFonts w:hint="eastAsia" w:ascii="宋体" w:hAnsi="宋体" w:eastAsia="宋体" w:cs="宋体"/>
          <w:color w:val="auto"/>
          <w:kern w:val="0"/>
          <w:sz w:val="24"/>
          <w:szCs w:val="24"/>
          <w:highlight w:val="none"/>
        </w:rPr>
        <w:t>元/人次）</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线路</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湖州往返</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日疗休养行程</w:t>
      </w:r>
      <w:r>
        <w:rPr>
          <w:rFonts w:hint="eastAsia" w:ascii="宋体" w:hAnsi="宋体" w:eastAsia="宋体" w:cs="宋体"/>
          <w:color w:val="auto"/>
          <w:kern w:val="0"/>
          <w:sz w:val="24"/>
          <w:szCs w:val="24"/>
          <w:highlight w:val="none"/>
        </w:rPr>
        <w:t>（费用不高于</w:t>
      </w:r>
      <w:r>
        <w:rPr>
          <w:rFonts w:hint="eastAsia" w:ascii="宋体" w:hAnsi="宋体" w:eastAsia="宋体" w:cs="宋体"/>
          <w:color w:val="auto"/>
          <w:kern w:val="0"/>
          <w:sz w:val="24"/>
          <w:szCs w:val="24"/>
          <w:highlight w:val="none"/>
          <w:lang w:eastAsia="zh-CN"/>
        </w:rPr>
        <w:t>1500</w:t>
      </w:r>
      <w:r>
        <w:rPr>
          <w:rFonts w:hint="eastAsia" w:ascii="宋体" w:hAnsi="宋体" w:eastAsia="宋体" w:cs="宋体"/>
          <w:color w:val="auto"/>
          <w:kern w:val="0"/>
          <w:sz w:val="24"/>
          <w:szCs w:val="24"/>
          <w:highlight w:val="none"/>
        </w:rPr>
        <w:t>元/人次）</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线路</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杭州市内（余杭临安）往返3日疗休养行程（费用不高于1500元/人次）</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交通费用说明：来回大交通（飞机优先、直飞优先），景点间及其他交通费由投标人负责）（大交通票务需在政府采购机票管理网站购买，若通过其他购买途径，则需低于政府采购机票管理网站的当日价格信息，报销时附政府采购机票管理网站当天机票截图价格信息）。</w:t>
      </w:r>
    </w:p>
    <w:p>
      <w:pPr>
        <w:pStyle w:val="32"/>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投标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投标人在投标报价时需考虑安排</w:t>
      </w:r>
      <w:r>
        <w:rPr>
          <w:rFonts w:hint="eastAsia" w:ascii="宋体" w:hAnsi="宋体" w:eastAsia="宋体" w:cs="宋体"/>
          <w:color w:val="auto"/>
          <w:kern w:val="0"/>
          <w:sz w:val="24"/>
          <w:highlight w:val="none"/>
          <w:lang w:eastAsia="zh-CN"/>
        </w:rPr>
        <w:t>（标项</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200元/人</w:t>
      </w:r>
      <w:r>
        <w:rPr>
          <w:rFonts w:hint="eastAsia" w:ascii="宋体" w:hAnsi="宋体" w:eastAsia="宋体" w:cs="宋体"/>
          <w:color w:val="auto"/>
          <w:kern w:val="0"/>
          <w:sz w:val="24"/>
          <w:highlight w:val="none"/>
          <w:lang w:eastAsia="zh-CN"/>
        </w:rPr>
        <w:t>，标项</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00元/人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作为临时零星小额服务经费（主要用来购买水果、临时加餐等），此项费用包含在投标报价内，投标人自行考虑相关报价风险。本项目各投标人按照以上线路报价，最终服务过程包括但不仅限于以上线路，各投标人自行承担报价风险。</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、出行安排，根据批准的时间为准，每批次</w:t>
      </w:r>
      <w:r>
        <w:rPr>
          <w:rFonts w:hint="eastAsia" w:ascii="宋体" w:hAnsi="宋体" w:eastAsia="宋体" w:cs="宋体"/>
          <w:color w:val="auto"/>
          <w:kern w:val="0"/>
          <w:sz w:val="24"/>
          <w:highlight w:val="none"/>
          <w:lang w:eastAsia="zh-CN"/>
        </w:rPr>
        <w:t>出行</w:t>
      </w:r>
      <w:r>
        <w:rPr>
          <w:rFonts w:hint="eastAsia" w:ascii="宋体" w:hAnsi="宋体" w:eastAsia="宋体" w:cs="宋体"/>
          <w:color w:val="auto"/>
          <w:kern w:val="0"/>
          <w:sz w:val="24"/>
          <w:highlight w:val="none"/>
        </w:rPr>
        <w:t>人数根据报名情况确定批次，</w:t>
      </w:r>
      <w:r>
        <w:rPr>
          <w:rFonts w:hint="eastAsia" w:ascii="宋体" w:hAnsi="宋体" w:eastAsia="宋体" w:cs="宋体"/>
          <w:color w:val="auto"/>
          <w:kern w:val="0"/>
          <w:sz w:val="24"/>
          <w:highlight w:val="none"/>
          <w:lang w:eastAsia="zh-CN"/>
        </w:rPr>
        <w:t>每批约</w:t>
      </w:r>
      <w:r>
        <w:rPr>
          <w:rFonts w:hint="eastAsia" w:ascii="宋体" w:hAnsi="宋体" w:eastAsia="宋体" w:cs="宋体"/>
          <w:color w:val="auto"/>
          <w:kern w:val="0"/>
          <w:sz w:val="24"/>
          <w:highlight w:val="none"/>
          <w:lang w:val="en-US" w:eastAsia="zh-CN"/>
        </w:rPr>
        <w:t>40</w:t>
      </w:r>
      <w:r>
        <w:rPr>
          <w:rFonts w:hint="eastAsia" w:ascii="宋体" w:hAnsi="宋体" w:eastAsia="宋体" w:cs="宋体"/>
          <w:color w:val="auto"/>
          <w:kern w:val="0"/>
          <w:sz w:val="24"/>
          <w:highlight w:val="none"/>
        </w:rPr>
        <w:t>人左右（包含家属人员，家属费用另行结算）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最终出行的日期</w:t>
      </w:r>
      <w:r>
        <w:rPr>
          <w:rFonts w:hint="eastAsia" w:ascii="宋体" w:hAnsi="宋体" w:eastAsia="宋体" w:cs="宋体"/>
          <w:color w:val="auto"/>
          <w:kern w:val="0"/>
          <w:sz w:val="24"/>
          <w:highlight w:val="none"/>
          <w:lang w:eastAsia="zh-CN"/>
        </w:rPr>
        <w:t>及</w:t>
      </w:r>
      <w:r>
        <w:rPr>
          <w:rFonts w:hint="eastAsia" w:ascii="宋体" w:hAnsi="宋体" w:eastAsia="宋体" w:cs="宋体"/>
          <w:color w:val="auto"/>
          <w:kern w:val="0"/>
          <w:sz w:val="24"/>
          <w:highlight w:val="none"/>
        </w:rPr>
        <w:t>天数</w:t>
      </w:r>
      <w:r>
        <w:rPr>
          <w:rFonts w:hint="eastAsia" w:ascii="宋体" w:hAnsi="宋体" w:eastAsia="宋体" w:cs="宋体"/>
          <w:color w:val="auto"/>
          <w:kern w:val="0"/>
          <w:sz w:val="24"/>
          <w:highlight w:val="none"/>
          <w:lang w:eastAsia="zh-CN"/>
        </w:rPr>
        <w:t>根据相关政策</w:t>
      </w:r>
      <w:r>
        <w:rPr>
          <w:rFonts w:hint="eastAsia" w:ascii="宋体" w:hAnsi="宋体" w:eastAsia="宋体" w:cs="宋体"/>
          <w:color w:val="auto"/>
          <w:kern w:val="0"/>
          <w:sz w:val="24"/>
          <w:highlight w:val="none"/>
        </w:rPr>
        <w:t>以实际为准。</w:t>
      </w:r>
    </w:p>
    <w:p>
      <w:pPr>
        <w:tabs>
          <w:tab w:val="center" w:pos="4153"/>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若因</w:t>
      </w:r>
      <w:r>
        <w:rPr>
          <w:rFonts w:hint="eastAsia" w:ascii="宋体" w:hAnsi="宋体" w:eastAsia="宋体" w:cs="宋体"/>
          <w:color w:val="auto"/>
          <w:kern w:val="0"/>
          <w:sz w:val="24"/>
          <w:highlight w:val="none"/>
          <w:lang w:eastAsia="zh-CN"/>
        </w:rPr>
        <w:t>其他</w:t>
      </w:r>
      <w:r>
        <w:rPr>
          <w:rFonts w:hint="eastAsia" w:ascii="宋体" w:hAnsi="宋体" w:eastAsia="宋体" w:cs="宋体"/>
          <w:color w:val="auto"/>
          <w:kern w:val="0"/>
          <w:sz w:val="24"/>
          <w:highlight w:val="none"/>
        </w:rPr>
        <w:t>原因，如原定线路无法开展疗休养，由采购人与中标人协商根据实际情况，安排同等价位线路，按原定的出行天数及相同服务；若遇政策变动，临时取消出行计划，</w:t>
      </w:r>
      <w:r>
        <w:rPr>
          <w:rFonts w:hint="eastAsia" w:ascii="宋体" w:hAnsi="宋体" w:eastAsia="宋体" w:cs="宋体"/>
          <w:color w:val="auto"/>
          <w:kern w:val="0"/>
          <w:sz w:val="24"/>
          <w:highlight w:val="none"/>
          <w:lang w:val="en-US" w:eastAsia="zh-CN"/>
        </w:rPr>
        <w:t>不视作违反合同，</w:t>
      </w:r>
      <w:r>
        <w:rPr>
          <w:rFonts w:hint="eastAsia" w:ascii="宋体" w:hAnsi="宋体" w:eastAsia="宋体" w:cs="宋体"/>
          <w:color w:val="auto"/>
          <w:kern w:val="0"/>
          <w:sz w:val="24"/>
          <w:highlight w:val="none"/>
        </w:rPr>
        <w:t>中标人</w:t>
      </w:r>
      <w:r>
        <w:rPr>
          <w:rFonts w:hint="eastAsia" w:ascii="宋体" w:hAnsi="宋体" w:eastAsia="宋体" w:cs="宋体"/>
          <w:color w:val="auto"/>
          <w:kern w:val="0"/>
          <w:sz w:val="24"/>
          <w:highlight w:val="none"/>
          <w:lang w:val="en-US" w:eastAsia="zh-CN"/>
        </w:rPr>
        <w:t>应</w:t>
      </w:r>
      <w:r>
        <w:rPr>
          <w:rFonts w:hint="eastAsia" w:ascii="宋体" w:hAnsi="宋体" w:eastAsia="宋体" w:cs="宋体"/>
          <w:color w:val="auto"/>
          <w:kern w:val="0"/>
          <w:sz w:val="24"/>
          <w:highlight w:val="none"/>
        </w:rPr>
        <w:t>无条件服从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并</w:t>
      </w:r>
      <w:r>
        <w:rPr>
          <w:rFonts w:hint="eastAsia" w:ascii="宋体" w:hAnsi="宋体" w:eastAsia="宋体" w:cs="宋体"/>
          <w:color w:val="auto"/>
          <w:kern w:val="0"/>
          <w:sz w:val="24"/>
          <w:highlight w:val="none"/>
        </w:rPr>
        <w:t>承担</w:t>
      </w:r>
      <w:r>
        <w:rPr>
          <w:rFonts w:hint="eastAsia" w:ascii="宋体" w:hAnsi="宋体" w:eastAsia="宋体" w:cs="宋体"/>
          <w:color w:val="auto"/>
          <w:kern w:val="0"/>
          <w:sz w:val="24"/>
          <w:highlight w:val="none"/>
          <w:lang w:val="en-US" w:eastAsia="zh-CN"/>
        </w:rPr>
        <w:t>相应</w:t>
      </w:r>
      <w:r>
        <w:rPr>
          <w:rFonts w:hint="eastAsia" w:ascii="宋体" w:hAnsi="宋体" w:eastAsia="宋体" w:cs="宋体"/>
          <w:color w:val="auto"/>
          <w:kern w:val="0"/>
          <w:sz w:val="24"/>
          <w:highlight w:val="none"/>
        </w:rPr>
        <w:t>风险</w:t>
      </w:r>
      <w:r>
        <w:rPr>
          <w:rFonts w:hint="eastAsia" w:ascii="宋体" w:hAnsi="宋体" w:eastAsia="宋体" w:cs="宋体"/>
          <w:color w:val="auto"/>
          <w:kern w:val="0"/>
          <w:sz w:val="24"/>
          <w:highlight w:val="none"/>
          <w:lang w:eastAsia="zh-CN"/>
        </w:rPr>
        <w:t>。</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、住宿：</w:t>
      </w:r>
      <w:r>
        <w:rPr>
          <w:rFonts w:hint="eastAsia" w:ascii="宋体" w:hAnsi="宋体" w:eastAsia="宋体" w:cs="宋体"/>
          <w:color w:val="auto"/>
          <w:sz w:val="24"/>
          <w:highlight w:val="none"/>
        </w:rPr>
        <w:t>住宿综合环境好，要求挂牌四星或网评四钻以上（含）且设施较好的三年以内新装修的酒店（一般标准2人间，每批次</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个单间，单间不补差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职工如有单间需求的，按团队价补差价）。要求标注每天住宿酒店的名称、星级和具体地址，不得出现同级酒店字样，如实际接待中，投标指定酒店无法安排，需要安排高一级酒店。</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、餐饮：</w:t>
      </w:r>
      <w:r>
        <w:rPr>
          <w:rFonts w:hint="eastAsia" w:ascii="宋体" w:hAnsi="宋体" w:eastAsia="宋体" w:cs="宋体"/>
          <w:color w:val="auto"/>
          <w:sz w:val="24"/>
          <w:highlight w:val="none"/>
        </w:rPr>
        <w:t>早餐为酒店早餐，中餐不低于60元/人，晚餐不低于</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元/人，餐厅必须有接待资质、环境好的饭店就餐，允许团队等额退餐，自己点菜。中晚餐每桌提供一瓶可乐一瓶雪碧。</w:t>
      </w:r>
    </w:p>
    <w:p>
      <w:pPr>
        <w:tabs>
          <w:tab w:val="center" w:pos="415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、要求全程提供持证全陪导游服务（全陪导游须持有导游证3年以上，出团前1周提交疗休养方审核），专职景区讲解服务。</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、要求为参加疗休养职工提供每人每天2瓶矿泉水、每晚提供水果。</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中标人必须提供每批疗休养人员购买保险的原始凭证的复印件给采购人。</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、出发前，每人一个背包，其中需内含疗休养行程1份、注意事项1份、口罩、小点心等。</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针对疗休养活动中可能发生的突发状况、意外情况等（如：投诉、纠纷、安全事故等），投标人须制定周密、可靠的安全保障和突发事件应急预案，确保在各种情况下参团人员的人身及财产安全，投标人应在响应文件中提供详细说明。</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、行程可辐射周边地域，但不得有自费的景点或活动，无商业广告及各类产品推销。</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、围绕疗休养主题，行程突出疗养养生特色。</w:t>
      </w:r>
    </w:p>
    <w:p>
      <w:pPr>
        <w:tabs>
          <w:tab w:val="center" w:pos="4153"/>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、购物：全程不进购物点。</w:t>
      </w:r>
    </w:p>
    <w:p>
      <w:pPr>
        <w:tabs>
          <w:tab w:val="center" w:pos="4153"/>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pPr>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 xml:space="preserve">.1考核标准：当次满意度平均分高于85分（含），支付当次疗休养费用的100%；当次满意度平均分高于75分（含）低于85分，扣减当次疗休养费用5%；当次满意度平均分低75分，扣减当次疗休养费用10%。 </w:t>
      </w:r>
    </w:p>
    <w:p>
      <w:pPr>
        <w:adjustRightInd w:val="0"/>
        <w:spacing w:line="360" w:lineRule="auto"/>
        <w:rPr>
          <w:rFonts w:hint="eastAsia" w:ascii="宋体" w:hAnsi="宋体" w:eastAsia="宋体" w:cs="宋体"/>
          <w:b/>
          <w:bCs/>
          <w:snapToGrid w:val="0"/>
          <w:color w:val="auto"/>
          <w:kern w:val="28"/>
          <w:sz w:val="24"/>
          <w:szCs w:val="20"/>
          <w:highlight w:val="none"/>
          <w:u w:val="none"/>
          <w:lang w:val="en-US" w:eastAsia="zh-CN" w:bidi="ar-SA"/>
        </w:rPr>
      </w:pPr>
      <w:r>
        <w:rPr>
          <w:rFonts w:hint="eastAsia" w:ascii="宋体" w:hAnsi="宋体" w:eastAsia="宋体" w:cs="宋体"/>
          <w:b/>
          <w:bCs/>
          <w:snapToGrid w:val="0"/>
          <w:color w:val="auto"/>
          <w:kern w:val="28"/>
          <w:sz w:val="24"/>
          <w:szCs w:val="20"/>
          <w:highlight w:val="none"/>
          <w:u w:val="none"/>
          <w:lang w:val="en-US" w:eastAsia="zh-CN" w:bidi="ar-SA"/>
        </w:rPr>
        <w:t>（五）其它要求</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snapToGrid w:val="0"/>
          <w:color w:val="auto"/>
          <w:kern w:val="28"/>
          <w:sz w:val="24"/>
          <w:szCs w:val="20"/>
          <w:highlight w:val="none"/>
          <w:u w:val="none"/>
          <w:lang w:val="en-US" w:eastAsia="zh-CN" w:bidi="ar-SA"/>
        </w:rPr>
        <w:t>1、投标人需确定一名项目负责人，具有类似疗休养项目经验，负责与采购人就每批次安排具体事宜联系，一旦中标不得随意更换。</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snapToGrid w:val="0"/>
          <w:color w:val="auto"/>
          <w:kern w:val="28"/>
          <w:sz w:val="24"/>
          <w:szCs w:val="20"/>
          <w:highlight w:val="none"/>
          <w:u w:val="none"/>
          <w:lang w:val="en-US" w:eastAsia="zh-CN" w:bidi="ar-SA"/>
        </w:rPr>
        <w:t>2、制定应急预案，发放《行程安排表》和《注意事项》。如遇意外突发事件投标人要在第一时间内进行妥善处理，处理结果要及时与采购人汇报和沟通，并积极配合有关单位做好善后处理工作。</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snapToGrid w:val="0"/>
          <w:color w:val="auto"/>
          <w:kern w:val="28"/>
          <w:sz w:val="24"/>
          <w:szCs w:val="20"/>
          <w:highlight w:val="none"/>
          <w:u w:val="none"/>
          <w:lang w:val="en-US" w:eastAsia="zh-CN" w:bidi="ar-SA"/>
        </w:rPr>
        <w:t>3、做到有问必答。对疗休养人员反映的情况或投诉，不回避矛盾、不推卸责任，对发生的问题予以及时处理，将问题解决在旅途中。</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snapToGrid w:val="0"/>
          <w:color w:val="auto"/>
          <w:kern w:val="28"/>
          <w:sz w:val="24"/>
          <w:szCs w:val="20"/>
          <w:highlight w:val="none"/>
          <w:u w:val="none"/>
          <w:lang w:val="en-US" w:eastAsia="zh-CN" w:bidi="ar-SA"/>
        </w:rPr>
        <w:t>4、参加疗休养人员名单和个人信息不得外泄。</w:t>
      </w:r>
    </w:p>
    <w:p>
      <w:pPr>
        <w:adjustRightInd w:val="0"/>
        <w:spacing w:line="360" w:lineRule="auto"/>
        <w:ind w:firstLine="420" w:firstLineChars="175"/>
        <w:rPr>
          <w:rFonts w:hint="eastAsia" w:ascii="宋体" w:hAnsi="宋体" w:eastAsia="宋体" w:cs="宋体"/>
          <w:snapToGrid w:val="0"/>
          <w:color w:val="auto"/>
          <w:kern w:val="28"/>
          <w:sz w:val="24"/>
          <w:szCs w:val="20"/>
          <w:highlight w:val="none"/>
          <w:u w:val="none"/>
          <w:lang w:val="en-US" w:eastAsia="zh-CN" w:bidi="ar-SA"/>
        </w:rPr>
      </w:pPr>
      <w:r>
        <w:rPr>
          <w:rFonts w:hint="eastAsia" w:ascii="宋体" w:hAnsi="宋体" w:eastAsia="宋体" w:cs="宋体"/>
          <w:snapToGrid w:val="0"/>
          <w:color w:val="auto"/>
          <w:kern w:val="28"/>
          <w:sz w:val="24"/>
          <w:szCs w:val="20"/>
          <w:highlight w:val="none"/>
          <w:u w:val="none"/>
          <w:lang w:val="en-US" w:eastAsia="zh-CN" w:bidi="ar-SA"/>
        </w:rPr>
        <w:t>5、疫情期间必须符合相关政策要求。</w:t>
      </w:r>
    </w:p>
    <w:p>
      <w:pPr>
        <w:adjustRightInd w:val="0"/>
        <w:spacing w:line="360" w:lineRule="auto"/>
        <w:ind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kern w:val="28"/>
          <w:sz w:val="24"/>
          <w:szCs w:val="20"/>
          <w:highlight w:val="none"/>
          <w:u w:val="none"/>
          <w:lang w:val="en-US" w:eastAsia="zh-CN" w:bidi="ar-SA"/>
        </w:rPr>
        <w:t>6、亚运会期间若遇相关政策要求，投标人自行承担投标风险。</w:t>
      </w:r>
    </w:p>
    <w:p>
      <w:pPr>
        <w:spacing w:line="360" w:lineRule="auto"/>
        <w:jc w:val="left"/>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eastAsia="zh-CN"/>
        </w:rPr>
        <w:t>（六）服务期限及承诺</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6.1</w:t>
      </w:r>
      <w:r>
        <w:rPr>
          <w:rFonts w:hint="eastAsia" w:ascii="宋体" w:hAnsi="宋体" w:eastAsia="宋体" w:cs="宋体"/>
          <w:color w:val="auto"/>
          <w:kern w:val="0"/>
          <w:sz w:val="24"/>
          <w:highlight w:val="none"/>
        </w:rPr>
        <w:t>服务期限：分批休养。具体以采购人实际通知为准。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6.2</w:t>
      </w:r>
      <w:r>
        <w:rPr>
          <w:rFonts w:hint="eastAsia" w:ascii="宋体" w:hAnsi="宋体" w:eastAsia="宋体" w:cs="宋体"/>
          <w:color w:val="auto"/>
          <w:kern w:val="0"/>
          <w:sz w:val="24"/>
          <w:highlight w:val="none"/>
        </w:rPr>
        <w:t>服务质量承诺：</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（1）为确保服务质量及与采购人沟通联络，中标人须设置兼职主管，负责对承包项目、范围、服务质量的检查监督及与采购人日常业务联系；</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（2）中标人需提供员工管理服务规范要求及确保服务质量达标的具体措施；</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（3）中标人需向采购人提供服务承诺；</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（4）中标人须主动接受采购人的指导、检查、监督及协调；</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（5）现有服务范围内，由于调整而增加的工作量，不再增加费用；</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（6）因中标人工作人员的失误造成的损失由中标人负责</w:t>
      </w:r>
      <w:r>
        <w:rPr>
          <w:rFonts w:hint="eastAsia" w:ascii="宋体" w:hAnsi="宋体" w:eastAsia="宋体" w:cs="宋体"/>
          <w:color w:val="auto"/>
          <w:kern w:val="0"/>
          <w:sz w:val="24"/>
          <w:highlight w:val="none"/>
          <w:lang w:val="en-US"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（7）中标人员工在工作及服务期间发生的一切安全事故由中标人负责，与采购人无关。</w:t>
      </w:r>
    </w:p>
    <w:p>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（七）</w:t>
      </w:r>
      <w:r>
        <w:rPr>
          <w:rFonts w:hint="eastAsia" w:ascii="宋体" w:hAnsi="宋体" w:eastAsia="宋体" w:cs="宋体"/>
          <w:b/>
          <w:bCs/>
          <w:color w:val="auto"/>
          <w:kern w:val="0"/>
          <w:sz w:val="24"/>
          <w:highlight w:val="none"/>
        </w:rPr>
        <w:t>付款方式</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7.1</w:t>
      </w:r>
      <w:r>
        <w:rPr>
          <w:rFonts w:hint="eastAsia" w:ascii="宋体" w:hAnsi="宋体" w:eastAsia="宋体" w:cs="宋体"/>
          <w:color w:val="auto"/>
          <w:kern w:val="0"/>
          <w:sz w:val="24"/>
          <w:highlight w:val="none"/>
        </w:rPr>
        <w:t>费用结算：</w:t>
      </w:r>
      <w:r>
        <w:rPr>
          <w:rFonts w:hint="eastAsia" w:ascii="宋体" w:hAnsi="宋体" w:eastAsia="宋体" w:cs="宋体"/>
          <w:color w:val="auto"/>
          <w:kern w:val="0"/>
          <w:sz w:val="24"/>
          <w:highlight w:val="none"/>
          <w:lang w:eastAsia="zh-CN"/>
        </w:rPr>
        <w:t>依据浙财采监【</w:t>
      </w:r>
      <w:r>
        <w:rPr>
          <w:rFonts w:hint="eastAsia" w:ascii="宋体" w:hAnsi="宋体" w:eastAsia="宋体" w:cs="宋体"/>
          <w:color w:val="auto"/>
          <w:kern w:val="0"/>
          <w:sz w:val="24"/>
          <w:highlight w:val="none"/>
          <w:lang w:val="en-US" w:eastAsia="zh-CN"/>
        </w:rPr>
        <w:t>2022】3号，第二条第五款相关规定</w:t>
      </w:r>
      <w:r>
        <w:rPr>
          <w:rFonts w:hint="eastAsia" w:ascii="宋体" w:hAnsi="宋体" w:eastAsia="宋体" w:cs="宋体"/>
          <w:color w:val="auto"/>
          <w:kern w:val="0"/>
          <w:sz w:val="24"/>
          <w:highlight w:val="none"/>
        </w:rPr>
        <w:t>结算</w:t>
      </w:r>
      <w:r>
        <w:rPr>
          <w:rFonts w:hint="eastAsia" w:ascii="宋体" w:hAnsi="宋体" w:eastAsia="宋体" w:cs="宋体"/>
          <w:color w:val="auto"/>
          <w:kern w:val="0"/>
          <w:sz w:val="24"/>
          <w:highlight w:val="none"/>
          <w:lang w:eastAsia="zh-CN"/>
        </w:rPr>
        <w:t>，具体支付方式甲乙双方在合同中明确。</w:t>
      </w:r>
    </w:p>
    <w:p>
      <w:pPr>
        <w:spacing w:line="360" w:lineRule="auto"/>
        <w:ind w:firstLine="120" w:firstLineChars="50"/>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lang w:val="en-US" w:eastAsia="zh-CN"/>
        </w:rPr>
        <w:t>7.2如遇政策变动，甲方临时取消出行计划，若已支付该批次费用，乙方无条件全额退还。投标人自行承担投标风险。</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hint="eastAsia" w:ascii="宋体" w:hAnsi="宋体" w:cs="宋体"/>
          <w:b/>
          <w:color w:val="auto"/>
          <w:sz w:val="24"/>
          <w:highlight w:val="none"/>
        </w:rPr>
      </w:pPr>
    </w:p>
    <w:p>
      <w:pPr>
        <w:spacing w:line="360" w:lineRule="auto"/>
        <w:jc w:val="center"/>
        <w:outlineLvl w:val="0"/>
        <w:rPr>
          <w:rFonts w:hint="eastAsia" w:ascii="宋体" w:hAnsi="宋体" w:cs="宋体"/>
          <w:b/>
          <w:color w:val="auto"/>
          <w:sz w:val="24"/>
          <w:highlight w:val="none"/>
        </w:rPr>
      </w:pPr>
    </w:p>
    <w:p>
      <w:pPr>
        <w:spacing w:line="360" w:lineRule="auto"/>
        <w:jc w:val="center"/>
        <w:outlineLvl w:val="0"/>
        <w:rPr>
          <w:rFonts w:hint="eastAsia" w:ascii="宋体" w:hAnsi="宋体" w:cs="宋体"/>
          <w:b/>
          <w:color w:val="auto"/>
          <w:sz w:val="24"/>
          <w:highlight w:val="none"/>
        </w:rPr>
      </w:pPr>
    </w:p>
    <w:p>
      <w:pPr>
        <w:spacing w:line="360" w:lineRule="auto"/>
        <w:jc w:val="both"/>
        <w:outlineLvl w:val="0"/>
        <w:rPr>
          <w:rFonts w:hint="eastAsia" w:ascii="宋体" w:hAnsi="宋体" w:cs="宋体"/>
          <w:b/>
          <w:color w:val="auto"/>
          <w:sz w:val="24"/>
          <w:highlight w:val="none"/>
        </w:rPr>
      </w:pPr>
    </w:p>
    <w:p>
      <w:pPr>
        <w:spacing w:line="360" w:lineRule="auto"/>
        <w:jc w:val="center"/>
        <w:outlineLvl w:val="0"/>
        <w:rPr>
          <w:rFonts w:hint="eastAsia" w:ascii="宋体" w:hAnsi="宋体" w:cs="宋体"/>
          <w:b/>
          <w:color w:val="auto"/>
          <w:sz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31"/>
      <w:bookmarkEnd w:id="28"/>
      <w:bookmarkStart w:id="29" w:name="_Toc184313310"/>
      <w:bookmarkEnd w:id="29"/>
      <w:bookmarkStart w:id="30" w:name="_Toc184312074"/>
      <w:bookmarkEnd w:id="30"/>
      <w:bookmarkStart w:id="31" w:name="_Toc184312137"/>
      <w:bookmarkEnd w:id="31"/>
      <w:bookmarkStart w:id="32" w:name="_Toc184312092"/>
      <w:bookmarkEnd w:id="32"/>
      <w:bookmarkStart w:id="33" w:name="_Toc184308064"/>
      <w:bookmarkEnd w:id="33"/>
      <w:bookmarkStart w:id="34" w:name="_Toc184313248"/>
      <w:bookmarkEnd w:id="34"/>
      <w:bookmarkStart w:id="35" w:name="_Toc184310310"/>
      <w:bookmarkEnd w:id="35"/>
      <w:bookmarkStart w:id="36" w:name="_Toc184312093"/>
      <w:bookmarkEnd w:id="36"/>
      <w:bookmarkStart w:id="37" w:name="_Toc184314461"/>
      <w:bookmarkEnd w:id="37"/>
      <w:bookmarkStart w:id="38" w:name="_Toc184313292"/>
      <w:bookmarkEnd w:id="38"/>
      <w:bookmarkStart w:id="39" w:name="_Toc184310278"/>
      <w:bookmarkEnd w:id="39"/>
      <w:bookmarkStart w:id="40" w:name="_Toc184308041"/>
      <w:bookmarkEnd w:id="40"/>
      <w:bookmarkStart w:id="41" w:name="_Toc184314416"/>
      <w:bookmarkEnd w:id="41"/>
      <w:bookmarkStart w:id="42" w:name="_Toc184308075"/>
      <w:bookmarkEnd w:id="42"/>
      <w:bookmarkStart w:id="43" w:name="_Toc184308107"/>
      <w:bookmarkEnd w:id="43"/>
      <w:bookmarkStart w:id="44" w:name="_Toc184310324"/>
      <w:bookmarkEnd w:id="44"/>
      <w:bookmarkStart w:id="45" w:name="_Toc184312120"/>
      <w:bookmarkEnd w:id="45"/>
      <w:bookmarkStart w:id="46" w:name="_Toc184308077"/>
      <w:bookmarkEnd w:id="46"/>
      <w:bookmarkStart w:id="47" w:name="_Toc184313262"/>
      <w:bookmarkEnd w:id="47"/>
      <w:bookmarkStart w:id="48" w:name="_Toc184314428"/>
      <w:bookmarkEnd w:id="48"/>
      <w:bookmarkStart w:id="49" w:name="_Toc184314470"/>
      <w:bookmarkEnd w:id="49"/>
      <w:bookmarkStart w:id="50" w:name="_Toc184314432"/>
      <w:bookmarkEnd w:id="50"/>
      <w:bookmarkStart w:id="51" w:name="_Toc184310272"/>
      <w:bookmarkEnd w:id="51"/>
      <w:bookmarkStart w:id="52" w:name="_Toc184308040"/>
      <w:bookmarkEnd w:id="52"/>
      <w:bookmarkStart w:id="53" w:name="_Toc184314474"/>
      <w:bookmarkEnd w:id="53"/>
      <w:bookmarkStart w:id="54" w:name="_Toc184314423"/>
      <w:bookmarkEnd w:id="54"/>
      <w:bookmarkStart w:id="55" w:name="_Toc184313280"/>
      <w:bookmarkEnd w:id="55"/>
      <w:bookmarkStart w:id="56" w:name="_Toc184308094"/>
      <w:bookmarkEnd w:id="56"/>
      <w:bookmarkStart w:id="57" w:name="_Toc184314433"/>
      <w:bookmarkEnd w:id="57"/>
      <w:bookmarkStart w:id="58" w:name="_Toc184314414"/>
      <w:bookmarkEnd w:id="58"/>
      <w:bookmarkStart w:id="59" w:name="_Toc184308088"/>
      <w:bookmarkEnd w:id="59"/>
      <w:bookmarkStart w:id="60" w:name="_Toc184312117"/>
      <w:bookmarkEnd w:id="60"/>
      <w:bookmarkStart w:id="61" w:name="_Toc184308047"/>
      <w:bookmarkEnd w:id="61"/>
      <w:bookmarkStart w:id="62" w:name="_Toc184312068"/>
      <w:bookmarkEnd w:id="62"/>
      <w:bookmarkStart w:id="63" w:name="_Toc184313283"/>
      <w:bookmarkEnd w:id="63"/>
      <w:bookmarkStart w:id="64" w:name="_Toc184312087"/>
      <w:bookmarkEnd w:id="64"/>
      <w:bookmarkStart w:id="65" w:name="_Toc184310338"/>
      <w:bookmarkEnd w:id="65"/>
      <w:bookmarkStart w:id="66" w:name="_Toc184310281"/>
      <w:bookmarkEnd w:id="66"/>
      <w:bookmarkStart w:id="67" w:name="_Toc184310339"/>
      <w:bookmarkEnd w:id="67"/>
      <w:bookmarkStart w:id="68" w:name="_Toc184312080"/>
      <w:bookmarkEnd w:id="68"/>
      <w:bookmarkStart w:id="69" w:name="_Toc184312096"/>
      <w:bookmarkEnd w:id="69"/>
      <w:bookmarkStart w:id="70" w:name="_Toc184308084"/>
      <w:bookmarkEnd w:id="70"/>
      <w:bookmarkStart w:id="71" w:name="_Toc184314422"/>
      <w:bookmarkEnd w:id="71"/>
      <w:bookmarkStart w:id="72" w:name="_Toc184310336"/>
      <w:bookmarkEnd w:id="72"/>
      <w:bookmarkStart w:id="73" w:name="_Toc184308056"/>
      <w:bookmarkEnd w:id="73"/>
      <w:bookmarkStart w:id="74" w:name="_Toc184314436"/>
      <w:bookmarkEnd w:id="74"/>
      <w:bookmarkStart w:id="75" w:name="_Toc184308062"/>
      <w:bookmarkEnd w:id="75"/>
      <w:bookmarkStart w:id="76" w:name="_Toc184312132"/>
      <w:bookmarkEnd w:id="76"/>
      <w:bookmarkStart w:id="77" w:name="_Toc184313240"/>
      <w:bookmarkEnd w:id="77"/>
      <w:bookmarkStart w:id="78" w:name="_Toc184313277"/>
      <w:bookmarkEnd w:id="78"/>
      <w:bookmarkStart w:id="79" w:name="_Toc184313282"/>
      <w:bookmarkEnd w:id="79"/>
      <w:bookmarkStart w:id="80" w:name="_Toc184314449"/>
      <w:bookmarkEnd w:id="80"/>
      <w:bookmarkStart w:id="81" w:name="_Toc184310340"/>
      <w:bookmarkEnd w:id="81"/>
      <w:bookmarkStart w:id="82" w:name="_Toc184310289"/>
      <w:bookmarkEnd w:id="82"/>
      <w:bookmarkStart w:id="83" w:name="_Toc184308082"/>
      <w:bookmarkEnd w:id="83"/>
      <w:bookmarkStart w:id="84" w:name="_Toc184313241"/>
      <w:bookmarkEnd w:id="84"/>
      <w:bookmarkStart w:id="85" w:name="_Toc184310308"/>
      <w:bookmarkEnd w:id="85"/>
      <w:bookmarkStart w:id="86" w:name="_Toc184310341"/>
      <w:bookmarkEnd w:id="86"/>
      <w:bookmarkStart w:id="87" w:name="_Toc184308061"/>
      <w:bookmarkEnd w:id="87"/>
      <w:bookmarkStart w:id="88" w:name="_Toc184313284"/>
      <w:bookmarkEnd w:id="88"/>
      <w:bookmarkStart w:id="89" w:name="_Toc184313308"/>
      <w:bookmarkEnd w:id="89"/>
      <w:bookmarkStart w:id="90" w:name="_Toc184312082"/>
      <w:bookmarkEnd w:id="90"/>
      <w:bookmarkStart w:id="91" w:name="_Toc184313266"/>
      <w:bookmarkEnd w:id="91"/>
      <w:bookmarkStart w:id="92" w:name="_Toc184314463"/>
      <w:bookmarkEnd w:id="92"/>
      <w:bookmarkStart w:id="93" w:name="_Toc184308099"/>
      <w:bookmarkEnd w:id="93"/>
      <w:bookmarkStart w:id="94" w:name="_Toc184313250"/>
      <w:bookmarkEnd w:id="94"/>
      <w:bookmarkStart w:id="95" w:name="_Toc184312095"/>
      <w:bookmarkEnd w:id="95"/>
      <w:bookmarkStart w:id="96" w:name="_Toc184312067"/>
      <w:bookmarkEnd w:id="96"/>
      <w:bookmarkStart w:id="97" w:name="_Toc184308087"/>
      <w:bookmarkEnd w:id="97"/>
      <w:bookmarkStart w:id="98" w:name="_Toc184308095"/>
      <w:bookmarkEnd w:id="98"/>
      <w:bookmarkStart w:id="99" w:name="_Toc184310280"/>
      <w:bookmarkEnd w:id="99"/>
      <w:bookmarkStart w:id="100" w:name="_Toc184310309"/>
      <w:bookmarkEnd w:id="100"/>
      <w:bookmarkStart w:id="101" w:name="_Toc184312071"/>
      <w:bookmarkEnd w:id="101"/>
      <w:bookmarkStart w:id="102" w:name="_Toc184310303"/>
      <w:bookmarkEnd w:id="102"/>
      <w:bookmarkStart w:id="103" w:name="_Toc184312090"/>
      <w:bookmarkEnd w:id="103"/>
      <w:bookmarkStart w:id="104" w:name="_Toc184308092"/>
      <w:bookmarkEnd w:id="104"/>
      <w:bookmarkStart w:id="105" w:name="_Toc184314438"/>
      <w:bookmarkEnd w:id="105"/>
      <w:bookmarkStart w:id="106" w:name="_Toc184308048"/>
      <w:bookmarkEnd w:id="106"/>
      <w:bookmarkStart w:id="107" w:name="_Toc184308076"/>
      <w:bookmarkEnd w:id="107"/>
      <w:bookmarkStart w:id="108" w:name="_Toc184308067"/>
      <w:bookmarkEnd w:id="108"/>
      <w:bookmarkStart w:id="109" w:name="_Toc184308044"/>
      <w:bookmarkEnd w:id="109"/>
      <w:bookmarkStart w:id="110" w:name="_Toc184312122"/>
      <w:bookmarkEnd w:id="110"/>
      <w:bookmarkStart w:id="111" w:name="_Toc184312083"/>
      <w:bookmarkEnd w:id="111"/>
      <w:bookmarkStart w:id="112" w:name="_Toc184310320"/>
      <w:bookmarkEnd w:id="112"/>
      <w:bookmarkStart w:id="113" w:name="_Toc184308050"/>
      <w:bookmarkEnd w:id="113"/>
      <w:bookmarkStart w:id="114" w:name="_Toc184314424"/>
      <w:bookmarkEnd w:id="114"/>
      <w:bookmarkStart w:id="115" w:name="_Toc184313304"/>
      <w:bookmarkEnd w:id="115"/>
      <w:bookmarkStart w:id="116" w:name="_Toc184312097"/>
      <w:bookmarkEnd w:id="116"/>
      <w:bookmarkStart w:id="117" w:name="_Toc184308070"/>
      <w:bookmarkEnd w:id="117"/>
      <w:bookmarkStart w:id="118" w:name="_Toc184310306"/>
      <w:bookmarkEnd w:id="118"/>
      <w:bookmarkStart w:id="119" w:name="_Toc184308037"/>
      <w:bookmarkEnd w:id="119"/>
      <w:bookmarkStart w:id="120" w:name="_Toc184310274"/>
      <w:bookmarkEnd w:id="120"/>
      <w:bookmarkStart w:id="121" w:name="_Toc184310286"/>
      <w:bookmarkEnd w:id="121"/>
      <w:bookmarkStart w:id="122" w:name="_Toc184312075"/>
      <w:bookmarkEnd w:id="122"/>
      <w:bookmarkStart w:id="123" w:name="_Toc184308085"/>
      <w:bookmarkEnd w:id="123"/>
      <w:bookmarkStart w:id="124" w:name="_Toc184313256"/>
      <w:bookmarkEnd w:id="124"/>
      <w:bookmarkStart w:id="125" w:name="_Toc184308072"/>
      <w:bookmarkEnd w:id="125"/>
      <w:bookmarkStart w:id="126" w:name="_Toc184310294"/>
      <w:bookmarkEnd w:id="126"/>
      <w:bookmarkStart w:id="127" w:name="_Toc184313303"/>
      <w:bookmarkEnd w:id="127"/>
      <w:bookmarkStart w:id="128" w:name="_Toc184312127"/>
      <w:bookmarkEnd w:id="128"/>
      <w:bookmarkStart w:id="129" w:name="_Toc184308053"/>
      <w:bookmarkEnd w:id="129"/>
      <w:bookmarkStart w:id="130" w:name="_Toc184314415"/>
      <w:bookmarkEnd w:id="130"/>
      <w:bookmarkStart w:id="131" w:name="_Toc184312106"/>
      <w:bookmarkEnd w:id="131"/>
      <w:bookmarkStart w:id="132" w:name="_Toc184314452"/>
      <w:bookmarkEnd w:id="132"/>
      <w:bookmarkStart w:id="133" w:name="_Toc184312138"/>
      <w:bookmarkEnd w:id="133"/>
      <w:bookmarkStart w:id="134" w:name="_Toc184314459"/>
      <w:bookmarkEnd w:id="134"/>
      <w:bookmarkStart w:id="135" w:name="_Toc184310334"/>
      <w:bookmarkEnd w:id="135"/>
      <w:bookmarkStart w:id="136" w:name="_Toc184312104"/>
      <w:bookmarkEnd w:id="136"/>
      <w:bookmarkStart w:id="137" w:name="_Toc184313264"/>
      <w:bookmarkEnd w:id="137"/>
      <w:bookmarkStart w:id="138" w:name="_Toc184308102"/>
      <w:bookmarkEnd w:id="138"/>
      <w:bookmarkStart w:id="139" w:name="_Toc184314412"/>
      <w:bookmarkEnd w:id="139"/>
      <w:bookmarkStart w:id="140" w:name="_Toc184314434"/>
      <w:bookmarkEnd w:id="140"/>
      <w:bookmarkStart w:id="141" w:name="_Toc184313259"/>
      <w:bookmarkEnd w:id="141"/>
      <w:bookmarkStart w:id="142" w:name="_Toc184310319"/>
      <w:bookmarkEnd w:id="142"/>
      <w:bookmarkStart w:id="143" w:name="_Toc184314410"/>
      <w:bookmarkEnd w:id="143"/>
      <w:bookmarkStart w:id="144" w:name="_Toc184310333"/>
      <w:bookmarkEnd w:id="144"/>
      <w:bookmarkStart w:id="145" w:name="_Toc184314465"/>
      <w:bookmarkEnd w:id="145"/>
      <w:bookmarkStart w:id="146" w:name="_Toc184308054"/>
      <w:bookmarkEnd w:id="146"/>
      <w:bookmarkStart w:id="147" w:name="_Toc184308103"/>
      <w:bookmarkEnd w:id="147"/>
      <w:bookmarkStart w:id="148" w:name="_Toc184310276"/>
      <w:bookmarkEnd w:id="148"/>
      <w:bookmarkStart w:id="149" w:name="_Toc184314467"/>
      <w:bookmarkEnd w:id="149"/>
      <w:bookmarkStart w:id="150" w:name="_Toc184310285"/>
      <w:bookmarkEnd w:id="150"/>
      <w:bookmarkStart w:id="151" w:name="_Toc184313301"/>
      <w:bookmarkEnd w:id="151"/>
      <w:bookmarkStart w:id="152" w:name="_Toc184308052"/>
      <w:bookmarkEnd w:id="152"/>
      <w:bookmarkStart w:id="153" w:name="_Toc184308065"/>
      <w:bookmarkEnd w:id="153"/>
      <w:bookmarkStart w:id="154" w:name="_Toc184313285"/>
      <w:bookmarkEnd w:id="154"/>
      <w:bookmarkStart w:id="155" w:name="_Toc184313269"/>
      <w:bookmarkEnd w:id="155"/>
      <w:bookmarkStart w:id="156" w:name="_Toc184313271"/>
      <w:bookmarkEnd w:id="156"/>
      <w:bookmarkStart w:id="157" w:name="_Toc184312103"/>
      <w:bookmarkEnd w:id="157"/>
      <w:bookmarkStart w:id="158" w:name="_Toc184314411"/>
      <w:bookmarkEnd w:id="158"/>
      <w:bookmarkStart w:id="159" w:name="_Toc184310328"/>
      <w:bookmarkEnd w:id="159"/>
      <w:bookmarkStart w:id="160" w:name="_Toc184308090"/>
      <w:bookmarkEnd w:id="160"/>
      <w:bookmarkStart w:id="161" w:name="_Toc184313257"/>
      <w:bookmarkEnd w:id="161"/>
      <w:bookmarkStart w:id="162" w:name="_Toc184314462"/>
      <w:bookmarkEnd w:id="162"/>
      <w:bookmarkStart w:id="163" w:name="_Toc184312114"/>
      <w:bookmarkEnd w:id="163"/>
      <w:bookmarkStart w:id="164" w:name="_Toc184310322"/>
      <w:bookmarkEnd w:id="164"/>
      <w:bookmarkStart w:id="165" w:name="_Toc184313244"/>
      <w:bookmarkEnd w:id="165"/>
      <w:bookmarkStart w:id="166" w:name="_Toc184308060"/>
      <w:bookmarkEnd w:id="166"/>
      <w:bookmarkStart w:id="167" w:name="_Toc184313243"/>
      <w:bookmarkEnd w:id="167"/>
      <w:bookmarkStart w:id="168" w:name="_Toc184313260"/>
      <w:bookmarkEnd w:id="168"/>
      <w:bookmarkStart w:id="169" w:name="_Toc184310300"/>
      <w:bookmarkEnd w:id="169"/>
      <w:bookmarkStart w:id="170" w:name="_Toc184310293"/>
      <w:bookmarkEnd w:id="170"/>
      <w:bookmarkStart w:id="171" w:name="_Toc184314441"/>
      <w:bookmarkEnd w:id="171"/>
      <w:bookmarkStart w:id="172" w:name="_Toc184314479"/>
      <w:bookmarkEnd w:id="172"/>
      <w:bookmarkStart w:id="173" w:name="_Toc184308093"/>
      <w:bookmarkEnd w:id="173"/>
      <w:bookmarkStart w:id="174" w:name="_Toc184314418"/>
      <w:bookmarkEnd w:id="174"/>
      <w:bookmarkStart w:id="175" w:name="_Toc184310297"/>
      <w:bookmarkEnd w:id="175"/>
      <w:bookmarkStart w:id="176" w:name="_Toc184314450"/>
      <w:bookmarkEnd w:id="176"/>
      <w:bookmarkStart w:id="177" w:name="_Toc184312129"/>
      <w:bookmarkEnd w:id="177"/>
      <w:bookmarkStart w:id="178" w:name="_Toc184313306"/>
      <w:bookmarkEnd w:id="178"/>
      <w:bookmarkStart w:id="179" w:name="_Toc184310304"/>
      <w:bookmarkEnd w:id="179"/>
      <w:bookmarkStart w:id="180" w:name="_Toc184312107"/>
      <w:bookmarkEnd w:id="180"/>
      <w:bookmarkStart w:id="181" w:name="_Toc184312119"/>
      <w:bookmarkEnd w:id="181"/>
      <w:bookmarkStart w:id="182" w:name="_Toc184312139"/>
      <w:bookmarkEnd w:id="182"/>
      <w:bookmarkStart w:id="183" w:name="_Toc184310316"/>
      <w:bookmarkEnd w:id="183"/>
      <w:bookmarkStart w:id="184" w:name="_Toc184313291"/>
      <w:bookmarkEnd w:id="184"/>
      <w:bookmarkStart w:id="185" w:name="_Toc184314473"/>
      <w:bookmarkEnd w:id="185"/>
      <w:bookmarkStart w:id="186" w:name="_Toc184308097"/>
      <w:bookmarkEnd w:id="186"/>
      <w:bookmarkStart w:id="187" w:name="_Toc184308106"/>
      <w:bookmarkEnd w:id="187"/>
      <w:bookmarkStart w:id="188" w:name="_Toc184312109"/>
      <w:bookmarkEnd w:id="188"/>
      <w:bookmarkStart w:id="189" w:name="_Toc184308046"/>
      <w:bookmarkEnd w:id="189"/>
      <w:bookmarkStart w:id="190" w:name="_Toc184314439"/>
      <w:bookmarkEnd w:id="190"/>
      <w:bookmarkStart w:id="191" w:name="_Toc184312121"/>
      <w:bookmarkEnd w:id="191"/>
      <w:bookmarkStart w:id="192" w:name="_Toc184313293"/>
      <w:bookmarkEnd w:id="192"/>
      <w:bookmarkStart w:id="193" w:name="_Toc184308091"/>
      <w:bookmarkEnd w:id="193"/>
      <w:bookmarkStart w:id="194" w:name="_Toc184313265"/>
      <w:bookmarkEnd w:id="194"/>
      <w:bookmarkStart w:id="195" w:name="_Toc184310299"/>
      <w:bookmarkEnd w:id="195"/>
      <w:bookmarkStart w:id="196" w:name="_Toc184312099"/>
      <w:bookmarkEnd w:id="196"/>
      <w:bookmarkStart w:id="197" w:name="_Toc184310317"/>
      <w:bookmarkEnd w:id="197"/>
      <w:bookmarkStart w:id="198" w:name="_Toc184313299"/>
      <w:bookmarkEnd w:id="198"/>
      <w:bookmarkStart w:id="199" w:name="_Toc184314466"/>
      <w:bookmarkEnd w:id="199"/>
      <w:bookmarkStart w:id="200" w:name="_Toc184312073"/>
      <w:bookmarkEnd w:id="200"/>
      <w:bookmarkStart w:id="201" w:name="_Toc184314448"/>
      <w:bookmarkEnd w:id="201"/>
      <w:bookmarkStart w:id="202" w:name="_Toc184313290"/>
      <w:bookmarkEnd w:id="202"/>
      <w:bookmarkStart w:id="203" w:name="_Toc184314481"/>
      <w:bookmarkEnd w:id="203"/>
      <w:bookmarkStart w:id="204" w:name="_Toc184314477"/>
      <w:bookmarkEnd w:id="204"/>
      <w:bookmarkStart w:id="205" w:name="_Toc184313273"/>
      <w:bookmarkEnd w:id="205"/>
      <w:bookmarkStart w:id="206" w:name="_Toc184310312"/>
      <w:bookmarkEnd w:id="206"/>
      <w:bookmarkStart w:id="207" w:name="_Toc184314471"/>
      <w:bookmarkEnd w:id="207"/>
      <w:bookmarkStart w:id="208" w:name="_Toc184312130"/>
      <w:bookmarkEnd w:id="208"/>
      <w:bookmarkStart w:id="209" w:name="_Toc184313281"/>
      <w:bookmarkEnd w:id="209"/>
      <w:bookmarkStart w:id="210" w:name="_Toc184310331"/>
      <w:bookmarkEnd w:id="210"/>
      <w:bookmarkStart w:id="211" w:name="_Toc184308071"/>
      <w:bookmarkEnd w:id="211"/>
      <w:bookmarkStart w:id="212" w:name="_Toc184312085"/>
      <w:bookmarkEnd w:id="212"/>
      <w:bookmarkStart w:id="213" w:name="_Toc184314445"/>
      <w:bookmarkEnd w:id="213"/>
      <w:bookmarkStart w:id="214" w:name="_Toc184310332"/>
      <w:bookmarkEnd w:id="214"/>
      <w:bookmarkStart w:id="215" w:name="_Toc184310279"/>
      <w:bookmarkEnd w:id="215"/>
      <w:bookmarkStart w:id="216" w:name="_Toc184310282"/>
      <w:bookmarkEnd w:id="216"/>
      <w:bookmarkStart w:id="217" w:name="_Toc184313287"/>
      <w:bookmarkEnd w:id="217"/>
      <w:bookmarkStart w:id="218" w:name="_Toc184313296"/>
      <w:bookmarkEnd w:id="218"/>
      <w:bookmarkStart w:id="219" w:name="_Toc184308074"/>
      <w:bookmarkEnd w:id="219"/>
      <w:bookmarkStart w:id="220" w:name="_Toc184308089"/>
      <w:bookmarkEnd w:id="220"/>
      <w:bookmarkStart w:id="221" w:name="_Toc184313245"/>
      <w:bookmarkEnd w:id="221"/>
      <w:bookmarkStart w:id="222" w:name="_Toc184310307"/>
      <w:bookmarkEnd w:id="222"/>
      <w:bookmarkStart w:id="223" w:name="_Toc184313289"/>
      <w:bookmarkEnd w:id="223"/>
      <w:bookmarkStart w:id="224" w:name="_Toc184308051"/>
      <w:bookmarkEnd w:id="224"/>
      <w:bookmarkStart w:id="225" w:name="_Toc184310292"/>
      <w:bookmarkEnd w:id="225"/>
      <w:bookmarkStart w:id="226" w:name="_Toc184314469"/>
      <w:bookmarkEnd w:id="226"/>
      <w:bookmarkStart w:id="227" w:name="_Toc184312101"/>
      <w:bookmarkEnd w:id="227"/>
      <w:bookmarkStart w:id="228" w:name="_Toc184313288"/>
      <w:bookmarkEnd w:id="228"/>
      <w:bookmarkStart w:id="229" w:name="_Toc184313300"/>
      <w:bookmarkEnd w:id="229"/>
      <w:bookmarkStart w:id="230" w:name="_Toc184308063"/>
      <w:bookmarkEnd w:id="230"/>
      <w:bookmarkStart w:id="231" w:name="_Toc184308096"/>
      <w:bookmarkEnd w:id="231"/>
      <w:bookmarkStart w:id="232" w:name="_Toc184314476"/>
      <w:bookmarkEnd w:id="232"/>
      <w:bookmarkStart w:id="233" w:name="_Toc184314425"/>
      <w:bookmarkEnd w:id="233"/>
      <w:bookmarkStart w:id="234" w:name="_Toc184313298"/>
      <w:bookmarkEnd w:id="234"/>
      <w:bookmarkStart w:id="235" w:name="_Toc184310295"/>
      <w:bookmarkEnd w:id="235"/>
      <w:bookmarkStart w:id="236" w:name="_Toc184312128"/>
      <w:bookmarkEnd w:id="236"/>
      <w:bookmarkStart w:id="237" w:name="_Toc184312079"/>
      <w:bookmarkEnd w:id="237"/>
      <w:bookmarkStart w:id="238" w:name="_Toc184313247"/>
      <w:bookmarkEnd w:id="238"/>
      <w:bookmarkStart w:id="239" w:name="_Toc184314453"/>
      <w:bookmarkEnd w:id="239"/>
      <w:bookmarkStart w:id="240" w:name="_Toc184313255"/>
      <w:bookmarkEnd w:id="240"/>
      <w:bookmarkStart w:id="241" w:name="_Toc184314475"/>
      <w:bookmarkEnd w:id="241"/>
      <w:bookmarkStart w:id="242" w:name="_Toc184308042"/>
      <w:bookmarkEnd w:id="242"/>
      <w:bookmarkStart w:id="243" w:name="_Toc184310273"/>
      <w:bookmarkEnd w:id="243"/>
      <w:bookmarkStart w:id="244" w:name="_Toc184314421"/>
      <w:bookmarkEnd w:id="244"/>
      <w:bookmarkStart w:id="245" w:name="_Toc184312126"/>
      <w:bookmarkEnd w:id="245"/>
      <w:bookmarkStart w:id="246" w:name="_Toc184312112"/>
      <w:bookmarkEnd w:id="246"/>
      <w:bookmarkStart w:id="247" w:name="_Toc184312086"/>
      <w:bookmarkEnd w:id="247"/>
      <w:bookmarkStart w:id="248" w:name="_Toc184313274"/>
      <w:bookmarkEnd w:id="248"/>
      <w:bookmarkStart w:id="249" w:name="_Toc184313268"/>
      <w:bookmarkEnd w:id="249"/>
      <w:bookmarkStart w:id="250" w:name="_Toc184312123"/>
      <w:bookmarkEnd w:id="250"/>
      <w:bookmarkStart w:id="251" w:name="_Toc184312089"/>
      <w:bookmarkEnd w:id="251"/>
      <w:bookmarkStart w:id="252" w:name="_Toc184310343"/>
      <w:bookmarkEnd w:id="252"/>
      <w:bookmarkStart w:id="253" w:name="_Toc184313302"/>
      <w:bookmarkEnd w:id="253"/>
      <w:bookmarkStart w:id="254" w:name="_Toc184310342"/>
      <w:bookmarkEnd w:id="254"/>
      <w:bookmarkStart w:id="255" w:name="_Toc184314464"/>
      <w:bookmarkEnd w:id="255"/>
      <w:bookmarkStart w:id="256" w:name="_Toc184308104"/>
      <w:bookmarkEnd w:id="256"/>
      <w:bookmarkStart w:id="257" w:name="_Toc184310288"/>
      <w:bookmarkEnd w:id="257"/>
      <w:bookmarkStart w:id="258" w:name="_Toc184308105"/>
      <w:bookmarkEnd w:id="258"/>
      <w:bookmarkStart w:id="259" w:name="_Toc184312098"/>
      <w:bookmarkEnd w:id="259"/>
      <w:bookmarkStart w:id="260" w:name="_Toc184313309"/>
      <w:bookmarkEnd w:id="260"/>
      <w:bookmarkStart w:id="261" w:name="_Toc184308069"/>
      <w:bookmarkEnd w:id="261"/>
      <w:bookmarkStart w:id="262" w:name="_Toc184308101"/>
      <w:bookmarkEnd w:id="262"/>
      <w:bookmarkStart w:id="263" w:name="_Toc184314447"/>
      <w:bookmarkEnd w:id="263"/>
      <w:bookmarkStart w:id="264" w:name="_Toc184310296"/>
      <w:bookmarkEnd w:id="264"/>
      <w:bookmarkStart w:id="265" w:name="_Toc184314431"/>
      <w:bookmarkEnd w:id="265"/>
      <w:bookmarkStart w:id="266" w:name="_Toc184313249"/>
      <w:bookmarkEnd w:id="266"/>
      <w:bookmarkStart w:id="267" w:name="_Toc184312113"/>
      <w:bookmarkEnd w:id="267"/>
      <w:bookmarkStart w:id="268" w:name="_Toc184313254"/>
      <w:bookmarkEnd w:id="268"/>
      <w:bookmarkStart w:id="269" w:name="_Toc184310290"/>
      <w:bookmarkEnd w:id="269"/>
      <w:bookmarkStart w:id="270" w:name="_Toc184308086"/>
      <w:bookmarkEnd w:id="270"/>
      <w:bookmarkStart w:id="271" w:name="_Toc184312081"/>
      <w:bookmarkEnd w:id="271"/>
      <w:bookmarkStart w:id="272" w:name="_Toc184308039"/>
      <w:bookmarkEnd w:id="272"/>
      <w:bookmarkStart w:id="273" w:name="_Toc184310301"/>
      <w:bookmarkEnd w:id="273"/>
      <w:bookmarkStart w:id="274" w:name="_Toc184314455"/>
      <w:bookmarkEnd w:id="274"/>
      <w:bookmarkStart w:id="275" w:name="_Toc184313297"/>
      <w:bookmarkEnd w:id="275"/>
      <w:bookmarkStart w:id="276" w:name="_Toc184312078"/>
      <w:bookmarkEnd w:id="276"/>
      <w:bookmarkStart w:id="277" w:name="_Toc184314480"/>
      <w:bookmarkEnd w:id="277"/>
      <w:bookmarkStart w:id="278" w:name="_Toc184310311"/>
      <w:bookmarkEnd w:id="278"/>
      <w:bookmarkStart w:id="279" w:name="_Toc184308073"/>
      <w:bookmarkEnd w:id="279"/>
      <w:bookmarkStart w:id="280" w:name="_Toc184314457"/>
      <w:bookmarkEnd w:id="280"/>
      <w:bookmarkStart w:id="281" w:name="_Toc184313305"/>
      <w:bookmarkEnd w:id="281"/>
      <w:bookmarkStart w:id="282" w:name="_Toc184313253"/>
      <w:bookmarkEnd w:id="282"/>
      <w:bookmarkStart w:id="283" w:name="_Toc184314468"/>
      <w:bookmarkEnd w:id="283"/>
      <w:bookmarkStart w:id="284" w:name="_Toc184313276"/>
      <w:bookmarkEnd w:id="284"/>
      <w:bookmarkStart w:id="285" w:name="_Toc184312084"/>
      <w:bookmarkEnd w:id="285"/>
      <w:bookmarkStart w:id="286" w:name="_Toc184310321"/>
      <w:bookmarkEnd w:id="286"/>
      <w:bookmarkStart w:id="287" w:name="_Toc184313275"/>
      <w:bookmarkEnd w:id="287"/>
      <w:bookmarkStart w:id="288" w:name="_Toc184314413"/>
      <w:bookmarkEnd w:id="288"/>
      <w:bookmarkStart w:id="289" w:name="_Toc184308078"/>
      <w:bookmarkEnd w:id="289"/>
      <w:bookmarkStart w:id="290" w:name="_Toc184308066"/>
      <w:bookmarkEnd w:id="290"/>
      <w:bookmarkStart w:id="291" w:name="_Toc184312124"/>
      <w:bookmarkEnd w:id="291"/>
      <w:bookmarkStart w:id="292" w:name="_Toc184314426"/>
      <w:bookmarkEnd w:id="292"/>
      <w:bookmarkStart w:id="293" w:name="_Toc184308038"/>
      <w:bookmarkEnd w:id="293"/>
      <w:bookmarkStart w:id="294" w:name="_Toc184313263"/>
      <w:bookmarkEnd w:id="294"/>
      <w:bookmarkStart w:id="295" w:name="_Toc184310325"/>
      <w:bookmarkEnd w:id="295"/>
      <w:bookmarkStart w:id="296" w:name="_Toc184312100"/>
      <w:bookmarkEnd w:id="296"/>
      <w:bookmarkStart w:id="297" w:name="_Toc184314458"/>
      <w:bookmarkEnd w:id="297"/>
      <w:bookmarkStart w:id="298" w:name="_Toc184312094"/>
      <w:bookmarkEnd w:id="298"/>
      <w:bookmarkStart w:id="299" w:name="_Toc184314429"/>
      <w:bookmarkEnd w:id="299"/>
      <w:bookmarkStart w:id="300" w:name="_Toc184312102"/>
      <w:bookmarkEnd w:id="300"/>
      <w:bookmarkStart w:id="301" w:name="_Toc184310318"/>
      <w:bookmarkEnd w:id="301"/>
      <w:bookmarkStart w:id="302" w:name="_Toc184310291"/>
      <w:bookmarkEnd w:id="302"/>
      <w:bookmarkStart w:id="303" w:name="_Toc184314440"/>
      <w:bookmarkEnd w:id="303"/>
      <w:bookmarkStart w:id="304" w:name="_Toc184313261"/>
      <w:bookmarkEnd w:id="304"/>
      <w:bookmarkStart w:id="305" w:name="_Toc184313294"/>
      <w:bookmarkEnd w:id="305"/>
      <w:bookmarkStart w:id="306" w:name="_Toc184310298"/>
      <w:bookmarkEnd w:id="306"/>
      <w:bookmarkStart w:id="307" w:name="_Toc184310277"/>
      <w:bookmarkEnd w:id="307"/>
      <w:bookmarkStart w:id="308" w:name="_Toc184310326"/>
      <w:bookmarkEnd w:id="308"/>
      <w:bookmarkStart w:id="309" w:name="_Toc184310327"/>
      <w:bookmarkEnd w:id="309"/>
      <w:bookmarkStart w:id="310" w:name="_Toc184313246"/>
      <w:bookmarkEnd w:id="310"/>
      <w:bookmarkStart w:id="311" w:name="_Toc184314472"/>
      <w:bookmarkEnd w:id="311"/>
      <w:bookmarkStart w:id="312" w:name="_Toc184310302"/>
      <w:bookmarkEnd w:id="312"/>
      <w:bookmarkStart w:id="313" w:name="_Toc184314443"/>
      <w:bookmarkEnd w:id="313"/>
      <w:bookmarkStart w:id="314" w:name="_Toc184313252"/>
      <w:bookmarkEnd w:id="314"/>
      <w:bookmarkStart w:id="315" w:name="_Toc184314444"/>
      <w:bookmarkEnd w:id="315"/>
      <w:bookmarkStart w:id="316" w:name="_Toc184312118"/>
      <w:bookmarkEnd w:id="316"/>
      <w:bookmarkStart w:id="317" w:name="_Toc184308080"/>
      <w:bookmarkEnd w:id="317"/>
      <w:bookmarkStart w:id="318" w:name="_Toc184314454"/>
      <w:bookmarkEnd w:id="318"/>
      <w:bookmarkStart w:id="319" w:name="_Toc184308058"/>
      <w:bookmarkEnd w:id="319"/>
      <w:bookmarkStart w:id="320" w:name="_Toc184310314"/>
      <w:bookmarkEnd w:id="320"/>
      <w:bookmarkStart w:id="321" w:name="_Toc184314430"/>
      <w:bookmarkEnd w:id="321"/>
      <w:bookmarkStart w:id="322" w:name="_Toc184310329"/>
      <w:bookmarkEnd w:id="322"/>
      <w:bookmarkStart w:id="323" w:name="_Toc184312115"/>
      <w:bookmarkEnd w:id="323"/>
      <w:bookmarkStart w:id="324" w:name="_Toc184313279"/>
      <w:bookmarkEnd w:id="324"/>
      <w:bookmarkStart w:id="325" w:name="_Toc184314435"/>
      <w:bookmarkEnd w:id="325"/>
      <w:bookmarkStart w:id="326" w:name="_Toc184314482"/>
      <w:bookmarkEnd w:id="326"/>
      <w:bookmarkStart w:id="327" w:name="_Toc184308043"/>
      <w:bookmarkEnd w:id="327"/>
      <w:bookmarkStart w:id="328" w:name="_Toc184308068"/>
      <w:bookmarkEnd w:id="328"/>
      <w:bookmarkStart w:id="329" w:name="_Toc184308059"/>
      <w:bookmarkEnd w:id="329"/>
      <w:bookmarkStart w:id="330" w:name="_Toc184310305"/>
      <w:bookmarkEnd w:id="330"/>
      <w:bookmarkStart w:id="331" w:name="_Toc184308057"/>
      <w:bookmarkEnd w:id="331"/>
      <w:bookmarkStart w:id="332" w:name="_Toc184310275"/>
      <w:bookmarkEnd w:id="332"/>
      <w:bookmarkStart w:id="333" w:name="_Toc184310315"/>
      <w:bookmarkEnd w:id="333"/>
      <w:bookmarkStart w:id="334" w:name="_Toc184312108"/>
      <w:bookmarkEnd w:id="334"/>
      <w:bookmarkStart w:id="335" w:name="_Toc184310337"/>
      <w:bookmarkEnd w:id="335"/>
      <w:bookmarkStart w:id="336" w:name="_Toc184314460"/>
      <w:bookmarkEnd w:id="336"/>
      <w:bookmarkStart w:id="337" w:name="_Toc184313258"/>
      <w:bookmarkEnd w:id="337"/>
      <w:bookmarkStart w:id="338" w:name="_Toc184312088"/>
      <w:bookmarkEnd w:id="338"/>
      <w:bookmarkStart w:id="339" w:name="_Toc184314417"/>
      <w:bookmarkEnd w:id="339"/>
      <w:bookmarkStart w:id="340" w:name="_Toc184310323"/>
      <w:bookmarkEnd w:id="340"/>
      <w:bookmarkStart w:id="341" w:name="_Toc184312069"/>
      <w:bookmarkEnd w:id="341"/>
      <w:bookmarkStart w:id="342" w:name="_Toc184310330"/>
      <w:bookmarkEnd w:id="342"/>
      <w:bookmarkStart w:id="343" w:name="_Toc184308045"/>
      <w:bookmarkEnd w:id="343"/>
      <w:bookmarkStart w:id="344" w:name="_Toc184308055"/>
      <w:bookmarkEnd w:id="344"/>
      <w:bookmarkStart w:id="345" w:name="_Toc184308079"/>
      <w:bookmarkEnd w:id="345"/>
      <w:bookmarkStart w:id="346" w:name="_Toc184312125"/>
      <w:bookmarkEnd w:id="346"/>
      <w:bookmarkStart w:id="347" w:name="_Toc184313307"/>
      <w:bookmarkEnd w:id="347"/>
      <w:bookmarkStart w:id="348" w:name="_Toc184313286"/>
      <w:bookmarkEnd w:id="348"/>
      <w:bookmarkStart w:id="349" w:name="_Toc184313278"/>
      <w:bookmarkEnd w:id="349"/>
      <w:bookmarkStart w:id="350" w:name="_Toc184308083"/>
      <w:bookmarkEnd w:id="350"/>
      <w:bookmarkStart w:id="351" w:name="_Toc184308049"/>
      <w:bookmarkEnd w:id="351"/>
      <w:bookmarkStart w:id="352" w:name="_Toc184312116"/>
      <w:bookmarkEnd w:id="352"/>
      <w:bookmarkStart w:id="353" w:name="_Toc184308081"/>
      <w:bookmarkEnd w:id="353"/>
      <w:bookmarkStart w:id="354" w:name="_Toc184310287"/>
      <w:bookmarkEnd w:id="354"/>
      <w:bookmarkStart w:id="355" w:name="_Toc184312133"/>
      <w:bookmarkEnd w:id="355"/>
      <w:bookmarkStart w:id="356" w:name="_Toc184314451"/>
      <w:bookmarkEnd w:id="356"/>
      <w:bookmarkStart w:id="357" w:name="_Toc184312072"/>
      <w:bookmarkEnd w:id="357"/>
      <w:bookmarkStart w:id="358" w:name="_Toc184313251"/>
      <w:bookmarkEnd w:id="358"/>
      <w:bookmarkStart w:id="359" w:name="_Toc184314456"/>
      <w:bookmarkEnd w:id="359"/>
      <w:bookmarkStart w:id="360" w:name="_Toc184313270"/>
      <w:bookmarkEnd w:id="360"/>
      <w:bookmarkStart w:id="361" w:name="_Toc184313295"/>
      <w:bookmarkEnd w:id="361"/>
      <w:bookmarkStart w:id="362" w:name="_Toc184314442"/>
      <w:bookmarkEnd w:id="362"/>
      <w:bookmarkStart w:id="363" w:name="_Toc184312110"/>
      <w:bookmarkEnd w:id="363"/>
      <w:bookmarkStart w:id="364" w:name="_Toc184308100"/>
      <w:bookmarkEnd w:id="364"/>
      <w:bookmarkStart w:id="365" w:name="_Toc184310313"/>
      <w:bookmarkEnd w:id="365"/>
      <w:bookmarkStart w:id="366" w:name="_Toc184310344"/>
      <w:bookmarkEnd w:id="366"/>
      <w:bookmarkStart w:id="367" w:name="_Toc184313242"/>
      <w:bookmarkEnd w:id="367"/>
      <w:bookmarkStart w:id="368" w:name="_Toc184310335"/>
      <w:bookmarkEnd w:id="368"/>
      <w:bookmarkStart w:id="369" w:name="_Toc184310284"/>
      <w:bookmarkEnd w:id="369"/>
      <w:bookmarkStart w:id="370" w:name="_Toc184314427"/>
      <w:bookmarkEnd w:id="370"/>
      <w:bookmarkStart w:id="371" w:name="_Toc184312111"/>
      <w:bookmarkEnd w:id="371"/>
      <w:bookmarkStart w:id="372" w:name="_Toc184312077"/>
      <w:bookmarkEnd w:id="372"/>
      <w:bookmarkStart w:id="373" w:name="_Toc184314446"/>
      <w:bookmarkEnd w:id="373"/>
      <w:bookmarkStart w:id="374" w:name="_Toc184312105"/>
      <w:bookmarkEnd w:id="374"/>
      <w:bookmarkStart w:id="375" w:name="_Toc184312076"/>
      <w:bookmarkEnd w:id="375"/>
      <w:bookmarkStart w:id="376" w:name="_Toc184314437"/>
      <w:bookmarkEnd w:id="376"/>
      <w:bookmarkStart w:id="377" w:name="_Toc184310283"/>
      <w:bookmarkEnd w:id="377"/>
      <w:bookmarkStart w:id="378" w:name="_Toc184314420"/>
      <w:bookmarkEnd w:id="378"/>
      <w:bookmarkStart w:id="379" w:name="_Toc184313272"/>
      <w:bookmarkEnd w:id="379"/>
      <w:bookmarkStart w:id="380" w:name="_Toc184308036"/>
      <w:bookmarkEnd w:id="380"/>
      <w:bookmarkStart w:id="381" w:name="_Toc184312136"/>
      <w:bookmarkEnd w:id="381"/>
      <w:bookmarkStart w:id="382" w:name="_Toc184314419"/>
      <w:bookmarkEnd w:id="382"/>
      <w:bookmarkStart w:id="383" w:name="_Toc184313267"/>
      <w:bookmarkEnd w:id="383"/>
      <w:bookmarkStart w:id="384" w:name="_Toc184308108"/>
      <w:bookmarkEnd w:id="384"/>
      <w:bookmarkStart w:id="385" w:name="_Toc184312070"/>
      <w:bookmarkEnd w:id="385"/>
      <w:bookmarkStart w:id="386" w:name="_Toc184312134"/>
      <w:bookmarkEnd w:id="386"/>
      <w:bookmarkStart w:id="387" w:name="_Toc184312091"/>
      <w:bookmarkEnd w:id="387"/>
      <w:bookmarkStart w:id="388" w:name="_Toc184308098"/>
      <w:bookmarkEnd w:id="388"/>
      <w:bookmarkStart w:id="389" w:name="_Toc184313239"/>
      <w:bookmarkEnd w:id="389"/>
      <w:bookmarkStart w:id="390" w:name="_Toc184314478"/>
      <w:bookmarkEnd w:id="390"/>
      <w:bookmarkStart w:id="391" w:name="_Toc184313238"/>
      <w:bookmarkEnd w:id="391"/>
      <w:bookmarkStart w:id="392" w:name="_Toc184312135"/>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1、商务资信（</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分）</w:t>
      </w:r>
    </w:p>
    <w:tbl>
      <w:tblPr>
        <w:tblStyle w:val="62"/>
        <w:tblpPr w:leftFromText="180" w:rightFromText="180" w:vertAnchor="text" w:horzAnchor="page" w:tblpX="1537" w:tblpY="298"/>
        <w:tblOverlap w:val="never"/>
        <w:tblW w:w="9320" w:type="dxa"/>
        <w:tblInd w:w="0" w:type="dxa"/>
        <w:tblLayout w:type="fixed"/>
        <w:tblCellMar>
          <w:top w:w="0" w:type="dxa"/>
          <w:left w:w="108" w:type="dxa"/>
          <w:bottom w:w="0" w:type="dxa"/>
          <w:right w:w="108" w:type="dxa"/>
        </w:tblCellMar>
      </w:tblPr>
      <w:tblGrid>
        <w:gridCol w:w="810"/>
        <w:gridCol w:w="790"/>
        <w:gridCol w:w="5710"/>
        <w:gridCol w:w="1020"/>
        <w:gridCol w:w="990"/>
      </w:tblGrid>
      <w:tr>
        <w:tblPrEx>
          <w:tblCellMar>
            <w:top w:w="0" w:type="dxa"/>
            <w:left w:w="108" w:type="dxa"/>
            <w:bottom w:w="0" w:type="dxa"/>
            <w:right w:w="108" w:type="dxa"/>
          </w:tblCellMar>
        </w:tblPrEx>
        <w:trPr>
          <w:trHeight w:val="924" w:hRule="atLeast"/>
        </w:trPr>
        <w:tc>
          <w:tcPr>
            <w:tcW w:w="81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500" w:type="dxa"/>
            <w:gridSpan w:val="2"/>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102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权重</w:t>
            </w:r>
          </w:p>
        </w:tc>
        <w:tc>
          <w:tcPr>
            <w:tcW w:w="99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打分</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方法</w:t>
            </w:r>
          </w:p>
        </w:tc>
      </w:tr>
      <w:tr>
        <w:tblPrEx>
          <w:tblCellMar>
            <w:top w:w="0" w:type="dxa"/>
            <w:left w:w="108" w:type="dxa"/>
            <w:bottom w:w="0" w:type="dxa"/>
            <w:right w:w="108" w:type="dxa"/>
          </w:tblCellMar>
        </w:tblPrEx>
        <w:trPr>
          <w:trHeight w:val="924" w:hRule="atLeast"/>
        </w:trPr>
        <w:tc>
          <w:tcPr>
            <w:tcW w:w="810" w:type="dxa"/>
            <w:vMerge w:val="restart"/>
            <w:tcBorders>
              <w:left w:val="single" w:color="auto" w:sz="4" w:space="0"/>
              <w:right w:val="single" w:color="auto" w:sz="4" w:space="0"/>
            </w:tcBorders>
            <w:noWrap w:val="0"/>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商务资信</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投标人星级评分：被评为四星级及以上品质旅行社的得5分，被评为三星级品质旅行社的得4分，被评为二星级品质旅行社的得3分，二星级以下不得分。（投标文件中提供当地旅游局颁发的相关文件，加盖公章。）</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客观分</w:t>
            </w:r>
          </w:p>
        </w:tc>
      </w:tr>
      <w:tr>
        <w:tblPrEx>
          <w:tblCellMar>
            <w:top w:w="0" w:type="dxa"/>
            <w:left w:w="108" w:type="dxa"/>
            <w:bottom w:w="0" w:type="dxa"/>
            <w:right w:w="108" w:type="dxa"/>
          </w:tblCellMar>
        </w:tblPrEx>
        <w:trPr>
          <w:trHeight w:val="924" w:hRule="atLeast"/>
        </w:trPr>
        <w:tc>
          <w:tcPr>
            <w:tcW w:w="81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年1月以来，</w:t>
            </w:r>
            <w:r>
              <w:rPr>
                <w:rFonts w:hint="eastAsia" w:ascii="宋体" w:hAnsi="宋体" w:eastAsia="宋体" w:cs="宋体"/>
                <w:color w:val="auto"/>
                <w:kern w:val="0"/>
                <w:sz w:val="24"/>
                <w:szCs w:val="24"/>
                <w:highlight w:val="none"/>
                <w:lang w:val="en-US" w:eastAsia="zh-CN"/>
              </w:rPr>
              <w:t>承担类似本项目</w:t>
            </w:r>
            <w:r>
              <w:rPr>
                <w:rFonts w:hint="eastAsia" w:ascii="宋体" w:hAnsi="宋体" w:eastAsia="宋体" w:cs="宋体"/>
                <w:color w:val="auto"/>
                <w:kern w:val="0"/>
                <w:sz w:val="24"/>
                <w:szCs w:val="24"/>
                <w:highlight w:val="none"/>
              </w:rPr>
              <w:t>业绩，每个</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没有的不得分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同一业绩不同年限不重复得分</w:t>
            </w:r>
            <w:r>
              <w:rPr>
                <w:rFonts w:hint="eastAsia" w:ascii="宋体" w:hAnsi="宋体" w:eastAsia="宋体" w:cs="宋体"/>
                <w:color w:val="auto"/>
                <w:kern w:val="0"/>
                <w:sz w:val="24"/>
                <w:szCs w:val="24"/>
                <w:highlight w:val="none"/>
                <w:lang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tblPrEx>
          <w:tblCellMar>
            <w:top w:w="0" w:type="dxa"/>
            <w:left w:w="108" w:type="dxa"/>
            <w:bottom w:w="0" w:type="dxa"/>
            <w:right w:w="108" w:type="dxa"/>
          </w:tblCellMar>
        </w:tblPrEx>
        <w:trPr>
          <w:trHeight w:val="924" w:hRule="atLeast"/>
        </w:trPr>
        <w:tc>
          <w:tcPr>
            <w:tcW w:w="810" w:type="dxa"/>
            <w:vMerge w:val="continue"/>
            <w:tcBorders>
              <w:left w:val="single" w:color="auto" w:sz="4" w:space="0"/>
              <w:bottom w:val="single" w:color="000000" w:sz="8" w:space="0"/>
              <w:right w:val="single" w:color="auto" w:sz="4" w:space="0"/>
            </w:tcBorders>
            <w:noWrap w:val="0"/>
            <w:vAlign w:val="center"/>
          </w:tcPr>
          <w:p>
            <w:pPr>
              <w:widowControl/>
              <w:jc w:val="left"/>
              <w:rPr>
                <w:rFonts w:hint="eastAsia" w:ascii="宋体" w:hAnsi="宋体" w:eastAsia="宋体" w:cs="宋体"/>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质量保证体系、环境管理体系认证、职业健康安全管理体系认证（证书须在有效期内）：获得三个体系的3分、任意两个体系的2分、一个体系的1分。（提供证书复印件及全国认证认可信息公共平台证书查询截图）</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bl>
    <w:p>
      <w:pPr>
        <w:widowControl/>
        <w:jc w:val="left"/>
        <w:rPr>
          <w:rFonts w:hint="eastAsia" w:ascii="宋体" w:hAnsi="宋体" w:eastAsia="宋体" w:cs="宋体"/>
          <w:color w:val="auto"/>
          <w:sz w:val="24"/>
          <w:highlight w:val="none"/>
        </w:rPr>
      </w:pP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2、技术部分（</w:t>
      </w:r>
      <w:r>
        <w:rPr>
          <w:rFonts w:hint="eastAsia" w:ascii="宋体" w:hAnsi="宋体" w:cs="宋体"/>
          <w:color w:val="auto"/>
          <w:kern w:val="0"/>
          <w:sz w:val="24"/>
          <w:highlight w:val="none"/>
          <w:lang w:val="en-US" w:eastAsia="zh-CN"/>
        </w:rPr>
        <w:t>81</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rPr>
        <w:tab/>
      </w:r>
    </w:p>
    <w:tbl>
      <w:tblPr>
        <w:tblStyle w:val="62"/>
        <w:tblW w:w="9603" w:type="dxa"/>
        <w:jc w:val="center"/>
        <w:tblLayout w:type="fixed"/>
        <w:tblCellMar>
          <w:top w:w="0" w:type="dxa"/>
          <w:left w:w="108" w:type="dxa"/>
          <w:bottom w:w="0" w:type="dxa"/>
          <w:right w:w="108" w:type="dxa"/>
        </w:tblCellMar>
      </w:tblPr>
      <w:tblGrid>
        <w:gridCol w:w="1030"/>
        <w:gridCol w:w="624"/>
        <w:gridCol w:w="2073"/>
        <w:gridCol w:w="3859"/>
        <w:gridCol w:w="1054"/>
        <w:gridCol w:w="963"/>
      </w:tblGrid>
      <w:tr>
        <w:tblPrEx>
          <w:tblCellMar>
            <w:top w:w="0" w:type="dxa"/>
            <w:left w:w="108" w:type="dxa"/>
            <w:bottom w:w="0" w:type="dxa"/>
            <w:right w:w="108" w:type="dxa"/>
          </w:tblCellMar>
        </w:tblPrEx>
        <w:trPr>
          <w:trHeight w:val="631" w:hRule="atLeast"/>
          <w:jc w:val="center"/>
        </w:trPr>
        <w:tc>
          <w:tcPr>
            <w:tcW w:w="103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697" w:type="dxa"/>
            <w:gridSpan w:val="2"/>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评分内容和标准</w:t>
            </w:r>
          </w:p>
        </w:tc>
        <w:tc>
          <w:tcPr>
            <w:tcW w:w="3859"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具体描述</w:t>
            </w:r>
          </w:p>
        </w:tc>
        <w:tc>
          <w:tcPr>
            <w:tcW w:w="1054"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权重</w:t>
            </w:r>
          </w:p>
        </w:tc>
        <w:tc>
          <w:tcPr>
            <w:tcW w:w="963" w:type="dxa"/>
            <w:tcBorders>
              <w:top w:val="single" w:color="auto" w:sz="8" w:space="0"/>
              <w:left w:val="single" w:color="auto" w:sz="4" w:space="0"/>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highlight w:val="none"/>
              </w:rPr>
              <w:t>主客观分</w:t>
            </w:r>
          </w:p>
        </w:tc>
      </w:tr>
      <w:tr>
        <w:tblPrEx>
          <w:tblCellMar>
            <w:top w:w="0" w:type="dxa"/>
            <w:left w:w="108" w:type="dxa"/>
            <w:bottom w:w="0" w:type="dxa"/>
            <w:right w:w="108" w:type="dxa"/>
          </w:tblCellMar>
        </w:tblPrEx>
        <w:trPr>
          <w:trHeight w:val="436" w:hRule="atLeast"/>
          <w:jc w:val="center"/>
        </w:trPr>
        <w:tc>
          <w:tcPr>
            <w:tcW w:w="103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技术分</w:t>
            </w:r>
          </w:p>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81</w:t>
            </w:r>
            <w:r>
              <w:rPr>
                <w:rFonts w:hint="eastAsia" w:ascii="宋体" w:hAnsi="宋体" w:eastAsia="宋体" w:cs="宋体"/>
                <w:color w:val="auto"/>
                <w:kern w:val="0"/>
                <w:sz w:val="24"/>
              </w:rPr>
              <w:t>分）</w:t>
            </w:r>
          </w:p>
        </w:tc>
        <w:tc>
          <w:tcPr>
            <w:tcW w:w="624" w:type="dxa"/>
            <w:vMerge w:val="restart"/>
            <w:tcBorders>
              <w:top w:val="nil"/>
              <w:left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20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针对本项目线路安排（包括景点安排）</w:t>
            </w:r>
          </w:p>
        </w:tc>
        <w:tc>
          <w:tcPr>
            <w:tcW w:w="38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根据本项目要求，提供每条线路必须提供详细的行程单，标明各景点特色等。</w:t>
            </w:r>
          </w:p>
          <w:p>
            <w:pPr>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725"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p>
        </w:tc>
        <w:tc>
          <w:tcPr>
            <w:tcW w:w="38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根据本项目要求，提供景点与宾馆之间的车程时间安排及游玩时间安排。</w:t>
            </w:r>
          </w:p>
          <w:p>
            <w:pPr>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725" w:hRule="atLeast"/>
          <w:jc w:val="center"/>
        </w:trPr>
        <w:tc>
          <w:tcPr>
            <w:tcW w:w="103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p>
        </w:tc>
        <w:tc>
          <w:tcPr>
            <w:tcW w:w="38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根据本项目要求，提供每条线路的疫情防控安排及应急措施。</w:t>
            </w:r>
          </w:p>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572"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073" w:type="dxa"/>
            <w:vMerge w:val="restart"/>
            <w:tcBorders>
              <w:top w:val="single" w:color="auto" w:sz="4" w:space="0"/>
              <w:left w:val="nil"/>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针对本项目酒店住宿安排</w:t>
            </w:r>
          </w:p>
        </w:tc>
        <w:tc>
          <w:tcPr>
            <w:tcW w:w="38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根据本项目要求，住宿酒店星级等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71"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continue"/>
            <w:tcBorders>
              <w:left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left w:val="nil"/>
              <w:right w:val="single" w:color="auto" w:sz="4" w:space="0"/>
            </w:tcBorders>
            <w:shd w:val="clear" w:color="auto" w:fill="auto"/>
            <w:noWrap w:val="0"/>
            <w:vAlign w:val="center"/>
          </w:tcPr>
          <w:p>
            <w:pPr>
              <w:rPr>
                <w:rFonts w:hint="eastAsia" w:ascii="宋体" w:hAnsi="宋体" w:eastAsia="宋体" w:cs="宋体"/>
                <w:color w:val="auto"/>
                <w:kern w:val="0"/>
                <w:sz w:val="24"/>
                <w:highlight w:val="none"/>
                <w:lang w:val="en-US" w:eastAsia="zh-CN"/>
              </w:rPr>
            </w:pPr>
          </w:p>
        </w:tc>
        <w:tc>
          <w:tcPr>
            <w:tcW w:w="38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根据本项目要求，提供</w:t>
            </w:r>
            <w:r>
              <w:rPr>
                <w:rFonts w:hint="eastAsia" w:ascii="宋体" w:hAnsi="宋体" w:eastAsia="宋体" w:cs="宋体"/>
                <w:color w:val="auto"/>
                <w:kern w:val="0"/>
                <w:sz w:val="24"/>
                <w:highlight w:val="none"/>
                <w:lang w:val="zh-CN" w:eastAsia="zh-CN"/>
              </w:rPr>
              <w:t>住宿条件承诺情况</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63"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073" w:type="dxa"/>
            <w:vMerge w:val="restart"/>
            <w:tcBorders>
              <w:top w:val="single" w:color="auto" w:sz="4" w:space="0"/>
              <w:left w:val="nil"/>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针对本项目就餐及餐标安排</w:t>
            </w:r>
          </w:p>
        </w:tc>
        <w:tc>
          <w:tcPr>
            <w:tcW w:w="38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根据本项目要求，就餐安排及就餐环境等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65"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lang w:val="en-US" w:eastAsia="zh-CN"/>
              </w:rPr>
            </w:pPr>
          </w:p>
        </w:tc>
        <w:tc>
          <w:tcPr>
            <w:tcW w:w="38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餐饮优化服务：餐饮承诺采购人餐标的费用标准得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分：每人每餐（中餐及晚餐）的餐标</w:t>
            </w:r>
            <w:r>
              <w:rPr>
                <w:rFonts w:hint="eastAsia" w:ascii="宋体" w:hAnsi="宋体" w:cs="宋体"/>
                <w:color w:val="auto"/>
                <w:kern w:val="0"/>
                <w:sz w:val="24"/>
                <w:highlight w:val="none"/>
                <w:lang w:val="zh-CN" w:eastAsia="zh-CN"/>
              </w:rPr>
              <w:t>分别</w:t>
            </w:r>
            <w:r>
              <w:rPr>
                <w:rFonts w:hint="eastAsia" w:ascii="宋体" w:hAnsi="宋体" w:eastAsia="宋体" w:cs="宋体"/>
                <w:color w:val="auto"/>
                <w:kern w:val="0"/>
                <w:sz w:val="24"/>
                <w:highlight w:val="none"/>
                <w:lang w:val="zh-CN" w:eastAsia="zh-CN"/>
              </w:rPr>
              <w:t>提</w:t>
            </w:r>
            <w:bookmarkStart w:id="405" w:name="_GoBack"/>
            <w:bookmarkEnd w:id="405"/>
            <w:r>
              <w:rPr>
                <w:rFonts w:hint="eastAsia" w:ascii="宋体" w:hAnsi="宋体" w:eastAsia="宋体" w:cs="宋体"/>
                <w:color w:val="auto"/>
                <w:kern w:val="0"/>
                <w:sz w:val="24"/>
                <w:highlight w:val="none"/>
                <w:lang w:val="zh-CN" w:eastAsia="zh-CN"/>
              </w:rPr>
              <w:t>高</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eastAsia="zh-CN"/>
              </w:rPr>
              <w:t>元</w:t>
            </w:r>
            <w:r>
              <w:rPr>
                <w:rFonts w:hint="eastAsia" w:ascii="宋体" w:hAnsi="宋体" w:cs="宋体"/>
                <w:color w:val="auto"/>
                <w:kern w:val="0"/>
                <w:sz w:val="24"/>
                <w:highlight w:val="none"/>
                <w:lang w:val="en-US" w:eastAsia="zh-CN"/>
              </w:rPr>
              <w:t>1餐</w:t>
            </w:r>
            <w:r>
              <w:rPr>
                <w:rFonts w:hint="eastAsia" w:ascii="宋体" w:hAnsi="宋体" w:eastAsia="宋体" w:cs="宋体"/>
                <w:color w:val="auto"/>
                <w:kern w:val="0"/>
                <w:sz w:val="24"/>
                <w:highlight w:val="none"/>
                <w:lang w:val="zh-CN" w:eastAsia="zh-CN"/>
              </w:rPr>
              <w:t>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分，最高加</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zh-CN" w:eastAsia="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客观分</w:t>
            </w:r>
          </w:p>
        </w:tc>
      </w:tr>
      <w:tr>
        <w:tblPrEx>
          <w:tblCellMar>
            <w:top w:w="0" w:type="dxa"/>
            <w:left w:w="108" w:type="dxa"/>
            <w:bottom w:w="0" w:type="dxa"/>
            <w:right w:w="108" w:type="dxa"/>
          </w:tblCellMar>
        </w:tblPrEx>
        <w:trPr>
          <w:trHeight w:val="90"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073" w:type="dxa"/>
            <w:vMerge w:val="restart"/>
            <w:tcBorders>
              <w:top w:val="single" w:color="auto" w:sz="4" w:space="0"/>
              <w:left w:val="nil"/>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投标方案中提供或使用主要设备的优劣</w:t>
            </w:r>
          </w:p>
        </w:tc>
        <w:tc>
          <w:tcPr>
            <w:tcW w:w="3859" w:type="dxa"/>
            <w:tcBorders>
              <w:top w:val="single" w:color="auto" w:sz="4" w:space="0"/>
              <w:left w:val="nil"/>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根据投标文件中提供车型、车况、座位比较等情况。</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未提供车型、车况、座位方案的，得0分；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提供车型、车况、座位描述较差或描述不完整的，得 </w:t>
            </w:r>
            <w:r>
              <w:rPr>
                <w:rFonts w:hint="default" w:ascii="宋体" w:hAnsi="宋体" w:eastAsia="宋体" w:cs="宋体"/>
                <w:color w:val="auto"/>
                <w:sz w:val="24"/>
                <w:lang w:val="en-US" w:eastAsia="zh-CN"/>
              </w:rPr>
              <w:t>1</w:t>
            </w:r>
            <w:r>
              <w:rPr>
                <w:rFonts w:hint="eastAsia" w:ascii="宋体" w:hAnsi="宋体" w:eastAsia="宋体" w:cs="宋体"/>
                <w:color w:val="auto"/>
                <w:sz w:val="24"/>
                <w:lang w:val="zh-CN"/>
              </w:rPr>
              <w:t>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提供车型、车况、座位</w:t>
            </w:r>
            <w:r>
              <w:rPr>
                <w:rFonts w:hint="eastAsia" w:ascii="宋体" w:hAnsi="宋体" w:eastAsia="宋体" w:cs="宋体"/>
                <w:color w:val="auto"/>
                <w:sz w:val="24"/>
                <w:lang w:val="zh-CN"/>
              </w:rPr>
              <w:t>详细、完整、科学，可操作性强，完全能满足采购人需求的，得</w:t>
            </w:r>
            <w:r>
              <w:rPr>
                <w:rFonts w:hint="default" w:ascii="宋体" w:hAnsi="宋体" w:eastAsia="宋体" w:cs="宋体"/>
                <w:color w:val="auto"/>
                <w:sz w:val="24"/>
                <w:lang w:val="en-US" w:eastAsia="zh-CN"/>
              </w:rPr>
              <w:t>2</w:t>
            </w:r>
            <w:r>
              <w:rPr>
                <w:rFonts w:hint="eastAsia" w:ascii="宋体" w:hAnsi="宋体" w:eastAsia="宋体" w:cs="宋体"/>
                <w:color w:val="auto"/>
                <w:sz w:val="24"/>
                <w:lang w:val="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2</w:t>
            </w:r>
            <w:r>
              <w:rPr>
                <w:rFonts w:hint="eastAsia" w:ascii="宋体" w:hAnsi="宋体" w:eastAsia="宋体" w:cs="宋体"/>
                <w:color w:val="auto"/>
                <w:kern w:val="0"/>
                <w:sz w:val="24"/>
                <w:lang w:val="en-US" w:eastAsia="zh-CN"/>
              </w:rPr>
              <w:t>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35"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p>
        </w:tc>
        <w:tc>
          <w:tcPr>
            <w:tcW w:w="3859" w:type="dxa"/>
            <w:tcBorders>
              <w:top w:val="single" w:color="auto" w:sz="4" w:space="0"/>
              <w:left w:val="nil"/>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根据投标文件中提供的司机驾龄、当地用车情况综 。</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未提供司机驾龄、当地用车方案的，得0分；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提供司机驾龄、当地用车描述较差或描述不完整的，得 </w:t>
            </w:r>
            <w:r>
              <w:rPr>
                <w:rFonts w:hint="eastAsia" w:cs="宋体"/>
                <w:color w:val="auto"/>
                <w:sz w:val="24"/>
                <w:lang w:val="en-US" w:eastAsia="zh-CN"/>
              </w:rPr>
              <w:t>1</w:t>
            </w:r>
            <w:r>
              <w:rPr>
                <w:rFonts w:hint="eastAsia" w:ascii="宋体" w:hAnsi="宋体" w:eastAsia="宋体" w:cs="宋体"/>
                <w:color w:val="auto"/>
                <w:sz w:val="24"/>
                <w:lang w:val="zh-CN"/>
              </w:rPr>
              <w:t>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w:t>
            </w:r>
            <w:r>
              <w:rPr>
                <w:rFonts w:hint="eastAsia" w:ascii="宋体" w:hAnsi="宋体" w:eastAsia="宋体" w:cs="宋体"/>
                <w:color w:val="auto"/>
                <w:sz w:val="24"/>
                <w:lang w:val="zh-CN"/>
              </w:rPr>
              <w:t>司机驾龄、当地用车详细、完整、科学，可操作性强，完全能满足采购人需求的，得</w:t>
            </w:r>
            <w:r>
              <w:rPr>
                <w:rFonts w:hint="default" w:ascii="宋体" w:hAnsi="宋体" w:eastAsia="宋体" w:cs="宋体"/>
                <w:color w:val="auto"/>
                <w:sz w:val="24"/>
                <w:lang w:val="en-US" w:eastAsia="zh-CN"/>
              </w:rPr>
              <w:t>2</w:t>
            </w:r>
            <w:r>
              <w:rPr>
                <w:rFonts w:hint="eastAsia" w:ascii="宋体" w:hAnsi="宋体" w:eastAsia="宋体" w:cs="宋体"/>
                <w:color w:val="auto"/>
                <w:sz w:val="24"/>
                <w:lang w:val="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2</w:t>
            </w:r>
            <w:r>
              <w:rPr>
                <w:rFonts w:hint="eastAsia" w:ascii="宋体" w:hAnsi="宋体" w:eastAsia="宋体" w:cs="宋体"/>
                <w:color w:val="auto"/>
                <w:kern w:val="0"/>
                <w:sz w:val="24"/>
                <w:lang w:val="en-US" w:eastAsia="zh-CN"/>
              </w:rPr>
              <w:t>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02"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073" w:type="dxa"/>
            <w:vMerge w:val="continue"/>
            <w:tcBorders>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highlight w:val="none"/>
              </w:rPr>
            </w:pPr>
          </w:p>
        </w:tc>
        <w:tc>
          <w:tcPr>
            <w:tcW w:w="3859" w:type="dxa"/>
            <w:tcBorders>
              <w:top w:val="single" w:color="auto" w:sz="4" w:space="0"/>
              <w:left w:val="nil"/>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根据车队综合服务能力（例若遇车辆故障，投标人异地调取车辆能力）等情况。</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未提供</w:t>
            </w:r>
            <w:r>
              <w:rPr>
                <w:rFonts w:hint="eastAsia" w:ascii="宋体" w:hAnsi="宋体" w:eastAsia="宋体" w:cs="宋体"/>
                <w:color w:val="auto"/>
                <w:sz w:val="24"/>
                <w:lang w:val="en-US" w:eastAsia="zh-CN"/>
              </w:rPr>
              <w:t>队综合服务能力</w:t>
            </w:r>
            <w:r>
              <w:rPr>
                <w:rFonts w:hint="eastAsia" w:ascii="宋体" w:hAnsi="宋体" w:eastAsia="宋体" w:cs="宋体"/>
                <w:color w:val="auto"/>
                <w:sz w:val="24"/>
                <w:lang w:val="zh-CN"/>
              </w:rPr>
              <w:t>方案的，得0分；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提供</w:t>
            </w:r>
            <w:r>
              <w:rPr>
                <w:rFonts w:hint="eastAsia" w:ascii="宋体" w:hAnsi="宋体" w:eastAsia="宋体" w:cs="宋体"/>
                <w:color w:val="auto"/>
                <w:sz w:val="24"/>
                <w:lang w:val="en-US" w:eastAsia="zh-CN"/>
              </w:rPr>
              <w:t>队综合服务能力</w:t>
            </w:r>
            <w:r>
              <w:rPr>
                <w:rFonts w:hint="eastAsia" w:ascii="宋体" w:hAnsi="宋体" w:eastAsia="宋体" w:cs="宋体"/>
                <w:color w:val="auto"/>
                <w:sz w:val="24"/>
                <w:lang w:val="zh-CN"/>
              </w:rPr>
              <w:t xml:space="preserve">描述较差或描述不完整的，得 </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分。</w:t>
            </w:r>
          </w:p>
          <w:p>
            <w:pPr>
              <w:pStyle w:val="24"/>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提供队综合服务能力</w:t>
            </w:r>
            <w:r>
              <w:rPr>
                <w:rFonts w:hint="eastAsia" w:ascii="宋体" w:hAnsi="宋体" w:eastAsia="宋体" w:cs="宋体"/>
                <w:color w:val="auto"/>
                <w:sz w:val="24"/>
                <w:lang w:val="zh-CN"/>
              </w:rPr>
              <w:t>详细、完整、科学，可操作性强，完全能满足采购人需求的，得</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1133"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8</w:t>
            </w:r>
          </w:p>
        </w:tc>
        <w:tc>
          <w:tcPr>
            <w:tcW w:w="2073"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 xml:space="preserve">保证进度和项目完成的方案和措施等 </w:t>
            </w:r>
          </w:p>
        </w:tc>
        <w:tc>
          <w:tcPr>
            <w:tcW w:w="385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bCs/>
                <w:color w:val="auto"/>
                <w:kern w:val="0"/>
                <w:sz w:val="24"/>
              </w:rPr>
            </w:pPr>
            <w:r>
              <w:rPr>
                <w:rFonts w:hint="eastAsia" w:ascii="宋体" w:hAnsi="宋体" w:eastAsia="宋体" w:cs="宋体"/>
                <w:color w:val="auto"/>
                <w:kern w:val="0"/>
                <w:sz w:val="24"/>
              </w:rPr>
              <w:t>本次疗休养实施</w:t>
            </w:r>
            <w:r>
              <w:rPr>
                <w:rFonts w:hint="eastAsia" w:ascii="宋体" w:hAnsi="宋体" w:eastAsia="宋体" w:cs="宋体"/>
                <w:color w:val="auto"/>
                <w:sz w:val="24"/>
                <w:lang w:val="zh-CN"/>
              </w:rPr>
              <w:t>工作程序和步骤、管理和协调方法以及关键步骤和要点等。</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分</w:t>
            </w:r>
          </w:p>
        </w:tc>
        <w:tc>
          <w:tcPr>
            <w:tcW w:w="963" w:type="dxa"/>
            <w:tcBorders>
              <w:top w:val="nil"/>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964"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restart"/>
            <w:tcBorders>
              <w:top w:val="nil"/>
              <w:left w:val="single" w:color="auto" w:sz="8"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9</w:t>
            </w:r>
          </w:p>
        </w:tc>
        <w:tc>
          <w:tcPr>
            <w:tcW w:w="2073" w:type="dxa"/>
            <w:vMerge w:val="restart"/>
            <w:tcBorders>
              <w:top w:val="nil"/>
              <w:left w:val="nil"/>
              <w:right w:val="single" w:color="auto" w:sz="4" w:space="0"/>
            </w:tcBorders>
            <w:shd w:val="clear" w:color="auto" w:fill="auto"/>
            <w:noWrap w:val="0"/>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项目负责人及技术力量安排等</w:t>
            </w:r>
          </w:p>
        </w:tc>
        <w:tc>
          <w:tcPr>
            <w:tcW w:w="3859" w:type="dxa"/>
            <w:tcBorders>
              <w:top w:val="nil"/>
              <w:left w:val="nil"/>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hint="eastAsia" w:ascii="宋体" w:hAnsi="宋体" w:eastAsia="宋体" w:cs="宋体"/>
                <w:b/>
                <w:bCs/>
                <w:color w:val="auto"/>
                <w:kern w:val="0"/>
                <w:sz w:val="24"/>
              </w:rPr>
            </w:pPr>
            <w:r>
              <w:rPr>
                <w:rFonts w:hint="eastAsia" w:ascii="宋体" w:hAnsi="宋体" w:eastAsia="宋体" w:cs="宋体"/>
                <w:b w:val="0"/>
                <w:bCs w:val="0"/>
                <w:color w:val="auto"/>
                <w:sz w:val="24"/>
                <w:szCs w:val="24"/>
                <w:highlight w:val="none"/>
                <w:lang w:val="zh-CN"/>
              </w:rPr>
              <w:t>项目负责人的专业素质、</w:t>
            </w:r>
            <w:r>
              <w:rPr>
                <w:rFonts w:hint="eastAsia" w:ascii="宋体" w:hAnsi="宋体" w:eastAsia="宋体" w:cs="宋体"/>
                <w:b w:val="0"/>
                <w:bCs w:val="0"/>
                <w:color w:val="auto"/>
                <w:sz w:val="24"/>
                <w:szCs w:val="24"/>
                <w:highlight w:val="none"/>
                <w:lang w:val="en-US" w:eastAsia="zh-CN"/>
              </w:rPr>
              <w:t>荣誉</w:t>
            </w:r>
            <w:r>
              <w:rPr>
                <w:rFonts w:hint="eastAsia" w:ascii="宋体" w:hAnsi="宋体" w:eastAsia="宋体" w:cs="宋体"/>
                <w:b w:val="0"/>
                <w:bCs w:val="0"/>
                <w:color w:val="auto"/>
                <w:sz w:val="24"/>
                <w:szCs w:val="24"/>
                <w:highlight w:val="none"/>
                <w:lang w:val="zh-CN"/>
              </w:rPr>
              <w:t>、经验等情况，是否具有类似项目经验，是否具有调动各项资源的能力等</w:t>
            </w:r>
            <w:r>
              <w:rPr>
                <w:rFonts w:hint="eastAsia" w:ascii="宋体" w:hAnsi="宋体" w:eastAsia="宋体" w:cs="宋体"/>
                <w:b w:val="0"/>
                <w:bCs w:val="0"/>
                <w:color w:val="auto"/>
                <w:sz w:val="24"/>
                <w:szCs w:val="24"/>
                <w:highlight w:val="none"/>
                <w:lang w:eastAsia="zh-CN"/>
              </w:rPr>
              <w:t>。</w:t>
            </w:r>
          </w:p>
        </w:tc>
        <w:tc>
          <w:tcPr>
            <w:tcW w:w="105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4分</w:t>
            </w:r>
          </w:p>
        </w:tc>
        <w:tc>
          <w:tcPr>
            <w:tcW w:w="963" w:type="dxa"/>
            <w:tcBorders>
              <w:top w:val="nil"/>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720"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rPr>
            </w:pPr>
          </w:p>
        </w:tc>
        <w:tc>
          <w:tcPr>
            <w:tcW w:w="2073" w:type="dxa"/>
            <w:vMerge w:val="continue"/>
            <w:tcBorders>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rPr>
            </w:pPr>
          </w:p>
        </w:tc>
        <w:tc>
          <w:tcPr>
            <w:tcW w:w="3859" w:type="dxa"/>
            <w:tcBorders>
              <w:top w:val="single" w:color="auto" w:sz="4" w:space="0"/>
              <w:left w:val="nil"/>
              <w:bottom w:val="single" w:color="auto" w:sz="4" w:space="0"/>
              <w:right w:val="single" w:color="auto" w:sz="4" w:space="0"/>
            </w:tcBorders>
            <w:noWrap w:val="0"/>
            <w:vAlign w:val="center"/>
          </w:tcPr>
          <w:p>
            <w:pPr>
              <w:pStyle w:val="398"/>
              <w:keepNext w:val="0"/>
              <w:keepLines w:val="0"/>
              <w:pageBreakBefore w:val="0"/>
              <w:kinsoku/>
              <w:wordWrap/>
              <w:overflowPunct/>
              <w:topLinePunct w:val="0"/>
              <w:autoSpaceDE/>
              <w:autoSpaceDN/>
              <w:bidi w:val="0"/>
              <w:adjustRightInd w:val="0"/>
              <w:spacing w:after="0" w:afterLines="0" w:line="320" w:lineRule="exact"/>
              <w:ind w:firstLine="0" w:firstLineChars="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投标人拥有高级导游员</w:t>
            </w:r>
            <w:r>
              <w:rPr>
                <w:rFonts w:hint="eastAsia" w:ascii="宋体" w:hAnsi="宋体" w:eastAsia="宋体" w:cs="宋体"/>
                <w:b w:val="0"/>
                <w:bCs w:val="0"/>
                <w:color w:val="auto"/>
                <w:sz w:val="24"/>
                <w:szCs w:val="24"/>
                <w:lang w:val="en-US" w:eastAsia="zh-CN"/>
              </w:rPr>
              <w:t>的得1分/人，最高得4分;</w:t>
            </w:r>
            <w:r>
              <w:rPr>
                <w:rFonts w:hint="eastAsia" w:ascii="宋体" w:hAnsi="宋体" w:eastAsia="宋体" w:cs="宋体"/>
                <w:b w:val="0"/>
                <w:bCs w:val="0"/>
                <w:color w:val="auto"/>
                <w:sz w:val="24"/>
                <w:szCs w:val="24"/>
                <w:lang w:val="zh-CN"/>
              </w:rPr>
              <w:t>拥有中级导游员</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strike w:val="0"/>
                <w:dstrike w:val="0"/>
                <w:color w:val="auto"/>
                <w:sz w:val="24"/>
                <w:szCs w:val="24"/>
                <w:lang w:val="en-US" w:eastAsia="zh-CN"/>
              </w:rPr>
              <w:t>得</w:t>
            </w:r>
            <w:r>
              <w:rPr>
                <w:rFonts w:hint="eastAsia" w:ascii="宋体" w:hAnsi="宋体" w:eastAsia="宋体" w:cs="宋体"/>
                <w:b w:val="0"/>
                <w:bCs w:val="0"/>
                <w:color w:val="auto"/>
                <w:sz w:val="24"/>
                <w:szCs w:val="24"/>
                <w:lang w:val="en-US" w:eastAsia="zh-CN"/>
              </w:rPr>
              <w:t>0.5分/人，最高得1分；</w:t>
            </w:r>
          </w:p>
          <w:p>
            <w:pPr>
              <w:jc w:val="left"/>
              <w:rPr>
                <w:rFonts w:hint="eastAsia" w:ascii="宋体" w:hAnsi="宋体" w:eastAsia="宋体" w:cs="宋体"/>
                <w:color w:val="auto"/>
                <w:sz w:val="24"/>
                <w:lang w:val="zh-CN"/>
              </w:rPr>
            </w:pPr>
            <w:r>
              <w:rPr>
                <w:rFonts w:hint="eastAsia" w:ascii="宋体" w:hAnsi="宋体" w:eastAsia="宋体" w:cs="宋体"/>
                <w:b w:val="0"/>
                <w:bCs w:val="0"/>
                <w:color w:val="auto"/>
                <w:sz w:val="24"/>
                <w:szCs w:val="24"/>
                <w:lang w:val="zh-CN"/>
              </w:rPr>
              <w:t>投标文件中提供导游员</w:t>
            </w:r>
            <w:r>
              <w:rPr>
                <w:rFonts w:hint="eastAsia" w:ascii="宋体" w:hAnsi="宋体" w:eastAsia="宋体" w:cs="宋体"/>
                <w:b w:val="0"/>
                <w:bCs w:val="0"/>
                <w:color w:val="auto"/>
                <w:sz w:val="24"/>
                <w:szCs w:val="24"/>
                <w:lang w:val="en-US" w:eastAsia="zh-CN"/>
              </w:rPr>
              <w:t>在投标人处的</w:t>
            </w:r>
            <w:r>
              <w:rPr>
                <w:rFonts w:hint="eastAsia" w:ascii="宋体" w:hAnsi="宋体" w:eastAsia="宋体" w:cs="宋体"/>
                <w:b w:val="0"/>
                <w:bCs w:val="0"/>
                <w:color w:val="auto"/>
                <w:sz w:val="24"/>
                <w:szCs w:val="24"/>
                <w:lang w:val="zh-CN"/>
              </w:rPr>
              <w:t>参保凭证、导游及</w:t>
            </w:r>
            <w:r>
              <w:rPr>
                <w:rFonts w:hint="eastAsia" w:ascii="宋体" w:hAnsi="宋体" w:eastAsia="宋体" w:cs="宋体"/>
                <w:b w:val="0"/>
                <w:bCs w:val="0"/>
                <w:color w:val="auto"/>
                <w:sz w:val="24"/>
                <w:szCs w:val="24"/>
                <w:lang w:val="en-US" w:eastAsia="zh-CN"/>
              </w:rPr>
              <w:t>等级证书</w:t>
            </w:r>
            <w:r>
              <w:rPr>
                <w:rFonts w:hint="eastAsia" w:ascii="宋体" w:hAnsi="宋体" w:eastAsia="宋体" w:cs="宋体"/>
                <w:b w:val="0"/>
                <w:bCs w:val="0"/>
                <w:color w:val="auto"/>
                <w:sz w:val="24"/>
                <w:szCs w:val="24"/>
                <w:lang w:val="zh-CN"/>
              </w:rPr>
              <w:t>复印件</w:t>
            </w:r>
            <w:r>
              <w:rPr>
                <w:rFonts w:hint="eastAsia" w:ascii="宋体" w:hAnsi="宋体" w:eastAsia="宋体" w:cs="宋体"/>
                <w:b w:val="0"/>
                <w:bCs w:val="0"/>
                <w:color w:val="auto"/>
                <w:sz w:val="24"/>
                <w:szCs w:val="24"/>
                <w:lang w:val="en-US" w:eastAsia="zh-CN"/>
              </w:rPr>
              <w:t>。</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客观分</w:t>
            </w:r>
          </w:p>
        </w:tc>
      </w:tr>
      <w:tr>
        <w:tblPrEx>
          <w:tblCellMar>
            <w:top w:w="0" w:type="dxa"/>
            <w:left w:w="108" w:type="dxa"/>
            <w:bottom w:w="0" w:type="dxa"/>
            <w:right w:w="108" w:type="dxa"/>
          </w:tblCellMar>
        </w:tblPrEx>
        <w:trPr>
          <w:trHeight w:val="1133"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0</w:t>
            </w:r>
          </w:p>
        </w:tc>
        <w:tc>
          <w:tcPr>
            <w:tcW w:w="2073"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 xml:space="preserve">对本项目的合理化建议  </w:t>
            </w:r>
          </w:p>
        </w:tc>
        <w:tc>
          <w:tcPr>
            <w:tcW w:w="385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bCs/>
                <w:color w:val="auto"/>
                <w:kern w:val="0"/>
                <w:sz w:val="24"/>
                <w:lang w:eastAsia="zh-CN"/>
              </w:rPr>
            </w:pPr>
            <w:r>
              <w:rPr>
                <w:rFonts w:hint="eastAsia" w:ascii="宋体" w:hAnsi="宋体" w:eastAsia="宋体" w:cs="宋体"/>
                <w:color w:val="auto"/>
                <w:kern w:val="0"/>
                <w:sz w:val="24"/>
              </w:rPr>
              <w:t>在标书中规定的线路标准的基础上，根据投标方优化方案，提出合理化建议</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szCs w:val="24"/>
                <w:highlight w:val="none"/>
                <w:lang w:eastAsia="zh-CN"/>
              </w:rPr>
              <w:t>方案可行条理清晰、内容丰富、安排合理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分，基本满足方案可行条理清晰、内容丰富、安排合理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分，方案一般可行条理清晰、内容丰富、安排合理的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tc>
        <w:tc>
          <w:tcPr>
            <w:tcW w:w="105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tc>
        <w:tc>
          <w:tcPr>
            <w:tcW w:w="963" w:type="dxa"/>
            <w:tcBorders>
              <w:top w:val="nil"/>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932" w:hRule="atLeast"/>
          <w:jc w:val="center"/>
        </w:trPr>
        <w:tc>
          <w:tcPr>
            <w:tcW w:w="103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1</w:t>
            </w:r>
          </w:p>
        </w:tc>
        <w:tc>
          <w:tcPr>
            <w:tcW w:w="2073" w:type="dxa"/>
            <w:tcBorders>
              <w:top w:val="nil"/>
              <w:left w:val="nil"/>
              <w:bottom w:val="single" w:color="auto" w:sz="4" w:space="0"/>
              <w:right w:val="single" w:color="auto" w:sz="4" w:space="0"/>
            </w:tcBorders>
            <w:shd w:val="clear" w:color="auto" w:fill="auto"/>
            <w:noWrap w:val="0"/>
            <w:vAlign w:val="center"/>
          </w:tcPr>
          <w:p>
            <w:pPr>
              <w:rPr>
                <w:rFonts w:hint="eastAsia" w:ascii="宋体" w:hAnsi="宋体" w:eastAsia="宋体" w:cs="宋体"/>
                <w:color w:val="auto"/>
                <w:kern w:val="0"/>
                <w:sz w:val="24"/>
              </w:rPr>
            </w:pPr>
            <w:r>
              <w:rPr>
                <w:rFonts w:hint="eastAsia" w:ascii="宋体" w:hAnsi="宋体" w:eastAsia="宋体" w:cs="宋体"/>
                <w:color w:val="auto"/>
                <w:kern w:val="0"/>
                <w:sz w:val="24"/>
              </w:rPr>
              <w:t>服务承诺（根据售后服务方案、措施、响应及服务能力等情况）</w:t>
            </w:r>
          </w:p>
        </w:tc>
        <w:tc>
          <w:tcPr>
            <w:tcW w:w="385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提供后续服务计划及根据投标人注册地等，方便、快捷、优质提供服务等情况 </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未提供方案的，得0分；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方案描述较差或描述不完整的，得 </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方案基本完整，基本能满足采购人需求的，得 </w:t>
            </w:r>
            <w:r>
              <w:rPr>
                <w:rFonts w:hint="eastAsia" w:ascii="宋体" w:hAnsi="宋体" w:cs="宋体"/>
                <w:color w:val="auto"/>
                <w:sz w:val="24"/>
                <w:lang w:val="en-US" w:eastAsia="zh-CN"/>
              </w:rPr>
              <w:t>3</w:t>
            </w:r>
            <w:r>
              <w:rPr>
                <w:rFonts w:hint="eastAsia" w:ascii="宋体" w:hAnsi="宋体" w:eastAsia="宋体" w:cs="宋体"/>
                <w:color w:val="auto"/>
                <w:sz w:val="24"/>
                <w:lang w:val="zh-CN"/>
              </w:rPr>
              <w:t>分；</w:t>
            </w:r>
          </w:p>
          <w:p>
            <w:pPr>
              <w:jc w:val="left"/>
              <w:rPr>
                <w:rFonts w:hint="eastAsia" w:ascii="宋体" w:hAnsi="宋体" w:eastAsia="宋体" w:cs="宋体"/>
                <w:b/>
                <w:bCs/>
                <w:color w:val="auto"/>
                <w:kern w:val="0"/>
                <w:sz w:val="24"/>
              </w:rPr>
            </w:pPr>
            <w:r>
              <w:rPr>
                <w:rFonts w:hint="eastAsia" w:ascii="宋体" w:hAnsi="宋体" w:eastAsia="宋体" w:cs="宋体"/>
                <w:color w:val="auto"/>
                <w:sz w:val="24"/>
                <w:lang w:val="zh-CN"/>
              </w:rPr>
              <w:t>方案详细、完整、科学，可操作性强，完全能满足采购人需求的，得</w:t>
            </w:r>
            <w:r>
              <w:rPr>
                <w:rFonts w:hint="eastAsia" w:ascii="宋体" w:hAnsi="宋体" w:cs="宋体"/>
                <w:color w:val="auto"/>
                <w:sz w:val="24"/>
                <w:lang w:val="en-US" w:eastAsia="zh-CN"/>
              </w:rPr>
              <w:t>5</w:t>
            </w:r>
            <w:r>
              <w:rPr>
                <w:rFonts w:hint="eastAsia" w:ascii="宋体" w:hAnsi="宋体" w:eastAsia="宋体" w:cs="宋体"/>
                <w:color w:val="auto"/>
                <w:sz w:val="24"/>
                <w:lang w:val="zh-CN"/>
              </w:rPr>
              <w:t>分；</w:t>
            </w:r>
          </w:p>
        </w:tc>
        <w:tc>
          <w:tcPr>
            <w:tcW w:w="105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分</w:t>
            </w:r>
          </w:p>
        </w:tc>
        <w:tc>
          <w:tcPr>
            <w:tcW w:w="963" w:type="dxa"/>
            <w:tcBorders>
              <w:top w:val="nil"/>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1089" w:hRule="atLeas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rPr>
            </w:pPr>
          </w:p>
        </w:tc>
        <w:tc>
          <w:tcPr>
            <w:tcW w:w="62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2</w:t>
            </w:r>
          </w:p>
        </w:tc>
        <w:tc>
          <w:tcPr>
            <w:tcW w:w="207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rPr>
            </w:pPr>
            <w:r>
              <w:rPr>
                <w:rFonts w:hint="eastAsia" w:ascii="宋体" w:hAnsi="宋体" w:eastAsia="宋体" w:cs="宋体"/>
                <w:color w:val="auto"/>
                <w:kern w:val="0"/>
                <w:sz w:val="24"/>
              </w:rPr>
              <w:t>安全保障措施</w:t>
            </w:r>
          </w:p>
        </w:tc>
        <w:tc>
          <w:tcPr>
            <w:tcW w:w="385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auto"/>
                <w:sz w:val="24"/>
                <w:lang w:eastAsia="zh-CN"/>
              </w:rPr>
            </w:pPr>
            <w:r>
              <w:rPr>
                <w:rFonts w:hint="eastAsia" w:ascii="宋体" w:hAnsi="宋体" w:eastAsia="宋体" w:cs="宋体"/>
                <w:color w:val="auto"/>
                <w:sz w:val="24"/>
              </w:rPr>
              <w:t>投标人提供详细的突发事件处理方案、安防措施、投诉处理、纠纷处理方案</w:t>
            </w:r>
            <w:r>
              <w:rPr>
                <w:rFonts w:hint="eastAsia" w:ascii="宋体" w:hAnsi="宋体" w:eastAsia="宋体" w:cs="宋体"/>
                <w:color w:val="auto"/>
                <w:sz w:val="24"/>
                <w:lang w:eastAsia="zh-CN"/>
              </w:rPr>
              <w:t>。</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未提供方案的，得0分；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方案描述较差或描述不完整的，得 </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方案基本完整，基本能满足采购人需求的，得</w:t>
            </w:r>
            <w:r>
              <w:rPr>
                <w:rFonts w:hint="eastAsia" w:ascii="宋体" w:hAnsi="宋体" w:cs="宋体"/>
                <w:color w:val="auto"/>
                <w:sz w:val="24"/>
                <w:lang w:val="en-US" w:eastAsia="zh-CN"/>
              </w:rPr>
              <w:t>2</w:t>
            </w:r>
            <w:r>
              <w:rPr>
                <w:rFonts w:hint="eastAsia" w:ascii="宋体" w:hAnsi="宋体" w:eastAsia="宋体" w:cs="宋体"/>
                <w:color w:val="auto"/>
                <w:sz w:val="24"/>
                <w:lang w:val="zh-CN"/>
              </w:rPr>
              <w:t>分；</w:t>
            </w:r>
          </w:p>
          <w:p>
            <w:pPr>
              <w:jc w:val="left"/>
              <w:rPr>
                <w:rFonts w:hint="eastAsia" w:ascii="宋体" w:hAnsi="宋体" w:eastAsia="宋体" w:cs="宋体"/>
                <w:b/>
                <w:bCs/>
                <w:color w:val="auto"/>
                <w:kern w:val="0"/>
                <w:sz w:val="24"/>
                <w:lang w:eastAsia="zh-CN"/>
              </w:rPr>
            </w:pPr>
            <w:r>
              <w:rPr>
                <w:rFonts w:hint="eastAsia" w:ascii="宋体" w:hAnsi="宋体" w:eastAsia="宋体" w:cs="宋体"/>
                <w:color w:val="auto"/>
                <w:sz w:val="24"/>
                <w:lang w:val="zh-CN"/>
              </w:rPr>
              <w:t>方案详细、完整、科学，可操作性强，完全能满足采购人需求的，得</w:t>
            </w:r>
            <w:r>
              <w:rPr>
                <w:rFonts w:hint="eastAsia" w:ascii="宋体" w:hAnsi="宋体" w:cs="宋体"/>
                <w:color w:val="auto"/>
                <w:sz w:val="24"/>
                <w:lang w:val="en-US" w:eastAsia="zh-CN"/>
              </w:rPr>
              <w:t>3</w:t>
            </w:r>
            <w:r>
              <w:rPr>
                <w:rFonts w:hint="eastAsia" w:ascii="宋体" w:hAnsi="宋体" w:eastAsia="宋体" w:cs="宋体"/>
                <w:color w:val="auto"/>
                <w:sz w:val="24"/>
                <w:lang w:val="zh-CN"/>
              </w:rPr>
              <w:t>分；</w:t>
            </w:r>
          </w:p>
        </w:tc>
        <w:tc>
          <w:tcPr>
            <w:tcW w:w="105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FFFFFF" w:fill="D9D9D9"/>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tc>
        <w:tc>
          <w:tcPr>
            <w:tcW w:w="963" w:type="dxa"/>
            <w:tcBorders>
              <w:top w:val="nil"/>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sz w:val="24"/>
                <w:shd w:val="clear" w:color="FFFFFF" w:fill="D9D9D9"/>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799" w:hRule="atLeas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rPr>
            </w:pPr>
          </w:p>
        </w:tc>
        <w:tc>
          <w:tcPr>
            <w:tcW w:w="624"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3</w:t>
            </w:r>
          </w:p>
        </w:tc>
        <w:tc>
          <w:tcPr>
            <w:tcW w:w="207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rPr>
            </w:pPr>
            <w:r>
              <w:rPr>
                <w:rFonts w:hint="eastAsia" w:ascii="宋体" w:hAnsi="宋体" w:eastAsia="宋体" w:cs="宋体"/>
                <w:color w:val="auto"/>
                <w:kern w:val="0"/>
                <w:sz w:val="24"/>
              </w:rPr>
              <w:t>增值服务（综合评定）</w:t>
            </w:r>
          </w:p>
        </w:tc>
        <w:tc>
          <w:tcPr>
            <w:tcW w:w="38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4"/>
              </w:rPr>
            </w:pPr>
            <w:r>
              <w:rPr>
                <w:rFonts w:hint="eastAsia" w:ascii="宋体" w:hAnsi="宋体" w:eastAsia="宋体" w:cs="宋体"/>
                <w:color w:val="auto"/>
                <w:kern w:val="0"/>
                <w:sz w:val="24"/>
              </w:rPr>
              <w:t>增值（特色）服务、优惠措施等</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未提供方案的，得0分；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方案描述较差或描述不完整的，得 </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分。</w:t>
            </w:r>
          </w:p>
          <w:p>
            <w:pPr>
              <w:jc w:val="lef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方案基本完整，基本能满足采购人需求的，得 </w:t>
            </w:r>
            <w:r>
              <w:rPr>
                <w:rFonts w:hint="eastAsia" w:ascii="宋体" w:hAnsi="宋体" w:cs="宋体"/>
                <w:color w:val="auto"/>
                <w:sz w:val="24"/>
                <w:lang w:val="en-US" w:eastAsia="zh-CN"/>
              </w:rPr>
              <w:t>2</w:t>
            </w:r>
            <w:r>
              <w:rPr>
                <w:rFonts w:hint="eastAsia" w:ascii="宋体" w:hAnsi="宋体" w:eastAsia="宋体" w:cs="宋体"/>
                <w:color w:val="auto"/>
                <w:sz w:val="24"/>
                <w:lang w:val="zh-CN"/>
              </w:rPr>
              <w:t>分；</w:t>
            </w:r>
          </w:p>
          <w:p>
            <w:pPr>
              <w:spacing w:line="280" w:lineRule="exact"/>
              <w:jc w:val="left"/>
              <w:rPr>
                <w:rFonts w:hint="eastAsia" w:ascii="宋体" w:hAnsi="宋体" w:eastAsia="宋体" w:cs="宋体"/>
                <w:color w:val="auto"/>
                <w:kern w:val="0"/>
                <w:sz w:val="24"/>
              </w:rPr>
            </w:pPr>
            <w:r>
              <w:rPr>
                <w:rFonts w:hint="eastAsia" w:ascii="宋体" w:hAnsi="宋体" w:eastAsia="宋体" w:cs="宋体"/>
                <w:color w:val="auto"/>
                <w:sz w:val="24"/>
                <w:lang w:val="zh-CN"/>
              </w:rPr>
              <w:t>方案详细、完整、科学，可操作性强，完全能满足采购人需求的，得</w:t>
            </w:r>
            <w:r>
              <w:rPr>
                <w:rFonts w:hint="eastAsia" w:ascii="宋体" w:hAnsi="宋体" w:cs="宋体"/>
                <w:color w:val="auto"/>
                <w:sz w:val="24"/>
                <w:lang w:val="en-US" w:eastAsia="zh-CN"/>
              </w:rPr>
              <w:t>3</w:t>
            </w:r>
            <w:r>
              <w:rPr>
                <w:rFonts w:hint="eastAsia" w:ascii="宋体" w:hAnsi="宋体" w:eastAsia="宋体" w:cs="宋体"/>
                <w:color w:val="auto"/>
                <w:sz w:val="24"/>
                <w:lang w:val="zh-CN"/>
              </w:rPr>
              <w:t>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分</w:t>
            </w:r>
          </w:p>
        </w:tc>
        <w:tc>
          <w:tcPr>
            <w:tcW w:w="963"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color w:val="auto"/>
                <w:sz w:val="24"/>
                <w:shd w:val="clear" w:color="FFFFFF" w:fill="D9D9D9"/>
              </w:rPr>
            </w:pPr>
            <w:r>
              <w:rPr>
                <w:rFonts w:hint="eastAsia" w:ascii="宋体" w:hAnsi="宋体" w:eastAsia="宋体" w:cs="宋体"/>
                <w:color w:val="auto"/>
                <w:kern w:val="0"/>
                <w:sz w:val="24"/>
              </w:rPr>
              <w:t>主观分</w:t>
            </w:r>
          </w:p>
        </w:tc>
      </w:tr>
      <w:tr>
        <w:tblPrEx>
          <w:tblCellMar>
            <w:top w:w="0" w:type="dxa"/>
            <w:left w:w="108" w:type="dxa"/>
            <w:bottom w:w="0" w:type="dxa"/>
            <w:right w:w="108" w:type="dxa"/>
          </w:tblCellMar>
        </w:tblPrEx>
        <w:trPr>
          <w:trHeight w:val="3192" w:hRule="atLeast"/>
          <w:jc w:val="center"/>
        </w:trPr>
        <w:tc>
          <w:tcPr>
            <w:tcW w:w="1030" w:type="dxa"/>
            <w:vMerge w:val="continue"/>
            <w:tcBorders>
              <w:left w:val="single" w:color="auto" w:sz="4" w:space="0"/>
              <w:bottom w:val="single" w:color="000000" w:sz="8" w:space="0"/>
              <w:right w:val="single" w:color="auto" w:sz="4" w:space="0"/>
            </w:tcBorders>
            <w:noWrap w:val="0"/>
            <w:vAlign w:val="center"/>
          </w:tcPr>
          <w:p>
            <w:pPr>
              <w:widowControl/>
              <w:jc w:val="left"/>
              <w:rPr>
                <w:rFonts w:hint="eastAsia" w:ascii="宋体" w:hAnsi="宋体" w:eastAsia="宋体" w:cs="宋体"/>
                <w:color w:val="auto"/>
                <w:kern w:val="0"/>
                <w:sz w:val="24"/>
              </w:rPr>
            </w:pPr>
          </w:p>
        </w:tc>
        <w:tc>
          <w:tcPr>
            <w:tcW w:w="62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4</w:t>
            </w:r>
          </w:p>
        </w:tc>
        <w:tc>
          <w:tcPr>
            <w:tcW w:w="2073" w:type="dxa"/>
            <w:tcBorders>
              <w:top w:val="single" w:color="auto" w:sz="4" w:space="0"/>
              <w:left w:val="nil"/>
              <w:bottom w:val="single" w:color="auto" w:sz="8" w:space="0"/>
              <w:right w:val="single" w:color="auto" w:sz="4" w:space="0"/>
            </w:tcBorders>
            <w:noWrap w:val="0"/>
            <w:vAlign w:val="center"/>
          </w:tcPr>
          <w:p>
            <w:pPr>
              <w:jc w:val="left"/>
              <w:rPr>
                <w:rFonts w:hint="eastAsia" w:ascii="宋体" w:hAnsi="宋体" w:eastAsia="宋体" w:cs="宋体"/>
                <w:color w:val="auto"/>
                <w:kern w:val="0"/>
                <w:sz w:val="24"/>
              </w:rPr>
            </w:pPr>
            <w:r>
              <w:rPr>
                <w:rFonts w:hint="eastAsia" w:ascii="宋体" w:hAnsi="宋体" w:eastAsia="宋体" w:cs="宋体"/>
                <w:color w:val="auto"/>
                <w:kern w:val="0"/>
                <w:sz w:val="24"/>
              </w:rPr>
              <w:t>旅行社责任险</w:t>
            </w:r>
          </w:p>
        </w:tc>
        <w:tc>
          <w:tcPr>
            <w:tcW w:w="3859" w:type="dxa"/>
            <w:tcBorders>
              <w:top w:val="single" w:color="auto" w:sz="4" w:space="0"/>
              <w:left w:val="nil"/>
              <w:bottom w:val="single" w:color="auto" w:sz="8" w:space="0"/>
              <w:right w:val="single" w:color="auto" w:sz="4" w:space="0"/>
            </w:tcBorders>
            <w:noWrap w:val="0"/>
            <w:vAlign w:val="center"/>
          </w:tcPr>
          <w:p>
            <w:pPr>
              <w:jc w:val="left"/>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责任险：</w:t>
            </w:r>
            <w:r>
              <w:rPr>
                <w:rFonts w:hint="eastAsia" w:ascii="宋体" w:hAnsi="宋体" w:eastAsia="宋体" w:cs="宋体"/>
                <w:color w:val="auto"/>
                <w:sz w:val="24"/>
                <w:lang w:val="zh-CN" w:eastAsia="zh-CN"/>
              </w:rPr>
              <w:t>每次事故累计责任限额2000万元及以上且每人责任限额150万/人及以上得3分；</w:t>
            </w:r>
          </w:p>
          <w:p>
            <w:pPr>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每次事故累计责任限额2000万（不含）-1500万元（含）且每人责任限额150万/人（不含）-100万元/人（含）得2分；</w:t>
            </w:r>
          </w:p>
          <w:p>
            <w:pPr>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每次事故累计责任限额1500（不含）万元</w:t>
            </w:r>
            <w:r>
              <w:rPr>
                <w:rFonts w:hint="eastAsia" w:ascii="宋体" w:hAnsi="宋体" w:eastAsia="宋体" w:cs="宋体"/>
                <w:color w:val="auto"/>
                <w:sz w:val="24"/>
                <w:lang w:val="en-US" w:eastAsia="zh-CN"/>
              </w:rPr>
              <w:t>以下</w:t>
            </w:r>
            <w:r>
              <w:rPr>
                <w:rFonts w:hint="default" w:ascii="宋体" w:hAnsi="宋体" w:eastAsia="宋体" w:cs="宋体"/>
                <w:color w:val="auto"/>
                <w:sz w:val="24"/>
                <w:lang w:val="en-US" w:eastAsia="zh-CN"/>
              </w:rPr>
              <w:t>且</w:t>
            </w:r>
            <w:r>
              <w:rPr>
                <w:rFonts w:hint="eastAsia" w:ascii="宋体" w:hAnsi="宋体" w:eastAsia="宋体" w:cs="宋体"/>
                <w:color w:val="auto"/>
                <w:sz w:val="24"/>
                <w:lang w:val="zh-CN" w:eastAsia="zh-CN"/>
              </w:rPr>
              <w:t>每人责任限额100万/人及</w:t>
            </w:r>
            <w:r>
              <w:rPr>
                <w:rFonts w:hint="eastAsia" w:ascii="宋体" w:hAnsi="宋体" w:eastAsia="宋体" w:cs="宋体"/>
                <w:color w:val="auto"/>
                <w:sz w:val="24"/>
                <w:lang w:val="en-US" w:eastAsia="zh-CN"/>
              </w:rPr>
              <w:t>以下</w:t>
            </w:r>
            <w:r>
              <w:rPr>
                <w:rFonts w:hint="eastAsia" w:ascii="宋体" w:hAnsi="宋体" w:eastAsia="宋体" w:cs="宋体"/>
                <w:color w:val="auto"/>
                <w:sz w:val="24"/>
                <w:lang w:val="zh-CN" w:eastAsia="zh-CN"/>
              </w:rPr>
              <w:t>得1分。（</w:t>
            </w:r>
            <w:r>
              <w:rPr>
                <w:rFonts w:hint="eastAsia" w:ascii="宋体" w:hAnsi="宋体" w:eastAsia="宋体" w:cs="宋体"/>
                <w:color w:val="auto"/>
                <w:sz w:val="24"/>
                <w:lang w:val="en-US" w:eastAsia="zh-CN"/>
              </w:rPr>
              <w:t>按最高分计，不累计加分）</w:t>
            </w:r>
          </w:p>
          <w:p>
            <w:pPr>
              <w:jc w:val="left"/>
              <w:rPr>
                <w:rFonts w:hint="eastAsia" w:ascii="宋体" w:hAnsi="宋体" w:eastAsia="宋体" w:cs="宋体"/>
                <w:color w:val="auto"/>
                <w:sz w:val="24"/>
              </w:rPr>
            </w:pPr>
          </w:p>
        </w:tc>
        <w:tc>
          <w:tcPr>
            <w:tcW w:w="1054"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tc>
        <w:tc>
          <w:tcPr>
            <w:tcW w:w="963" w:type="dxa"/>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客观分</w:t>
            </w:r>
          </w:p>
        </w:tc>
      </w:tr>
    </w:tbl>
    <w:p>
      <w:pPr>
        <w:spacing w:line="360" w:lineRule="auto"/>
        <w:rPr>
          <w:rFonts w:hint="eastAsia" w:ascii="宋体" w:hAnsi="宋体" w:eastAsia="宋体" w:cs="宋体"/>
          <w:b/>
          <w:color w:val="auto"/>
        </w:rPr>
      </w:pPr>
      <w:r>
        <w:rPr>
          <w:rFonts w:hint="eastAsia" w:ascii="宋体" w:hAnsi="宋体" w:eastAsia="宋体" w:cs="宋体"/>
          <w:b/>
          <w:color w:val="auto"/>
        </w:rPr>
        <w:t>价格分（</w:t>
      </w:r>
      <w:r>
        <w:rPr>
          <w:rFonts w:hint="eastAsia" w:ascii="宋体" w:hAnsi="宋体" w:eastAsia="宋体" w:cs="宋体"/>
          <w:b/>
          <w:color w:val="auto"/>
          <w:lang w:val="en-US" w:eastAsia="zh-CN"/>
        </w:rPr>
        <w:t>10</w:t>
      </w:r>
      <w:r>
        <w:rPr>
          <w:rFonts w:hint="eastAsia" w:ascii="宋体" w:hAnsi="宋体" w:eastAsia="宋体" w:cs="宋体"/>
          <w:b/>
          <w:color w:val="auto"/>
        </w:rPr>
        <w:t>分）</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pacing w:after="0"/>
              <w:rPr>
                <w:rFonts w:hint="eastAsia" w:ascii="宋体" w:hAnsi="宋体" w:eastAsia="宋体" w:cs="宋体"/>
                <w:color w:val="auto"/>
              </w:rPr>
            </w:pPr>
            <w:r>
              <w:rPr>
                <w:rFonts w:hint="eastAsia" w:ascii="宋体" w:hAnsi="宋体" w:eastAsia="宋体" w:cs="宋体"/>
                <w:color w:val="auto"/>
              </w:rPr>
              <w:t>价格分</w:t>
            </w:r>
          </w:p>
        </w:tc>
        <w:tc>
          <w:tcPr>
            <w:tcW w:w="553" w:type="dxa"/>
            <w:vAlign w:val="center"/>
          </w:tcPr>
          <w:p>
            <w:pPr>
              <w:pStyle w:val="259"/>
              <w:numPr>
                <w:ilvl w:val="0"/>
                <w:numId w:val="0"/>
              </w:numPr>
              <w:spacing w:after="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15</w:t>
            </w:r>
          </w:p>
        </w:tc>
        <w:tc>
          <w:tcPr>
            <w:tcW w:w="2126" w:type="dxa"/>
            <w:vAlign w:val="center"/>
          </w:tcPr>
          <w:p>
            <w:pPr>
              <w:spacing w:after="0"/>
              <w:rPr>
                <w:rFonts w:hint="eastAsia" w:ascii="宋体" w:hAnsi="宋体" w:eastAsia="宋体" w:cs="宋体"/>
                <w:color w:val="auto"/>
              </w:rPr>
            </w:pPr>
            <w:r>
              <w:rPr>
                <w:rFonts w:hint="eastAsia" w:ascii="宋体" w:hAnsi="宋体" w:eastAsia="宋体" w:cs="宋体"/>
                <w:color w:val="auto"/>
              </w:rPr>
              <w:t>价格权值</w:t>
            </w:r>
          </w:p>
        </w:tc>
        <w:tc>
          <w:tcPr>
            <w:tcW w:w="4394" w:type="dxa"/>
          </w:tcPr>
          <w:p>
            <w:pPr>
              <w:spacing w:after="0" w:line="360" w:lineRule="auto"/>
              <w:rPr>
                <w:rFonts w:hint="eastAsia" w:ascii="宋体" w:hAnsi="宋体" w:eastAsia="宋体" w:cs="宋体"/>
                <w:color w:val="auto"/>
              </w:rPr>
            </w:pPr>
            <w:r>
              <w:rPr>
                <w:rFonts w:hint="eastAsia" w:ascii="宋体" w:hAnsi="宋体" w:eastAsia="宋体" w:cs="宋体"/>
                <w:color w:val="auto"/>
              </w:rPr>
              <w:t>最低有效投标价格为评标基准价</w:t>
            </w:r>
          </w:p>
          <w:p>
            <w:pPr>
              <w:spacing w:after="0" w:line="360" w:lineRule="auto"/>
              <w:rPr>
                <w:rFonts w:hint="eastAsia" w:ascii="宋体" w:hAnsi="宋体" w:eastAsia="宋体" w:cs="宋体"/>
                <w:color w:val="auto"/>
              </w:rPr>
            </w:pPr>
            <w:r>
              <w:rPr>
                <w:rFonts w:hint="eastAsia" w:ascii="宋体" w:hAnsi="宋体" w:eastAsia="宋体" w:cs="宋体"/>
                <w:color w:val="auto"/>
              </w:rPr>
              <w:t xml:space="preserve">投标报价得分=(评标基准价／投标报价)×价格权值×100 </w:t>
            </w:r>
          </w:p>
          <w:p>
            <w:pPr>
              <w:spacing w:after="0"/>
              <w:rPr>
                <w:rFonts w:hint="eastAsia" w:ascii="宋体" w:hAnsi="宋体" w:eastAsia="宋体" w:cs="宋体"/>
                <w:color w:val="auto"/>
              </w:rPr>
            </w:pPr>
            <w:r>
              <w:rPr>
                <w:rFonts w:hint="eastAsia" w:ascii="宋体" w:hAnsi="宋体" w:eastAsia="宋体" w:cs="宋体"/>
                <w:color w:val="auto"/>
              </w:rPr>
              <w:t>（计算得分保留小数点后2位）</w:t>
            </w:r>
          </w:p>
        </w:tc>
        <w:tc>
          <w:tcPr>
            <w:tcW w:w="709" w:type="dxa"/>
            <w:vAlign w:val="center"/>
          </w:tcPr>
          <w:p>
            <w:pPr>
              <w:spacing w:after="0"/>
              <w:rPr>
                <w:rFonts w:hint="eastAsia" w:ascii="宋体" w:hAnsi="宋体" w:eastAsia="宋体" w:cs="宋体"/>
                <w:color w:val="auto"/>
                <w:lang w:val="en-US" w:eastAsia="zh-CN"/>
              </w:rPr>
            </w:pPr>
            <w:r>
              <w:rPr>
                <w:rFonts w:hint="eastAsia" w:ascii="宋体" w:hAnsi="宋体" w:eastAsia="宋体" w:cs="宋体"/>
                <w:color w:val="auto"/>
                <w:lang w:val="en-US" w:eastAsia="zh-CN"/>
              </w:rPr>
              <w:t>10</w:t>
            </w:r>
          </w:p>
        </w:tc>
        <w:tc>
          <w:tcPr>
            <w:tcW w:w="850" w:type="dxa"/>
            <w:vAlign w:val="center"/>
          </w:tcPr>
          <w:p>
            <w:pPr>
              <w:spacing w:after="0"/>
              <w:rPr>
                <w:rFonts w:hint="eastAsia" w:ascii="宋体" w:hAnsi="宋体" w:eastAsia="宋体" w:cs="宋体"/>
                <w:color w:val="auto"/>
              </w:rPr>
            </w:pPr>
          </w:p>
        </w:tc>
      </w:tr>
    </w:tbl>
    <w:p>
      <w:pPr>
        <w:rPr>
          <w:rFonts w:hint="eastAsia"/>
          <w:color w:val="auto"/>
          <w:highlight w:val="none"/>
          <w:lang w:val="en-US" w:eastAsia="zh-CN"/>
        </w:rPr>
      </w:pPr>
    </w:p>
    <w:p>
      <w:pPr>
        <w:rPr>
          <w:rFonts w:hint="eastAsia"/>
          <w:color w:val="auto"/>
          <w:highlight w:val="none"/>
          <w:lang w:val="en-US" w:eastAsia="zh-CN"/>
        </w:rPr>
      </w:pPr>
    </w:p>
    <w:p>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cs="仿宋_GB2312"/>
          <w:color w:val="auto"/>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3"/>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color w:val="auto"/>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3"/>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3"/>
        <w:rPr>
          <w:color w:val="auto"/>
          <w:highlight w:val="none"/>
        </w:rPr>
      </w:pPr>
    </w:p>
    <w:p>
      <w:pPr>
        <w:spacing w:line="360" w:lineRule="auto"/>
        <w:jc w:val="center"/>
        <w:rPr>
          <w:rFonts w:ascii="宋体" w:hAnsi="宋体" w:cs="宋体"/>
          <w:b/>
          <w:color w:val="auto"/>
          <w:sz w:val="32"/>
          <w:szCs w:val="32"/>
          <w:highlight w:val="none"/>
        </w:rPr>
      </w:pPr>
    </w:p>
    <w:p>
      <w:pPr>
        <w:pStyle w:val="3"/>
        <w:rPr>
          <w:color w:val="auto"/>
          <w:highlight w:val="none"/>
        </w:rPr>
      </w:pP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64085800"/>
    <w:bookmarkStart w:id="403" w:name="_Toc131845147"/>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TZjNGMwYTE1OTM4NzljZGQ2YzFhZGY0ZDg2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26A67"/>
    <w:rsid w:val="04076900"/>
    <w:rsid w:val="041A5A3B"/>
    <w:rsid w:val="042311BA"/>
    <w:rsid w:val="042A28FC"/>
    <w:rsid w:val="042B157A"/>
    <w:rsid w:val="048F763B"/>
    <w:rsid w:val="049F330E"/>
    <w:rsid w:val="04AA775C"/>
    <w:rsid w:val="04AF1889"/>
    <w:rsid w:val="04F66F48"/>
    <w:rsid w:val="05043453"/>
    <w:rsid w:val="051303DF"/>
    <w:rsid w:val="05251E14"/>
    <w:rsid w:val="05A16594"/>
    <w:rsid w:val="05A7762D"/>
    <w:rsid w:val="060E5941"/>
    <w:rsid w:val="06110FAF"/>
    <w:rsid w:val="06493CA7"/>
    <w:rsid w:val="065A6178"/>
    <w:rsid w:val="066F1CF3"/>
    <w:rsid w:val="06930BB8"/>
    <w:rsid w:val="07245D42"/>
    <w:rsid w:val="07264C62"/>
    <w:rsid w:val="0764344E"/>
    <w:rsid w:val="076F3599"/>
    <w:rsid w:val="0779354C"/>
    <w:rsid w:val="08061376"/>
    <w:rsid w:val="08452D77"/>
    <w:rsid w:val="084B5C8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42B8C"/>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94E1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F269D"/>
    <w:rsid w:val="0F515DF7"/>
    <w:rsid w:val="0F5613B9"/>
    <w:rsid w:val="0F596BA8"/>
    <w:rsid w:val="0F6248D2"/>
    <w:rsid w:val="0F693536"/>
    <w:rsid w:val="0F7B0511"/>
    <w:rsid w:val="0F7B76D9"/>
    <w:rsid w:val="0F816ACD"/>
    <w:rsid w:val="0F9832DB"/>
    <w:rsid w:val="0FBF3FD2"/>
    <w:rsid w:val="0FBF7FF3"/>
    <w:rsid w:val="101C355F"/>
    <w:rsid w:val="10646583"/>
    <w:rsid w:val="107D4B15"/>
    <w:rsid w:val="10884FAF"/>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724F6"/>
    <w:rsid w:val="12883966"/>
    <w:rsid w:val="129E45B4"/>
    <w:rsid w:val="12D81596"/>
    <w:rsid w:val="13072A44"/>
    <w:rsid w:val="135F4BE2"/>
    <w:rsid w:val="139B1A0A"/>
    <w:rsid w:val="139D25C7"/>
    <w:rsid w:val="13A02726"/>
    <w:rsid w:val="13BF3CE4"/>
    <w:rsid w:val="141008D8"/>
    <w:rsid w:val="14125FE6"/>
    <w:rsid w:val="146D271E"/>
    <w:rsid w:val="14982588"/>
    <w:rsid w:val="149A5AD9"/>
    <w:rsid w:val="14A7619D"/>
    <w:rsid w:val="150536C3"/>
    <w:rsid w:val="150C1963"/>
    <w:rsid w:val="151447A0"/>
    <w:rsid w:val="154A6454"/>
    <w:rsid w:val="155E641B"/>
    <w:rsid w:val="15762120"/>
    <w:rsid w:val="15C10692"/>
    <w:rsid w:val="1632430B"/>
    <w:rsid w:val="16A8729C"/>
    <w:rsid w:val="16B33777"/>
    <w:rsid w:val="16BC70A7"/>
    <w:rsid w:val="16C6339E"/>
    <w:rsid w:val="172F2D79"/>
    <w:rsid w:val="17557BEF"/>
    <w:rsid w:val="17AD71CD"/>
    <w:rsid w:val="17D349C1"/>
    <w:rsid w:val="1801309D"/>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13AC7"/>
    <w:rsid w:val="1AB8220E"/>
    <w:rsid w:val="1AE4166C"/>
    <w:rsid w:val="1AF06CFB"/>
    <w:rsid w:val="1AF11B8D"/>
    <w:rsid w:val="1B11359C"/>
    <w:rsid w:val="1B2A271F"/>
    <w:rsid w:val="1B530544"/>
    <w:rsid w:val="1B713184"/>
    <w:rsid w:val="1BA209CF"/>
    <w:rsid w:val="1BB4777D"/>
    <w:rsid w:val="1BD75AB8"/>
    <w:rsid w:val="1C0459C2"/>
    <w:rsid w:val="1C1B3B4A"/>
    <w:rsid w:val="1C5A0892"/>
    <w:rsid w:val="1C88086E"/>
    <w:rsid w:val="1CBE05B7"/>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4A3163"/>
    <w:rsid w:val="1F5771FF"/>
    <w:rsid w:val="1F5D4A2E"/>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4F1289"/>
    <w:rsid w:val="258B00E2"/>
    <w:rsid w:val="25A917A6"/>
    <w:rsid w:val="25BE27CC"/>
    <w:rsid w:val="25F74A5C"/>
    <w:rsid w:val="260F306D"/>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948B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85523E"/>
    <w:rsid w:val="2BA50BF7"/>
    <w:rsid w:val="2BBF00EC"/>
    <w:rsid w:val="2BC37CFD"/>
    <w:rsid w:val="2BD5237F"/>
    <w:rsid w:val="2BE536CE"/>
    <w:rsid w:val="2BE758D9"/>
    <w:rsid w:val="2C09049E"/>
    <w:rsid w:val="2C0A653C"/>
    <w:rsid w:val="2C191F85"/>
    <w:rsid w:val="2CE82D6F"/>
    <w:rsid w:val="2D343236"/>
    <w:rsid w:val="2D9102EF"/>
    <w:rsid w:val="2DD15014"/>
    <w:rsid w:val="2DF72DE4"/>
    <w:rsid w:val="2E0220AF"/>
    <w:rsid w:val="2E4B082A"/>
    <w:rsid w:val="2E5D4E86"/>
    <w:rsid w:val="2E5D790B"/>
    <w:rsid w:val="2E9A3C18"/>
    <w:rsid w:val="2EBB0FEE"/>
    <w:rsid w:val="2EC63002"/>
    <w:rsid w:val="2F070BCC"/>
    <w:rsid w:val="2F0A6B38"/>
    <w:rsid w:val="2F342749"/>
    <w:rsid w:val="2F3B560E"/>
    <w:rsid w:val="2F946CCB"/>
    <w:rsid w:val="2FD25781"/>
    <w:rsid w:val="2FDC745C"/>
    <w:rsid w:val="2FFD7934"/>
    <w:rsid w:val="30733ACD"/>
    <w:rsid w:val="308C3862"/>
    <w:rsid w:val="309379D8"/>
    <w:rsid w:val="30A151F9"/>
    <w:rsid w:val="30A270F7"/>
    <w:rsid w:val="30AF1D0B"/>
    <w:rsid w:val="30DF1478"/>
    <w:rsid w:val="30EC586F"/>
    <w:rsid w:val="314550B7"/>
    <w:rsid w:val="319C6071"/>
    <w:rsid w:val="31AC537E"/>
    <w:rsid w:val="31E3679B"/>
    <w:rsid w:val="31E732FD"/>
    <w:rsid w:val="32517576"/>
    <w:rsid w:val="326E63CA"/>
    <w:rsid w:val="32BE5C2C"/>
    <w:rsid w:val="32FB6478"/>
    <w:rsid w:val="33263B3F"/>
    <w:rsid w:val="336963EB"/>
    <w:rsid w:val="33816EEB"/>
    <w:rsid w:val="33910AAB"/>
    <w:rsid w:val="33EB55CD"/>
    <w:rsid w:val="33EC4C02"/>
    <w:rsid w:val="340D2360"/>
    <w:rsid w:val="3410665D"/>
    <w:rsid w:val="34211214"/>
    <w:rsid w:val="342A2472"/>
    <w:rsid w:val="342E63AB"/>
    <w:rsid w:val="34950E68"/>
    <w:rsid w:val="34986E94"/>
    <w:rsid w:val="34AF62C9"/>
    <w:rsid w:val="34CB4388"/>
    <w:rsid w:val="34FA6E12"/>
    <w:rsid w:val="35056E5A"/>
    <w:rsid w:val="350742A0"/>
    <w:rsid w:val="352011B6"/>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8579B"/>
    <w:rsid w:val="38BC0149"/>
    <w:rsid w:val="38D87D1C"/>
    <w:rsid w:val="39416E46"/>
    <w:rsid w:val="39636459"/>
    <w:rsid w:val="396B7F6C"/>
    <w:rsid w:val="39A959E1"/>
    <w:rsid w:val="39B417A9"/>
    <w:rsid w:val="39FC5695"/>
    <w:rsid w:val="3A006D8E"/>
    <w:rsid w:val="3A3651E5"/>
    <w:rsid w:val="3A744481"/>
    <w:rsid w:val="3A8C7BEF"/>
    <w:rsid w:val="3A906246"/>
    <w:rsid w:val="3ADD2481"/>
    <w:rsid w:val="3AF7E610"/>
    <w:rsid w:val="3B2349B7"/>
    <w:rsid w:val="3B616CFF"/>
    <w:rsid w:val="3B6259F6"/>
    <w:rsid w:val="3B976654"/>
    <w:rsid w:val="3B996655"/>
    <w:rsid w:val="3BC01EFC"/>
    <w:rsid w:val="3BCA786A"/>
    <w:rsid w:val="3BCD1C87"/>
    <w:rsid w:val="3BD31E2F"/>
    <w:rsid w:val="3BF15831"/>
    <w:rsid w:val="3BFF627B"/>
    <w:rsid w:val="3C105946"/>
    <w:rsid w:val="3C471448"/>
    <w:rsid w:val="3C5F759A"/>
    <w:rsid w:val="3C6C525A"/>
    <w:rsid w:val="3CCE23CB"/>
    <w:rsid w:val="3CD17D17"/>
    <w:rsid w:val="3D107AC3"/>
    <w:rsid w:val="3D3C7F39"/>
    <w:rsid w:val="3D440F09"/>
    <w:rsid w:val="3D4504A0"/>
    <w:rsid w:val="3D8734BB"/>
    <w:rsid w:val="3D990703"/>
    <w:rsid w:val="3D9A11D4"/>
    <w:rsid w:val="3DA16D89"/>
    <w:rsid w:val="3DA364BE"/>
    <w:rsid w:val="3DE041CB"/>
    <w:rsid w:val="3E0D48F6"/>
    <w:rsid w:val="3E1868B4"/>
    <w:rsid w:val="3E377251"/>
    <w:rsid w:val="3E42664B"/>
    <w:rsid w:val="3E5A7334"/>
    <w:rsid w:val="3E79045C"/>
    <w:rsid w:val="3E7B5D6B"/>
    <w:rsid w:val="3E843E66"/>
    <w:rsid w:val="3E8F51FE"/>
    <w:rsid w:val="3E926F87"/>
    <w:rsid w:val="3E9A59DE"/>
    <w:rsid w:val="3EAF4836"/>
    <w:rsid w:val="3EC33DFA"/>
    <w:rsid w:val="3EF9DF22"/>
    <w:rsid w:val="3F060E16"/>
    <w:rsid w:val="3F1D1096"/>
    <w:rsid w:val="3F1F0523"/>
    <w:rsid w:val="3F2F0234"/>
    <w:rsid w:val="3F3D66CD"/>
    <w:rsid w:val="3F5549FC"/>
    <w:rsid w:val="3F6363FE"/>
    <w:rsid w:val="3F756B8F"/>
    <w:rsid w:val="3F77BA1B"/>
    <w:rsid w:val="3F95482B"/>
    <w:rsid w:val="3FE52E72"/>
    <w:rsid w:val="3FF96FCA"/>
    <w:rsid w:val="4019356B"/>
    <w:rsid w:val="40592157"/>
    <w:rsid w:val="406E1CAE"/>
    <w:rsid w:val="40A0133A"/>
    <w:rsid w:val="40C31A53"/>
    <w:rsid w:val="40FF545D"/>
    <w:rsid w:val="410067C8"/>
    <w:rsid w:val="41205969"/>
    <w:rsid w:val="418F0D2A"/>
    <w:rsid w:val="41D01505"/>
    <w:rsid w:val="42474939"/>
    <w:rsid w:val="424C3C57"/>
    <w:rsid w:val="42613FF3"/>
    <w:rsid w:val="42660D96"/>
    <w:rsid w:val="428667D2"/>
    <w:rsid w:val="42CD1CE0"/>
    <w:rsid w:val="42D713EB"/>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D3951"/>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C61F3D"/>
    <w:rsid w:val="4AEB7664"/>
    <w:rsid w:val="4AFD7C19"/>
    <w:rsid w:val="4B0567D1"/>
    <w:rsid w:val="4B236AAE"/>
    <w:rsid w:val="4B363761"/>
    <w:rsid w:val="4B707271"/>
    <w:rsid w:val="4B9739F7"/>
    <w:rsid w:val="4BEE2503"/>
    <w:rsid w:val="4C245A30"/>
    <w:rsid w:val="4C2F0EC7"/>
    <w:rsid w:val="4C671F5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61560"/>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363D0"/>
    <w:rsid w:val="549F3EC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F08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767C7"/>
    <w:rsid w:val="58917D2F"/>
    <w:rsid w:val="5894085C"/>
    <w:rsid w:val="58AE4F0C"/>
    <w:rsid w:val="58B85899"/>
    <w:rsid w:val="58E363A9"/>
    <w:rsid w:val="595E1678"/>
    <w:rsid w:val="596D5BD4"/>
    <w:rsid w:val="597E3DD8"/>
    <w:rsid w:val="59D92186"/>
    <w:rsid w:val="59E75F0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7E26C"/>
    <w:rsid w:val="5EFC7377"/>
    <w:rsid w:val="5F06174D"/>
    <w:rsid w:val="5F3A3602"/>
    <w:rsid w:val="5F45733B"/>
    <w:rsid w:val="5F6277C6"/>
    <w:rsid w:val="5F6D0B1D"/>
    <w:rsid w:val="5F8D0B82"/>
    <w:rsid w:val="5FCC5339"/>
    <w:rsid w:val="5FE34A5B"/>
    <w:rsid w:val="5FE7074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7B1AF3"/>
    <w:rsid w:val="63880DDC"/>
    <w:rsid w:val="638D750D"/>
    <w:rsid w:val="63AC6CC0"/>
    <w:rsid w:val="64055776"/>
    <w:rsid w:val="641A7B46"/>
    <w:rsid w:val="64240056"/>
    <w:rsid w:val="643A3D28"/>
    <w:rsid w:val="643E143A"/>
    <w:rsid w:val="64491666"/>
    <w:rsid w:val="648B6EEF"/>
    <w:rsid w:val="64C158BF"/>
    <w:rsid w:val="64CE2EAA"/>
    <w:rsid w:val="65046244"/>
    <w:rsid w:val="65294DFC"/>
    <w:rsid w:val="653C3090"/>
    <w:rsid w:val="65854376"/>
    <w:rsid w:val="658767BE"/>
    <w:rsid w:val="65892531"/>
    <w:rsid w:val="66195831"/>
    <w:rsid w:val="662E75B1"/>
    <w:rsid w:val="66342C2E"/>
    <w:rsid w:val="663E784C"/>
    <w:rsid w:val="668B6A45"/>
    <w:rsid w:val="66B90D0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A4B93"/>
    <w:rsid w:val="68B96DBB"/>
    <w:rsid w:val="68CA2805"/>
    <w:rsid w:val="68E937A3"/>
    <w:rsid w:val="691664E5"/>
    <w:rsid w:val="693E15D3"/>
    <w:rsid w:val="69627681"/>
    <w:rsid w:val="6977531D"/>
    <w:rsid w:val="699833FF"/>
    <w:rsid w:val="69CA569E"/>
    <w:rsid w:val="69CC2BFF"/>
    <w:rsid w:val="69FD55B8"/>
    <w:rsid w:val="6A0B1C62"/>
    <w:rsid w:val="6A2406C8"/>
    <w:rsid w:val="6ADE0BD1"/>
    <w:rsid w:val="6AE96859"/>
    <w:rsid w:val="6B147746"/>
    <w:rsid w:val="6B24787C"/>
    <w:rsid w:val="6B573233"/>
    <w:rsid w:val="6B5B2936"/>
    <w:rsid w:val="6B5B6274"/>
    <w:rsid w:val="6B935D53"/>
    <w:rsid w:val="6BFB7BD7"/>
    <w:rsid w:val="6BFC1BB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4427D"/>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3F37B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C4B89"/>
    <w:rsid w:val="76360227"/>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333F"/>
    <w:rsid w:val="79E27E8B"/>
    <w:rsid w:val="79F850CE"/>
    <w:rsid w:val="79FD443C"/>
    <w:rsid w:val="7A1D1975"/>
    <w:rsid w:val="7A3E5150"/>
    <w:rsid w:val="7A4670D6"/>
    <w:rsid w:val="7A534B63"/>
    <w:rsid w:val="7A615382"/>
    <w:rsid w:val="7A67303B"/>
    <w:rsid w:val="7A7B2E21"/>
    <w:rsid w:val="7AAB1D04"/>
    <w:rsid w:val="7ABA4368"/>
    <w:rsid w:val="7AD05746"/>
    <w:rsid w:val="7B257FFD"/>
    <w:rsid w:val="7B273D20"/>
    <w:rsid w:val="7B343476"/>
    <w:rsid w:val="7B5A2978"/>
    <w:rsid w:val="7B5A7E4C"/>
    <w:rsid w:val="7B667AF9"/>
    <w:rsid w:val="7B7468F8"/>
    <w:rsid w:val="7BDD13B2"/>
    <w:rsid w:val="7BEE0103"/>
    <w:rsid w:val="7BF665B2"/>
    <w:rsid w:val="7C0A0FE4"/>
    <w:rsid w:val="7C254906"/>
    <w:rsid w:val="7C590818"/>
    <w:rsid w:val="7C7C10F6"/>
    <w:rsid w:val="7C853BEA"/>
    <w:rsid w:val="7C881368"/>
    <w:rsid w:val="7CE27788"/>
    <w:rsid w:val="7D0C32F1"/>
    <w:rsid w:val="7D0F408D"/>
    <w:rsid w:val="7D491C6C"/>
    <w:rsid w:val="7D5429C0"/>
    <w:rsid w:val="7D6E6D43"/>
    <w:rsid w:val="7DB57A34"/>
    <w:rsid w:val="7DBE3FA3"/>
    <w:rsid w:val="7DE60973"/>
    <w:rsid w:val="7DEDD296"/>
    <w:rsid w:val="7DEF0916"/>
    <w:rsid w:val="7DF357AD"/>
    <w:rsid w:val="7E1E5218"/>
    <w:rsid w:val="7E9A4E1F"/>
    <w:rsid w:val="7EA7723A"/>
    <w:rsid w:val="7EF56FBB"/>
    <w:rsid w:val="7F0768EB"/>
    <w:rsid w:val="7F143BEC"/>
    <w:rsid w:val="7F715AF2"/>
    <w:rsid w:val="7F886E69"/>
    <w:rsid w:val="AEFE5E36"/>
    <w:rsid w:val="BB7FA927"/>
    <w:rsid w:val="BF560A1E"/>
    <w:rsid w:val="BFBF9F78"/>
    <w:rsid w:val="C543CA59"/>
    <w:rsid w:val="E69F0258"/>
    <w:rsid w:val="EFFE3E67"/>
    <w:rsid w:val="F1FFBFF6"/>
    <w:rsid w:val="F5FFD31F"/>
    <w:rsid w:val="FDA76847"/>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6"/>
    <w:autoRedefine/>
    <w:qFormat/>
    <w:uiPriority w:val="0"/>
    <w:rPr>
      <w:rFonts w:ascii="宋体" w:hAnsi="Courier New" w:cs="Arial"/>
      <w:snapToGrid w:val="0"/>
      <w:szCs w:val="21"/>
    </w:rPr>
  </w:style>
  <w:style w:type="paragraph" w:styleId="33">
    <w:name w:val="Date"/>
    <w:basedOn w:val="1"/>
    <w:next w:val="1"/>
    <w:link w:val="182"/>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link w:val="322"/>
    <w:autoRedefine/>
    <w:qFormat/>
    <w:uiPriority w:val="0"/>
    <w:pPr>
      <w:ind w:firstLine="420"/>
    </w:pPr>
    <w:rPr>
      <w:rFonts w:hAnsi="Calibri" w:cs="Times New Roman"/>
      <w:snapToGrid/>
      <w:szCs w:val="20"/>
    </w:rPr>
  </w:style>
  <w:style w:type="paragraph" w:styleId="61">
    <w:name w:val="Body Text First Indent 2"/>
    <w:basedOn w:val="24"/>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1"/>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3"/>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66</Pages>
  <Words>31983</Words>
  <Characters>33847</Characters>
  <Lines>281</Lines>
  <Paragraphs>79</Paragraphs>
  <TotalTime>17</TotalTime>
  <ScaleCrop>false</ScaleCrop>
  <LinksUpToDate>false</LinksUpToDate>
  <CharactersWithSpaces>38223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北极熊不吃鱼</cp:lastModifiedBy>
  <cp:lastPrinted>2024-01-23T13:35:00Z</cp:lastPrinted>
  <dcterms:modified xsi:type="dcterms:W3CDTF">2024-05-14T10:34:46Z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E60AE4F9EA1C4B1280E1F51C8C3D54E8_13</vt:lpwstr>
  </property>
</Properties>
</file>