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center"/>
        <w:rPr>
          <w:rFonts w:hint="eastAsia" w:ascii="宋体" w:hAnsi="宋体" w:cs="宋体"/>
          <w:sz w:val="48"/>
          <w:szCs w:val="48"/>
          <w:lang w:eastAsia="zh-CN"/>
        </w:rPr>
      </w:pPr>
      <w:r>
        <w:rPr>
          <w:rFonts w:hint="eastAsia" w:ascii="宋体" w:hAnsi="宋体" w:cs="宋体"/>
          <w:sz w:val="48"/>
          <w:szCs w:val="48"/>
          <w:lang w:eastAsia="zh-CN"/>
        </w:rPr>
        <w:t>滨江区长河街道“美丽杭州”及数字城管案件处理服务项目</w:t>
      </w:r>
    </w:p>
    <w:p>
      <w:pPr>
        <w:adjustRightInd/>
        <w:spacing w:line="360" w:lineRule="auto"/>
        <w:jc w:val="center"/>
        <w:rPr>
          <w:rFonts w:hint="eastAsia" w:ascii="宋体" w:hAnsi="宋体" w:eastAsia="宋体" w:cs="宋体"/>
          <w:sz w:val="48"/>
          <w:szCs w:val="48"/>
          <w:lang w:eastAsia="zh-CN"/>
        </w:rPr>
      </w:pPr>
      <w:r>
        <w:rPr>
          <w:rFonts w:hint="eastAsia" w:ascii="宋体" w:hAnsi="宋体" w:cs="宋体"/>
          <w:sz w:val="48"/>
          <w:szCs w:val="48"/>
          <w:lang w:eastAsia="zh-CN"/>
        </w:rPr>
        <w:t>（江南大道以南，铁路以北区块）</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w:t>
      </w:r>
      <w:r>
        <w:rPr>
          <w:rFonts w:hint="eastAsia" w:ascii="宋体" w:hAnsi="宋体" w:cs="宋体"/>
          <w:sz w:val="30"/>
          <w:szCs w:val="30"/>
          <w:lang w:val="en-US" w:eastAsia="zh-CN"/>
        </w:rPr>
        <w:t xml:space="preserve">CH-GYGK-2024024 </w:t>
      </w:r>
    </w:p>
    <w:p>
      <w:pPr>
        <w:adjustRightInd/>
        <w:spacing w:line="360" w:lineRule="auto"/>
        <w:jc w:val="center"/>
        <w:rPr>
          <w:rFonts w:hint="eastAsia" w:ascii="宋体" w:hAnsi="宋体" w:cs="宋体"/>
          <w:sz w:val="40"/>
          <w:szCs w:val="24"/>
          <w:lang w:val="en-US" w:eastAsia="zh-CN"/>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杭州市滨江区人民政府长河街道办事处</w:t>
      </w:r>
    </w:p>
    <w:p>
      <w:pPr>
        <w:spacing w:line="360" w:lineRule="auto"/>
        <w:jc w:val="center"/>
        <w:rPr>
          <w:rFonts w:ascii="宋体" w:hAnsi="宋体" w:cs="宋体"/>
          <w:bCs/>
          <w:sz w:val="32"/>
          <w:szCs w:val="32"/>
        </w:rPr>
      </w:pPr>
      <w:r>
        <w:rPr>
          <w:rFonts w:hint="eastAsia" w:ascii="宋体" w:hAnsi="宋体" w:cs="宋体"/>
          <w:bCs/>
          <w:sz w:val="32"/>
          <w:szCs w:val="32"/>
        </w:rPr>
        <w:t>浙江华域高宇项目管理有限公司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 xml:space="preserve">  202</w:t>
      </w:r>
      <w:r>
        <w:rPr>
          <w:rFonts w:hint="eastAsia" w:ascii="宋体" w:hAnsi="宋体" w:cs="宋体"/>
          <w:bCs/>
          <w:sz w:val="32"/>
          <w:szCs w:val="32"/>
          <w:lang w:val="en-US" w:eastAsia="zh-CN"/>
        </w:rPr>
        <w:t>4</w:t>
      </w:r>
      <w:r>
        <w:rPr>
          <w:rFonts w:hint="eastAsia" w:ascii="宋体" w:hAnsi="宋体" w:cs="宋体"/>
          <w:bCs/>
          <w:sz w:val="32"/>
          <w:szCs w:val="32"/>
        </w:rPr>
        <w:t>年</w:t>
      </w:r>
      <w:r>
        <w:rPr>
          <w:rFonts w:hint="eastAsia" w:ascii="宋体" w:hAnsi="宋体" w:cs="宋体"/>
          <w:bCs/>
          <w:sz w:val="32"/>
          <w:szCs w:val="32"/>
          <w:lang w:val="en-US" w:eastAsia="zh-CN"/>
        </w:rPr>
        <w:t>01</w:t>
      </w:r>
      <w:r>
        <w:rPr>
          <w:rFonts w:hint="eastAsia" w:ascii="宋体" w:hAnsi="宋体" w:cs="宋体"/>
          <w:bCs/>
          <w:sz w:val="32"/>
          <w:szCs w:val="32"/>
        </w:rPr>
        <w:t>月</w:t>
      </w:r>
      <w:r>
        <w:rPr>
          <w:rFonts w:hint="eastAsia" w:ascii="宋体" w:hAnsi="宋体" w:cs="宋体"/>
          <w:bCs/>
          <w:sz w:val="32"/>
          <w:szCs w:val="32"/>
          <w:lang w:val="en-US" w:eastAsia="zh-CN"/>
        </w:rPr>
        <w:t>12</w:t>
      </w:r>
      <w:r>
        <w:rPr>
          <w:rFonts w:hint="eastAsia" w:ascii="宋体" w:hAnsi="宋体" w:cs="宋体"/>
          <w:bCs/>
          <w:sz w:val="32"/>
          <w:szCs w:val="32"/>
        </w:rPr>
        <w:t>日</w:t>
      </w:r>
    </w:p>
    <w:p>
      <w:pPr>
        <w:pStyle w:val="4"/>
      </w:pP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5"/>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滨江区长河街道“美丽杭州”及数字城管案件处理服务项目（江南大道以南，铁路以北区块）</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rPr>
        <w:t>4</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02</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02</w:t>
      </w:r>
      <w:r>
        <w:rPr>
          <w:rStyle w:val="76"/>
          <w:rFonts w:hint="eastAsia" w:ascii="宋体" w:hAnsi="宋体" w:eastAsia="宋体" w:cs="宋体"/>
          <w:snapToGrid/>
          <w:color w:val="auto"/>
          <w:kern w:val="2"/>
          <w:sz w:val="24"/>
          <w:szCs w:val="24"/>
        </w:rPr>
        <w:t>日</w:t>
      </w:r>
      <w:r>
        <w:rPr>
          <w:rStyle w:val="76"/>
          <w:rFonts w:hint="eastAsia" w:ascii="宋体" w:hAnsi="宋体" w:cs="宋体"/>
          <w:snapToGrid/>
          <w:color w:val="auto"/>
          <w:kern w:val="2"/>
          <w:sz w:val="24"/>
          <w:szCs w:val="24"/>
          <w:lang w:val="en-US" w:eastAsia="zh-CN"/>
        </w:rPr>
        <w:t>09</w:t>
      </w:r>
      <w:r>
        <w:rPr>
          <w:rStyle w:val="76"/>
          <w:rFonts w:hint="eastAsia" w:ascii="宋体" w:hAnsi="宋体" w:eastAsia="宋体" w:cs="宋体"/>
          <w:snapToGrid/>
          <w:color w:val="auto"/>
          <w:kern w:val="2"/>
          <w:sz w:val="24"/>
          <w:szCs w:val="24"/>
        </w:rPr>
        <w:t>点</w:t>
      </w:r>
      <w:r>
        <w:rPr>
          <w:rStyle w:val="76"/>
          <w:rFonts w:hint="eastAsia" w:ascii="宋体" w:hAnsi="宋体" w:cs="宋体"/>
          <w:snapToGrid/>
          <w:color w:val="auto"/>
          <w:kern w:val="2"/>
          <w:sz w:val="24"/>
          <w:szCs w:val="24"/>
          <w:lang w:val="en-US" w:eastAsia="zh-CN"/>
        </w:rPr>
        <w:t>00</w:t>
      </w:r>
      <w:r>
        <w:rPr>
          <w:rStyle w:val="76"/>
          <w:rFonts w:hint="eastAsia" w:ascii="宋体" w:hAnsi="宋体" w:eastAsia="宋体" w:cs="宋体"/>
          <w:snapToGrid/>
          <w:color w:val="auto"/>
          <w:kern w:val="2"/>
          <w:sz w:val="24"/>
          <w:szCs w:val="24"/>
        </w:rPr>
        <w:t>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CH-GYGK-2024024</w:t>
      </w:r>
      <w:r>
        <w:rPr>
          <w:rFonts w:hint="eastAsia" w:ascii="宋体" w:hAnsi="宋体" w:cs="宋体"/>
          <w:sz w:val="24"/>
          <w:lang w:val="en-US" w:eastAsia="zh-CN"/>
        </w:rPr>
        <w:t xml:space="preserve"> </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滨江区长河街道“美丽杭州”及数字城管案件处理服务项目（江南大道以南，铁路以北区块）</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val="en-US" w:eastAsia="zh-CN"/>
        </w:rPr>
        <w:t>9000000</w:t>
      </w:r>
      <w:r>
        <w:rPr>
          <w:rFonts w:hint="eastAsia" w:ascii="宋体" w:hAnsi="宋体" w:cs="宋体"/>
          <w:b/>
          <w:sz w:val="24"/>
        </w:rPr>
        <w:t>.00</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9000000</w:t>
      </w:r>
      <w:r>
        <w:rPr>
          <w:rFonts w:hint="eastAsia" w:ascii="宋体" w:hAnsi="宋体" w:cs="宋体"/>
          <w:b/>
          <w:sz w:val="24"/>
        </w:rPr>
        <w:t>.00</w:t>
      </w:r>
      <w:r>
        <w:rPr>
          <w:rFonts w:ascii="宋体" w:hAnsi="宋体" w:cs="宋体"/>
          <w:sz w:val="24"/>
        </w:rPr>
        <w:t xml:space="preserve">  </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滨江区长河街道“美丽杭州”及数字城管案件处理服务项目（江南大道以南，铁路以北区块）</w:t>
      </w:r>
      <w:r>
        <w:rPr>
          <w:rFonts w:hint="eastAsia" w:hAnsi="宋体" w:cs="宋体"/>
          <w:bCs/>
          <w:snapToGrid/>
          <w:color w:val="auto"/>
          <w:kern w:val="2"/>
          <w:sz w:val="24"/>
          <w:szCs w:val="24"/>
        </w:rPr>
        <w:t>，主要内容：</w:t>
      </w:r>
      <w:r>
        <w:rPr>
          <w:rFonts w:hint="eastAsia" w:hAnsi="宋体" w:cs="宋体"/>
          <w:bCs/>
          <w:snapToGrid/>
          <w:color w:val="auto"/>
          <w:kern w:val="2"/>
          <w:sz w:val="24"/>
          <w:szCs w:val="24"/>
          <w:lang w:eastAsia="zh-CN"/>
        </w:rPr>
        <w:t>滨江区长河街道“美丽杭州”及数字城管案件处理服务项目（江南大道以南，铁路以北区块）</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0"/>
        <w:ind w:firstLine="482"/>
        <w:outlineLvl w:val="2"/>
        <w:rPr>
          <w:rFonts w:ascii="宋体" w:hAnsi="宋体" w:cs="宋体"/>
        </w:rPr>
      </w:pPr>
      <w:r>
        <w:rPr>
          <w:rFonts w:hint="eastAsia" w:ascii="宋体" w:hAnsi="宋体" w:cs="宋体"/>
          <w:b/>
        </w:rPr>
        <w:t>合同履约期限：详见招标文件</w:t>
      </w:r>
      <w:r>
        <w:rPr>
          <w:rFonts w:ascii="宋体" w:hAnsi="宋体" w:cs="宋体"/>
        </w:rPr>
        <w:t xml:space="preserve"> </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1"/>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2"/>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4"/>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5"/>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7"/>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sdt>
        <w:sdtPr>
          <w:rPr>
            <w:rFonts w:hint="eastAsia" w:ascii="宋体" w:hAnsi="宋体" w:cs="宋体"/>
            <w:kern w:val="0"/>
            <w:sz w:val="24"/>
          </w:rPr>
          <w:id w:val="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无</w:t>
      </w:r>
    </w:p>
    <w:p>
      <w:pPr>
        <w:snapToGrid w:val="0"/>
        <w:spacing w:line="360" w:lineRule="auto"/>
        <w:ind w:firstLine="480" w:firstLineChars="200"/>
        <w:rPr>
          <w:rFonts w:ascii="宋体" w:hAnsi="宋体" w:cs="宋体"/>
          <w:sz w:val="24"/>
          <w:u w:val="single"/>
        </w:rPr>
      </w:pPr>
      <w:sdt>
        <w:sdtPr>
          <w:rPr>
            <w:rFonts w:hint="eastAsia" w:ascii="宋体" w:hAnsi="宋体" w:cs="宋体"/>
            <w:kern w:val="0"/>
            <w:sz w:val="24"/>
          </w:rPr>
          <w:id w:val="10"/>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有特定资格要求：</w:t>
      </w:r>
      <w:r>
        <w:rPr>
          <w:rFonts w:hint="eastAsia" w:ascii="宋体" w:hAnsi="宋体" w:cs="宋体"/>
          <w:sz w:val="24"/>
          <w:u w:val="single"/>
        </w:rPr>
        <w:t xml:space="preserve">                    </w:t>
      </w:r>
      <w:r>
        <w:rPr>
          <w:rFonts w:hint="eastAsia" w:ascii="宋体" w:hAnsi="宋体" w:cs="宋体"/>
          <w:sz w:val="24"/>
        </w:rPr>
        <w:t>，该特定条件的法律法规依据：</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w:t>
      </w:r>
      <w:r>
        <w:rPr>
          <w:rFonts w:hint="eastAsia" w:ascii="宋体" w:hAnsi="宋体" w:cs="宋体"/>
          <w:sz w:val="24"/>
          <w:u w:val="single"/>
          <w:lang w:val="en-US" w:eastAsia="zh-CN"/>
        </w:rPr>
        <w:t>02</w:t>
      </w:r>
      <w:r>
        <w:rPr>
          <w:rFonts w:hint="eastAsia" w:ascii="宋体" w:hAnsi="宋体" w:cs="宋体"/>
          <w:sz w:val="24"/>
          <w:u w:val="single"/>
        </w:rPr>
        <w:t>月</w:t>
      </w:r>
      <w:r>
        <w:rPr>
          <w:rFonts w:hint="eastAsia" w:ascii="宋体" w:hAnsi="宋体" w:cs="宋体"/>
          <w:sz w:val="24"/>
          <w:u w:val="single"/>
          <w:lang w:val="en-US" w:eastAsia="zh-CN"/>
        </w:rPr>
        <w:t>02</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2024年</w:t>
      </w:r>
      <w:r>
        <w:rPr>
          <w:rFonts w:hint="eastAsia" w:ascii="宋体" w:hAnsi="宋体" w:cs="宋体"/>
          <w:sz w:val="24"/>
          <w:u w:val="single"/>
          <w:lang w:val="en-US" w:eastAsia="zh-CN"/>
        </w:rPr>
        <w:t>02</w:t>
      </w:r>
      <w:r>
        <w:rPr>
          <w:rFonts w:hint="eastAsia" w:ascii="宋体" w:hAnsi="宋体" w:cs="宋体"/>
          <w:sz w:val="24"/>
          <w:u w:val="single"/>
        </w:rPr>
        <w:t>月</w:t>
      </w:r>
      <w:r>
        <w:rPr>
          <w:rFonts w:hint="eastAsia" w:ascii="宋体" w:hAnsi="宋体" w:cs="宋体"/>
          <w:sz w:val="24"/>
          <w:u w:val="single"/>
          <w:lang w:val="en-US" w:eastAsia="zh-CN"/>
        </w:rPr>
        <w:t xml:space="preserve"> 02</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00</w:t>
      </w:r>
      <w:r>
        <w:rPr>
          <w:rFonts w:hint="eastAsia" w:ascii="宋体" w:hAnsi="宋体" w:cs="宋体"/>
          <w:sz w:val="24"/>
          <w:u w:val="single"/>
        </w:rPr>
        <w:t>分00秒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02</w:t>
      </w:r>
      <w:r>
        <w:rPr>
          <w:rFonts w:hint="eastAsia" w:ascii="宋体" w:hAnsi="宋体" w:cs="宋体"/>
          <w:sz w:val="24"/>
          <w:u w:val="single"/>
        </w:rPr>
        <w:t>月</w:t>
      </w:r>
      <w:r>
        <w:rPr>
          <w:rFonts w:hint="eastAsia" w:ascii="宋体" w:hAnsi="宋体" w:cs="宋体"/>
          <w:sz w:val="24"/>
          <w:u w:val="single"/>
          <w:lang w:val="en-US" w:eastAsia="zh-CN"/>
        </w:rPr>
        <w:t>02</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00</w:t>
      </w:r>
      <w:r>
        <w:rPr>
          <w:rFonts w:hint="eastAsia" w:ascii="宋体" w:hAnsi="宋体" w:cs="宋体"/>
          <w:sz w:val="24"/>
          <w:u w:val="single"/>
        </w:rPr>
        <w:t>分00秒</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称：杭州市滨江区人民政府长河街道办事处</w:t>
      </w:r>
    </w:p>
    <w:p>
      <w:pPr>
        <w:spacing w:line="360" w:lineRule="auto"/>
        <w:rPr>
          <w:rFonts w:ascii="宋体" w:hAnsi="宋体" w:cs="宋体"/>
          <w:sz w:val="24"/>
        </w:rPr>
      </w:pPr>
      <w:r>
        <w:rPr>
          <w:rFonts w:hint="eastAsia" w:ascii="宋体" w:hAnsi="宋体" w:cs="宋体"/>
          <w:sz w:val="24"/>
        </w:rPr>
        <w:t xml:space="preserve">    地    址：杭州市滨江区长江北路18号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 xml:space="preserve">项目联系人（询问）：冯舒迪  </w:t>
      </w:r>
    </w:p>
    <w:p>
      <w:pPr>
        <w:spacing w:line="360" w:lineRule="auto"/>
        <w:rPr>
          <w:rFonts w:ascii="宋体" w:hAnsi="宋体" w:cs="宋体"/>
          <w:sz w:val="24"/>
        </w:rPr>
      </w:pPr>
      <w:r>
        <w:rPr>
          <w:rFonts w:hint="eastAsia" w:ascii="宋体" w:hAnsi="宋体" w:cs="宋体"/>
          <w:sz w:val="24"/>
        </w:rPr>
        <w:t xml:space="preserve">    项目联系方式（询问）：15958039018 </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潘承乾</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质疑联系方式：</w:t>
      </w:r>
      <w:r>
        <w:rPr>
          <w:rFonts w:hint="eastAsia" w:ascii="宋体" w:hAnsi="宋体" w:cs="宋体"/>
          <w:sz w:val="24"/>
          <w:lang w:val="en-US" w:eastAsia="zh-CN"/>
        </w:rPr>
        <w:t>0571-89521919</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称：浙江华域高宇项目管理有限公司</w:t>
      </w:r>
    </w:p>
    <w:p>
      <w:pPr>
        <w:spacing w:line="360" w:lineRule="auto"/>
        <w:ind w:firstLine="480"/>
        <w:rPr>
          <w:rFonts w:ascii="宋体" w:hAnsi="宋体" w:cs="宋体"/>
          <w:sz w:val="24"/>
        </w:rPr>
      </w:pPr>
      <w:r>
        <w:rPr>
          <w:rFonts w:hint="eastAsia" w:ascii="宋体" w:hAnsi="宋体" w:cs="宋体"/>
          <w:sz w:val="24"/>
        </w:rPr>
        <w:t>地    址：萧山区北干街道金城路560号心意广场2幢1101室</w:t>
      </w:r>
    </w:p>
    <w:p>
      <w:pPr>
        <w:spacing w:line="360" w:lineRule="auto"/>
        <w:rPr>
          <w:rFonts w:ascii="宋体" w:hAnsi="宋体" w:cs="宋体"/>
          <w:sz w:val="24"/>
        </w:rPr>
      </w:pPr>
      <w:r>
        <w:rPr>
          <w:rFonts w:hint="eastAsia" w:ascii="宋体" w:hAnsi="宋体" w:cs="宋体"/>
          <w:sz w:val="24"/>
        </w:rPr>
        <w:t xml:space="preserve">    传    真：0571-22866657</w:t>
      </w:r>
    </w:p>
    <w:p>
      <w:pPr>
        <w:spacing w:line="360" w:lineRule="auto"/>
        <w:rPr>
          <w:rFonts w:ascii="宋体" w:hAnsi="宋体" w:cs="宋体"/>
          <w:sz w:val="24"/>
        </w:rPr>
      </w:pPr>
      <w:r>
        <w:rPr>
          <w:rFonts w:hint="eastAsia" w:ascii="宋体" w:hAnsi="宋体" w:cs="宋体"/>
          <w:sz w:val="24"/>
        </w:rPr>
        <w:t xml:space="preserve">    项目联系人（询问）：陈超 </w:t>
      </w:r>
    </w:p>
    <w:p>
      <w:pPr>
        <w:spacing w:line="360" w:lineRule="auto"/>
        <w:rPr>
          <w:rFonts w:ascii="宋体" w:hAnsi="宋体" w:cs="宋体"/>
          <w:sz w:val="24"/>
        </w:rPr>
      </w:pPr>
      <w:r>
        <w:rPr>
          <w:rFonts w:hint="eastAsia" w:ascii="宋体" w:hAnsi="宋体" w:cs="宋体"/>
          <w:sz w:val="24"/>
        </w:rPr>
        <w:t xml:space="preserve">    项目联系方式（询问）：0571-22816663/13738195695</w:t>
      </w:r>
    </w:p>
    <w:p>
      <w:pPr>
        <w:spacing w:line="360" w:lineRule="auto"/>
        <w:rPr>
          <w:rFonts w:ascii="宋体" w:hAnsi="宋体" w:cs="宋体"/>
          <w:sz w:val="24"/>
        </w:rPr>
      </w:pPr>
      <w:r>
        <w:rPr>
          <w:rFonts w:hint="eastAsia" w:ascii="宋体" w:hAnsi="宋体" w:cs="宋体"/>
          <w:sz w:val="24"/>
        </w:rPr>
        <w:t xml:space="preserve">    质疑联系人：付钰航 </w:t>
      </w:r>
    </w:p>
    <w:p>
      <w:pPr>
        <w:spacing w:line="360" w:lineRule="auto"/>
        <w:rPr>
          <w:rFonts w:ascii="宋体" w:hAnsi="宋体" w:cs="宋体"/>
          <w:sz w:val="24"/>
        </w:rPr>
      </w:pPr>
      <w:r>
        <w:rPr>
          <w:rFonts w:hint="eastAsia" w:ascii="宋体" w:hAnsi="宋体" w:cs="宋体"/>
          <w:sz w:val="24"/>
        </w:rPr>
        <w:t xml:space="preserve">    质疑联系方式：0571-22816663</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称：杭州市滨江区财政局、浙江省政府采购行政裁决服务中心（杭州）</w:t>
      </w:r>
    </w:p>
    <w:p>
      <w:pPr>
        <w:spacing w:line="360" w:lineRule="auto"/>
        <w:ind w:left="237" w:leftChars="113" w:firstLine="180" w:firstLineChars="75"/>
        <w:rPr>
          <w:rFonts w:ascii="宋体" w:hAnsi="宋体" w:cs="宋体"/>
          <w:sz w:val="24"/>
        </w:rPr>
      </w:pPr>
      <w:r>
        <w:rPr>
          <w:rFonts w:hint="eastAsia" w:ascii="宋体" w:hAnsi="宋体" w:cs="宋体"/>
          <w:sz w:val="24"/>
        </w:rPr>
        <w:t>地    址：杭州市上城区四季青街道新业路市民之家G03办公室（快递仅限ems或顺丰）</w:t>
      </w:r>
    </w:p>
    <w:p>
      <w:pPr>
        <w:spacing w:line="360" w:lineRule="auto"/>
        <w:ind w:left="237" w:leftChars="113" w:firstLine="180" w:firstLineChars="75"/>
        <w:rPr>
          <w:rFonts w:ascii="宋体" w:hAnsi="宋体" w:cs="宋体"/>
          <w:sz w:val="24"/>
        </w:rPr>
      </w:pPr>
      <w:r>
        <w:rPr>
          <w:rFonts w:hint="eastAsia" w:ascii="宋体" w:hAnsi="宋体" w:cs="宋体"/>
          <w:sz w:val="24"/>
        </w:rPr>
        <w:t>传   真：/</w:t>
      </w:r>
    </w:p>
    <w:p>
      <w:pPr>
        <w:spacing w:line="360" w:lineRule="auto"/>
        <w:ind w:left="237" w:leftChars="113" w:firstLine="180" w:firstLineChars="75"/>
        <w:rPr>
          <w:rFonts w:ascii="宋体" w:hAnsi="宋体" w:cs="宋体"/>
          <w:sz w:val="24"/>
        </w:rPr>
      </w:pPr>
      <w:r>
        <w:rPr>
          <w:rFonts w:hint="eastAsia" w:ascii="宋体" w:hAnsi="宋体" w:cs="宋体"/>
          <w:sz w:val="24"/>
        </w:rPr>
        <w:t>联系人 ：朱女士/王女士</w:t>
      </w:r>
    </w:p>
    <w:p>
      <w:pPr>
        <w:spacing w:line="360" w:lineRule="auto"/>
        <w:ind w:left="237" w:leftChars="113" w:firstLine="180" w:firstLineChars="75"/>
        <w:rPr>
          <w:rFonts w:ascii="宋体" w:hAnsi="宋体" w:cs="宋体"/>
          <w:sz w:val="24"/>
        </w:rPr>
      </w:pPr>
      <w:r>
        <w:rPr>
          <w:rFonts w:hint="eastAsia" w:ascii="宋体" w:hAnsi="宋体" w:cs="宋体"/>
          <w:sz w:val="24"/>
        </w:rPr>
        <w:t xml:space="preserve">监督投诉电话：0571-85252453 </w:t>
      </w:r>
    </w:p>
    <w:p>
      <w:pPr>
        <w:spacing w:line="360" w:lineRule="auto"/>
        <w:ind w:firstLine="420"/>
        <w:rPr>
          <w:rFonts w:ascii="宋体" w:hAnsi="宋体" w:cs="宋体"/>
          <w:sz w:val="24"/>
        </w:rPr>
      </w:pPr>
      <w:r>
        <w:rPr>
          <w:rFonts w:hint="eastAsia" w:ascii="宋体" w:hAnsi="宋体" w:cs="宋体"/>
          <w:sz w:val="24"/>
        </w:rPr>
        <w:t>政策咨询电话：0571-87760023  （何先生）</w:t>
      </w:r>
    </w:p>
    <w:p>
      <w:pPr>
        <w:spacing w:line="360" w:lineRule="auto"/>
        <w:rPr>
          <w:rFonts w:ascii="宋体" w:hAnsi="宋体" w:cs="宋体"/>
          <w:sz w:val="24"/>
        </w:rPr>
      </w:pPr>
    </w:p>
    <w:p>
      <w:pPr>
        <w:spacing w:line="360" w:lineRule="auto"/>
        <w:ind w:firstLine="480"/>
        <w:jc w:val="left"/>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rPr>
            </w:pPr>
            <w:r>
              <w:rPr>
                <w:rFonts w:hint="eastAsia"/>
              </w:rPr>
              <w:t>（1）</w:t>
            </w:r>
            <w:r>
              <w:rPr>
                <w:rFonts w:hint="eastAsia" w:ascii="宋体" w:hAnsi="宋体" w:cs="宋体"/>
                <w:sz w:val="24"/>
              </w:rPr>
              <w:t>标的：</w:t>
            </w:r>
            <w:r>
              <w:rPr>
                <w:rFonts w:hint="eastAsia" w:ascii="宋体" w:hAnsi="宋体" w:cs="宋体"/>
                <w:sz w:val="24"/>
                <w:lang w:eastAsia="zh-CN"/>
              </w:rPr>
              <w:t>滨江区长河街道“美丽杭州”及数字城管案件处理服务项目（江南大道以南，铁路以北区块）</w:t>
            </w:r>
            <w:r>
              <w:rPr>
                <w:rFonts w:hint="eastAsia" w:ascii="宋体" w:hAnsi="宋体" w:cs="宋体"/>
                <w:sz w:val="24"/>
              </w:rPr>
              <w:t>，属于其他未列明行业；</w:t>
            </w:r>
          </w:p>
          <w:p>
            <w:pPr>
              <w:spacing w:line="360" w:lineRule="auto"/>
            </w:pPr>
            <w:r>
              <w:rPr>
                <w:rFonts w:hint="eastAsia" w:ascii="宋体" w:hAnsi="宋体" w:cs="宋体"/>
                <w:sz w:val="24"/>
              </w:rPr>
              <w:t>备注：《关于印发中小企业划型标准规定的通知》（工信部联企业〔2011〕300）：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1"/>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12"/>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r>
              <w:rPr>
                <w:rFonts w:hint="eastAsia" w:ascii="宋体" w:hAnsi="宋体" w:cs="宋体"/>
                <w:kern w:val="0"/>
                <w:sz w:val="24"/>
              </w:rPr>
              <w:br w:type="textWrapping"/>
            </w:r>
            <w:r>
              <w:rPr>
                <w:rFonts w:hint="eastAsia" w:ascii="宋体" w:hAnsi="宋体" w:cs="宋体"/>
                <w:kern w:val="0"/>
                <w:sz w:val="24"/>
              </w:rPr>
              <w:t>优先采购向我国企业转让技术、与我国企业签订消化吸收再创新方案的供应商的进口产品，详见</w:t>
            </w:r>
            <w:r>
              <w:rPr>
                <w:rFonts w:hint="eastAsia" w:ascii="宋体" w:hAnsi="宋体" w:cs="宋体"/>
                <w:kern w:val="0"/>
                <w:sz w:val="24"/>
                <w:u w:val="single"/>
              </w:rPr>
              <w:t>评分标准</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7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3"/>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sdt>
              <w:sdtPr>
                <w:rPr>
                  <w:rFonts w:hint="eastAsia" w:ascii="宋体" w:hAnsi="宋体" w:cs="宋体"/>
                  <w:kern w:val="0"/>
                  <w:sz w:val="24"/>
                </w:rPr>
                <w:id w:val="14"/>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5"/>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16"/>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7"/>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pPr>
            <w:sdt>
              <w:sdtPr>
                <w:rPr>
                  <w:rFonts w:hint="eastAsia" w:ascii="宋体" w:hAnsi="宋体" w:cs="宋体"/>
                  <w:kern w:val="0"/>
                  <w:sz w:val="24"/>
                </w:rPr>
                <w:id w:val="1026831988"/>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b/>
                <w:kern w:val="0"/>
                <w:sz w:val="24"/>
                <w:lang w:val="zh-CN"/>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w:t>
            </w:r>
          </w:p>
          <w:p>
            <w:pPr>
              <w:spacing w:line="360" w:lineRule="auto"/>
              <w:ind w:firstLine="480" w:firstLineChars="200"/>
              <w:rPr>
                <w:rFonts w:ascii="宋体" w:hAnsi="宋体" w:cs="宋体"/>
                <w:sz w:val="24"/>
              </w:rPr>
            </w:pPr>
            <w:r>
              <w:rPr>
                <w:rFonts w:hint="eastAsia" w:ascii="宋体" w:hAnsi="宋体" w:cs="宋体"/>
                <w:snapToGrid w:val="0"/>
                <w:kern w:val="28"/>
                <w:sz w:val="24"/>
              </w:rPr>
              <w:t>（http://www.hhtz.gov.cn/art/2022/1/11/art_1487037 _59039349.html）获取联系方式选择银行进行对接申请。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9"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本项目备份文件是否收取：不收取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ascii="宋体" w:hAnsi="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ascii="宋体" w:hAnsi="宋体" w:cs="宋体"/>
                <w:b/>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szCs w:val="24"/>
              </w:rPr>
            </w:pPr>
            <w:r>
              <w:rPr>
                <w:rFonts w:hint="eastAsia" w:hAnsi="宋体" w:cs="宋体"/>
                <w:kern w:val="28"/>
                <w:sz w:val="24"/>
                <w:szCs w:val="24"/>
              </w:rPr>
              <w:t>本项目代理服务费参照计价格【2002】1980号文的收费标准向成交供应商收取，计费基数按中标价计取。</w:t>
            </w:r>
          </w:p>
          <w:p>
            <w:pPr>
              <w:pStyle w:val="32"/>
              <w:spacing w:line="360" w:lineRule="auto"/>
              <w:rPr>
                <w:rFonts w:hAnsi="宋体" w:cs="宋体"/>
                <w:kern w:val="28"/>
                <w:sz w:val="24"/>
                <w:szCs w:val="24"/>
              </w:rPr>
            </w:pPr>
            <w:r>
              <w:rPr>
                <w:rFonts w:hint="eastAsia" w:hAnsi="宋体" w:cs="宋体"/>
                <w:kern w:val="28"/>
                <w:sz w:val="24"/>
                <w:szCs w:val="24"/>
              </w:rPr>
              <w:t xml:space="preserve">    供应商应当自成交结果公告发布之日起5个工作日内一次性向采购代理机构支付代理服务费。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pPr>
            <w:r>
              <w:rPr>
                <w:rFonts w:hint="eastAsia"/>
              </w:rPr>
              <w:t>14</w:t>
            </w:r>
          </w:p>
        </w:tc>
        <w:tc>
          <w:tcPr>
            <w:tcW w:w="1843" w:type="dxa"/>
            <w:tcBorders>
              <w:top w:val="single" w:color="000000" w:sz="8" w:space="0"/>
              <w:left w:val="single" w:color="000000" w:sz="2" w:space="0"/>
              <w:bottom w:val="single" w:color="000000" w:sz="8" w:space="0"/>
              <w:right w:val="single" w:color="000000" w:sz="8" w:space="0"/>
            </w:tcBorders>
            <w:vAlign w:val="center"/>
          </w:tcPr>
          <w:p>
            <w:r>
              <w:rPr>
                <w:rFonts w:hint="eastAsia" w:cs="仿宋"/>
                <w:b/>
                <w:sz w:val="22"/>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r>
              <w:rPr>
                <w:rFonts w:hint="eastAsia" w:cs="仿宋_GB2312"/>
                <w:sz w:val="22"/>
              </w:rPr>
              <w:t>本项目</w:t>
            </w:r>
            <w:r>
              <w:rPr>
                <w:rFonts w:cs="仿宋_GB2312"/>
                <w:sz w:val="22"/>
              </w:rPr>
              <w:t>由采购人</w:t>
            </w:r>
            <w:r>
              <w:rPr>
                <w:rFonts w:hint="eastAsia" w:cs="仿宋_GB2312"/>
                <w:sz w:val="22"/>
              </w:rPr>
              <w:t>进行</w:t>
            </w:r>
            <w:r>
              <w:rPr>
                <w:rFonts w:cs="仿宋_GB2312"/>
                <w:sz w:val="22"/>
              </w:rPr>
              <w:t>资格文件</w:t>
            </w:r>
            <w:r>
              <w:rPr>
                <w:rFonts w:hint="eastAsia" w:cs="仿宋_GB2312"/>
                <w:sz w:val="22"/>
              </w:rPr>
              <w:t>及</w:t>
            </w:r>
            <w:r>
              <w:rPr>
                <w:rFonts w:cs="仿宋_GB2312"/>
                <w:sz w:val="22"/>
              </w:rPr>
              <w:t>信用信息</w:t>
            </w:r>
            <w:r>
              <w:rPr>
                <w:rFonts w:hint="eastAsia" w:cs="仿宋_GB2312"/>
                <w:sz w:val="22"/>
              </w:rPr>
              <w:t>查询</w:t>
            </w:r>
            <w:r>
              <w:rPr>
                <w:rFonts w:cs="仿宋_GB2312"/>
                <w:sz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pPr>
            <w:r>
              <w:rPr>
                <w:rFonts w:hint="eastAsia"/>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cs="仿宋"/>
                <w:b/>
                <w:sz w:val="22"/>
              </w:rPr>
            </w:pPr>
            <w:r>
              <w:rPr>
                <w:rFonts w:hint="eastAsia" w:cs="仿宋"/>
                <w:b/>
                <w:sz w:val="22"/>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sz w:val="22"/>
                <w:u w:val="single"/>
              </w:rPr>
            </w:pPr>
            <w:r>
              <w:rPr>
                <w:rFonts w:hint="eastAsia"/>
                <w:sz w:val="22"/>
              </w:rPr>
              <w:t>采购</w:t>
            </w:r>
            <w:r>
              <w:rPr>
                <w:sz w:val="22"/>
              </w:rPr>
              <w:t>人、</w:t>
            </w:r>
            <w:r>
              <w:rPr>
                <w:rFonts w:hint="eastAsia"/>
                <w:sz w:val="22"/>
              </w:rPr>
              <w:t>采购</w:t>
            </w:r>
            <w:r>
              <w:rPr>
                <w:sz w:val="22"/>
              </w:rPr>
              <w:t>机构质疑接收人</w:t>
            </w:r>
            <w:r>
              <w:rPr>
                <w:rFonts w:hint="eastAsia"/>
                <w:sz w:val="22"/>
              </w:rPr>
              <w:t>、联系方式</w:t>
            </w:r>
            <w:r>
              <w:rPr>
                <w:sz w:val="22"/>
              </w:rPr>
              <w:t>：</w:t>
            </w:r>
            <w:r>
              <w:rPr>
                <w:rFonts w:hint="eastAsia"/>
                <w:sz w:val="22"/>
              </w:rPr>
              <w:t>详见公告</w:t>
            </w:r>
          </w:p>
          <w:p>
            <w:pPr>
              <w:snapToGrid w:val="0"/>
              <w:spacing w:line="360" w:lineRule="auto"/>
              <w:rPr>
                <w:b/>
                <w:sz w:val="22"/>
              </w:rPr>
            </w:pPr>
            <w:r>
              <w:rPr>
                <w:rFonts w:hint="eastAsia"/>
                <w:b/>
                <w:sz w:val="22"/>
              </w:rPr>
              <w:t>线上提交质疑方式：政采云线上质疑路径：项目采购-询问质疑投诉-质疑列表。请使用ca签章在每一页质疑文件中加盖电子公章，上传完整附件。</w:t>
            </w:r>
          </w:p>
          <w:p>
            <w:pPr>
              <w:snapToGrid w:val="0"/>
              <w:spacing w:line="360" w:lineRule="auto"/>
              <w:rPr>
                <w:sz w:val="22"/>
              </w:rPr>
            </w:pPr>
            <w:r>
              <w:rPr>
                <w:rFonts w:hint="eastAsia"/>
                <w:sz w:val="22"/>
              </w:rPr>
              <w:t>本项目涉及资格条件、采购需求、评分办法及采购过程中有关现场考察或开标前答疑会等事项由</w:t>
            </w:r>
            <w:r>
              <w:rPr>
                <w:sz w:val="22"/>
              </w:rPr>
              <w:t>采购人进行答复。</w:t>
            </w:r>
          </w:p>
          <w:p>
            <w:pPr>
              <w:rPr>
                <w:rFonts w:cs="仿宋_GB2312"/>
                <w:sz w:val="22"/>
              </w:rPr>
            </w:pPr>
            <w:r>
              <w:rPr>
                <w:rFonts w:hint="eastAsia"/>
                <w:sz w:val="22"/>
              </w:rPr>
              <w:t>涉及</w:t>
            </w:r>
            <w:r>
              <w:rPr>
                <w:sz w:val="22"/>
              </w:rPr>
              <w:t>流程规范性、组织程序等</w:t>
            </w:r>
            <w:r>
              <w:rPr>
                <w:rFonts w:hint="eastAsia"/>
                <w:sz w:val="22"/>
              </w:rPr>
              <w:t>相关</w:t>
            </w:r>
            <w:r>
              <w:rPr>
                <w:sz w:val="22"/>
              </w:rPr>
              <w:t>事项，由</w:t>
            </w:r>
            <w:r>
              <w:rPr>
                <w:rFonts w:hint="eastAsia"/>
                <w:sz w:val="22"/>
              </w:rPr>
              <w:t>采购</w:t>
            </w:r>
            <w:r>
              <w:rPr>
                <w:sz w:val="22"/>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pPr>
            <w:r>
              <w:rPr>
                <w:rFonts w:hint="eastAsia"/>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cs="仿宋"/>
                <w:b/>
                <w:sz w:val="22"/>
              </w:rPr>
            </w:pPr>
            <w:r>
              <w:rPr>
                <w:rFonts w:hint="eastAsia" w:cs="仿宋"/>
                <w:b/>
                <w:sz w:val="22"/>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sz w:val="22"/>
              </w:rPr>
            </w:pPr>
            <w:r>
              <w:t>验收采用采购人自行组织验收和专门机构验收两种形式，具体按照</w:t>
            </w:r>
            <w:r>
              <w:rPr>
                <w:rFonts w:hint="eastAsia"/>
                <w:lang w:val="en-US" w:eastAsia="zh-CN"/>
              </w:rPr>
              <w:t>相关</w:t>
            </w:r>
            <w:r>
              <w:t>文件执行。验收方成员应当在验收书上签字，并承担相应的法律责任。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pPr>
            <w:sdt>
              <w:sdtPr>
                <w:rPr>
                  <w:rFonts w:hint="eastAsia"/>
                </w:rPr>
                <w:id w:val="23"/>
              </w:sdtPr>
              <w:sdtEndPr>
                <w:rPr>
                  <w:rFonts w:hint="eastAsia"/>
                </w:rPr>
              </w:sdtEndPr>
              <w:sdtContent>
                <w:r>
                  <w:rPr>
                    <w:rFonts w:hint="eastAsia"/>
                  </w:rPr>
                  <w:t>☐</w:t>
                </w:r>
              </w:sdtContent>
            </w:sdt>
            <w:r>
              <w:rPr>
                <w:rFonts w:hint="eastAsia"/>
              </w:rPr>
              <w:t>联合体投标的，联合体各方均需按招标文件第四部分评标标准要求提供资信证明文件，否则视为不符合相关要求。</w:t>
            </w:r>
          </w:p>
          <w:p>
            <w:pPr>
              <w:spacing w:line="360" w:lineRule="auto"/>
            </w:pPr>
            <w:sdt>
              <w:sdtPr>
                <w:rPr>
                  <w:rFonts w:hint="eastAsia"/>
                </w:rPr>
                <w:id w:val="1052570136"/>
              </w:sdtPr>
              <w:sdtEndPr>
                <w:rPr>
                  <w:rFonts w:hint="eastAsia"/>
                </w:rPr>
              </w:sdtEndPr>
              <w:sdtContent>
                <w:r>
                  <w:rPr>
                    <w:rFonts w:hint="eastAsia"/>
                  </w:rPr>
                  <w:sym w:font="Wingdings" w:char="F0FE"/>
                </w:r>
              </w:sdtContent>
            </w:sdt>
            <w:r>
              <w:rPr>
                <w:rFonts w:hint="eastAsia"/>
              </w:rPr>
              <w:t>联合体投标的，联合体中有一方或者联合体成员根据分工按招标文件第四部分评标标准要求提供资信证明文件的，视为符合了相关要求。</w:t>
            </w:r>
            <w:r>
              <w:rPr>
                <w:rFonts w:hint="eastAsia"/>
              </w:rPr>
              <w:br w:type="textWrapping"/>
            </w:r>
            <w:r>
              <w:rPr>
                <w:rFonts w:hint="eastAsia" w:cs="Arial" w:asciiTheme="minorEastAsia" w:hAnsiTheme="minorEastAsia" w:eastAsiaTheme="minorEastAsia"/>
                <w:kern w:val="0"/>
                <w:sz w:val="24"/>
              </w:rPr>
              <w:t>评审因素对应的要求视为采购需求的一部分。</w:t>
            </w:r>
          </w:p>
          <w:p>
            <w:pPr>
              <w:spacing w:line="360" w:lineRule="auto"/>
            </w:pPr>
            <w:r>
              <w:rPr>
                <w:rFonts w:hint="eastAsia"/>
                <w:b/>
                <w:bCs/>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b/>
                <w:bCs/>
              </w:rPr>
            </w:pPr>
            <w:r>
              <w:rPr>
                <w:rFonts w:hint="eastAsia"/>
                <w:b/>
                <w:bCs/>
              </w:rPr>
              <w:t>本项目每个标项推荐中标候选人数量：1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宋体" w:cs="Times New Roman"/>
                <w:b/>
                <w:bCs/>
              </w:rPr>
            </w:pPr>
            <w:r>
              <w:rPr>
                <w:rFonts w:hint="eastAsia" w:ascii="Times New Roman" w:hAnsi="Times New Roman" w:eastAsia="宋体" w:cs="Times New Roman"/>
                <w:b/>
                <w:bCs/>
                <w:lang w:val="en-US" w:eastAsia="zh-CN"/>
              </w:rPr>
              <w:t>备注</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宋体" w:cs="Times New Roman"/>
                <w:b/>
                <w:bCs/>
              </w:rPr>
            </w:pPr>
            <w:r>
              <w:rPr>
                <w:rFonts w:hint="eastAsia" w:ascii="Times New Roman" w:hAnsi="Times New Roman" w:eastAsia="宋体" w:cs="Times New Roman"/>
                <w:b/>
                <w:bCs/>
                <w:lang w:val="en-US" w:eastAsia="zh-CN"/>
              </w:rPr>
              <w:t>供应商</w:t>
            </w:r>
            <w:r>
              <w:rPr>
                <w:rFonts w:hint="eastAsia" w:ascii="Times New Roman" w:hAnsi="Times New Roman" w:eastAsia="宋体" w:cs="Times New Roman"/>
                <w:b/>
                <w:bCs/>
              </w:rPr>
              <w:t>须对拟派本项目的高空作业人员</w:t>
            </w:r>
            <w:r>
              <w:rPr>
                <w:rFonts w:hint="eastAsia" w:ascii="Times New Roman" w:hAnsi="Times New Roman" w:eastAsia="宋体" w:cs="Times New Roman"/>
                <w:b/>
                <w:bCs/>
                <w:lang w:val="en-US" w:eastAsia="zh-CN"/>
              </w:rPr>
              <w:t>及安全员</w:t>
            </w:r>
            <w:r>
              <w:rPr>
                <w:rFonts w:hint="eastAsia" w:ascii="Times New Roman" w:hAnsi="Times New Roman" w:eastAsia="宋体" w:cs="Times New Roman"/>
                <w:b/>
                <w:bCs/>
              </w:rPr>
              <w:t>缴纳</w:t>
            </w:r>
            <w:r>
              <w:rPr>
                <w:rFonts w:hint="eastAsia" w:ascii="Times New Roman" w:hAnsi="Times New Roman" w:eastAsia="宋体" w:cs="Times New Roman"/>
                <w:b/>
                <w:bCs/>
                <w:lang w:val="en-US" w:eastAsia="zh-CN"/>
              </w:rPr>
              <w:t>人身意外伤害险</w:t>
            </w:r>
            <w:r>
              <w:rPr>
                <w:rFonts w:hint="eastAsia" w:ascii="Times New Roman" w:hAnsi="Times New Roman" w:eastAsia="宋体" w:cs="Times New Roman"/>
                <w:b/>
                <w:bCs/>
              </w:rPr>
              <w:t>（每人保额不低于</w:t>
            </w:r>
            <w:r>
              <w:rPr>
                <w:rFonts w:hint="eastAsia" w:cs="Times New Roman"/>
                <w:b/>
                <w:bCs/>
                <w:lang w:val="en-US" w:eastAsia="zh-CN"/>
              </w:rPr>
              <w:t>1</w:t>
            </w:r>
            <w:r>
              <w:rPr>
                <w:rFonts w:hint="eastAsia" w:ascii="Times New Roman" w:hAnsi="Times New Roman" w:eastAsia="宋体" w:cs="Times New Roman"/>
                <w:b/>
                <w:bCs/>
              </w:rPr>
              <w:t>00万元人民币），相关风险因素请在投标报价时充分考虑，并计入投标总价，中标后相关费用不做调整。</w:t>
            </w:r>
          </w:p>
        </w:tc>
      </w:tr>
    </w:tbl>
    <w:p>
      <w:pPr>
        <w:snapToGrid w:val="0"/>
        <w:spacing w:line="360" w:lineRule="auto"/>
        <w:jc w:val="center"/>
        <w:rPr>
          <w:rFonts w:ascii="宋体" w:hAnsi="宋体" w:cs="宋体"/>
          <w:b/>
          <w:sz w:val="32"/>
          <w:szCs w:val="20"/>
        </w:rPr>
      </w:pPr>
    </w:p>
    <w:bookmarkEnd w:id="10"/>
    <w:p>
      <w:pPr>
        <w:rPr>
          <w:rFonts w:hint="eastAsia" w:ascii="宋体" w:hAnsi="宋体" w:cs="宋体"/>
          <w:b/>
          <w:sz w:val="32"/>
          <w:szCs w:val="20"/>
        </w:rPr>
      </w:pPr>
      <w:bookmarkStart w:id="11" w:name="第三部分"/>
      <w:bookmarkStart w:id="12" w:name="_Toc164416483"/>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给予2</w:t>
      </w:r>
      <w:r>
        <w:rPr>
          <w:rFonts w:ascii="宋体" w:hAnsi="宋体" w:cs="宋体"/>
          <w:sz w:val="24"/>
        </w:rPr>
        <w:t>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pPr>
      <w:r>
        <w:rPr>
          <w:rFonts w:hint="eastAsia"/>
        </w:rPr>
        <w:t>投诉书范本及制作说明详见附件3。</w:t>
      </w:r>
    </w:p>
    <w:p>
      <w:pPr>
        <w:pStyle w:val="130"/>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2"/>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jc w:val="left"/>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r>
        <w:rPr>
          <w:rFonts w:hint="eastAsia" w:ascii="宋体" w:hAnsi="宋体" w:cs="宋体"/>
        </w:rPr>
        <w:br w:type="textWrapping"/>
      </w:r>
      <w:r>
        <w:rPr>
          <w:rFonts w:hint="eastAsia" w:ascii="宋体" w:hAnsi="宋体" w:cs="宋体"/>
        </w:rPr>
        <w:t xml:space="preserve">    17.4在投标截止时间起至投标有效期届满，供应商投标文件不可撤销。</w:t>
      </w:r>
    </w:p>
    <w:p>
      <w:pPr>
        <w:pStyle w:val="130"/>
        <w:spacing w:before="0"/>
        <w:ind w:firstLine="480"/>
        <w:rPr>
          <w:rFonts w:ascii="宋体" w:hAnsi="宋体" w:cs="宋体"/>
        </w:rPr>
      </w:pP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5"/>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5"/>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30"/>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20.1信用信息查询渠道及截止时间：采购人将在资格审查时通过“信用中国”网站(www.creditchina.gov.cn)、中国政府采购网(www.ccgp.gov.cn)渠道查询投标人接受资格时的信用记录。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74729768"/>
      <w:bookmarkEnd w:id="16"/>
      <w:bookmarkStart w:id="17" w:name="_Hlt75236011"/>
      <w:bookmarkEnd w:id="17"/>
      <w:bookmarkStart w:id="18" w:name="_Hlt75236290"/>
      <w:bookmarkEnd w:id="18"/>
      <w:bookmarkStart w:id="19" w:name="_Hlt68073093"/>
      <w:bookmarkEnd w:id="19"/>
      <w:bookmarkStart w:id="20" w:name="_Hlt68057669"/>
      <w:bookmarkEnd w:id="20"/>
      <w:bookmarkStart w:id="21" w:name="_Hlt68072998"/>
      <w:bookmarkEnd w:id="21"/>
      <w:bookmarkStart w:id="22" w:name="_Hlt74730295"/>
      <w:bookmarkEnd w:id="22"/>
      <w:bookmarkStart w:id="23" w:name="_Hlt68072990"/>
      <w:bookmarkEnd w:id="23"/>
      <w:bookmarkStart w:id="24" w:name="_Hlt75236101"/>
      <w:bookmarkEnd w:id="24"/>
      <w:bookmarkStart w:id="25" w:name="_Hlt68403820"/>
      <w:bookmarkEnd w:id="25"/>
      <w:bookmarkStart w:id="26" w:name="_Hlt74707468"/>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napToGrid w:val="0"/>
        <w:jc w:val="center"/>
        <w:rPr>
          <w:rStyle w:val="963"/>
          <w:i w:val="0"/>
          <w:iCs w:val="0"/>
        </w:rPr>
      </w:pPr>
      <w:r>
        <w:rPr>
          <w:rStyle w:val="963"/>
          <w:rFonts w:hint="eastAsia"/>
          <w:i w:val="0"/>
          <w:iCs w:val="0"/>
        </w:rPr>
        <w:t>属于实质性要求条款的，请用符号“▲”标明，否则属于非实质性要求。</w:t>
      </w:r>
    </w:p>
    <w:p>
      <w:pPr>
        <w:snapToGrid w:val="0"/>
        <w:jc w:val="center"/>
        <w:rPr>
          <w:rStyle w:val="963"/>
          <w:i w:val="0"/>
          <w:iCs w:val="0"/>
        </w:rPr>
      </w:pPr>
      <w:r>
        <w:rPr>
          <w:rStyle w:val="963"/>
          <w:rFonts w:hint="eastAsia"/>
          <w:i w:val="0"/>
          <w:iCs w:val="0"/>
        </w:rPr>
        <w:t>“★”系产品采购项目中单一产品或核心产品。</w:t>
      </w:r>
    </w:p>
    <w:p>
      <w:pPr>
        <w:pStyle w:val="4"/>
      </w:pPr>
    </w:p>
    <w:p>
      <w:pPr>
        <w:pStyle w:val="4"/>
        <w:numPr>
          <w:ilvl w:val="0"/>
          <w:numId w:val="1"/>
        </w:numPr>
        <w:jc w:val="center"/>
        <w:rPr>
          <w:rFonts w:ascii="仿宋" w:eastAsia="仿宋" w:cs="仿宋"/>
        </w:rPr>
      </w:pPr>
      <w:r>
        <w:t>招标一览表</w:t>
      </w:r>
    </w:p>
    <w:p>
      <w:pPr>
        <w:pStyle w:val="7"/>
        <w:rPr>
          <w:rFonts w:hint="eastAsia" w:ascii="宋体" w:hAnsi="宋体" w:eastAsia="宋体" w:cs="宋体"/>
          <w:sz w:val="24"/>
          <w:szCs w:val="24"/>
          <w:lang w:eastAsia="zh-CN"/>
        </w:rPr>
      </w:pPr>
      <w:r>
        <w:rPr>
          <w:rFonts w:hint="eastAsia" w:ascii="宋体" w:hAnsi="宋体" w:eastAsia="宋体" w:cs="宋体"/>
          <w:sz w:val="24"/>
          <w:szCs w:val="24"/>
        </w:rPr>
        <w:t>标项一：</w:t>
      </w:r>
      <w:r>
        <w:rPr>
          <w:rFonts w:hint="eastAsia" w:ascii="宋体" w:hAnsi="宋体" w:eastAsia="宋体" w:cs="宋体"/>
          <w:sz w:val="24"/>
          <w:szCs w:val="24"/>
          <w:lang w:eastAsia="zh-CN"/>
        </w:rPr>
        <w:t>滨江区长河街道“美丽杭州”及数字城管案件处理服务项目（江南大道以南，铁路以北区块）</w:t>
      </w:r>
    </w:p>
    <w:tbl>
      <w:tblPr>
        <w:tblStyle w:val="62"/>
        <w:tblpPr w:leftFromText="180" w:rightFromText="180" w:vertAnchor="text" w:horzAnchor="margin" w:tblpY="63"/>
        <w:tblOverlap w:val="never"/>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2745"/>
        <w:gridCol w:w="753"/>
        <w:gridCol w:w="785"/>
        <w:gridCol w:w="1004"/>
        <w:gridCol w:w="157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3" w:hRule="atLeast"/>
        </w:trPr>
        <w:tc>
          <w:tcPr>
            <w:tcW w:w="523" w:type="dxa"/>
            <w:tcMar>
              <w:top w:w="15" w:type="dxa"/>
              <w:left w:w="15" w:type="dxa"/>
              <w:bottom w:w="0" w:type="dxa"/>
              <w:right w:w="15" w:type="dxa"/>
            </w:tcMar>
            <w:vAlign w:val="center"/>
          </w:tcPr>
          <w:p>
            <w:pPr>
              <w:tabs>
                <w:tab w:val="left" w:pos="0"/>
              </w:tabs>
              <w:snapToGrid w:val="0"/>
              <w:jc w:val="center"/>
              <w:rPr>
                <w:rFonts w:ascii="宋体" w:hAnsi="宋体" w:cs="宋体"/>
                <w:sz w:val="24"/>
              </w:rPr>
            </w:pPr>
            <w:r>
              <w:rPr>
                <w:rFonts w:hint="eastAsia" w:ascii="宋体" w:hAnsi="宋体" w:cs="宋体"/>
                <w:sz w:val="24"/>
              </w:rPr>
              <w:t>序号</w:t>
            </w:r>
          </w:p>
        </w:tc>
        <w:tc>
          <w:tcPr>
            <w:tcW w:w="2745" w:type="dxa"/>
            <w:tcMar>
              <w:top w:w="15" w:type="dxa"/>
              <w:left w:w="15" w:type="dxa"/>
              <w:bottom w:w="0" w:type="dxa"/>
              <w:right w:w="15" w:type="dxa"/>
            </w:tcMar>
            <w:vAlign w:val="center"/>
          </w:tcPr>
          <w:p>
            <w:pPr>
              <w:tabs>
                <w:tab w:val="left" w:pos="0"/>
              </w:tabs>
              <w:snapToGrid w:val="0"/>
              <w:jc w:val="center"/>
              <w:rPr>
                <w:rFonts w:ascii="宋体" w:hAnsi="宋体" w:cs="宋体"/>
                <w:sz w:val="24"/>
              </w:rPr>
            </w:pPr>
            <w:r>
              <w:rPr>
                <w:rFonts w:hint="eastAsia" w:ascii="宋体" w:hAnsi="宋体" w:cs="宋体"/>
                <w:sz w:val="24"/>
              </w:rPr>
              <w:t>名称</w:t>
            </w:r>
          </w:p>
        </w:tc>
        <w:tc>
          <w:tcPr>
            <w:tcW w:w="753" w:type="dxa"/>
            <w:tcMar>
              <w:top w:w="15" w:type="dxa"/>
              <w:left w:w="15" w:type="dxa"/>
              <w:bottom w:w="0" w:type="dxa"/>
              <w:right w:w="15" w:type="dxa"/>
            </w:tcMar>
            <w:vAlign w:val="center"/>
          </w:tcPr>
          <w:p>
            <w:pPr>
              <w:tabs>
                <w:tab w:val="left" w:pos="0"/>
              </w:tabs>
              <w:snapToGrid w:val="0"/>
              <w:jc w:val="center"/>
              <w:rPr>
                <w:rFonts w:ascii="宋体" w:hAnsi="宋体" w:cs="宋体"/>
                <w:sz w:val="24"/>
              </w:rPr>
            </w:pPr>
            <w:r>
              <w:rPr>
                <w:rFonts w:hint="eastAsia" w:ascii="宋体" w:hAnsi="宋体" w:cs="宋体"/>
                <w:sz w:val="24"/>
              </w:rPr>
              <w:t>数量</w:t>
            </w:r>
          </w:p>
        </w:tc>
        <w:tc>
          <w:tcPr>
            <w:tcW w:w="785" w:type="dxa"/>
            <w:tcMar>
              <w:top w:w="15" w:type="dxa"/>
              <w:left w:w="15" w:type="dxa"/>
              <w:bottom w:w="0" w:type="dxa"/>
              <w:right w:w="15" w:type="dxa"/>
            </w:tcMar>
            <w:vAlign w:val="center"/>
          </w:tcPr>
          <w:p>
            <w:pPr>
              <w:tabs>
                <w:tab w:val="left" w:pos="0"/>
              </w:tabs>
              <w:snapToGrid w:val="0"/>
              <w:jc w:val="center"/>
              <w:rPr>
                <w:rFonts w:ascii="宋体" w:hAnsi="宋体" w:cs="宋体"/>
                <w:sz w:val="24"/>
              </w:rPr>
            </w:pPr>
            <w:r>
              <w:rPr>
                <w:rFonts w:hint="eastAsia" w:ascii="宋体" w:hAnsi="宋体" w:cs="宋体"/>
                <w:sz w:val="24"/>
              </w:rPr>
              <w:t>单位</w:t>
            </w:r>
          </w:p>
        </w:tc>
        <w:tc>
          <w:tcPr>
            <w:tcW w:w="1004" w:type="dxa"/>
            <w:vAlign w:val="center"/>
          </w:tcPr>
          <w:p>
            <w:pPr>
              <w:tabs>
                <w:tab w:val="left" w:pos="0"/>
              </w:tabs>
              <w:snapToGrid w:val="0"/>
              <w:jc w:val="center"/>
              <w:rPr>
                <w:rFonts w:ascii="宋体" w:hAnsi="宋体" w:cs="宋体"/>
                <w:sz w:val="24"/>
              </w:rPr>
            </w:pPr>
            <w:r>
              <w:rPr>
                <w:rFonts w:hint="eastAsia" w:ascii="宋体" w:hAnsi="宋体" w:cs="宋体"/>
                <w:sz w:val="24"/>
              </w:rPr>
              <w:t>预算（元）</w:t>
            </w:r>
          </w:p>
        </w:tc>
        <w:tc>
          <w:tcPr>
            <w:tcW w:w="1571" w:type="dxa"/>
            <w:vAlign w:val="center"/>
          </w:tcPr>
          <w:p>
            <w:pPr>
              <w:tabs>
                <w:tab w:val="left" w:pos="0"/>
              </w:tabs>
              <w:snapToGrid w:val="0"/>
              <w:jc w:val="center"/>
              <w:rPr>
                <w:rFonts w:ascii="宋体" w:hAnsi="宋体" w:cs="宋体"/>
                <w:sz w:val="24"/>
              </w:rPr>
            </w:pPr>
            <w:r>
              <w:rPr>
                <w:rFonts w:hint="eastAsia" w:ascii="宋体" w:hAnsi="宋体" w:cs="宋体"/>
                <w:sz w:val="24"/>
              </w:rPr>
              <w:t>简要规格描述或基本情况介绍</w:t>
            </w:r>
          </w:p>
        </w:tc>
        <w:tc>
          <w:tcPr>
            <w:tcW w:w="1298" w:type="dxa"/>
            <w:vAlign w:val="center"/>
          </w:tcPr>
          <w:p>
            <w:pPr>
              <w:tabs>
                <w:tab w:val="left" w:pos="0"/>
              </w:tabs>
              <w:snapToGrid w:val="0"/>
              <w:jc w:val="center"/>
              <w:rPr>
                <w:rFonts w:ascii="宋体" w:hAnsi="宋体" w:cs="宋体"/>
                <w:sz w:val="24"/>
              </w:rPr>
            </w:pPr>
            <w:r>
              <w:rPr>
                <w:rFonts w:hint="eastAsia" w:ascii="宋体" w:hAnsi="宋体" w:cs="宋体"/>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tcMar>
              <w:top w:w="15" w:type="dxa"/>
              <w:left w:w="15" w:type="dxa"/>
              <w:bottom w:w="0" w:type="dxa"/>
              <w:right w:w="15" w:type="dxa"/>
            </w:tcMar>
            <w:vAlign w:val="center"/>
          </w:tcPr>
          <w:p>
            <w:pPr>
              <w:tabs>
                <w:tab w:val="left" w:pos="0"/>
              </w:tabs>
              <w:jc w:val="center"/>
              <w:rPr>
                <w:rFonts w:ascii="宋体" w:hAnsi="宋体" w:cs="宋体"/>
                <w:sz w:val="24"/>
              </w:rPr>
            </w:pPr>
            <w:r>
              <w:rPr>
                <w:rFonts w:hint="eastAsia" w:ascii="宋体" w:hAnsi="宋体" w:cs="宋体"/>
                <w:sz w:val="24"/>
              </w:rPr>
              <w:t>1</w:t>
            </w:r>
          </w:p>
        </w:tc>
        <w:tc>
          <w:tcPr>
            <w:tcW w:w="2745" w:type="dxa"/>
            <w:tcMar>
              <w:top w:w="15" w:type="dxa"/>
              <w:left w:w="15" w:type="dxa"/>
              <w:bottom w:w="0" w:type="dxa"/>
              <w:right w:w="15" w:type="dxa"/>
            </w:tcMar>
            <w:vAlign w:val="center"/>
          </w:tcPr>
          <w:p>
            <w:pPr>
              <w:jc w:val="center"/>
              <w:textAlignment w:val="center"/>
              <w:rPr>
                <w:rFonts w:hint="eastAsia" w:ascii="宋体" w:hAnsi="宋体" w:eastAsia="宋体" w:cs="宋体"/>
                <w:sz w:val="24"/>
                <w:lang w:eastAsia="zh-CN"/>
              </w:rPr>
            </w:pPr>
            <w:r>
              <w:rPr>
                <w:rFonts w:hint="eastAsia" w:ascii="宋体" w:hAnsi="宋体" w:cs="宋体"/>
                <w:sz w:val="24"/>
                <w:lang w:eastAsia="zh-CN"/>
              </w:rPr>
              <w:t>滨江区长河街道“美丽杭州”及数字城管案件处理服务项目（江南大道以南，铁路以北区块）</w:t>
            </w:r>
          </w:p>
        </w:tc>
        <w:tc>
          <w:tcPr>
            <w:tcW w:w="753" w:type="dxa"/>
            <w:tcMar>
              <w:top w:w="15" w:type="dxa"/>
              <w:left w:w="15" w:type="dxa"/>
              <w:bottom w:w="0" w:type="dxa"/>
              <w:right w:w="15" w:type="dxa"/>
            </w:tcMar>
            <w:vAlign w:val="center"/>
          </w:tcPr>
          <w:p>
            <w:pPr>
              <w:jc w:val="center"/>
              <w:textAlignment w:val="center"/>
              <w:rPr>
                <w:rFonts w:ascii="宋体" w:hAnsi="宋体" w:cs="宋体"/>
                <w:sz w:val="24"/>
              </w:rPr>
            </w:pPr>
            <w:r>
              <w:rPr>
                <w:rFonts w:hint="eastAsia" w:ascii="宋体" w:hAnsi="宋体" w:cs="宋体"/>
                <w:sz w:val="24"/>
              </w:rPr>
              <w:t>1</w:t>
            </w:r>
          </w:p>
        </w:tc>
        <w:tc>
          <w:tcPr>
            <w:tcW w:w="785" w:type="dxa"/>
            <w:tcMar>
              <w:top w:w="15" w:type="dxa"/>
              <w:left w:w="15" w:type="dxa"/>
              <w:bottom w:w="0" w:type="dxa"/>
              <w:right w:w="15" w:type="dxa"/>
            </w:tcMar>
            <w:vAlign w:val="center"/>
          </w:tcPr>
          <w:p>
            <w:pPr>
              <w:jc w:val="center"/>
              <w:textAlignment w:val="center"/>
              <w:rPr>
                <w:rFonts w:ascii="宋体" w:hAnsi="宋体" w:cs="宋体"/>
                <w:sz w:val="24"/>
              </w:rPr>
            </w:pPr>
            <w:r>
              <w:rPr>
                <w:rFonts w:hint="eastAsia" w:ascii="宋体" w:hAnsi="宋体" w:cs="宋体"/>
                <w:sz w:val="24"/>
              </w:rPr>
              <w:t>项</w:t>
            </w:r>
          </w:p>
        </w:tc>
        <w:tc>
          <w:tcPr>
            <w:tcW w:w="1004" w:type="dxa"/>
            <w:vAlign w:val="center"/>
          </w:tcPr>
          <w:p>
            <w:pPr>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 xml:space="preserve">9000000.00  </w:t>
            </w:r>
          </w:p>
        </w:tc>
        <w:tc>
          <w:tcPr>
            <w:tcW w:w="1571" w:type="dxa"/>
            <w:vAlign w:val="center"/>
          </w:tcPr>
          <w:p>
            <w:pPr>
              <w:tabs>
                <w:tab w:val="left" w:pos="0"/>
              </w:tabs>
              <w:jc w:val="center"/>
              <w:rPr>
                <w:rFonts w:ascii="宋体" w:hAnsi="宋体" w:cs="宋体"/>
                <w:sz w:val="24"/>
              </w:rPr>
            </w:pPr>
            <w:r>
              <w:rPr>
                <w:rFonts w:hint="eastAsia" w:ascii="宋体" w:hAnsi="宋体" w:cs="宋体"/>
                <w:sz w:val="24"/>
              </w:rPr>
              <w:t>二、招标需求</w:t>
            </w:r>
          </w:p>
        </w:tc>
        <w:tc>
          <w:tcPr>
            <w:tcW w:w="1298" w:type="dxa"/>
            <w:vAlign w:val="center"/>
          </w:tcPr>
          <w:p>
            <w:pPr>
              <w:jc w:val="center"/>
              <w:textAlignment w:val="center"/>
              <w:rPr>
                <w:rFonts w:hint="eastAsia" w:ascii="宋体" w:hAnsi="宋体" w:eastAsia="宋体" w:cs="宋体"/>
                <w:sz w:val="24"/>
                <w:lang w:eastAsia="zh-CN"/>
              </w:rPr>
            </w:pPr>
            <w:r>
              <w:rPr>
                <w:rFonts w:hint="eastAsia" w:ascii="宋体" w:hAnsi="宋体" w:cs="宋体"/>
                <w:sz w:val="24"/>
                <w:lang w:val="en-US" w:eastAsia="zh-CN"/>
              </w:rPr>
              <w:t xml:space="preserve">9000000.00 </w:t>
            </w:r>
          </w:p>
        </w:tc>
      </w:tr>
    </w:tbl>
    <w:p>
      <w:pPr>
        <w:rPr>
          <w:rFonts w:ascii="宋体" w:hAnsi="宋体" w:cs="宋体"/>
          <w:b/>
          <w:sz w:val="24"/>
        </w:rPr>
      </w:pPr>
    </w:p>
    <w:p>
      <w:pPr>
        <w:pStyle w:val="4"/>
        <w:numPr>
          <w:ilvl w:val="0"/>
          <w:numId w:val="1"/>
        </w:numPr>
        <w:jc w:val="center"/>
        <w:rPr>
          <w:rFonts w:ascii="宋体" w:hAnsi="宋体" w:eastAsia="宋体" w:cs="宋体"/>
          <w:sz w:val="24"/>
          <w:szCs w:val="24"/>
        </w:rPr>
      </w:pPr>
      <w:r>
        <w:rPr>
          <w:rFonts w:hint="eastAsia" w:ascii="宋体" w:hAnsi="宋体" w:eastAsia="宋体" w:cs="宋体"/>
          <w:sz w:val="24"/>
          <w:szCs w:val="24"/>
        </w:rPr>
        <w:t>采购需求</w:t>
      </w:r>
    </w:p>
    <w:p>
      <w:pPr>
        <w:rPr>
          <w:rFonts w:ascii="宋体" w:hAnsi="宋体" w:cs="宋体"/>
          <w:sz w:val="24"/>
        </w:rPr>
      </w:pPr>
    </w:p>
    <w:p>
      <w:pPr>
        <w:pStyle w:val="32"/>
        <w:snapToGrid w:val="0"/>
        <w:spacing w:before="360" w:beforeLines="150" w:after="120" w:line="240" w:lineRule="auto"/>
        <w:ind w:firstLine="284" w:firstLineChars="101"/>
        <w:outlineLvl w:val="1"/>
        <w:rPr>
          <w:rFonts w:hint="eastAsia" w:ascii="宋体" w:hAnsi="宋体" w:eastAsia="宋体" w:cs="宋体"/>
          <w:b/>
          <w:color w:val="auto"/>
          <w:sz w:val="28"/>
          <w:szCs w:val="28"/>
          <w:highlight w:val="none"/>
        </w:rPr>
      </w:pPr>
      <w:bookmarkStart w:id="28" w:name="_Toc10070"/>
      <w:r>
        <w:rPr>
          <w:rFonts w:hint="eastAsia" w:hAnsi="宋体" w:cs="宋体"/>
          <w:b/>
          <w:color w:val="auto"/>
          <w:sz w:val="28"/>
          <w:szCs w:val="28"/>
          <w:highlight w:val="none"/>
          <w:lang w:eastAsia="zh-CN"/>
        </w:rPr>
        <w:t>（一）</w:t>
      </w:r>
      <w:r>
        <w:rPr>
          <w:rFonts w:hint="eastAsia" w:ascii="宋体" w:hAnsi="宋体" w:eastAsia="宋体" w:cs="宋体"/>
          <w:b/>
          <w:color w:val="auto"/>
          <w:sz w:val="28"/>
          <w:szCs w:val="28"/>
          <w:highlight w:val="none"/>
        </w:rPr>
        <w:t>、服务内容、服务期限及服务要求</w:t>
      </w:r>
      <w:bookmarkEnd w:id="28"/>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（2）采购人临时指派的全民监督平台交办的应急设施整改；</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（3）无主交接箱类整治清理；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（4）无主井盖整治；</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（5）不明架空线缆脱落或线缆垂挂的清理；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（6）无主护栏清理；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（7）无主外立面（含台阶）脱落或破损的修复；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（8）未移交道路、桥、隧等设施的修复；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（12）无主绿地的恢复或补种；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（13）违规店招店牌的整治；</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（14）无主垃圾的清运；</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（15）如采购人将相应任务交予供应商，供应商必须无条件予以响应。</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（16）供应商对以上工作实行长效管理，出现问题时，及时予以解决。</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（17）其他无主类及职能不清的案卷代整治。</w:t>
      </w:r>
    </w:p>
    <w:p>
      <w:pPr>
        <w:spacing w:before="120" w:beforeLines="50" w:line="3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违规建筑构筑物的拆除。</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2、服务期：</w:t>
      </w:r>
      <w:r>
        <w:rPr>
          <w:rFonts w:hint="eastAsia" w:ascii="宋体" w:hAnsi="宋体" w:eastAsia="宋体" w:cs="宋体"/>
          <w:color w:val="auto"/>
          <w:sz w:val="24"/>
          <w:szCs w:val="24"/>
          <w:highlight w:val="none"/>
        </w:rPr>
        <w:t>1年（具体以合同签订时间为准）。</w:t>
      </w:r>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3、服务要求：</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（1）供应商必须具有与开展本项目工作相适应的人员、场所和设备设施，其中指派1名项目驻点负责人开展服务管理工作。</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（2）信息接收员（熟悉电脑操作）不少于2人，信息接收终端设备不少于2台，工作每天时间7：30——21：00。节假日须有人在岗。</w:t>
      </w:r>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上述（1）、（2）项涉及的人员和设备，由供应商提供，相关费用包含在投标报价中，采购人不再额外支付。</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实施内容均为零星应急项目，须做好“备货制”，既承担一切应急处置所需的材料及设备及时供应的准备。设备应至少具备应急抢险车、登高车、枝叶粉碎机设备、铣刨机、窨井盖圆周切割机、发电机等；供应商须充分考虑施工成本，施工人员、设备、应急响应时间，特殊时期必须24小时随时待命。</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本项目必须随时待命随时处理的特殊性，非本地供应商未在杭州设立办事点、仓储、应急机、材设备停放的，须在中标公示后20个工作日内在服务区域内设立，否则视为主动放弃中标资格，由排名次之的中标候选人替补，以此类推。</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（5）供应商应每天记录并汇总处理整改情况。按照采购人的书面函件、抄告单、领导交办单、数字城管案件交办单等方可进行施工。</w:t>
      </w:r>
    </w:p>
    <w:p>
      <w:pPr>
        <w:adjustRightInd w:val="0"/>
        <w:spacing w:before="120" w:beforeLines="50" w:line="34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b/>
          <w:bCs/>
          <w:color w:val="auto"/>
          <w:sz w:val="24"/>
          <w:szCs w:val="24"/>
          <w:highlight w:val="none"/>
        </w:rPr>
        <w:t>应每天对代整治项目进行登记造册，</w:t>
      </w:r>
      <w:r>
        <w:rPr>
          <w:rFonts w:hint="eastAsia" w:ascii="宋体" w:hAnsi="宋体" w:eastAsia="宋体" w:cs="宋体"/>
          <w:b/>
          <w:bCs/>
          <w:color w:val="auto"/>
          <w:sz w:val="24"/>
          <w:szCs w:val="24"/>
          <w:highlight w:val="none"/>
          <w:lang w:val="en-US" w:eastAsia="zh-CN"/>
        </w:rPr>
        <w:t>提供完整的考勤制度（需提供考勤签到表），上下班进行签到、签退，</w:t>
      </w:r>
      <w:r>
        <w:rPr>
          <w:rFonts w:hint="eastAsia" w:ascii="宋体" w:hAnsi="宋体" w:eastAsia="宋体" w:cs="宋体"/>
          <w:b/>
          <w:bCs/>
          <w:color w:val="auto"/>
          <w:sz w:val="24"/>
          <w:szCs w:val="24"/>
          <w:highlight w:val="none"/>
        </w:rPr>
        <w:t>要求在事前、事中和事后有图片说明</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图片需用水印相机拍摄，显示时间地点，早上、中午、晚上均需提供图片</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，记录每一天处置设施量、位置、月末统一汇总（电子版）。</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对于本项目代整治的内容，供应商除完成代整治工作外，也应完善并提升自身对相关内容的管理工作，事中严格管理，及时解决。</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（8）供应商在合同履行期间，做好管理工作，如发生欠薪讨薪，引发、带头、参与集体上访及作业中发生的事故，全部由供应商自行解决及承担引起的所有赔偿金。</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（9）供应商要做到安全文明施工，确保不发生由于为做好安全文明施工、整治不到位等原因引起的各类投诉或事故。</w:t>
      </w:r>
    </w:p>
    <w:p>
      <w:pPr>
        <w:adjustRightInd w:val="0"/>
        <w:snapToGrid/>
        <w:spacing w:before="120" w:beforeLines="50" w:after="0" w:line="340" w:lineRule="exact"/>
        <w:ind w:left="0" w:firstLine="480" w:firstLineChars="200"/>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snapToGrid/>
          <w:color w:val="auto"/>
          <w:kern w:val="2"/>
          <w:sz w:val="24"/>
          <w:szCs w:val="24"/>
          <w:highlight w:val="none"/>
          <w:lang w:val="en-US" w:eastAsia="zh-CN" w:bidi="ar-SA"/>
        </w:rPr>
        <w:t>在拆除违规构筑物前由中标人自行制作实施方案并提供相应的工具及人员;实施过程中与拆除物无利害关系的其他房屋设施、人员及财物安全。实施过程中发生其他房屋、人员及财物意外损失或伤害等事故,由中标人自行承担所有责任及经济赔(补)偿,采购人不承担任何责任。实施过程中发生的人员人身事故及财产损失等事故，由中标人自行承担所有责任以及由此产生的经济赔（补）偿，采购人不承担任何责任。</w:t>
      </w:r>
    </w:p>
    <w:p>
      <w:pPr>
        <w:adjustRightInd w:val="0"/>
        <w:snapToGrid/>
        <w:spacing w:before="120" w:beforeLines="50" w:after="0" w:line="340" w:lineRule="exact"/>
        <w:ind w:left="0" w:firstLine="480" w:firstLineChars="200"/>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（11）供应商</w:t>
      </w:r>
      <w:r>
        <w:rPr>
          <w:rFonts w:hint="eastAsia" w:ascii="宋体" w:hAnsi="宋体" w:eastAsia="宋体" w:cs="宋体"/>
          <w:color w:val="auto"/>
          <w:sz w:val="24"/>
          <w:szCs w:val="24"/>
          <w:highlight w:val="none"/>
        </w:rPr>
        <w:t>的专职安全人员和技术人员必须管理到位，不得擅自离岗，并向所有进场人员进行安全和技术交底，督促</w:t>
      </w:r>
      <w:r>
        <w:rPr>
          <w:rFonts w:hint="eastAsia" w:ascii="宋体" w:hAnsi="宋体" w:eastAsia="宋体" w:cs="宋体"/>
          <w:color w:val="auto"/>
          <w:sz w:val="24"/>
          <w:szCs w:val="24"/>
          <w:highlight w:val="none"/>
          <w:lang w:val="en-US" w:eastAsia="zh-CN"/>
        </w:rPr>
        <w:t>施工</w:t>
      </w:r>
      <w:r>
        <w:rPr>
          <w:rFonts w:hint="eastAsia" w:ascii="宋体" w:hAnsi="宋体" w:eastAsia="宋体" w:cs="宋体"/>
          <w:color w:val="auto"/>
          <w:sz w:val="24"/>
          <w:szCs w:val="24"/>
          <w:highlight w:val="none"/>
        </w:rPr>
        <w:t>人员按章操作，防止安全事故发生。</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）供应商须根据数字城管派单量及采购人交办任务</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形式</w:t>
      </w:r>
      <w:r>
        <w:rPr>
          <w:rFonts w:hint="eastAsia" w:ascii="宋体" w:hAnsi="宋体" w:eastAsia="宋体" w:cs="宋体"/>
          <w:color w:val="auto"/>
          <w:sz w:val="24"/>
          <w:szCs w:val="24"/>
          <w:highlight w:val="none"/>
        </w:rPr>
        <w:t>随时增加人工、机械设备。</w:t>
      </w:r>
    </w:p>
    <w:p>
      <w:pPr>
        <w:snapToGrid w:val="0"/>
        <w:spacing w:before="120" w:beforeLines="50" w:after="120" w:line="340" w:lineRule="exact"/>
        <w:ind w:firstLine="562" w:firstLineChars="200"/>
        <w:outlineLvl w:val="1"/>
        <w:rPr>
          <w:rFonts w:hint="eastAsia" w:ascii="宋体" w:hAnsi="宋体" w:eastAsia="宋体" w:cs="宋体"/>
          <w:b/>
          <w:color w:val="auto"/>
          <w:sz w:val="28"/>
          <w:szCs w:val="28"/>
          <w:highlight w:val="none"/>
        </w:rPr>
      </w:pPr>
      <w:r>
        <w:rPr>
          <w:rFonts w:hint="eastAsia" w:ascii="宋体" w:hAnsi="宋体" w:cs="宋体"/>
          <w:b/>
          <w:color w:val="auto"/>
          <w:sz w:val="28"/>
          <w:szCs w:val="28"/>
          <w:highlight w:val="none"/>
          <w:lang w:eastAsia="zh-CN"/>
        </w:rPr>
        <w:t>（二）</w:t>
      </w:r>
      <w:r>
        <w:rPr>
          <w:rFonts w:hint="eastAsia" w:ascii="宋体" w:hAnsi="宋体" w:eastAsia="宋体" w:cs="宋体"/>
          <w:b/>
          <w:color w:val="auto"/>
          <w:sz w:val="28"/>
          <w:szCs w:val="28"/>
          <w:highlight w:val="none"/>
        </w:rPr>
        <w:t>、质量标准、验收标准及办法及售后服务的要求、响应时间</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1、质量标准：参照杭州市数字城管立结案规范文件执行 </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2、验收标准及办法：参照杭州市数字城管立结案规范文件执行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3、在接到采购人通知后5分钟内响应，30分钟内到达指定整治地点，供应商须根据采购人要求做好整治工作。</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必须收到采购人发出的代整治服务要求后开展整治工作，整治过程中必须提供代整治点整治前后的照片及人员签到情况，并对整治车辆及人员进行定位。做好相关电子文档、书面文档等代整治资料存档，以备检查和审计需要。</w:t>
      </w:r>
    </w:p>
    <w:p>
      <w:pPr>
        <w:pStyle w:val="32"/>
        <w:snapToGrid w:val="0"/>
        <w:spacing w:before="360" w:beforeLines="150" w:after="120" w:line="240" w:lineRule="auto"/>
        <w:ind w:firstLine="284" w:firstLineChars="101"/>
        <w:outlineLvl w:val="1"/>
        <w:rPr>
          <w:rFonts w:hint="eastAsia" w:ascii="宋体" w:hAnsi="宋体" w:eastAsia="宋体" w:cs="宋体"/>
          <w:b/>
          <w:color w:val="auto"/>
          <w:sz w:val="28"/>
          <w:szCs w:val="28"/>
          <w:highlight w:val="none"/>
        </w:rPr>
      </w:pPr>
      <w:bookmarkStart w:id="29" w:name="_Toc32608"/>
      <w:r>
        <w:rPr>
          <w:rFonts w:hint="eastAsia" w:hAnsi="宋体" w:cs="宋体"/>
          <w:b/>
          <w:color w:val="auto"/>
          <w:sz w:val="28"/>
          <w:szCs w:val="28"/>
          <w:highlight w:val="none"/>
          <w:lang w:eastAsia="zh-CN"/>
        </w:rPr>
        <w:t>（三）</w:t>
      </w:r>
      <w:r>
        <w:rPr>
          <w:rFonts w:hint="eastAsia" w:ascii="宋体" w:hAnsi="宋体" w:eastAsia="宋体" w:cs="宋体"/>
          <w:b/>
          <w:color w:val="auto"/>
          <w:sz w:val="28"/>
          <w:szCs w:val="28"/>
          <w:highlight w:val="none"/>
        </w:rPr>
        <w:t>、报价要求、付款方式和条件</w:t>
      </w:r>
      <w:bookmarkEnd w:id="29"/>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项目内容繁杂，且为零星应急整治，供应商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2、报价要求：</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①工程类：</w:t>
      </w:r>
      <w:r>
        <w:rPr>
          <w:rFonts w:hint="eastAsia" w:ascii="宋体" w:hAnsi="宋体" w:eastAsia="宋体" w:cs="宋体"/>
          <w:color w:val="auto"/>
          <w:sz w:val="24"/>
          <w:szCs w:val="24"/>
          <w:highlight w:val="none"/>
        </w:rPr>
        <w:t>投标报价采用折扣率报价（最高限价：100%，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②人工：</w:t>
      </w:r>
      <w:r>
        <w:rPr>
          <w:rFonts w:hint="eastAsia" w:ascii="宋体" w:hAnsi="宋体" w:eastAsia="宋体" w:cs="宋体"/>
          <w:color w:val="auto"/>
          <w:sz w:val="24"/>
          <w:szCs w:val="24"/>
          <w:highlight w:val="none"/>
        </w:rPr>
        <w:t>最高限价：250元/天。此项包含锹、镐、扫把、铲刀等操作工具。</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③简易案件处理：</w:t>
      </w:r>
      <w:r>
        <w:rPr>
          <w:rFonts w:hint="eastAsia" w:ascii="宋体" w:hAnsi="宋体" w:eastAsia="宋体" w:cs="宋体"/>
          <w:color w:val="auto"/>
          <w:sz w:val="24"/>
          <w:szCs w:val="24"/>
          <w:highlight w:val="none"/>
        </w:rPr>
        <w:t>最高限价：2300元/天。此项包含处置完成采购人认定的所有数字城管案件所需的所有费用。要求全日制驻场2辆5座皮卡车（含驾驶员）及6名处置工人，如需增加人工及车辆等，由供应商自行协调解决，采购人不在额外支付费用。</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④垃圾清运1：</w:t>
      </w:r>
      <w:r>
        <w:rPr>
          <w:rFonts w:hint="eastAsia" w:ascii="宋体" w:hAnsi="宋体" w:eastAsia="宋体" w:cs="宋体"/>
          <w:color w:val="auto"/>
          <w:sz w:val="24"/>
          <w:szCs w:val="24"/>
          <w:highlight w:val="none"/>
        </w:rPr>
        <w:t>最高限价：160元/立方米。按方量计价，包含现场清理、装车、运输、卸载及处置等垃圾清运涉及的所有费用。</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⑤垃圾清运2：</w:t>
      </w:r>
      <w:r>
        <w:rPr>
          <w:rFonts w:hint="eastAsia" w:ascii="宋体" w:hAnsi="宋体" w:eastAsia="宋体" w:cs="宋体"/>
          <w:color w:val="auto"/>
          <w:sz w:val="24"/>
          <w:szCs w:val="24"/>
          <w:highlight w:val="none"/>
        </w:rPr>
        <w:t>最高限价：540元/车（3吨）。按车辆计价，包含运输、卸载及处置等费用。</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⑥垃圾清运3：</w:t>
      </w:r>
      <w:r>
        <w:rPr>
          <w:rFonts w:hint="eastAsia" w:ascii="宋体" w:hAnsi="宋体" w:eastAsia="宋体" w:cs="宋体"/>
          <w:color w:val="auto"/>
          <w:sz w:val="24"/>
          <w:szCs w:val="24"/>
          <w:highlight w:val="none"/>
        </w:rPr>
        <w:t>最高限价：790元/车（3吨）。按车辆计价，包含现场清理、装车、运输、卸载及处置等垃圾清运涉及的所有费用。</w:t>
      </w:r>
    </w:p>
    <w:p>
      <w:pPr>
        <w:adjustRightInd w:val="0"/>
        <w:spacing w:before="120" w:beforeLines="50" w:line="340" w:lineRule="exact"/>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szCs w:val="24"/>
          <w:highlight w:val="none"/>
        </w:rPr>
        <w:t>注：超出最高限价的投标无效。</w:t>
      </w:r>
    </w:p>
    <w:p>
      <w:pPr>
        <w:pStyle w:val="32"/>
        <w:snapToGrid w:val="0"/>
        <w:spacing w:before="360" w:beforeLines="150" w:after="120" w:line="240" w:lineRule="auto"/>
        <w:ind w:firstLine="284" w:firstLineChars="101"/>
        <w:outlineLvl w:val="1"/>
        <w:rPr>
          <w:rFonts w:hint="eastAsia" w:ascii="宋体" w:hAnsi="宋体" w:eastAsia="宋体" w:cs="宋体"/>
          <w:b/>
          <w:color w:val="auto"/>
          <w:sz w:val="28"/>
          <w:szCs w:val="28"/>
          <w:highlight w:val="none"/>
        </w:rPr>
      </w:pPr>
      <w:bookmarkStart w:id="30" w:name="_Toc32550"/>
      <w:r>
        <w:rPr>
          <w:rFonts w:hint="eastAsia" w:hAnsi="宋体" w:cs="宋体"/>
          <w:b/>
          <w:color w:val="auto"/>
          <w:sz w:val="28"/>
          <w:szCs w:val="28"/>
          <w:highlight w:val="none"/>
          <w:lang w:eastAsia="zh-CN"/>
        </w:rPr>
        <w:t>（四）</w:t>
      </w:r>
      <w:r>
        <w:rPr>
          <w:rFonts w:hint="eastAsia" w:ascii="宋体" w:hAnsi="宋体" w:eastAsia="宋体" w:cs="宋体"/>
          <w:b/>
          <w:color w:val="auto"/>
          <w:sz w:val="28"/>
          <w:szCs w:val="28"/>
          <w:highlight w:val="none"/>
        </w:rPr>
        <w:t>、针对本项目的考核办法</w:t>
      </w:r>
      <w:bookmarkEnd w:id="30"/>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供应商应按采购人要求，按时保质保量完成落实整治工作，解决率和及时解决率达到100%。供应商必须无条件服从采购人的相关考核规定。</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1、供应商在合同履行期间，因不文明施工造成各类投诉的，每发生一件扣2000元。</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在合同履行期间及质保期内，存在施工不符合施工规范要求，偷工减量，以次充好，经采购人发现，视为质量不达标。质量不达标的，每发生1起扣2000元。且采购人有权要求供应商落实整改，拒绝整改或整改不到位的，采购人可以自行委托第三方施工单位整改到位，费用由供应商全部承担，从履约保证金中进行扣除，并该案卷的整个项目总费用全部扣除。</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招标人有权终止合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4、供应商存在工程量虚报情况的，每次扣款1万元。发生三次工程量虚报情况的，招标人有权终止合同。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5、管理不到位。单个合同期内发生1次管理不到位的，乙方需书面说明原因、分析和整改措施。单个合同期内发生2次以上管理不到位的，采购立即终止与供应商的合同。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①供应商在合同履行期间，存在欠薪讨薪，引发、带头、参与集体上访的，视为管理不到位。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②采购人对供应商全年扣款总数进行考核，考核扣款超过年整治经费5%的，视为1次管理不到位；考核扣款超过年整治经费10%的，视为2次管理不到位。</w:t>
      </w:r>
    </w:p>
    <w:p>
      <w:pPr>
        <w:pStyle w:val="32"/>
        <w:snapToGrid w:val="0"/>
        <w:spacing w:before="360" w:beforeLines="150" w:after="120" w:line="240" w:lineRule="auto"/>
        <w:ind w:firstLine="284" w:firstLineChars="101"/>
        <w:outlineLvl w:val="1"/>
        <w:rPr>
          <w:rFonts w:hint="eastAsia" w:ascii="宋体" w:hAnsi="宋体" w:eastAsia="宋体" w:cs="宋体"/>
          <w:b/>
          <w:color w:val="auto"/>
          <w:sz w:val="28"/>
          <w:szCs w:val="28"/>
          <w:highlight w:val="none"/>
        </w:rPr>
      </w:pPr>
      <w:bookmarkStart w:id="31" w:name="_Toc22741"/>
      <w:r>
        <w:rPr>
          <w:rFonts w:hint="eastAsia" w:hAnsi="宋体" w:cs="宋体"/>
          <w:b/>
          <w:color w:val="auto"/>
          <w:sz w:val="28"/>
          <w:szCs w:val="28"/>
          <w:highlight w:val="none"/>
          <w:lang w:eastAsia="zh-CN"/>
        </w:rPr>
        <w:t>（五）</w:t>
      </w:r>
      <w:r>
        <w:rPr>
          <w:rFonts w:hint="eastAsia" w:ascii="宋体" w:hAnsi="宋体" w:eastAsia="宋体" w:cs="宋体"/>
          <w:b/>
          <w:color w:val="auto"/>
          <w:sz w:val="28"/>
          <w:szCs w:val="28"/>
          <w:highlight w:val="none"/>
        </w:rPr>
        <w:t>、商务要求表</w:t>
      </w:r>
      <w:bookmarkEnd w:id="31"/>
    </w:p>
    <w:tbl>
      <w:tblPr>
        <w:tblStyle w:val="62"/>
        <w:tblW w:w="9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服务地点</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hint="eastAsia" w:ascii="宋体" w:hAnsi="宋体" w:eastAsia="宋体" w:cs="宋体"/>
                <w:color w:val="auto"/>
                <w:sz w:val="24"/>
                <w:highlight w:val="none"/>
              </w:rPr>
            </w:pPr>
            <w:r>
              <w:rPr>
                <w:rFonts w:hint="eastAsia" w:ascii="宋体" w:hAnsi="宋体" w:eastAsia="宋体" w:cs="宋体"/>
                <w:color w:val="auto"/>
                <w:sz w:val="24"/>
                <w:highlight w:val="none"/>
              </w:rPr>
              <w:t>杭州滨江区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6"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服务期</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一年，服务期内必须随时待命随时处置，24小时随时响应。</w:t>
            </w:r>
            <w:r>
              <w:rPr>
                <w:rFonts w:hint="eastAsia" w:ascii="宋体" w:hAnsi="宋体" w:eastAsia="宋体" w:cs="宋体"/>
                <w:color w:val="auto"/>
                <w:sz w:val="24"/>
                <w:szCs w:val="24"/>
                <w:highlight w:val="none"/>
              </w:rPr>
              <w:t>中标单位没有按合同规定服务，采购人有权终止合同，另行招标采购。</w:t>
            </w:r>
            <w:r>
              <w:rPr>
                <w:rFonts w:hint="eastAsia" w:ascii="宋体" w:hAnsi="宋体" w:eastAsia="宋体" w:cs="宋体"/>
                <w:color w:val="auto"/>
                <w:sz w:val="24"/>
                <w:highlight w:val="none"/>
              </w:rPr>
              <w:t>中标供应商不得将相关工作转包，一经发现有转包行为本协议自动终止，并追究中标供应商相关责任。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履约保证金</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hint="eastAsia" w:ascii="宋体" w:hAnsi="宋体" w:eastAsia="宋体" w:cs="宋体"/>
                <w:color w:val="auto"/>
                <w:sz w:val="24"/>
                <w:highlight w:val="none"/>
              </w:rPr>
            </w:pPr>
            <w:r>
              <w:rPr>
                <w:rFonts w:hint="eastAsia" w:ascii="宋体" w:hAnsi="宋体" w:eastAsia="宋体" w:cs="宋体"/>
                <w:color w:val="auto"/>
                <w:sz w:val="24"/>
                <w:highlight w:val="none"/>
              </w:rPr>
              <w:t>在中标通知书发出后7日内中标供应商应当向采购人提交20万元作为作为履约保证金（银行、保险公司出具履约保函）。服务期满并验收合格后15个工作日内，退还履约保证金（不计息）。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付款方式</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fldChar w:fldCharType="begin"/>
            </w:r>
            <w:r>
              <w:rPr>
                <w:rFonts w:hint="eastAsia" w:ascii="宋体" w:hAnsi="宋体" w:eastAsia="宋体" w:cs="宋体"/>
                <w:color w:val="auto"/>
                <w:sz w:val="24"/>
                <w:highlight w:val="none"/>
                <w:lang w:val="en-US" w:eastAsia="zh-CN"/>
              </w:rPr>
              <w:instrText xml:space="preserve"> EQ \o\ac(</w:instrText>
            </w:r>
            <w:r>
              <w:rPr>
                <w:rFonts w:hint="eastAsia" w:ascii="宋体" w:hAnsi="宋体" w:eastAsia="宋体" w:cs="宋体"/>
                <w:color w:val="auto"/>
                <w:kern w:val="2"/>
                <w:position w:val="-4"/>
                <w:sz w:val="36"/>
                <w:szCs w:val="24"/>
                <w:highlight w:val="none"/>
                <w:lang w:val="en-US" w:eastAsia="zh-CN" w:bidi="ar-SA"/>
              </w:rPr>
              <w:instrText xml:space="preserve">○</w:instrText>
            </w:r>
            <w:r>
              <w:rPr>
                <w:rFonts w:hint="eastAsia" w:ascii="宋体" w:hAnsi="宋体" w:eastAsia="宋体" w:cs="宋体"/>
                <w:color w:val="auto"/>
                <w:sz w:val="24"/>
                <w:highlight w:val="none"/>
                <w:lang w:val="en-US" w:eastAsia="zh-CN"/>
              </w:rPr>
              <w:instrText xml:space="preserve">,1)</w:instrText>
            </w:r>
            <w:r>
              <w:rPr>
                <w:rFonts w:hint="eastAsia" w:ascii="宋体" w:hAnsi="宋体" w:eastAsia="宋体" w:cs="宋体"/>
                <w:color w:val="auto"/>
                <w:sz w:val="24"/>
                <w:highlight w:val="none"/>
                <w:lang w:val="en-US" w:eastAsia="zh-CN"/>
              </w:rPr>
              <w:fldChar w:fldCharType="end"/>
            </w:r>
            <w:r>
              <w:rPr>
                <w:rFonts w:hint="eastAsia" w:ascii="宋体" w:hAnsi="宋体" w:eastAsia="宋体" w:cs="宋体"/>
                <w:color w:val="auto"/>
                <w:sz w:val="24"/>
                <w:highlight w:val="none"/>
                <w:lang w:val="en-US" w:eastAsia="zh-CN"/>
              </w:rPr>
              <w:t>合同签订后十五个工作日内采购人向中标供应商支付中标金额的40%的为预付款；</w:t>
            </w:r>
            <w:r>
              <w:rPr>
                <w:rFonts w:hint="eastAsia" w:ascii="宋体" w:hAnsi="宋体" w:cs="宋体"/>
                <w:color w:val="auto"/>
                <w:sz w:val="24"/>
                <w:highlight w:val="none"/>
                <w:lang w:val="en-US" w:eastAsia="zh-CN"/>
              </w:rPr>
              <w:t>（在签订合同时，供应商明确表示无需预付款或者主动要求降低预付款比例的）</w:t>
            </w:r>
          </w:p>
          <w:p>
            <w:pPr>
              <w:spacing w:before="240" w:beforeLines="100" w:after="240" w:afterLines="1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EQ \o\ac(</w:instrText>
            </w:r>
            <w:r>
              <w:rPr>
                <w:rFonts w:hint="eastAsia" w:ascii="宋体" w:hAnsi="宋体" w:eastAsia="宋体" w:cs="宋体"/>
                <w:color w:val="auto"/>
                <w:kern w:val="2"/>
                <w:position w:val="-4"/>
                <w:sz w:val="36"/>
                <w:szCs w:val="24"/>
                <w:highlight w:val="none"/>
                <w:lang w:val="en-US" w:eastAsia="zh-CN" w:bidi="ar-SA"/>
              </w:rPr>
              <w:instrText xml:space="preserve">○</w:instrText>
            </w:r>
            <w:r>
              <w:rPr>
                <w:rFonts w:hint="eastAsia" w:ascii="宋体" w:hAnsi="宋体" w:cs="宋体"/>
                <w:color w:val="auto"/>
                <w:sz w:val="24"/>
                <w:highlight w:val="none"/>
                <w:lang w:val="en-US" w:eastAsia="zh-CN"/>
              </w:rPr>
              <w:instrText xml:space="preserve">,2)</w:instrText>
            </w:r>
            <w:r>
              <w:rPr>
                <w:rFonts w:hint="eastAsia" w:ascii="宋体" w:hAnsi="宋体" w:cs="宋体"/>
                <w:color w:val="auto"/>
                <w:sz w:val="24"/>
                <w:highlight w:val="none"/>
                <w:lang w:val="en-US" w:eastAsia="zh-CN"/>
              </w:rPr>
              <w:fldChar w:fldCharType="end"/>
            </w:r>
            <w:r>
              <w:rPr>
                <w:rFonts w:hint="eastAsia" w:ascii="宋体" w:hAnsi="宋体" w:cs="宋体"/>
                <w:color w:val="auto"/>
                <w:sz w:val="24"/>
                <w:highlight w:val="none"/>
                <w:lang w:val="en-US" w:eastAsia="zh-CN"/>
              </w:rPr>
              <w:t>余款</w:t>
            </w:r>
            <w:r>
              <w:rPr>
                <w:rFonts w:hint="eastAsia" w:ascii="宋体" w:hAnsi="宋体" w:eastAsia="宋体" w:cs="宋体"/>
                <w:color w:val="auto"/>
                <w:sz w:val="24"/>
                <w:highlight w:val="none"/>
              </w:rPr>
              <w:t>根据考核及审计结果每月支付，在下个月20日前支付（扣除相应处罚款项）至审定金额得90%，剩余10%服务期满后一次性支付。</w:t>
            </w:r>
          </w:p>
          <w:p>
            <w:pPr>
              <w:spacing w:before="240" w:beforeLines="100" w:after="240" w:afterLines="1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EQ \o\ac(</w:instrText>
            </w:r>
            <w:r>
              <w:rPr>
                <w:rFonts w:hint="eastAsia" w:ascii="宋体" w:hAnsi="宋体" w:eastAsia="宋体" w:cs="宋体"/>
                <w:color w:val="auto"/>
                <w:kern w:val="2"/>
                <w:position w:val="-4"/>
                <w:sz w:val="36"/>
                <w:szCs w:val="24"/>
                <w:highlight w:val="none"/>
                <w:lang w:val="en-US" w:eastAsia="zh-CN" w:bidi="ar-SA"/>
              </w:rPr>
              <w:instrText xml:space="preserve">○</w:instrText>
            </w:r>
            <w:r>
              <w:rPr>
                <w:rFonts w:hint="eastAsia" w:ascii="宋体" w:hAnsi="宋体" w:cs="宋体"/>
                <w:color w:val="auto"/>
                <w:sz w:val="24"/>
                <w:highlight w:val="none"/>
                <w:lang w:val="en-US" w:eastAsia="zh-CN"/>
              </w:rPr>
              <w:instrText xml:space="preserve">,3)</w:instrText>
            </w:r>
            <w:r>
              <w:rPr>
                <w:rFonts w:hint="eastAsia" w:ascii="宋体" w:hAnsi="宋体" w:cs="宋体"/>
                <w:color w:val="auto"/>
                <w:sz w:val="24"/>
                <w:highlight w:val="none"/>
                <w:lang w:val="en-US" w:eastAsia="zh-CN"/>
              </w:rPr>
              <w:fldChar w:fldCharType="end"/>
            </w:r>
            <w:r>
              <w:rPr>
                <w:rFonts w:hint="eastAsia" w:ascii="宋体" w:hAnsi="宋体" w:eastAsia="宋体" w:cs="宋体"/>
                <w:color w:val="auto"/>
                <w:sz w:val="24"/>
                <w:highlight w:val="none"/>
              </w:rPr>
              <w:t>工程量以采购人、监理现场负责人签字确认为准。</w:t>
            </w:r>
          </w:p>
          <w:p>
            <w:pPr>
              <w:spacing w:before="240" w:beforeLines="100" w:after="240" w:afterLines="100"/>
              <w:rPr>
                <w:rFonts w:hint="eastAsia" w:ascii="宋体" w:hAnsi="宋体" w:eastAsia="宋体" w:cs="宋体"/>
                <w:color w:val="auto"/>
                <w:sz w:val="24"/>
                <w:highlight w:val="none"/>
              </w:rPr>
            </w:pPr>
            <w:r>
              <w:rPr>
                <w:rFonts w:hint="eastAsia" w:ascii="宋体" w:hAnsi="宋体" w:eastAsia="宋体" w:cs="宋体"/>
                <w:color w:val="auto"/>
                <w:sz w:val="24"/>
                <w:highlight w:val="none"/>
              </w:rPr>
              <w:t>注：付款前，中标供应商须提供符合要求的财务发票，否则采购单位有权不予支付，且不承担违约责任，但中标供应商仍须履行本合同。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质量标准</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施工质量符合（工程施工质量验收规范）合格标准。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验收条件</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符合滨江区市政道路养护考核条件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4"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其他约定</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项目实施过程中发生的死亡、人身伤害、财产损失、损害以及任何其它损失、损害和引起的费用和开支，由供应商承担全部责任。</w:t>
            </w:r>
          </w:p>
          <w:p>
            <w:p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采购人下属长河街道各社区如需要临时应急序化人员，中标供应商须无条件配合，费用按中标单价结算。</w:t>
            </w:r>
          </w:p>
          <w:p>
            <w:pPr>
              <w:adjustRightInd w:val="0"/>
              <w:snapToGrid w:val="0"/>
              <w:ind w:left="0" w:left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3、疫情期间，如需临时应急人员，中标供应商须提供应急方案，无条件配合采购人要求，费用按中标单价结算。</w:t>
            </w:r>
          </w:p>
          <w:p>
            <w:pPr>
              <w:pStyle w:val="2"/>
              <w:ind w:left="0"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b w:val="0"/>
                <w:color w:val="auto"/>
                <w:sz w:val="24"/>
                <w:szCs w:val="24"/>
                <w:highlight w:val="none"/>
                <w:lang w:val="en-US" w:eastAsia="zh-CN"/>
              </w:rPr>
              <w:t>供应商</w:t>
            </w:r>
            <w:r>
              <w:rPr>
                <w:rFonts w:hint="eastAsia" w:ascii="宋体" w:hAnsi="宋体" w:eastAsia="宋体" w:cs="宋体"/>
                <w:b w:val="0"/>
                <w:color w:val="auto"/>
                <w:sz w:val="24"/>
                <w:szCs w:val="24"/>
                <w:highlight w:val="none"/>
              </w:rPr>
              <w:t>须对拟派本项目的高空作业人员</w:t>
            </w:r>
            <w:r>
              <w:rPr>
                <w:rFonts w:hint="eastAsia" w:ascii="宋体" w:hAnsi="宋体" w:eastAsia="宋体" w:cs="宋体"/>
                <w:b w:val="0"/>
                <w:color w:val="auto"/>
                <w:sz w:val="24"/>
                <w:szCs w:val="24"/>
                <w:highlight w:val="none"/>
                <w:lang w:val="en-US" w:eastAsia="zh-CN"/>
              </w:rPr>
              <w:t>及安全员</w:t>
            </w:r>
            <w:r>
              <w:rPr>
                <w:rFonts w:hint="eastAsia" w:ascii="宋体" w:hAnsi="宋体" w:eastAsia="宋体" w:cs="宋体"/>
                <w:b w:val="0"/>
                <w:color w:val="auto"/>
                <w:sz w:val="24"/>
                <w:szCs w:val="24"/>
                <w:highlight w:val="none"/>
              </w:rPr>
              <w:t>缴纳</w:t>
            </w:r>
            <w:r>
              <w:rPr>
                <w:rFonts w:hint="eastAsia" w:ascii="宋体" w:hAnsi="宋体" w:eastAsia="宋体" w:cs="宋体"/>
                <w:color w:val="auto"/>
                <w:sz w:val="24"/>
                <w:szCs w:val="24"/>
                <w:highlight w:val="none"/>
                <w:lang w:val="en-US" w:eastAsia="zh-CN"/>
              </w:rPr>
              <w:t>人身意外伤害险</w:t>
            </w:r>
            <w:r>
              <w:rPr>
                <w:rFonts w:hint="eastAsia" w:ascii="宋体" w:hAnsi="宋体" w:eastAsia="宋体" w:cs="宋体"/>
                <w:b w:val="0"/>
                <w:color w:val="auto"/>
                <w:sz w:val="24"/>
                <w:szCs w:val="24"/>
                <w:highlight w:val="none"/>
              </w:rPr>
              <w:t>（每人保额不低于</w:t>
            </w:r>
            <w:r>
              <w:rPr>
                <w:rFonts w:hint="eastAsia" w:cs="宋体"/>
                <w:b w:val="0"/>
                <w:color w:val="auto"/>
                <w:sz w:val="24"/>
                <w:szCs w:val="24"/>
                <w:highlight w:val="none"/>
                <w:lang w:val="en-US" w:eastAsia="zh-CN"/>
              </w:rPr>
              <w:t>1</w:t>
            </w:r>
            <w:r>
              <w:rPr>
                <w:rFonts w:hint="eastAsia" w:ascii="宋体" w:hAnsi="宋体" w:eastAsia="宋体" w:cs="宋体"/>
                <w:b w:val="0"/>
                <w:color w:val="auto"/>
                <w:sz w:val="24"/>
                <w:szCs w:val="24"/>
                <w:highlight w:val="none"/>
              </w:rPr>
              <w:t>00万元人民币），相关风险因素请在投标报价时充分考虑，并计入投标总价，中标后相关费用不做调整。</w:t>
            </w:r>
          </w:p>
        </w:tc>
      </w:tr>
    </w:tbl>
    <w:p>
      <w:pPr>
        <w:rPr>
          <w:rFonts w:ascii="宋体" w:hAnsi="宋体" w:cs="宋体"/>
          <w:sz w:val="24"/>
        </w:rPr>
      </w:pPr>
    </w:p>
    <w:p>
      <w:pPr>
        <w:rPr>
          <w:rFonts w:ascii="宋体" w:hAnsi="宋体" w:cs="宋体"/>
          <w:sz w:val="24"/>
        </w:rPr>
      </w:pPr>
    </w:p>
    <w:p>
      <w:pPr>
        <w:spacing w:line="440" w:lineRule="exact"/>
        <w:ind w:firstLine="520" w:firstLineChars="200"/>
        <w:rPr>
          <w:rFonts w:ascii="宋体" w:hAnsi="宋体" w:cs="宋体"/>
          <w:bCs/>
          <w:spacing w:val="10"/>
          <w:sz w:val="24"/>
        </w:rPr>
      </w:pPr>
      <w:r>
        <w:rPr>
          <w:rFonts w:hint="eastAsia" w:ascii="宋体" w:hAnsi="宋体" w:cs="宋体"/>
          <w:bCs/>
          <w:spacing w:val="10"/>
          <w:sz w:val="24"/>
        </w:rPr>
        <w:t>注：</w:t>
      </w:r>
    </w:p>
    <w:p>
      <w:pPr>
        <w:spacing w:line="440" w:lineRule="exact"/>
        <w:ind w:firstLine="520" w:firstLineChars="200"/>
        <w:rPr>
          <w:rFonts w:ascii="宋体" w:hAnsi="宋体" w:cs="宋体"/>
          <w:bCs/>
          <w:spacing w:val="10"/>
          <w:sz w:val="24"/>
        </w:rPr>
      </w:pPr>
      <w:r>
        <w:rPr>
          <w:rFonts w:hint="eastAsia" w:ascii="宋体" w:hAnsi="宋体" w:cs="宋体"/>
          <w:bCs/>
          <w:spacing w:val="10"/>
          <w:sz w:val="24"/>
        </w:rPr>
        <w:t>1、如有附图，仅作参考。</w:t>
      </w:r>
    </w:p>
    <w:p>
      <w:pPr>
        <w:spacing w:line="440" w:lineRule="exact"/>
        <w:ind w:firstLine="520" w:firstLineChars="200"/>
        <w:rPr>
          <w:rFonts w:ascii="宋体" w:hAnsi="宋体" w:cs="宋体"/>
          <w:bCs/>
          <w:spacing w:val="10"/>
          <w:sz w:val="24"/>
        </w:rPr>
      </w:pPr>
      <w:r>
        <w:rPr>
          <w:rFonts w:hint="eastAsia" w:ascii="宋体" w:hAnsi="宋体" w:cs="宋体"/>
          <w:bCs/>
          <w:spacing w:val="10"/>
          <w:sz w:val="24"/>
        </w:rPr>
        <w:t>2、打▲内容为实质性要求，不允许有负偏离，否则将以涉及无效投标条款作无效投标。</w:t>
      </w:r>
    </w:p>
    <w:p>
      <w:pPr>
        <w:spacing w:line="440" w:lineRule="exact"/>
        <w:ind w:firstLine="520" w:firstLineChars="200"/>
        <w:rPr>
          <w:rFonts w:ascii="宋体" w:hAnsi="宋体" w:cs="宋体"/>
          <w:bCs/>
          <w:spacing w:val="10"/>
          <w:sz w:val="24"/>
        </w:rPr>
      </w:pPr>
      <w:r>
        <w:rPr>
          <w:rFonts w:hint="eastAsia" w:ascii="宋体" w:hAnsi="宋体" w:cs="宋体"/>
          <w:bCs/>
          <w:spacing w:val="10"/>
          <w:sz w:val="24"/>
        </w:rPr>
        <w:t>3、中标人所提供的货物、服务须与投标承诺一致，不得以次充好、偷工减料，若在项目验收中发现有上述情况，将向有关部门举报，根据相关规定进行处理。</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2" w:name="_Toc184310273"/>
      <w:bookmarkEnd w:id="32"/>
      <w:bookmarkStart w:id="33" w:name="_Toc184312129"/>
      <w:bookmarkEnd w:id="33"/>
      <w:bookmarkStart w:id="34" w:name="_Toc184310314"/>
      <w:bookmarkEnd w:id="34"/>
      <w:bookmarkStart w:id="35" w:name="_Toc184308043"/>
      <w:bookmarkEnd w:id="35"/>
      <w:bookmarkStart w:id="36" w:name="_Toc184308038"/>
      <w:bookmarkEnd w:id="36"/>
      <w:bookmarkStart w:id="37" w:name="_Toc184314453"/>
      <w:bookmarkEnd w:id="37"/>
      <w:bookmarkStart w:id="38" w:name="_Toc184308097"/>
      <w:bookmarkEnd w:id="38"/>
      <w:bookmarkStart w:id="39" w:name="_Toc184313270"/>
      <w:bookmarkEnd w:id="39"/>
      <w:bookmarkStart w:id="40" w:name="_Toc184314468"/>
      <w:bookmarkEnd w:id="40"/>
      <w:bookmarkStart w:id="41" w:name="_Toc184313257"/>
      <w:bookmarkEnd w:id="41"/>
      <w:bookmarkStart w:id="42" w:name="_Toc184313264"/>
      <w:bookmarkEnd w:id="42"/>
      <w:bookmarkStart w:id="43" w:name="_Toc184308054"/>
      <w:bookmarkEnd w:id="43"/>
      <w:bookmarkStart w:id="44" w:name="_Toc184313292"/>
      <w:bookmarkEnd w:id="44"/>
      <w:bookmarkStart w:id="45" w:name="_Toc184308041"/>
      <w:bookmarkEnd w:id="45"/>
      <w:bookmarkStart w:id="46" w:name="_Toc184312097"/>
      <w:bookmarkEnd w:id="46"/>
      <w:bookmarkStart w:id="47" w:name="_Toc184314445"/>
      <w:bookmarkEnd w:id="47"/>
      <w:bookmarkStart w:id="48" w:name="_Toc184312115"/>
      <w:bookmarkEnd w:id="48"/>
      <w:bookmarkStart w:id="49" w:name="_Toc184313260"/>
      <w:bookmarkEnd w:id="49"/>
      <w:bookmarkStart w:id="50" w:name="_Toc184314440"/>
      <w:bookmarkEnd w:id="50"/>
      <w:bookmarkStart w:id="51" w:name="_Toc184314480"/>
      <w:bookmarkEnd w:id="51"/>
      <w:bookmarkStart w:id="52" w:name="_Toc184312113"/>
      <w:bookmarkEnd w:id="52"/>
      <w:bookmarkStart w:id="53" w:name="_Toc184310331"/>
      <w:bookmarkEnd w:id="53"/>
      <w:bookmarkStart w:id="54" w:name="_Toc184314456"/>
      <w:bookmarkEnd w:id="54"/>
      <w:bookmarkStart w:id="55" w:name="_Toc184312102"/>
      <w:bookmarkEnd w:id="55"/>
      <w:bookmarkStart w:id="56" w:name="_Toc184308106"/>
      <w:bookmarkEnd w:id="56"/>
      <w:bookmarkStart w:id="57" w:name="_Toc184313282"/>
      <w:bookmarkEnd w:id="57"/>
      <w:bookmarkStart w:id="58" w:name="_Toc184314473"/>
      <w:bookmarkEnd w:id="58"/>
      <w:bookmarkStart w:id="59" w:name="_Toc184314478"/>
      <w:bookmarkEnd w:id="59"/>
      <w:bookmarkStart w:id="60" w:name="_Toc184313256"/>
      <w:bookmarkEnd w:id="60"/>
      <w:bookmarkStart w:id="61" w:name="_Toc184314449"/>
      <w:bookmarkEnd w:id="61"/>
      <w:bookmarkStart w:id="62" w:name="_Toc184312069"/>
      <w:bookmarkEnd w:id="62"/>
      <w:bookmarkStart w:id="63" w:name="_Toc184314465"/>
      <w:bookmarkEnd w:id="63"/>
      <w:bookmarkStart w:id="64" w:name="_Toc184308057"/>
      <w:bookmarkEnd w:id="64"/>
      <w:bookmarkStart w:id="65" w:name="_Toc184313302"/>
      <w:bookmarkEnd w:id="65"/>
      <w:bookmarkStart w:id="66" w:name="_Toc184308066"/>
      <w:bookmarkEnd w:id="66"/>
      <w:bookmarkStart w:id="67" w:name="_Toc184308090"/>
      <w:bookmarkEnd w:id="67"/>
      <w:bookmarkStart w:id="68" w:name="_Toc184310286"/>
      <w:bookmarkEnd w:id="68"/>
      <w:bookmarkStart w:id="69" w:name="_Toc184314454"/>
      <w:bookmarkEnd w:id="69"/>
      <w:bookmarkStart w:id="70" w:name="_Toc184312118"/>
      <w:bookmarkEnd w:id="70"/>
      <w:bookmarkStart w:id="71" w:name="_Toc184312090"/>
      <w:bookmarkEnd w:id="71"/>
      <w:bookmarkStart w:id="72" w:name="_Toc184308088"/>
      <w:bookmarkEnd w:id="72"/>
      <w:bookmarkStart w:id="73" w:name="_Toc184308079"/>
      <w:bookmarkEnd w:id="73"/>
      <w:bookmarkStart w:id="74" w:name="_Toc184314455"/>
      <w:bookmarkEnd w:id="74"/>
      <w:bookmarkStart w:id="75" w:name="_Toc184310315"/>
      <w:bookmarkEnd w:id="75"/>
      <w:bookmarkStart w:id="76" w:name="_Toc184310316"/>
      <w:bookmarkEnd w:id="76"/>
      <w:bookmarkStart w:id="77" w:name="_Toc184308105"/>
      <w:bookmarkEnd w:id="77"/>
      <w:bookmarkStart w:id="78" w:name="_Toc184313288"/>
      <w:bookmarkEnd w:id="78"/>
      <w:bookmarkStart w:id="79" w:name="_Toc184312099"/>
      <w:bookmarkEnd w:id="79"/>
      <w:bookmarkStart w:id="80" w:name="_Toc184314476"/>
      <w:bookmarkEnd w:id="80"/>
      <w:bookmarkStart w:id="81" w:name="_Toc184313291"/>
      <w:bookmarkEnd w:id="81"/>
      <w:bookmarkStart w:id="82" w:name="_Toc184313280"/>
      <w:bookmarkEnd w:id="82"/>
      <w:bookmarkStart w:id="83" w:name="_Toc184313274"/>
      <w:bookmarkEnd w:id="83"/>
      <w:bookmarkStart w:id="84" w:name="_Toc184314464"/>
      <w:bookmarkEnd w:id="84"/>
      <w:bookmarkStart w:id="85" w:name="_Toc184312080"/>
      <w:bookmarkEnd w:id="85"/>
      <w:bookmarkStart w:id="86" w:name="_Toc184312072"/>
      <w:bookmarkEnd w:id="86"/>
      <w:bookmarkStart w:id="87" w:name="_Toc184312103"/>
      <w:bookmarkEnd w:id="87"/>
      <w:bookmarkStart w:id="88" w:name="_Toc184312087"/>
      <w:bookmarkEnd w:id="88"/>
      <w:bookmarkStart w:id="89" w:name="_Toc184310295"/>
      <w:bookmarkEnd w:id="89"/>
      <w:bookmarkStart w:id="90" w:name="_Toc184313242"/>
      <w:bookmarkEnd w:id="90"/>
      <w:bookmarkStart w:id="91" w:name="_Toc184313278"/>
      <w:bookmarkEnd w:id="91"/>
      <w:bookmarkStart w:id="92" w:name="_Toc184310342"/>
      <w:bookmarkEnd w:id="92"/>
      <w:bookmarkStart w:id="93" w:name="_Toc184310335"/>
      <w:bookmarkEnd w:id="93"/>
      <w:bookmarkStart w:id="94" w:name="_Toc184310318"/>
      <w:bookmarkEnd w:id="94"/>
      <w:bookmarkStart w:id="95" w:name="_Toc184313300"/>
      <w:bookmarkEnd w:id="95"/>
      <w:bookmarkStart w:id="96" w:name="_Toc184314474"/>
      <w:bookmarkEnd w:id="96"/>
      <w:bookmarkStart w:id="97" w:name="_Toc184310297"/>
      <w:bookmarkEnd w:id="97"/>
      <w:bookmarkStart w:id="98" w:name="_Toc184314438"/>
      <w:bookmarkEnd w:id="98"/>
      <w:bookmarkStart w:id="99" w:name="_Toc184310330"/>
      <w:bookmarkEnd w:id="99"/>
      <w:bookmarkStart w:id="100" w:name="_Toc184314472"/>
      <w:bookmarkEnd w:id="100"/>
      <w:bookmarkStart w:id="101" w:name="_Toc184310274"/>
      <w:bookmarkEnd w:id="101"/>
      <w:bookmarkStart w:id="102" w:name="_Toc184312105"/>
      <w:bookmarkEnd w:id="102"/>
      <w:bookmarkStart w:id="103" w:name="_Toc184310323"/>
      <w:bookmarkEnd w:id="103"/>
      <w:bookmarkStart w:id="104" w:name="_Toc184313301"/>
      <w:bookmarkEnd w:id="104"/>
      <w:bookmarkStart w:id="105" w:name="_Toc184314419"/>
      <w:bookmarkEnd w:id="105"/>
      <w:bookmarkStart w:id="106" w:name="_Toc184313299"/>
      <w:bookmarkEnd w:id="106"/>
      <w:bookmarkStart w:id="107" w:name="_Toc184313258"/>
      <w:bookmarkEnd w:id="107"/>
      <w:bookmarkStart w:id="108" w:name="_Toc184308078"/>
      <w:bookmarkEnd w:id="108"/>
      <w:bookmarkStart w:id="109" w:name="_Toc184308049"/>
      <w:bookmarkEnd w:id="109"/>
      <w:bookmarkStart w:id="110" w:name="_Toc184314470"/>
      <w:bookmarkEnd w:id="110"/>
      <w:bookmarkStart w:id="111" w:name="_Toc184310299"/>
      <w:bookmarkEnd w:id="111"/>
      <w:bookmarkStart w:id="112" w:name="_Toc184310326"/>
      <w:bookmarkEnd w:id="112"/>
      <w:bookmarkStart w:id="113" w:name="_Toc184312075"/>
      <w:bookmarkEnd w:id="113"/>
      <w:bookmarkStart w:id="114" w:name="_Toc184310322"/>
      <w:bookmarkEnd w:id="114"/>
      <w:bookmarkStart w:id="115" w:name="_Toc184314450"/>
      <w:bookmarkEnd w:id="115"/>
      <w:bookmarkStart w:id="116" w:name="_Toc184310329"/>
      <w:bookmarkEnd w:id="116"/>
      <w:bookmarkStart w:id="117" w:name="_Toc184310285"/>
      <w:bookmarkEnd w:id="117"/>
      <w:bookmarkStart w:id="118" w:name="_Toc184313290"/>
      <w:bookmarkEnd w:id="118"/>
      <w:bookmarkStart w:id="119" w:name="_Toc184308068"/>
      <w:bookmarkEnd w:id="119"/>
      <w:bookmarkStart w:id="120" w:name="_Toc184308083"/>
      <w:bookmarkEnd w:id="120"/>
      <w:bookmarkStart w:id="121" w:name="_Toc184312137"/>
      <w:bookmarkEnd w:id="121"/>
      <w:bookmarkStart w:id="122" w:name="_Toc184313261"/>
      <w:bookmarkEnd w:id="122"/>
      <w:bookmarkStart w:id="123" w:name="_Toc184314469"/>
      <w:bookmarkEnd w:id="123"/>
      <w:bookmarkStart w:id="124" w:name="_Toc184314441"/>
      <w:bookmarkEnd w:id="124"/>
      <w:bookmarkStart w:id="125" w:name="_Toc184310275"/>
      <w:bookmarkEnd w:id="125"/>
      <w:bookmarkStart w:id="126" w:name="_Toc184313243"/>
      <w:bookmarkEnd w:id="126"/>
      <w:bookmarkStart w:id="127" w:name="_Toc184314479"/>
      <w:bookmarkEnd w:id="127"/>
      <w:bookmarkStart w:id="128" w:name="_Toc184308058"/>
      <w:bookmarkEnd w:id="128"/>
      <w:bookmarkStart w:id="129" w:name="_Toc184310277"/>
      <w:bookmarkEnd w:id="129"/>
      <w:bookmarkStart w:id="130" w:name="_Toc184313267"/>
      <w:bookmarkEnd w:id="130"/>
      <w:bookmarkStart w:id="131" w:name="_Toc184313287"/>
      <w:bookmarkEnd w:id="131"/>
      <w:bookmarkStart w:id="132" w:name="_Toc184314451"/>
      <w:bookmarkEnd w:id="132"/>
      <w:bookmarkStart w:id="133" w:name="_Toc184313273"/>
      <w:bookmarkEnd w:id="133"/>
      <w:bookmarkStart w:id="134" w:name="_Toc184313253"/>
      <w:bookmarkEnd w:id="134"/>
      <w:bookmarkStart w:id="135" w:name="_Toc184308065"/>
      <w:bookmarkEnd w:id="135"/>
      <w:bookmarkStart w:id="136" w:name="_Toc184312079"/>
      <w:bookmarkEnd w:id="136"/>
      <w:bookmarkStart w:id="137" w:name="_Toc184310300"/>
      <w:bookmarkEnd w:id="137"/>
      <w:bookmarkStart w:id="138" w:name="_Toc184308046"/>
      <w:bookmarkEnd w:id="138"/>
      <w:bookmarkStart w:id="139" w:name="_Toc184313279"/>
      <w:bookmarkEnd w:id="139"/>
      <w:bookmarkStart w:id="140" w:name="_Toc184313269"/>
      <w:bookmarkEnd w:id="140"/>
      <w:bookmarkStart w:id="141" w:name="_Toc184310276"/>
      <w:bookmarkEnd w:id="141"/>
      <w:bookmarkStart w:id="142" w:name="_Toc184314458"/>
      <w:bookmarkEnd w:id="142"/>
      <w:bookmarkStart w:id="143" w:name="_Toc184310337"/>
      <w:bookmarkEnd w:id="143"/>
      <w:bookmarkStart w:id="144" w:name="_Toc184308069"/>
      <w:bookmarkEnd w:id="144"/>
      <w:bookmarkStart w:id="145" w:name="_Toc184308101"/>
      <w:bookmarkEnd w:id="145"/>
      <w:bookmarkStart w:id="146" w:name="_Toc184308037"/>
      <w:bookmarkEnd w:id="146"/>
      <w:bookmarkStart w:id="147" w:name="_Toc184313308"/>
      <w:bookmarkEnd w:id="147"/>
      <w:bookmarkStart w:id="148" w:name="_Toc184308086"/>
      <w:bookmarkEnd w:id="148"/>
      <w:bookmarkStart w:id="149" w:name="_Toc184313259"/>
      <w:bookmarkEnd w:id="149"/>
      <w:bookmarkStart w:id="150" w:name="_Toc184310334"/>
      <w:bookmarkEnd w:id="150"/>
      <w:bookmarkStart w:id="151" w:name="_Toc184312136"/>
      <w:bookmarkEnd w:id="151"/>
      <w:bookmarkStart w:id="152" w:name="_Toc184313307"/>
      <w:bookmarkEnd w:id="152"/>
      <w:bookmarkStart w:id="153" w:name="_Toc184313275"/>
      <w:bookmarkEnd w:id="153"/>
      <w:bookmarkStart w:id="154" w:name="_Toc184312130"/>
      <w:bookmarkEnd w:id="154"/>
      <w:bookmarkStart w:id="155" w:name="_Toc184310343"/>
      <w:bookmarkEnd w:id="155"/>
      <w:bookmarkStart w:id="156" w:name="_Toc184314460"/>
      <w:bookmarkEnd w:id="156"/>
      <w:bookmarkStart w:id="157" w:name="_Toc184313251"/>
      <w:bookmarkEnd w:id="157"/>
      <w:bookmarkStart w:id="158" w:name="_Toc184312083"/>
      <w:bookmarkEnd w:id="158"/>
      <w:bookmarkStart w:id="159" w:name="_Toc184314416"/>
      <w:bookmarkEnd w:id="159"/>
      <w:bookmarkStart w:id="160" w:name="_Toc184310327"/>
      <w:bookmarkEnd w:id="160"/>
      <w:bookmarkStart w:id="161" w:name="_Toc184312135"/>
      <w:bookmarkEnd w:id="161"/>
      <w:bookmarkStart w:id="162" w:name="_Toc184312104"/>
      <w:bookmarkEnd w:id="162"/>
      <w:bookmarkStart w:id="163" w:name="_Toc184313310"/>
      <w:bookmarkEnd w:id="163"/>
      <w:bookmarkStart w:id="164" w:name="_Toc184310306"/>
      <w:bookmarkEnd w:id="164"/>
      <w:bookmarkStart w:id="165" w:name="_Toc184312076"/>
      <w:bookmarkEnd w:id="165"/>
      <w:bookmarkStart w:id="166" w:name="_Toc184308104"/>
      <w:bookmarkEnd w:id="166"/>
      <w:bookmarkStart w:id="167" w:name="_Toc184308036"/>
      <w:bookmarkEnd w:id="167"/>
      <w:bookmarkStart w:id="168" w:name="_Toc184313296"/>
      <w:bookmarkEnd w:id="168"/>
      <w:bookmarkStart w:id="169" w:name="_Toc184312110"/>
      <w:bookmarkEnd w:id="169"/>
      <w:bookmarkStart w:id="170" w:name="_Toc184314426"/>
      <w:bookmarkEnd w:id="170"/>
      <w:bookmarkStart w:id="171" w:name="_Toc184314433"/>
      <w:bookmarkEnd w:id="171"/>
      <w:bookmarkStart w:id="172" w:name="_Toc184308071"/>
      <w:bookmarkEnd w:id="172"/>
      <w:bookmarkStart w:id="173" w:name="_Toc184310344"/>
      <w:bookmarkEnd w:id="173"/>
      <w:bookmarkStart w:id="174" w:name="_Toc184312119"/>
      <w:bookmarkEnd w:id="174"/>
      <w:bookmarkStart w:id="175" w:name="_Toc184308093"/>
      <w:bookmarkEnd w:id="175"/>
      <w:bookmarkStart w:id="176" w:name="_Toc184312095"/>
      <w:bookmarkEnd w:id="176"/>
      <w:bookmarkStart w:id="177" w:name="_Toc184314430"/>
      <w:bookmarkEnd w:id="177"/>
      <w:bookmarkStart w:id="178" w:name="_Toc184313250"/>
      <w:bookmarkEnd w:id="178"/>
      <w:bookmarkStart w:id="179" w:name="_Toc184314482"/>
      <w:bookmarkEnd w:id="179"/>
      <w:bookmarkStart w:id="180" w:name="_Toc184308039"/>
      <w:bookmarkEnd w:id="180"/>
      <w:bookmarkStart w:id="181" w:name="_Toc184312114"/>
      <w:bookmarkEnd w:id="181"/>
      <w:bookmarkStart w:id="182" w:name="_Toc184314461"/>
      <w:bookmarkEnd w:id="182"/>
      <w:bookmarkStart w:id="183" w:name="_Toc184313240"/>
      <w:bookmarkEnd w:id="183"/>
      <w:bookmarkStart w:id="184" w:name="_Toc184308098"/>
      <w:bookmarkEnd w:id="184"/>
      <w:bookmarkStart w:id="185" w:name="_Toc184313246"/>
      <w:bookmarkEnd w:id="185"/>
      <w:bookmarkStart w:id="186" w:name="_Toc184308081"/>
      <w:bookmarkEnd w:id="186"/>
      <w:bookmarkStart w:id="187" w:name="_Toc184308052"/>
      <w:bookmarkEnd w:id="187"/>
      <w:bookmarkStart w:id="188" w:name="_Toc184314427"/>
      <w:bookmarkEnd w:id="188"/>
      <w:bookmarkStart w:id="189" w:name="_Toc184313271"/>
      <w:bookmarkEnd w:id="189"/>
      <w:bookmarkStart w:id="190" w:name="_Toc184313277"/>
      <w:bookmarkEnd w:id="190"/>
      <w:bookmarkStart w:id="191" w:name="_Toc184310280"/>
      <w:bookmarkEnd w:id="191"/>
      <w:bookmarkStart w:id="192" w:name="_Toc184308047"/>
      <w:bookmarkEnd w:id="192"/>
      <w:bookmarkStart w:id="193" w:name="_Toc184310294"/>
      <w:bookmarkEnd w:id="193"/>
      <w:bookmarkStart w:id="194" w:name="_Toc184308050"/>
      <w:bookmarkEnd w:id="194"/>
      <w:bookmarkStart w:id="195" w:name="_Toc184310282"/>
      <w:bookmarkEnd w:id="195"/>
      <w:bookmarkStart w:id="196" w:name="_Toc184308108"/>
      <w:bookmarkEnd w:id="196"/>
      <w:bookmarkStart w:id="197" w:name="_Toc184314415"/>
      <w:bookmarkEnd w:id="197"/>
      <w:bookmarkStart w:id="198" w:name="_Toc184308087"/>
      <w:bookmarkEnd w:id="198"/>
      <w:bookmarkStart w:id="199" w:name="_Toc184308061"/>
      <w:bookmarkEnd w:id="199"/>
      <w:bookmarkStart w:id="200" w:name="_Toc184308085"/>
      <w:bookmarkEnd w:id="200"/>
      <w:bookmarkStart w:id="201" w:name="_Toc184308076"/>
      <w:bookmarkEnd w:id="201"/>
      <w:bookmarkStart w:id="202" w:name="_Toc184313281"/>
      <w:bookmarkEnd w:id="202"/>
      <w:bookmarkStart w:id="203" w:name="_Toc184313305"/>
      <w:bookmarkEnd w:id="203"/>
      <w:bookmarkStart w:id="204" w:name="_Toc184312112"/>
      <w:bookmarkEnd w:id="204"/>
      <w:bookmarkStart w:id="205" w:name="_Toc184310284"/>
      <w:bookmarkEnd w:id="205"/>
      <w:bookmarkStart w:id="206" w:name="_Toc184310333"/>
      <w:bookmarkEnd w:id="206"/>
      <w:bookmarkStart w:id="207" w:name="_Toc184313284"/>
      <w:bookmarkEnd w:id="207"/>
      <w:bookmarkStart w:id="208" w:name="_Toc184313241"/>
      <w:bookmarkEnd w:id="208"/>
      <w:bookmarkStart w:id="209" w:name="_Toc184312088"/>
      <w:bookmarkEnd w:id="209"/>
      <w:bookmarkStart w:id="210" w:name="_Toc184310338"/>
      <w:bookmarkEnd w:id="210"/>
      <w:bookmarkStart w:id="211" w:name="_Toc184310317"/>
      <w:bookmarkEnd w:id="211"/>
      <w:bookmarkStart w:id="212" w:name="_Toc184313268"/>
      <w:bookmarkEnd w:id="212"/>
      <w:bookmarkStart w:id="213" w:name="_Toc184310278"/>
      <w:bookmarkEnd w:id="213"/>
      <w:bookmarkStart w:id="214" w:name="_Toc184310340"/>
      <w:bookmarkEnd w:id="214"/>
      <w:bookmarkStart w:id="215" w:name="_Toc184312068"/>
      <w:bookmarkEnd w:id="215"/>
      <w:bookmarkStart w:id="216" w:name="_Toc184314422"/>
      <w:bookmarkEnd w:id="216"/>
      <w:bookmarkStart w:id="217" w:name="_Toc184312078"/>
      <w:bookmarkEnd w:id="217"/>
      <w:bookmarkStart w:id="218" w:name="_Toc184310303"/>
      <w:bookmarkEnd w:id="218"/>
      <w:bookmarkStart w:id="219" w:name="_Toc184308082"/>
      <w:bookmarkEnd w:id="219"/>
      <w:bookmarkStart w:id="220" w:name="_Toc184310290"/>
      <w:bookmarkEnd w:id="220"/>
      <w:bookmarkStart w:id="221" w:name="_Toc184310296"/>
      <w:bookmarkEnd w:id="221"/>
      <w:bookmarkStart w:id="222" w:name="_Toc184314437"/>
      <w:bookmarkEnd w:id="222"/>
      <w:bookmarkStart w:id="223" w:name="_Toc184310321"/>
      <w:bookmarkEnd w:id="223"/>
      <w:bookmarkStart w:id="224" w:name="_Toc184308051"/>
      <w:bookmarkEnd w:id="224"/>
      <w:bookmarkStart w:id="225" w:name="_Toc184314439"/>
      <w:bookmarkEnd w:id="225"/>
      <w:bookmarkStart w:id="226" w:name="_Toc184312096"/>
      <w:bookmarkEnd w:id="226"/>
      <w:bookmarkStart w:id="227" w:name="_Toc184314413"/>
      <w:bookmarkEnd w:id="227"/>
      <w:bookmarkStart w:id="228" w:name="_Toc184308042"/>
      <w:bookmarkEnd w:id="228"/>
      <w:bookmarkStart w:id="229" w:name="_Toc184310336"/>
      <w:bookmarkEnd w:id="229"/>
      <w:bookmarkStart w:id="230" w:name="_Toc184313255"/>
      <w:bookmarkEnd w:id="230"/>
      <w:bookmarkStart w:id="231" w:name="_Toc184308062"/>
      <w:bookmarkEnd w:id="231"/>
      <w:bookmarkStart w:id="232" w:name="_Toc184314412"/>
      <w:bookmarkEnd w:id="232"/>
      <w:bookmarkStart w:id="233" w:name="_Toc184308044"/>
      <w:bookmarkEnd w:id="233"/>
      <w:bookmarkStart w:id="234" w:name="_Toc184312131"/>
      <w:bookmarkEnd w:id="234"/>
      <w:bookmarkStart w:id="235" w:name="_Toc184310339"/>
      <w:bookmarkEnd w:id="235"/>
      <w:bookmarkStart w:id="236" w:name="_Toc184308084"/>
      <w:bookmarkEnd w:id="236"/>
      <w:bookmarkStart w:id="237" w:name="_Toc184308063"/>
      <w:bookmarkEnd w:id="237"/>
      <w:bookmarkStart w:id="238" w:name="_Toc184312091"/>
      <w:bookmarkEnd w:id="238"/>
      <w:bookmarkStart w:id="239" w:name="_Toc184312138"/>
      <w:bookmarkEnd w:id="239"/>
      <w:bookmarkStart w:id="240" w:name="_Toc184313262"/>
      <w:bookmarkEnd w:id="240"/>
      <w:bookmarkStart w:id="241" w:name="_Toc184308073"/>
      <w:bookmarkEnd w:id="241"/>
      <w:bookmarkStart w:id="242" w:name="_Toc184314466"/>
      <w:bookmarkEnd w:id="242"/>
      <w:bookmarkStart w:id="243" w:name="_Toc184312133"/>
      <w:bookmarkEnd w:id="243"/>
      <w:bookmarkStart w:id="244" w:name="_Toc184310291"/>
      <w:bookmarkEnd w:id="244"/>
      <w:bookmarkStart w:id="245" w:name="_Toc184313247"/>
      <w:bookmarkEnd w:id="245"/>
      <w:bookmarkStart w:id="246" w:name="_Toc184313298"/>
      <w:bookmarkEnd w:id="246"/>
      <w:bookmarkStart w:id="247" w:name="_Toc184312122"/>
      <w:bookmarkEnd w:id="247"/>
      <w:bookmarkStart w:id="248" w:name="_Toc184310305"/>
      <w:bookmarkEnd w:id="248"/>
      <w:bookmarkStart w:id="249" w:name="_Toc184314457"/>
      <w:bookmarkEnd w:id="249"/>
      <w:bookmarkStart w:id="250" w:name="_Toc184310311"/>
      <w:bookmarkEnd w:id="250"/>
      <w:bookmarkStart w:id="251" w:name="_Toc184314418"/>
      <w:bookmarkEnd w:id="251"/>
      <w:bookmarkStart w:id="252" w:name="_Toc184313289"/>
      <w:bookmarkEnd w:id="252"/>
      <w:bookmarkStart w:id="253" w:name="_Toc184314417"/>
      <w:bookmarkEnd w:id="253"/>
      <w:bookmarkStart w:id="254" w:name="_Toc184308070"/>
      <w:bookmarkEnd w:id="254"/>
      <w:bookmarkStart w:id="255" w:name="_Toc184312070"/>
      <w:bookmarkEnd w:id="255"/>
      <w:bookmarkStart w:id="256" w:name="_Toc184314462"/>
      <w:bookmarkEnd w:id="256"/>
      <w:bookmarkStart w:id="257" w:name="_Toc184308040"/>
      <w:bookmarkEnd w:id="257"/>
      <w:bookmarkStart w:id="258" w:name="_Toc184308059"/>
      <w:bookmarkEnd w:id="258"/>
      <w:bookmarkStart w:id="259" w:name="_Toc184313266"/>
      <w:bookmarkEnd w:id="259"/>
      <w:bookmarkStart w:id="260" w:name="_Toc184310279"/>
      <w:bookmarkEnd w:id="260"/>
      <w:bookmarkStart w:id="261" w:name="_Toc184312067"/>
      <w:bookmarkEnd w:id="261"/>
      <w:bookmarkStart w:id="262" w:name="_Toc184313249"/>
      <w:bookmarkEnd w:id="262"/>
      <w:bookmarkStart w:id="263" w:name="_Toc184313293"/>
      <w:bookmarkEnd w:id="263"/>
      <w:bookmarkStart w:id="264" w:name="_Toc184310289"/>
      <w:bookmarkEnd w:id="264"/>
      <w:bookmarkStart w:id="265" w:name="_Toc184312127"/>
      <w:bookmarkEnd w:id="265"/>
      <w:bookmarkStart w:id="266" w:name="_Toc184313276"/>
      <w:bookmarkEnd w:id="266"/>
      <w:bookmarkStart w:id="267" w:name="_Toc184314452"/>
      <w:bookmarkEnd w:id="267"/>
      <w:bookmarkStart w:id="268" w:name="_Toc184312134"/>
      <w:bookmarkEnd w:id="268"/>
      <w:bookmarkStart w:id="269" w:name="_Toc184310313"/>
      <w:bookmarkEnd w:id="269"/>
      <w:bookmarkStart w:id="270" w:name="_Toc184313297"/>
      <w:bookmarkEnd w:id="270"/>
      <w:bookmarkStart w:id="271" w:name="_Toc184310312"/>
      <w:bookmarkEnd w:id="271"/>
      <w:bookmarkStart w:id="272" w:name="_Toc184312126"/>
      <w:bookmarkEnd w:id="272"/>
      <w:bookmarkStart w:id="273" w:name="_Toc184313303"/>
      <w:bookmarkEnd w:id="273"/>
      <w:bookmarkStart w:id="274" w:name="_Toc184310307"/>
      <w:bookmarkEnd w:id="274"/>
      <w:bookmarkStart w:id="275" w:name="_Toc184310319"/>
      <w:bookmarkEnd w:id="275"/>
      <w:bookmarkStart w:id="276" w:name="_Toc184314429"/>
      <w:bookmarkEnd w:id="276"/>
      <w:bookmarkStart w:id="277" w:name="_Toc184313272"/>
      <w:bookmarkEnd w:id="277"/>
      <w:bookmarkStart w:id="278" w:name="_Toc184313295"/>
      <w:bookmarkEnd w:id="278"/>
      <w:bookmarkStart w:id="279" w:name="_Toc184314421"/>
      <w:bookmarkEnd w:id="279"/>
      <w:bookmarkStart w:id="280" w:name="_Toc184314410"/>
      <w:bookmarkEnd w:id="280"/>
      <w:bookmarkStart w:id="281" w:name="_Toc184308045"/>
      <w:bookmarkEnd w:id="281"/>
      <w:bookmarkStart w:id="282" w:name="_Toc184313244"/>
      <w:bookmarkEnd w:id="282"/>
      <w:bookmarkStart w:id="283" w:name="_Toc184314475"/>
      <w:bookmarkEnd w:id="283"/>
      <w:bookmarkStart w:id="284" w:name="_Toc184310292"/>
      <w:bookmarkEnd w:id="284"/>
      <w:bookmarkStart w:id="285" w:name="_Toc184314420"/>
      <w:bookmarkEnd w:id="285"/>
      <w:bookmarkStart w:id="286" w:name="_Toc184308074"/>
      <w:bookmarkEnd w:id="286"/>
      <w:bookmarkStart w:id="287" w:name="_Toc184314459"/>
      <w:bookmarkEnd w:id="287"/>
      <w:bookmarkStart w:id="288" w:name="_Toc184313265"/>
      <w:bookmarkEnd w:id="288"/>
      <w:bookmarkStart w:id="289" w:name="_Toc184312081"/>
      <w:bookmarkEnd w:id="289"/>
      <w:bookmarkStart w:id="290" w:name="_Toc184314448"/>
      <w:bookmarkEnd w:id="290"/>
      <w:bookmarkStart w:id="291" w:name="_Toc184310309"/>
      <w:bookmarkEnd w:id="291"/>
      <w:bookmarkStart w:id="292" w:name="_Toc184308053"/>
      <w:bookmarkEnd w:id="292"/>
      <w:bookmarkStart w:id="293" w:name="_Toc184313238"/>
      <w:bookmarkEnd w:id="293"/>
      <w:bookmarkStart w:id="294" w:name="_Toc184310283"/>
      <w:bookmarkEnd w:id="294"/>
      <w:bookmarkStart w:id="295" w:name="_Toc184314443"/>
      <w:bookmarkEnd w:id="295"/>
      <w:bookmarkStart w:id="296" w:name="_Toc184308102"/>
      <w:bookmarkEnd w:id="296"/>
      <w:bookmarkStart w:id="297" w:name="_Toc184308095"/>
      <w:bookmarkEnd w:id="297"/>
      <w:bookmarkStart w:id="298" w:name="_Toc184312071"/>
      <w:bookmarkEnd w:id="298"/>
      <w:bookmarkStart w:id="299" w:name="_Toc184314414"/>
      <w:bookmarkEnd w:id="299"/>
      <w:bookmarkStart w:id="300" w:name="_Toc184310302"/>
      <w:bookmarkEnd w:id="300"/>
      <w:bookmarkStart w:id="301" w:name="_Toc184312107"/>
      <w:bookmarkEnd w:id="301"/>
      <w:bookmarkStart w:id="302" w:name="_Toc184313309"/>
      <w:bookmarkEnd w:id="302"/>
      <w:bookmarkStart w:id="303" w:name="_Toc184310293"/>
      <w:bookmarkEnd w:id="303"/>
      <w:bookmarkStart w:id="304" w:name="_Toc184310308"/>
      <w:bookmarkEnd w:id="304"/>
      <w:bookmarkStart w:id="305" w:name="_Toc184308107"/>
      <w:bookmarkEnd w:id="305"/>
      <w:bookmarkStart w:id="306" w:name="_Toc184314423"/>
      <w:bookmarkEnd w:id="306"/>
      <w:bookmarkStart w:id="307" w:name="_Toc184313263"/>
      <w:bookmarkEnd w:id="307"/>
      <w:bookmarkStart w:id="308" w:name="_Toc184312100"/>
      <w:bookmarkEnd w:id="308"/>
      <w:bookmarkStart w:id="309" w:name="_Toc184308048"/>
      <w:bookmarkEnd w:id="309"/>
      <w:bookmarkStart w:id="310" w:name="_Toc184313254"/>
      <w:bookmarkEnd w:id="310"/>
      <w:bookmarkStart w:id="311" w:name="_Toc184314424"/>
      <w:bookmarkEnd w:id="311"/>
      <w:bookmarkStart w:id="312" w:name="_Toc184308056"/>
      <w:bookmarkEnd w:id="312"/>
      <w:bookmarkStart w:id="313" w:name="_Toc184310328"/>
      <w:bookmarkEnd w:id="313"/>
      <w:bookmarkStart w:id="314" w:name="_Toc184312109"/>
      <w:bookmarkEnd w:id="314"/>
      <w:bookmarkStart w:id="315" w:name="_Toc184312085"/>
      <w:bookmarkEnd w:id="315"/>
      <w:bookmarkStart w:id="316" w:name="_Toc184312124"/>
      <w:bookmarkEnd w:id="316"/>
      <w:bookmarkStart w:id="317" w:name="_Toc184310324"/>
      <w:bookmarkEnd w:id="317"/>
      <w:bookmarkStart w:id="318" w:name="_Toc184314463"/>
      <w:bookmarkEnd w:id="318"/>
      <w:bookmarkStart w:id="319" w:name="_Toc184310341"/>
      <w:bookmarkEnd w:id="319"/>
      <w:bookmarkStart w:id="320" w:name="_Toc184310298"/>
      <w:bookmarkEnd w:id="320"/>
      <w:bookmarkStart w:id="321" w:name="_Toc184314477"/>
      <w:bookmarkEnd w:id="321"/>
      <w:bookmarkStart w:id="322" w:name="_Toc184308099"/>
      <w:bookmarkEnd w:id="322"/>
      <w:bookmarkStart w:id="323" w:name="_Toc184310272"/>
      <w:bookmarkEnd w:id="323"/>
      <w:bookmarkStart w:id="324" w:name="_Toc184308096"/>
      <w:bookmarkEnd w:id="324"/>
      <w:bookmarkStart w:id="325" w:name="_Toc184312139"/>
      <w:bookmarkEnd w:id="325"/>
      <w:bookmarkStart w:id="326" w:name="_Toc184313306"/>
      <w:bookmarkEnd w:id="326"/>
      <w:bookmarkStart w:id="327" w:name="_Toc184308091"/>
      <w:bookmarkEnd w:id="327"/>
      <w:bookmarkStart w:id="328" w:name="_Toc184312121"/>
      <w:bookmarkEnd w:id="328"/>
      <w:bookmarkStart w:id="329" w:name="_Toc184312082"/>
      <w:bookmarkEnd w:id="329"/>
      <w:bookmarkStart w:id="330" w:name="_Toc184312101"/>
      <w:bookmarkEnd w:id="330"/>
      <w:bookmarkStart w:id="331" w:name="_Toc184312086"/>
      <w:bookmarkEnd w:id="331"/>
      <w:bookmarkStart w:id="332" w:name="_Toc184310281"/>
      <w:bookmarkEnd w:id="332"/>
      <w:bookmarkStart w:id="333" w:name="_Toc184312073"/>
      <w:bookmarkEnd w:id="333"/>
      <w:bookmarkStart w:id="334" w:name="_Toc184314481"/>
      <w:bookmarkEnd w:id="334"/>
      <w:bookmarkStart w:id="335" w:name="_Toc184312132"/>
      <w:bookmarkEnd w:id="335"/>
      <w:bookmarkStart w:id="336" w:name="_Toc184314442"/>
      <w:bookmarkEnd w:id="336"/>
      <w:bookmarkStart w:id="337" w:name="_Toc184313285"/>
      <w:bookmarkEnd w:id="337"/>
      <w:bookmarkStart w:id="338" w:name="_Toc184310288"/>
      <w:bookmarkEnd w:id="338"/>
      <w:bookmarkStart w:id="339" w:name="_Toc184313248"/>
      <w:bookmarkEnd w:id="339"/>
      <w:bookmarkStart w:id="340" w:name="_Toc184310287"/>
      <w:bookmarkEnd w:id="340"/>
      <w:bookmarkStart w:id="341" w:name="_Toc184314432"/>
      <w:bookmarkEnd w:id="341"/>
      <w:bookmarkStart w:id="342" w:name="_Toc184310301"/>
      <w:bookmarkEnd w:id="342"/>
      <w:bookmarkStart w:id="343" w:name="_Toc184314467"/>
      <w:bookmarkEnd w:id="343"/>
      <w:bookmarkStart w:id="344" w:name="_Toc184312123"/>
      <w:bookmarkEnd w:id="344"/>
      <w:bookmarkStart w:id="345" w:name="_Toc184313283"/>
      <w:bookmarkEnd w:id="345"/>
      <w:bookmarkStart w:id="346" w:name="_Toc184312106"/>
      <w:bookmarkEnd w:id="346"/>
      <w:bookmarkStart w:id="347" w:name="_Toc184308103"/>
      <w:bookmarkEnd w:id="347"/>
      <w:bookmarkStart w:id="348" w:name="_Toc184308092"/>
      <w:bookmarkEnd w:id="348"/>
      <w:bookmarkStart w:id="349" w:name="_Toc184313245"/>
      <w:bookmarkEnd w:id="349"/>
      <w:bookmarkStart w:id="350" w:name="_Toc184312111"/>
      <w:bookmarkEnd w:id="350"/>
      <w:bookmarkStart w:id="351" w:name="_Toc184312089"/>
      <w:bookmarkEnd w:id="351"/>
      <w:bookmarkStart w:id="352" w:name="_Toc184312108"/>
      <w:bookmarkEnd w:id="352"/>
      <w:bookmarkStart w:id="353" w:name="_Toc184312098"/>
      <w:bookmarkEnd w:id="353"/>
      <w:bookmarkStart w:id="354" w:name="_Toc184314425"/>
      <w:bookmarkEnd w:id="354"/>
      <w:bookmarkStart w:id="355" w:name="_Toc184314436"/>
      <w:bookmarkEnd w:id="355"/>
      <w:bookmarkStart w:id="356" w:name="_Toc184308067"/>
      <w:bookmarkEnd w:id="356"/>
      <w:bookmarkStart w:id="357" w:name="_Toc184314431"/>
      <w:bookmarkEnd w:id="357"/>
      <w:bookmarkStart w:id="358" w:name="_Toc184312117"/>
      <w:bookmarkEnd w:id="358"/>
      <w:bookmarkStart w:id="359" w:name="_Toc184310325"/>
      <w:bookmarkEnd w:id="359"/>
      <w:bookmarkStart w:id="360" w:name="_Toc184308077"/>
      <w:bookmarkEnd w:id="360"/>
      <w:bookmarkStart w:id="361" w:name="_Toc184308055"/>
      <w:bookmarkEnd w:id="361"/>
      <w:bookmarkStart w:id="362" w:name="_Toc184312116"/>
      <w:bookmarkEnd w:id="362"/>
      <w:bookmarkStart w:id="363" w:name="_Toc184308075"/>
      <w:bookmarkEnd w:id="363"/>
      <w:bookmarkStart w:id="364" w:name="_Toc184313294"/>
      <w:bookmarkEnd w:id="364"/>
      <w:bookmarkStart w:id="365" w:name="_Toc184308080"/>
      <w:bookmarkEnd w:id="365"/>
      <w:bookmarkStart w:id="366" w:name="_Toc184308100"/>
      <w:bookmarkEnd w:id="366"/>
      <w:bookmarkStart w:id="367" w:name="_Toc184314435"/>
      <w:bookmarkEnd w:id="367"/>
      <w:bookmarkStart w:id="368" w:name="_Toc184310332"/>
      <w:bookmarkEnd w:id="368"/>
      <w:bookmarkStart w:id="369" w:name="_Toc184310310"/>
      <w:bookmarkEnd w:id="369"/>
      <w:bookmarkStart w:id="370" w:name="_Toc184313239"/>
      <w:bookmarkEnd w:id="370"/>
      <w:bookmarkStart w:id="371" w:name="_Toc184312084"/>
      <w:bookmarkEnd w:id="371"/>
      <w:bookmarkStart w:id="372" w:name="_Toc184308064"/>
      <w:bookmarkEnd w:id="372"/>
      <w:bookmarkStart w:id="373" w:name="_Toc184308094"/>
      <w:bookmarkEnd w:id="373"/>
      <w:bookmarkStart w:id="374" w:name="_Toc184312120"/>
      <w:bookmarkEnd w:id="374"/>
      <w:bookmarkStart w:id="375" w:name="_Toc184312074"/>
      <w:bookmarkEnd w:id="375"/>
      <w:bookmarkStart w:id="376" w:name="_Toc184312092"/>
      <w:bookmarkEnd w:id="376"/>
      <w:bookmarkStart w:id="377" w:name="_Toc184310304"/>
      <w:bookmarkEnd w:id="377"/>
      <w:bookmarkStart w:id="378" w:name="_Toc184312094"/>
      <w:bookmarkEnd w:id="378"/>
      <w:bookmarkStart w:id="379" w:name="_Toc184312093"/>
      <w:bookmarkEnd w:id="379"/>
      <w:bookmarkStart w:id="380" w:name="_Toc184314411"/>
      <w:bookmarkEnd w:id="380"/>
      <w:bookmarkStart w:id="381" w:name="_Toc184313252"/>
      <w:bookmarkEnd w:id="381"/>
      <w:bookmarkStart w:id="382" w:name="_Toc184312125"/>
      <w:bookmarkEnd w:id="382"/>
      <w:bookmarkStart w:id="383" w:name="_Toc184314444"/>
      <w:bookmarkEnd w:id="383"/>
      <w:bookmarkStart w:id="384" w:name="_Toc184312077"/>
      <w:bookmarkEnd w:id="384"/>
      <w:bookmarkStart w:id="385" w:name="_Toc184314434"/>
      <w:bookmarkEnd w:id="385"/>
      <w:bookmarkStart w:id="386" w:name="_Toc184308072"/>
      <w:bookmarkEnd w:id="386"/>
      <w:bookmarkStart w:id="387" w:name="_Toc184308089"/>
      <w:bookmarkEnd w:id="387"/>
      <w:bookmarkStart w:id="388" w:name="_Toc184314447"/>
      <w:bookmarkEnd w:id="388"/>
      <w:bookmarkStart w:id="389" w:name="_Toc184314471"/>
      <w:bookmarkEnd w:id="389"/>
      <w:bookmarkStart w:id="390" w:name="_Toc184313304"/>
      <w:bookmarkEnd w:id="390"/>
      <w:bookmarkStart w:id="391" w:name="_Toc184313286"/>
      <w:bookmarkEnd w:id="391"/>
      <w:bookmarkStart w:id="392" w:name="_Toc184314446"/>
      <w:bookmarkEnd w:id="392"/>
      <w:bookmarkStart w:id="393" w:name="_Toc184310320"/>
      <w:bookmarkEnd w:id="393"/>
      <w:bookmarkStart w:id="394" w:name="_Toc184312128"/>
      <w:bookmarkEnd w:id="394"/>
      <w:bookmarkStart w:id="395" w:name="_Toc184308060"/>
      <w:bookmarkEnd w:id="395"/>
      <w:bookmarkStart w:id="396" w:name="_Toc184314428"/>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pPr w:leftFromText="180" w:rightFromText="180" w:vertAnchor="text" w:horzAnchor="page" w:tblpX="1418" w:tblpY="610"/>
        <w:tblOverlap w:val="never"/>
        <w:tblW w:w="52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4114"/>
        <w:gridCol w:w="543"/>
        <w:gridCol w:w="1323"/>
        <w:gridCol w:w="633"/>
        <w:gridCol w:w="896"/>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pStyle w:val="32"/>
              <w:snapToGrid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序号</w:t>
            </w:r>
          </w:p>
        </w:tc>
        <w:tc>
          <w:tcPr>
            <w:tcW w:w="3079" w:type="pct"/>
            <w:gridSpan w:val="3"/>
            <w:vAlign w:val="center"/>
          </w:tcPr>
          <w:p>
            <w:pPr>
              <w:pStyle w:val="32"/>
              <w:snapToGrid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评标标准</w:t>
            </w:r>
          </w:p>
        </w:tc>
        <w:tc>
          <w:tcPr>
            <w:tcW w:w="326" w:type="pct"/>
            <w:vAlign w:val="center"/>
          </w:tcPr>
          <w:p>
            <w:pPr>
              <w:pStyle w:val="32"/>
              <w:snapToGrid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权重</w:t>
            </w:r>
          </w:p>
        </w:tc>
        <w:tc>
          <w:tcPr>
            <w:tcW w:w="461" w:type="pct"/>
            <w:vMerge w:val="restart"/>
            <w:vAlign w:val="center"/>
          </w:tcPr>
          <w:p>
            <w:pPr>
              <w:pStyle w:val="32"/>
              <w:snapToGrid w:val="0"/>
              <w:jc w:val="center"/>
              <w:rPr>
                <w:rFonts w:hint="eastAsia" w:ascii="宋体" w:hAnsi="宋体" w:eastAsia="宋体" w:cs="宋体"/>
                <w:b/>
                <w:bCs/>
                <w:color w:val="auto"/>
                <w:sz w:val="24"/>
                <w:szCs w:val="24"/>
                <w:highlight w:val="none"/>
                <w:lang w:val="en-US" w:eastAsia="zh-CN"/>
              </w:rPr>
            </w:pPr>
            <w:r>
              <w:rPr>
                <w:rFonts w:hint="eastAsia" w:ascii="宋体" w:hAnsi="宋体" w:cs="宋体"/>
                <w:b/>
                <w:sz w:val="24"/>
              </w:rPr>
              <w:t>主客观分</w:t>
            </w:r>
          </w:p>
        </w:tc>
        <w:tc>
          <w:tcPr>
            <w:tcW w:w="833" w:type="pct"/>
            <w:vMerge w:val="restart"/>
            <w:vAlign w:val="center"/>
          </w:tcPr>
          <w:p>
            <w:pPr>
              <w:pStyle w:val="32"/>
              <w:snapToGrid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投标文件中评标标准相应的资料所在目录或页码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299" w:type="pct"/>
            <w:vAlign w:val="center"/>
          </w:tcPr>
          <w:p>
            <w:pPr>
              <w:pStyle w:val="32"/>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pacing w:val="-6"/>
                <w:sz w:val="24"/>
                <w:szCs w:val="24"/>
                <w:highlight w:val="none"/>
                <w:lang w:val="en-US" w:eastAsia="zh-CN"/>
              </w:rPr>
              <w:t>一</w:t>
            </w:r>
          </w:p>
        </w:tc>
        <w:tc>
          <w:tcPr>
            <w:tcW w:w="3405" w:type="pct"/>
            <w:gridSpan w:val="4"/>
            <w:vAlign w:val="center"/>
          </w:tcPr>
          <w:p>
            <w:pPr>
              <w:pStyle w:val="32"/>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pacing w:val="-6"/>
                <w:sz w:val="24"/>
                <w:szCs w:val="24"/>
                <w:highlight w:val="none"/>
                <w:lang w:val="en-US" w:eastAsia="zh-CN"/>
              </w:rPr>
              <w:t>商务技术评审（90分）</w:t>
            </w:r>
          </w:p>
        </w:tc>
        <w:tc>
          <w:tcPr>
            <w:tcW w:w="461"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79" w:type="pct"/>
            <w:gridSpan w:val="3"/>
            <w:vAlign w:val="center"/>
          </w:tcPr>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①供应商具有市政公用工程资质的得3分；</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②供应商拟派人员中具有市政公用工程二级及以上建造师证书的得3分；</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③供应商具有有效期内的质量管理体系认证、职业健康安全管理体系认证、环境管理体系认证的，每个得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分，本项最高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（须提供有效期内的证书）</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客观分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供应商业绩：投标人自2018年1月1日以来，每具有一个类似业绩（类似业绩指：数字城管处理业绩）每提供一个得0.5分，本条最高得1分。（业绩证明材料以合同为准）。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客观分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079" w:type="pct"/>
            <w:gridSpan w:val="3"/>
            <w:vAlign w:val="center"/>
          </w:tcPr>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本项目各区块的复杂性及特性情况了解程度提出针对性的服务方案：针对本项目的服务方案详细程度、符合性及针对性打分。要点内容完整、完全符合项目情况的得5分；内容与本项目联系紧密，基本符合项目情况的得3～4.9分；部分符合项目情况的得0.1～2.9分；不符合或未提供的得0分。</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针对本项目的总体实施方案（5分）； </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对本项目各区块的复杂性、难点及特性情况了解程度（5分）；</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针对本项目提出难点及相关解决方案（5分）；</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针对本项目涉及的保护性进场类案件的服务方案（5分）；</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针对本项目涉及的突击整治类案件的服务方案（5分）；</w:t>
            </w:r>
          </w:p>
          <w:p>
            <w:pPr>
              <w:spacing w:before="48" w:beforeLines="20" w:after="48" w:afterLine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针对本项目涉及的临时大量增派人员机械设备类案件的服务方案（5分）；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针对本项目相关服务的管理手段及管理计划(5分)。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拟设立的各项管理规章制度及档案资料的建立管理：根据各项公众制度、内部岗位责任制度、管理运作制度、考核制度及标准等进行打分。要点内容完整、完全符合项目情况的得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分；内容与本项目联系紧密，基本符合项目情况的得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.9分；部分符合项目情况的得0.1～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针对本项目提供的机械设备及车辆配备情况是否能满足项目需要。要点内容完整、完全符合项目情况的得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分；内容与本项目联系紧密，基本符合项目情况的得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.9分；部分符合项目情况的得0.1～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防汛抗灾抢险方案：防汛抗灾抢险方案的可操作性和针对性。要点内容完整、完全符合项目情况的得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分；内容与本项目联系紧密，基本符合项目情况的得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.9分；部分符合项目情况的得0.1～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安全、环保措施：安全、环保措施的可操作性和针对性。要点内容完整、完全符合项目情况的得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分；内容与本项目联系紧密，基本符合项目情况的得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.9分；部分符合项目情况的得0.1～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合理化建议：根据本项目区块实际情况提出合理化建议，合理可行性。要点内容完整、完全符合项目情况的得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分；内容与本项目联系紧密，基本符合项目情况的得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.9分；部分符合项目情况的得0.1～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拆违、控违过程中可能遇到的困难、阻力进行分析，并提出合理可靠的解决方案。要点内容完整、完全符合项目情况的得5分；内容与本项目联系紧密，基本符合项目情况的得3～4.9分；部分符合项目情况的得0.1～2.9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通通行安排、应急措施：针对本项目实施过程中造成的交通通行影响的疏通安排以及应急措施。要点内容完整、完全符合项目情况的得5分；内容与本项目联系紧密，基本符合项目情况的得3～4.9分；部分符合项目情况的得0.1～2.9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安全生产责任方案：针对本项目</w:t>
            </w:r>
            <w:r>
              <w:rPr>
                <w:rFonts w:hint="eastAsia" w:ascii="宋体" w:hAnsi="宋体" w:eastAsia="宋体" w:cs="宋体"/>
                <w:color w:val="auto"/>
                <w:sz w:val="24"/>
                <w:szCs w:val="24"/>
                <w:highlight w:val="none"/>
              </w:rPr>
              <w:t>实施过程中</w:t>
            </w:r>
            <w:r>
              <w:rPr>
                <w:rFonts w:hint="eastAsia" w:ascii="宋体" w:hAnsi="宋体" w:eastAsia="宋体" w:cs="宋体"/>
                <w:color w:val="auto"/>
                <w:sz w:val="24"/>
                <w:szCs w:val="24"/>
                <w:highlight w:val="none"/>
                <w:lang w:val="en-US" w:eastAsia="zh-CN"/>
              </w:rPr>
              <w:t>安全生产方案的可操作性和针对性。</w:t>
            </w:r>
            <w:r>
              <w:rPr>
                <w:rFonts w:hint="eastAsia" w:ascii="宋体" w:hAnsi="宋体" w:eastAsia="宋体" w:cs="宋体"/>
                <w:color w:val="auto"/>
                <w:sz w:val="24"/>
                <w:szCs w:val="24"/>
                <w:highlight w:val="none"/>
              </w:rPr>
              <w:t>项目安全措施及承诺要点内容完整、完全符合项目情况的得5分；项目安全措施及承诺</w:t>
            </w:r>
            <w:r>
              <w:rPr>
                <w:rFonts w:hint="eastAsia" w:ascii="宋体" w:hAnsi="宋体" w:eastAsia="宋体" w:cs="宋体"/>
                <w:color w:val="auto"/>
                <w:sz w:val="24"/>
                <w:szCs w:val="24"/>
                <w:highlight w:val="none"/>
                <w:lang w:val="en-US" w:eastAsia="zh-CN"/>
              </w:rPr>
              <w:t>要点</w:t>
            </w:r>
            <w:r>
              <w:rPr>
                <w:rFonts w:hint="eastAsia" w:ascii="宋体" w:hAnsi="宋体" w:eastAsia="宋体" w:cs="宋体"/>
                <w:color w:val="auto"/>
                <w:sz w:val="24"/>
                <w:szCs w:val="24"/>
                <w:highlight w:val="none"/>
              </w:rPr>
              <w:t>内容与本项目联系紧密，项目安全措施及承诺</w:t>
            </w:r>
            <w:r>
              <w:rPr>
                <w:rFonts w:hint="eastAsia" w:ascii="宋体" w:hAnsi="宋体" w:eastAsia="宋体" w:cs="宋体"/>
                <w:color w:val="auto"/>
                <w:sz w:val="24"/>
                <w:szCs w:val="24"/>
                <w:highlight w:val="none"/>
                <w:lang w:val="en-US" w:eastAsia="zh-CN"/>
              </w:rPr>
              <w:t>要点</w:t>
            </w:r>
            <w:r>
              <w:rPr>
                <w:rFonts w:hint="eastAsia" w:ascii="宋体" w:hAnsi="宋体" w:eastAsia="宋体" w:cs="宋体"/>
                <w:color w:val="auto"/>
                <w:sz w:val="24"/>
                <w:szCs w:val="24"/>
                <w:highlight w:val="none"/>
              </w:rPr>
              <w:t>基本符合项目情况的得3～4.9分；部分符合项目情况的得0.1～2.9分；不符合或未提供的得0分。</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配有高空作业人员执业资格证</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配有安全员的加1分；（</w:t>
            </w:r>
            <w:r>
              <w:rPr>
                <w:rFonts w:hint="eastAsia" w:ascii="宋体" w:hAnsi="宋体" w:eastAsia="宋体" w:cs="宋体"/>
                <w:snapToGrid/>
                <w:color w:val="auto"/>
                <w:kern w:val="2"/>
                <w:sz w:val="24"/>
                <w:szCs w:val="24"/>
                <w:highlight w:val="none"/>
                <w:lang w:val="en-US" w:eastAsia="zh-CN"/>
              </w:rPr>
              <w:t>须是本公司在职人员并提供有效期内的职业资格证书和已购人身意外伤害险，</w:t>
            </w:r>
            <w:r>
              <w:rPr>
                <w:rFonts w:hint="eastAsia" w:ascii="宋体" w:hAnsi="宋体" w:eastAsia="宋体" w:cs="宋体"/>
                <w:snapToGrid/>
                <w:color w:val="auto"/>
                <w:kern w:val="2"/>
                <w:sz w:val="24"/>
                <w:szCs w:val="24"/>
                <w:highlight w:val="none"/>
              </w:rPr>
              <w:t>同一人员只记一分）</w:t>
            </w:r>
          </w:p>
        </w:tc>
        <w:tc>
          <w:tcPr>
            <w:tcW w:w="326" w:type="pct"/>
            <w:vAlign w:val="center"/>
          </w:tcPr>
          <w:p>
            <w:pPr>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 w:type="pct"/>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3079" w:type="pct"/>
            <w:gridSpan w:val="3"/>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针对本项目的优惠方案及服务承诺。要点内容完整、完全符合项目情况的得5分；内容与本项目联系紧密，基本符合项目情况的得3～4.9分；部分符合项目情况的得0.1～2.9分；不符合或未提供的得0分。</w:t>
            </w:r>
          </w:p>
        </w:tc>
        <w:tc>
          <w:tcPr>
            <w:tcW w:w="326" w:type="pct"/>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5分</w:t>
            </w:r>
          </w:p>
        </w:tc>
        <w:tc>
          <w:tcPr>
            <w:tcW w:w="461"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c>
          <w:tcPr>
            <w:tcW w:w="833" w:type="pct"/>
            <w:vAlign w:val="center"/>
          </w:tcPr>
          <w:p>
            <w:pPr>
              <w:pStyle w:val="24"/>
              <w:snapToGrid w:val="0"/>
              <w:spacing w:after="0"/>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99" w:type="pct"/>
            <w:vAlign w:val="center"/>
          </w:tcPr>
          <w:p>
            <w:pPr>
              <w:pStyle w:val="32"/>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p>
        </w:tc>
        <w:tc>
          <w:tcPr>
            <w:tcW w:w="3405" w:type="pct"/>
            <w:gridSpan w:val="4"/>
            <w:vAlign w:val="center"/>
          </w:tcPr>
          <w:p>
            <w:pPr>
              <w:pStyle w:val="32"/>
              <w:snapToGrid w:val="0"/>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价格部分（10分）</w:t>
            </w:r>
          </w:p>
        </w:tc>
        <w:tc>
          <w:tcPr>
            <w:tcW w:w="461" w:type="pct"/>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Align w:val="center"/>
          </w:tcPr>
          <w:p>
            <w:pPr>
              <w:pStyle w:val="32"/>
              <w:snapToGrid w:val="0"/>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99" w:type="pct"/>
            <w:vMerge w:val="restart"/>
            <w:vAlign w:val="center"/>
          </w:tcPr>
          <w:p>
            <w:pPr>
              <w:pStyle w:val="32"/>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2118" w:type="pct"/>
            <w:vMerge w:val="restart"/>
            <w:vAlign w:val="center"/>
          </w:tcPr>
          <w:p>
            <w:pP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满足采购文件要求且投标报价最低的投标报价为评标基准价，其价格分为满分。其他投标人的价格分统一按照下列公式计算：投标报价得分=（评标基准价／投标报价）×相应权重（报价权重：工程类：2分；人工：2分；简易案件处理：</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分；垃圾清运1：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分；垃圾清运2：2分；垃圾清运3：2分）</w:t>
            </w:r>
          </w:p>
        </w:tc>
        <w:tc>
          <w:tcPr>
            <w:tcW w:w="279" w:type="pct"/>
            <w:vMerge w:val="restar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报价权重</w:t>
            </w:r>
          </w:p>
        </w:tc>
        <w:tc>
          <w:tcPr>
            <w:tcW w:w="681"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工程类</w:t>
            </w:r>
          </w:p>
        </w:tc>
        <w:tc>
          <w:tcPr>
            <w:tcW w:w="326" w:type="pct"/>
            <w:vAlign w:val="center"/>
          </w:tcPr>
          <w:p>
            <w:pPr>
              <w:pStyle w:val="32"/>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2分</w:t>
            </w:r>
          </w:p>
        </w:tc>
        <w:tc>
          <w:tcPr>
            <w:tcW w:w="461" w:type="pct"/>
            <w:vMerge w:val="restart"/>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Merge w:val="restart"/>
            <w:vAlign w:val="center"/>
          </w:tcPr>
          <w:p>
            <w:pPr>
              <w:pStyle w:val="32"/>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99"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2118" w:type="pct"/>
            <w:vMerge w:val="continue"/>
            <w:vAlign w:val="center"/>
          </w:tcPr>
          <w:p>
            <w:pPr>
              <w:rPr>
                <w:rFonts w:hint="eastAsia" w:ascii="宋体" w:hAnsi="宋体" w:eastAsia="宋体" w:cs="宋体"/>
                <w:color w:val="auto"/>
                <w:sz w:val="24"/>
                <w:szCs w:val="24"/>
                <w:highlight w:val="none"/>
              </w:rPr>
            </w:pPr>
          </w:p>
        </w:tc>
        <w:tc>
          <w:tcPr>
            <w:tcW w:w="279" w:type="pct"/>
            <w:vMerge w:val="continue"/>
            <w:vAlign w:val="center"/>
          </w:tcPr>
          <w:p>
            <w:pPr>
              <w:rPr>
                <w:rFonts w:hint="eastAsia" w:ascii="宋体" w:hAnsi="宋体" w:eastAsia="宋体" w:cs="宋体"/>
                <w:color w:val="auto"/>
                <w:sz w:val="24"/>
                <w:szCs w:val="24"/>
                <w:highlight w:val="none"/>
              </w:rPr>
            </w:pPr>
          </w:p>
        </w:tc>
        <w:tc>
          <w:tcPr>
            <w:tcW w:w="681"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人工</w:t>
            </w:r>
          </w:p>
        </w:tc>
        <w:tc>
          <w:tcPr>
            <w:tcW w:w="326" w:type="pct"/>
            <w:vAlign w:val="center"/>
          </w:tcPr>
          <w:p>
            <w:pPr>
              <w:pStyle w:val="32"/>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2分</w:t>
            </w:r>
          </w:p>
        </w:tc>
        <w:tc>
          <w:tcPr>
            <w:tcW w:w="461"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99"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2118" w:type="pct"/>
            <w:vMerge w:val="continue"/>
            <w:vAlign w:val="center"/>
          </w:tcPr>
          <w:p>
            <w:pPr>
              <w:rPr>
                <w:rFonts w:hint="eastAsia" w:ascii="宋体" w:hAnsi="宋体" w:eastAsia="宋体" w:cs="宋体"/>
                <w:color w:val="auto"/>
                <w:sz w:val="24"/>
                <w:szCs w:val="24"/>
                <w:highlight w:val="none"/>
              </w:rPr>
            </w:pPr>
          </w:p>
        </w:tc>
        <w:tc>
          <w:tcPr>
            <w:tcW w:w="279" w:type="pct"/>
            <w:vMerge w:val="continue"/>
            <w:vAlign w:val="center"/>
          </w:tcPr>
          <w:p>
            <w:pPr>
              <w:rPr>
                <w:rFonts w:hint="eastAsia" w:ascii="宋体" w:hAnsi="宋体" w:eastAsia="宋体" w:cs="宋体"/>
                <w:color w:val="auto"/>
                <w:sz w:val="24"/>
                <w:szCs w:val="24"/>
                <w:highlight w:val="none"/>
              </w:rPr>
            </w:pPr>
          </w:p>
        </w:tc>
        <w:tc>
          <w:tcPr>
            <w:tcW w:w="681"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简易案件处理</w:t>
            </w:r>
          </w:p>
        </w:tc>
        <w:tc>
          <w:tcPr>
            <w:tcW w:w="326" w:type="pct"/>
            <w:vAlign w:val="center"/>
          </w:tcPr>
          <w:p>
            <w:pPr>
              <w:pStyle w:val="32"/>
              <w:snapToGrid w:val="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1分</w:t>
            </w:r>
          </w:p>
        </w:tc>
        <w:tc>
          <w:tcPr>
            <w:tcW w:w="461"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99"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2118" w:type="pct"/>
            <w:vMerge w:val="continue"/>
            <w:vAlign w:val="center"/>
          </w:tcPr>
          <w:p>
            <w:pPr>
              <w:rPr>
                <w:rFonts w:hint="eastAsia" w:ascii="宋体" w:hAnsi="宋体" w:eastAsia="宋体" w:cs="宋体"/>
                <w:color w:val="auto"/>
                <w:sz w:val="24"/>
                <w:szCs w:val="24"/>
                <w:highlight w:val="none"/>
              </w:rPr>
            </w:pPr>
          </w:p>
        </w:tc>
        <w:tc>
          <w:tcPr>
            <w:tcW w:w="279" w:type="pct"/>
            <w:vMerge w:val="continue"/>
            <w:vAlign w:val="center"/>
          </w:tcPr>
          <w:p>
            <w:pPr>
              <w:rPr>
                <w:rFonts w:hint="eastAsia" w:ascii="宋体" w:hAnsi="宋体" w:eastAsia="宋体" w:cs="宋体"/>
                <w:color w:val="auto"/>
                <w:sz w:val="24"/>
                <w:szCs w:val="24"/>
                <w:highlight w:val="none"/>
              </w:rPr>
            </w:pPr>
          </w:p>
        </w:tc>
        <w:tc>
          <w:tcPr>
            <w:tcW w:w="681" w:type="pct"/>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垃圾清运</w:t>
            </w:r>
            <w:r>
              <w:rPr>
                <w:rFonts w:hint="eastAsia" w:ascii="宋体" w:hAnsi="宋体" w:eastAsia="宋体" w:cs="宋体"/>
                <w:color w:val="auto"/>
                <w:sz w:val="24"/>
                <w:szCs w:val="24"/>
                <w:highlight w:val="none"/>
                <w:lang w:val="en-US" w:eastAsia="zh-CN"/>
              </w:rPr>
              <w:t>1</w:t>
            </w:r>
          </w:p>
        </w:tc>
        <w:tc>
          <w:tcPr>
            <w:tcW w:w="326" w:type="pct"/>
            <w:vAlign w:val="center"/>
          </w:tcPr>
          <w:p>
            <w:pPr>
              <w:pStyle w:val="32"/>
              <w:snapToGrid w:val="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1分</w:t>
            </w:r>
          </w:p>
        </w:tc>
        <w:tc>
          <w:tcPr>
            <w:tcW w:w="461"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99"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2118" w:type="pct"/>
            <w:vMerge w:val="continue"/>
            <w:vAlign w:val="center"/>
          </w:tcPr>
          <w:p>
            <w:pPr>
              <w:rPr>
                <w:rFonts w:hint="eastAsia" w:ascii="宋体" w:hAnsi="宋体" w:eastAsia="宋体" w:cs="宋体"/>
                <w:color w:val="auto"/>
                <w:sz w:val="24"/>
                <w:szCs w:val="24"/>
                <w:highlight w:val="none"/>
              </w:rPr>
            </w:pPr>
          </w:p>
        </w:tc>
        <w:tc>
          <w:tcPr>
            <w:tcW w:w="279" w:type="pct"/>
            <w:vMerge w:val="continue"/>
            <w:vAlign w:val="center"/>
          </w:tcPr>
          <w:p>
            <w:pPr>
              <w:rPr>
                <w:rFonts w:hint="eastAsia" w:ascii="宋体" w:hAnsi="宋体" w:eastAsia="宋体" w:cs="宋体"/>
                <w:color w:val="auto"/>
                <w:sz w:val="24"/>
                <w:szCs w:val="24"/>
                <w:highlight w:val="none"/>
              </w:rPr>
            </w:pPr>
          </w:p>
        </w:tc>
        <w:tc>
          <w:tcPr>
            <w:tcW w:w="681" w:type="pct"/>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垃圾清运</w:t>
            </w:r>
            <w:r>
              <w:rPr>
                <w:rFonts w:hint="eastAsia" w:ascii="宋体" w:hAnsi="宋体" w:eastAsia="宋体" w:cs="宋体"/>
                <w:color w:val="auto"/>
                <w:sz w:val="24"/>
                <w:szCs w:val="24"/>
                <w:highlight w:val="none"/>
                <w:lang w:val="en-US" w:eastAsia="zh-CN"/>
              </w:rPr>
              <w:t>2</w:t>
            </w:r>
          </w:p>
        </w:tc>
        <w:tc>
          <w:tcPr>
            <w:tcW w:w="326" w:type="pct"/>
            <w:vAlign w:val="center"/>
          </w:tcPr>
          <w:p>
            <w:pPr>
              <w:pStyle w:val="32"/>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2分</w:t>
            </w:r>
          </w:p>
        </w:tc>
        <w:tc>
          <w:tcPr>
            <w:tcW w:w="461"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9"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2118" w:type="pct"/>
            <w:vMerge w:val="continue"/>
            <w:vAlign w:val="center"/>
          </w:tcPr>
          <w:p>
            <w:pPr>
              <w:rPr>
                <w:rFonts w:hint="eastAsia" w:ascii="宋体" w:hAnsi="宋体" w:eastAsia="宋体" w:cs="宋体"/>
                <w:color w:val="auto"/>
                <w:sz w:val="24"/>
                <w:szCs w:val="24"/>
                <w:highlight w:val="none"/>
              </w:rPr>
            </w:pPr>
          </w:p>
        </w:tc>
        <w:tc>
          <w:tcPr>
            <w:tcW w:w="279" w:type="pct"/>
            <w:vMerge w:val="continue"/>
            <w:vAlign w:val="center"/>
          </w:tcPr>
          <w:p>
            <w:pPr>
              <w:rPr>
                <w:rFonts w:hint="eastAsia" w:ascii="宋体" w:hAnsi="宋体" w:eastAsia="宋体" w:cs="宋体"/>
                <w:color w:val="auto"/>
                <w:sz w:val="24"/>
                <w:szCs w:val="24"/>
                <w:highlight w:val="none"/>
              </w:rPr>
            </w:pPr>
          </w:p>
        </w:tc>
        <w:tc>
          <w:tcPr>
            <w:tcW w:w="681" w:type="pct"/>
            <w:vAlign w:val="center"/>
          </w:tcPr>
          <w:p>
            <w:pPr>
              <w:rPr>
                <w:rFonts w:hint="eastAsia" w:ascii="宋体" w:hAnsi="宋体" w:eastAsia="宋体" w:cs="宋体"/>
                <w:color w:val="auto"/>
                <w:sz w:val="24"/>
                <w:szCs w:val="24"/>
                <w:highlight w:val="none"/>
                <w:lang w:val="en-US" w:eastAsia="zh-CN"/>
              </w:rPr>
            </w:pPr>
            <w:bookmarkStart w:id="410" w:name="_GoBack"/>
            <w:r>
              <w:rPr>
                <w:rFonts w:hint="eastAsia" w:ascii="宋体" w:hAnsi="宋体" w:eastAsia="宋体" w:cs="宋体"/>
                <w:color w:val="auto"/>
                <w:sz w:val="24"/>
                <w:szCs w:val="24"/>
                <w:highlight w:val="none"/>
              </w:rPr>
              <w:t>垃圾清运</w:t>
            </w:r>
            <w:r>
              <w:rPr>
                <w:rFonts w:hint="eastAsia" w:ascii="宋体" w:hAnsi="宋体" w:eastAsia="宋体" w:cs="宋体"/>
                <w:color w:val="auto"/>
                <w:sz w:val="24"/>
                <w:szCs w:val="24"/>
                <w:highlight w:val="none"/>
                <w:lang w:val="en-US" w:eastAsia="zh-CN"/>
              </w:rPr>
              <w:t>3</w:t>
            </w:r>
            <w:bookmarkEnd w:id="410"/>
          </w:p>
        </w:tc>
        <w:tc>
          <w:tcPr>
            <w:tcW w:w="326" w:type="pct"/>
            <w:vAlign w:val="center"/>
          </w:tcPr>
          <w:p>
            <w:pPr>
              <w:pStyle w:val="32"/>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2分</w:t>
            </w:r>
          </w:p>
        </w:tc>
        <w:tc>
          <w:tcPr>
            <w:tcW w:w="461"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c>
          <w:tcPr>
            <w:tcW w:w="833" w:type="pct"/>
            <w:vMerge w:val="continue"/>
            <w:vAlign w:val="center"/>
          </w:tcPr>
          <w:p>
            <w:pPr>
              <w:pStyle w:val="32"/>
              <w:snapToGrid w:val="0"/>
              <w:jc w:val="center"/>
              <w:rPr>
                <w:rFonts w:hint="eastAsia" w:ascii="宋体" w:hAnsi="宋体" w:eastAsia="宋体" w:cs="宋体"/>
                <w:color w:val="auto"/>
                <w:sz w:val="24"/>
                <w:szCs w:val="24"/>
                <w:highlight w:val="none"/>
                <w:lang w:val="en-US" w:eastAsia="zh-CN"/>
              </w:rPr>
            </w:pPr>
          </w:p>
        </w:tc>
      </w:tr>
    </w:tbl>
    <w:p/>
    <w:p/>
    <w:p>
      <w:pPr>
        <w:spacing w:line="360" w:lineRule="auto"/>
        <w:rPr>
          <w:rFonts w:ascii="宋体" w:hAnsi="宋体" w:cs="宋体"/>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 xml:space="preserve">1、投标人编制投标文件（商务技术文件部分）时，建议按此目录（序号和内容）提供评标标准相应的商务技术资料。 </w:t>
      </w:r>
    </w:p>
    <w:p>
      <w:pPr>
        <w:spacing w:line="360" w:lineRule="auto"/>
        <w:rPr>
          <w:rFonts w:ascii="宋体" w:hAnsi="宋体" w:cs="宋体"/>
          <w:sz w:val="24"/>
        </w:rPr>
      </w:pPr>
      <w:r>
        <w:rPr>
          <w:rFonts w:hint="eastAsia" w:ascii="宋体" w:hAnsi="宋体" w:cs="宋体"/>
          <w:sz w:val="24"/>
        </w:rPr>
        <w:t>2、评分条款中涉及的业绩、荣誉、人员、社保等分公司均有效。涉及社保、劳动关系证明关系的，如人员为法人代表，则无需提供相关证明</w:t>
      </w:r>
      <w:r>
        <w:rPr>
          <w:rFonts w:ascii="宋体" w:hAnsi="宋体" w:cs="宋体"/>
          <w:sz w:val="24"/>
        </w:rPr>
        <w:t>，提供营业执照及身份证即可</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3、投标文件中如附有外文资料，必须逐一对应翻译成中文并加盖投标人公章后附在相关外文资料后面，否则外文资料不予认可。</w:t>
      </w:r>
    </w:p>
    <w:p>
      <w:pPr>
        <w:spacing w:line="360" w:lineRule="auto"/>
        <w:rPr>
          <w:rFonts w:cs="仿宋_GB2312"/>
        </w:rPr>
      </w:pPr>
    </w:p>
    <w:p>
      <w:pPr>
        <w:snapToGrid w:val="0"/>
        <w:spacing w:line="360" w:lineRule="auto"/>
        <w:rPr>
          <w:rFonts w:ascii="宋体" w:hAnsi="宋体" w:cs="宋体"/>
          <w:b/>
          <w:sz w:val="24"/>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pStyle w:val="4"/>
        <w:ind w:left="862" w:leftChars="205"/>
      </w:pPr>
      <w:r>
        <w:rPr>
          <w:rFonts w:hint="eastAsia" w:ascii="宋体" w:hAnsi="宋体" w:eastAsia="宋体" w:cs="宋体"/>
          <w:b w:val="0"/>
          <w:bCs w:val="0"/>
          <w:kern w:val="0"/>
          <w:sz w:val="24"/>
          <w:szCs w:val="24"/>
          <w:lang w:val="en-US"/>
        </w:rPr>
        <w:t>4.2.14 投标文件不满足招标文件的实质性要求的；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
        <w:snapToGrid w:val="0"/>
        <w:spacing w:line="360" w:lineRule="auto"/>
        <w:rPr>
          <w:rFonts w:cs="宋体"/>
        </w:rPr>
      </w:pPr>
      <w:r>
        <w:rPr>
          <w:rFonts w:hint="eastAsia" w:cs="宋体"/>
        </w:rPr>
        <w:t>5.1符合专业条件的供应商或者对招标文件作实质响应的供应商不足3家的；</w:t>
      </w:r>
    </w:p>
    <w:p>
      <w:pPr>
        <w:pStyle w:val="2"/>
        <w:snapToGrid w:val="0"/>
        <w:spacing w:line="360" w:lineRule="auto"/>
        <w:rPr>
          <w:rFonts w:cs="宋体"/>
        </w:rPr>
      </w:pPr>
      <w:r>
        <w:rPr>
          <w:rFonts w:hint="eastAsia" w:cs="宋体"/>
        </w:rPr>
        <w:t>5.2出现影响采购公正的违法、违规行为的；</w:t>
      </w:r>
    </w:p>
    <w:p>
      <w:pPr>
        <w:pStyle w:val="2"/>
        <w:snapToGrid w:val="0"/>
        <w:spacing w:line="360" w:lineRule="auto"/>
        <w:rPr>
          <w:rFonts w:cs="宋体"/>
        </w:rPr>
      </w:pPr>
      <w:r>
        <w:rPr>
          <w:rFonts w:hint="eastAsia" w:cs="宋体"/>
        </w:rPr>
        <w:t>5.3投标人的报价均超过了采购预算，采购人不能支付的；</w:t>
      </w:r>
    </w:p>
    <w:p>
      <w:pPr>
        <w:pStyle w:val="2"/>
        <w:snapToGrid w:val="0"/>
        <w:spacing w:line="360" w:lineRule="auto"/>
        <w:rPr>
          <w:rFonts w:cs="宋体"/>
        </w:rPr>
      </w:pPr>
      <w:r>
        <w:rPr>
          <w:rFonts w:hint="eastAsia" w:cs="宋体"/>
        </w:rPr>
        <w:t>5.4因重大变故，采购任务取消的。</w:t>
      </w:r>
    </w:p>
    <w:p>
      <w:pPr>
        <w:pStyle w:val="2"/>
        <w:snapToGrid w:val="0"/>
        <w:spacing w:line="360" w:lineRule="auto"/>
        <w:rPr>
          <w:rFonts w:cs="宋体"/>
        </w:rPr>
      </w:pPr>
      <w:r>
        <w:rPr>
          <w:rFonts w:hint="eastAsia" w:cs="宋体"/>
        </w:rPr>
        <w:t>废标后，采购代理机构应当将废标理由通知所有投标人。</w:t>
      </w:r>
    </w:p>
    <w:p>
      <w:pPr>
        <w:pStyle w:val="2"/>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
        <w:snapToGrid w:val="0"/>
        <w:spacing w:line="360" w:lineRule="auto"/>
        <w:rPr>
          <w:rFonts w:cs="宋体"/>
        </w:rPr>
      </w:pPr>
      <w:r>
        <w:rPr>
          <w:rFonts w:hint="eastAsia" w:cs="宋体"/>
        </w:rPr>
        <w:t>7.1未确定中标供应商的，终止本次政府采购活动，重新开展政府采购活动。</w:t>
      </w:r>
    </w:p>
    <w:p>
      <w:pPr>
        <w:pStyle w:val="2"/>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7.4政府采购合同已经履行，给采购人、供应商造成损失的，由责任人承担赔偿责任。</w:t>
      </w:r>
    </w:p>
    <w:p>
      <w:pPr>
        <w:pStyle w:val="2"/>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7" w:name="第五部分"/>
      <w:bookmarkStart w:id="398"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outlineLvl w:val="0"/>
        <w:rPr>
          <w:rFonts w:ascii="宋体" w:hAnsi="宋体" w:cs="宋体"/>
          <w:b/>
          <w:sz w:val="36"/>
          <w:szCs w:val="36"/>
        </w:rPr>
      </w:pPr>
    </w:p>
    <w:p>
      <w:pPr>
        <w:widowControl/>
        <w:adjustRightInd/>
        <w:jc w:val="left"/>
        <w:rPr>
          <w:rFonts w:ascii="宋体" w:hAnsi="宋体" w:cs="宋体"/>
          <w:b/>
          <w:sz w:val="36"/>
          <w:szCs w:val="36"/>
        </w:rPr>
      </w:pPr>
    </w:p>
    <w:p>
      <w:pPr>
        <w:rPr>
          <w:rFonts w:hint="eastAsia" w:ascii="宋体" w:hAnsi="宋体" w:cs="宋体"/>
          <w:b/>
          <w:sz w:val="36"/>
          <w:szCs w:val="36"/>
        </w:rPr>
      </w:pPr>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snapToGrid w:val="0"/>
        <w:spacing w:before="50" w:line="320" w:lineRule="exact"/>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highlight w:val="none"/>
        </w:rPr>
        <w:t>（甲乙双方应按采购文件确定的事项及响应文件响应内容签订本合同，不得对采购文件确定的事项和成交供应商的响应文件作实质性修改）</w:t>
      </w:r>
    </w:p>
    <w:p>
      <w:pPr>
        <w:spacing w:before="156" w:beforeLines="50"/>
        <w:jc w:val="center"/>
        <w:rPr>
          <w:rFonts w:hint="eastAsia" w:ascii="宋体" w:hAnsi="宋体" w:eastAsia="宋体" w:cs="宋体"/>
          <w:b/>
          <w:sz w:val="30"/>
          <w:szCs w:val="30"/>
        </w:rPr>
      </w:pPr>
      <w:bookmarkStart w:id="399" w:name="_Hlk67404714"/>
      <w:r>
        <w:rPr>
          <w:rFonts w:hint="eastAsia" w:ascii="宋体" w:hAnsi="宋体" w:eastAsia="宋体" w:cs="宋体"/>
          <w:b/>
          <w:sz w:val="30"/>
          <w:szCs w:val="30"/>
        </w:rPr>
        <w:t>滨江区长河街道“美丽杭州”及数字城管案件处理服务项目（江南大道以南，铁路以北区块）</w:t>
      </w:r>
    </w:p>
    <w:bookmarkEnd w:id="399"/>
    <w:p>
      <w:pPr>
        <w:spacing w:before="156" w:beforeLines="50"/>
        <w:jc w:val="center"/>
        <w:rPr>
          <w:rFonts w:hint="eastAsia" w:ascii="宋体" w:hAnsi="宋体" w:eastAsia="宋体" w:cs="宋体"/>
          <w:sz w:val="24"/>
        </w:rPr>
      </w:pPr>
      <w:r>
        <w:rPr>
          <w:rFonts w:hint="eastAsia" w:ascii="宋体" w:hAnsi="宋体" w:eastAsia="宋体" w:cs="宋体"/>
          <w:b/>
          <w:sz w:val="30"/>
          <w:szCs w:val="30"/>
        </w:rPr>
        <w:t>政府采购合同</w:t>
      </w:r>
    </w:p>
    <w:p>
      <w:pPr>
        <w:spacing w:before="156" w:beforeLines="50"/>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甲  方</w:t>
      </w:r>
      <w:r>
        <w:rPr>
          <w:rFonts w:hint="eastAsia" w:ascii="宋体" w:hAnsi="宋体" w:eastAsia="宋体" w:cs="宋体"/>
          <w:sz w:val="24"/>
          <w:szCs w:val="24"/>
        </w:rPr>
        <w:t>：</w:t>
      </w:r>
      <w:r>
        <w:rPr>
          <w:rFonts w:hint="eastAsia" w:ascii="宋体" w:hAnsi="宋体" w:eastAsia="宋体" w:cs="宋体"/>
          <w:b/>
          <w:bCs/>
          <w:sz w:val="24"/>
          <w:szCs w:val="24"/>
          <w:u w:val="single"/>
        </w:rPr>
        <w:t xml:space="preserve">杭州市滨江区人民政府长河街道办事处 </w:t>
      </w:r>
    </w:p>
    <w:p>
      <w:pPr>
        <w:spacing w:before="156" w:beforeLines="50"/>
        <w:ind w:firstLine="482" w:firstLineChars="200"/>
        <w:jc w:val="left"/>
        <w:rPr>
          <w:rFonts w:hint="eastAsia" w:ascii="宋体" w:hAnsi="宋体" w:eastAsia="宋体" w:cs="宋体"/>
          <w:b/>
          <w:bCs/>
          <w:kern w:val="0"/>
          <w:sz w:val="24"/>
          <w:szCs w:val="24"/>
          <w:u w:val="single"/>
          <w:lang w:val="en-US" w:eastAsia="zh-CN"/>
        </w:rPr>
      </w:pPr>
      <w:r>
        <w:rPr>
          <w:rFonts w:hint="eastAsia" w:ascii="宋体" w:hAnsi="宋体" w:eastAsia="宋体" w:cs="宋体"/>
          <w:b/>
          <w:bCs/>
          <w:sz w:val="24"/>
          <w:szCs w:val="24"/>
        </w:rPr>
        <w:t>乙  方</w:t>
      </w:r>
      <w:r>
        <w:rPr>
          <w:rFonts w:hint="eastAsia" w:ascii="宋体" w:hAnsi="宋体" w:eastAsia="宋体" w:cs="宋体"/>
          <w:sz w:val="24"/>
          <w:szCs w:val="24"/>
        </w:rPr>
        <w:t>：</w:t>
      </w:r>
      <w:r>
        <w:rPr>
          <w:rFonts w:hint="eastAsia" w:ascii="宋体" w:hAnsi="宋体" w:eastAsia="宋体" w:cs="宋体"/>
          <w:b/>
          <w:bCs/>
          <w:sz w:val="24"/>
          <w:szCs w:val="24"/>
          <w:u w:val="single"/>
          <w:lang w:val="en-US" w:eastAsia="zh-CN"/>
        </w:rPr>
        <w:t xml:space="preserve">                                    </w:t>
      </w:r>
    </w:p>
    <w:p>
      <w:pPr>
        <w:snapToGrid w:val="0"/>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甲方对所需的</w:t>
      </w:r>
      <w:r>
        <w:rPr>
          <w:rFonts w:hint="eastAsia" w:ascii="宋体" w:hAnsi="宋体" w:eastAsia="宋体" w:cs="宋体"/>
          <w:sz w:val="24"/>
          <w:szCs w:val="24"/>
          <w:u w:val="single"/>
        </w:rPr>
        <w:t xml:space="preserve"> 滨江区长河街道“美丽杭州”及数字城管案件处理服务项目（江南大道以南，铁路以北区块） </w:t>
      </w:r>
      <w:r>
        <w:rPr>
          <w:rFonts w:hint="eastAsia" w:ascii="宋体" w:hAnsi="宋体" w:eastAsia="宋体" w:cs="宋体"/>
          <w:sz w:val="24"/>
          <w:szCs w:val="24"/>
        </w:rPr>
        <w:t>项目进行公开招标采购，（项目编号：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）。经甲方定标，确定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为中标供应商（乙方）。甲、乙双方根据《中华人民共和国政府采购法》、《中华人民共和国民法典》在平等自愿的基础上，同意按照下面的条款和条件，签署本合同。</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第一条 定义</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合同”</w:t>
      </w:r>
      <w:r>
        <w:rPr>
          <w:rFonts w:hint="eastAsia" w:ascii="宋体" w:hAnsi="宋体" w:eastAsia="宋体" w:cs="宋体"/>
          <w:sz w:val="24"/>
          <w:szCs w:val="24"/>
        </w:rPr>
        <w:t>即由</w:t>
      </w:r>
      <w:r>
        <w:rPr>
          <w:rFonts w:hint="eastAsia" w:ascii="宋体" w:hAnsi="宋体" w:eastAsia="宋体" w:cs="宋体"/>
          <w:sz w:val="24"/>
          <w:szCs w:val="24"/>
          <w:lang w:val="zh-CN"/>
        </w:rPr>
        <w:t>甲乙方</w:t>
      </w:r>
      <w:r>
        <w:rPr>
          <w:rFonts w:hint="eastAsia" w:ascii="宋体" w:hAnsi="宋体" w:eastAsia="宋体" w:cs="宋体"/>
          <w:sz w:val="24"/>
          <w:szCs w:val="24"/>
        </w:rPr>
        <w:t>双方签订的合同格式中的文件，包括所有的附件、附录和组成合同部分的所有其他文件。</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2、“合同价格”系指根据合同规定，在乙方全面正确地履行合同义务时，甲方应支付给乙方的款项。</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3、“服务” 系指乙方按采购文件、投标文件规定，结合本项目的要求，为甲方提供优质的服务。</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第二条 适用范围</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本合同条款适用与本次采购活动。项目实施范围详见附件——采购文件和投标文件及补充文件、承诺书等。</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第三条 服务内容：</w:t>
      </w:r>
    </w:p>
    <w:p>
      <w:pPr>
        <w:adjustRightInd w:val="0"/>
        <w:spacing w:before="156" w:beforeLines="50"/>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服务内容为零星应急处置项目，解决标项辖区范围内当前尚未完全覆盖或暂无法明确主体（无主案卷）的城市基础设施的市政、市容、绿化、亮灯、河道等修缮、整改、维护管养</w:t>
      </w:r>
      <w:r>
        <w:rPr>
          <w:rFonts w:hint="eastAsia" w:ascii="宋体" w:hAnsi="宋体" w:eastAsia="宋体" w:cs="宋体"/>
          <w:b/>
          <w:bCs/>
          <w:sz w:val="24"/>
          <w:szCs w:val="24"/>
          <w:lang w:val="en-US" w:eastAsia="zh-Hans"/>
        </w:rPr>
        <w:t>等</w:t>
      </w:r>
      <w:r>
        <w:rPr>
          <w:rFonts w:hint="eastAsia" w:ascii="宋体" w:hAnsi="宋体" w:eastAsia="宋体" w:cs="宋体"/>
          <w:b/>
          <w:bCs/>
          <w:sz w:val="24"/>
          <w:szCs w:val="24"/>
        </w:rPr>
        <w:t>工作。实施包含但不限于下列所述处置内容：</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（1）区范围内无主的城市家具维修和背街小巷改造后维护。</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（2）甲方临时指派的全民监督平台交办的应急设施整改；</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（3）无主交接箱类整治清理；</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（4）无主井盖整治；</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（5）不明架空线缆脱落或线缆垂挂的清理；</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（6）无主护栏清理；</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（7）无主外立面（含台阶）脱落或破损的修复；</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（8）未移交道路、桥、隧等设施的修复；</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（9）高空悬挂物清理：高空的树枝悬挂物、线缆悬挂物的清理；</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（10）宣传广告清理：破损公益广告（含宣传栏内）的清理；</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（11）突发状况：2小时内应急柱及固边警示工作（如道路塌陷、树木倒扶、低洼积水）；</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（12）无主绿地的恢复或补种；</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（13）违规店招店牌的整治；</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（14）无主垃圾的清运；</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（15）如甲方将相应任务交予乙方，乙方必须无条件予以响应。</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（16）乙方对以上工作实行长效管理，出现问题时，及时予以解决。</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（17）其他无主类及职能不清的案卷代整治。</w:t>
      </w:r>
    </w:p>
    <w:p>
      <w:pPr>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（18）违规建筑构筑物的拆除。</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第四条 合同价</w:t>
      </w:r>
    </w:p>
    <w:p>
      <w:pPr>
        <w:spacing w:before="156" w:beforeLines="50"/>
        <w:ind w:left="2639" w:leftChars="228" w:hanging="2160" w:hangingChars="900"/>
        <w:jc w:val="left"/>
        <w:rPr>
          <w:rFonts w:hint="eastAsia" w:ascii="宋体" w:hAnsi="宋体" w:eastAsia="宋体" w:cs="宋体"/>
          <w:sz w:val="24"/>
          <w:szCs w:val="24"/>
          <w:lang w:eastAsia="zh-CN"/>
        </w:rPr>
      </w:pPr>
      <w:r>
        <w:rPr>
          <w:rFonts w:hint="eastAsia" w:ascii="宋体" w:hAnsi="宋体" w:eastAsia="宋体" w:cs="宋体"/>
          <w:sz w:val="24"/>
          <w:szCs w:val="24"/>
        </w:rPr>
        <w:t>根据甲方招标文件及乙方投标书承诺内容，该项目服务期1年</w:t>
      </w:r>
      <w:r>
        <w:rPr>
          <w:rFonts w:hint="eastAsia" w:ascii="宋体" w:hAnsi="宋体" w:eastAsia="宋体" w:cs="宋体"/>
          <w:sz w:val="24"/>
          <w:szCs w:val="24"/>
          <w:lang w:eastAsia="zh-CN"/>
        </w:rPr>
        <w:t>，</w:t>
      </w:r>
    </w:p>
    <w:p>
      <w:pPr>
        <w:spacing w:before="156" w:beforeLines="50"/>
        <w:ind w:left="2639" w:leftChars="228" w:hanging="2160" w:hangingChars="900"/>
        <w:jc w:val="left"/>
        <w:rPr>
          <w:rFonts w:hint="eastAsia" w:ascii="宋体" w:hAnsi="宋体" w:eastAsia="宋体" w:cs="宋体"/>
          <w:sz w:val="24"/>
          <w:szCs w:val="24"/>
        </w:rPr>
      </w:pPr>
      <w:r>
        <w:rPr>
          <w:rFonts w:hint="eastAsia" w:ascii="宋体" w:hAnsi="宋体" w:eastAsia="宋体" w:cs="宋体"/>
          <w:sz w:val="24"/>
          <w:szCs w:val="24"/>
          <w:lang w:val="en-US" w:eastAsia="zh-CN"/>
        </w:rPr>
        <w:t>合同总价为 （小写 ：             。</w:t>
      </w:r>
      <w:r>
        <w:rPr>
          <w:rFonts w:hint="eastAsia" w:ascii="宋体" w:hAnsi="宋体" w:eastAsia="宋体" w:cs="宋体"/>
          <w:sz w:val="24"/>
          <w:szCs w:val="24"/>
        </w:rPr>
        <w:t>合同价分为：</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①工程类：折扣率</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 </w:t>
      </w:r>
      <w:r>
        <w:rPr>
          <w:rFonts w:hint="eastAsia" w:ascii="宋体" w:hAnsi="宋体" w:eastAsia="宋体" w:cs="宋体"/>
          <w:sz w:val="24"/>
          <w:szCs w:val="24"/>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乙方需提供三种以上同等档次的品牌及各自报价供甲方选择，最终以甲方选定的材料及认定的价格为准。如涉及材料按定额组价，无定额按信息价，无信息价按市场价，最终结算按审计价按实结算。</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②纯人工：</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元/工日。此项包含锹、镐、扫把、铲刀等操作工具。</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③简易案件处理：</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天。此项包含处置完成采购人认定的所有数字城管案件所需的所有费用。要求全日制驻场2辆5座皮卡车（含驾驶员）及6名处置工人，如需增加人工及车辆等，由供应商自行协调解决，采购人不在额外支付费用。</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④垃圾清运1：</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元/立方米。按方量计价，包含现场清理、装车、运输、卸载及处置等垃圾清运涉及的所有费用。</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⑤垃圾清运2：</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元/车（3吨）。按车辆计价，包含运输、卸载及处置等费用。</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⑥垃圾清运3：</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元/车（3吨）。按车辆计价，包含现场清理、装车、运输、卸载及处置等垃圾清运涉及的所有费用。</w:t>
      </w:r>
    </w:p>
    <w:p>
      <w:pPr>
        <w:keepNext w:val="0"/>
        <w:keepLines w:val="0"/>
        <w:pageBreakBefore w:val="0"/>
        <w:widowControl w:val="0"/>
        <w:kinsoku/>
        <w:wordWrap/>
        <w:overflowPunct/>
        <w:topLinePunct w:val="0"/>
        <w:bidi w:val="0"/>
        <w:adjustRightInd w:val="0"/>
        <w:spacing w:before="120" w:beforeLines="50" w:line="300" w:lineRule="exact"/>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color w:val="auto"/>
          <w:sz w:val="24"/>
          <w:szCs w:val="24"/>
          <w:highlight w:val="none"/>
          <w:u w:val="none"/>
        </w:rPr>
        <w:t>注：④⑤两项报价包含现场清理、装车、运输、卸载及处置等垃圾清运涉及的所有费用。</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第五条 服务期限</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rPr>
        <w:t>服务期：一年（202</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日-202</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日），服务期内必须随时待命随时处置，24小时随时响应。中标单位没有按合同规定服务，</w:t>
      </w:r>
      <w:r>
        <w:rPr>
          <w:rFonts w:hint="eastAsia" w:ascii="宋体" w:hAnsi="宋体" w:eastAsia="宋体" w:cs="宋体"/>
          <w:sz w:val="24"/>
          <w:szCs w:val="24"/>
        </w:rPr>
        <w:t>甲方有权终止合同，另行招标采购。</w:t>
      </w:r>
      <w:r>
        <w:rPr>
          <w:rFonts w:hint="eastAsia" w:ascii="宋体" w:hAnsi="宋体" w:eastAsia="宋体" w:cs="宋体"/>
          <w:sz w:val="24"/>
        </w:rPr>
        <w:t>中标乙方不得将相关工作转包</w:t>
      </w:r>
      <w:r>
        <w:rPr>
          <w:rFonts w:hint="eastAsia" w:ascii="宋体" w:hAnsi="宋体" w:eastAsia="宋体" w:cs="宋体"/>
          <w:sz w:val="24"/>
          <w:lang w:val="en-US" w:eastAsia="zh-Hans"/>
        </w:rPr>
        <w:t>或分包</w:t>
      </w:r>
      <w:r>
        <w:rPr>
          <w:rFonts w:hint="eastAsia" w:ascii="宋体" w:hAnsi="宋体" w:eastAsia="宋体" w:cs="宋体"/>
          <w:sz w:val="24"/>
        </w:rPr>
        <w:t>，一经发现有转包</w:t>
      </w:r>
      <w:r>
        <w:rPr>
          <w:rFonts w:hint="eastAsia" w:ascii="宋体" w:hAnsi="宋体" w:eastAsia="宋体" w:cs="宋体"/>
          <w:sz w:val="24"/>
          <w:lang w:val="en-US" w:eastAsia="zh-Hans"/>
        </w:rPr>
        <w:t>或分包</w:t>
      </w:r>
      <w:r>
        <w:rPr>
          <w:rFonts w:hint="eastAsia" w:ascii="宋体" w:hAnsi="宋体" w:eastAsia="宋体" w:cs="宋体"/>
          <w:sz w:val="24"/>
        </w:rPr>
        <w:t>行为本协议自动终止，并追究中标乙方相关责任。</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第六条 服务班子人员组成</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项目管理班子配备名单需到甲方备案。其中项目经理未经甲方</w:t>
      </w:r>
      <w:r>
        <w:rPr>
          <w:rFonts w:hint="eastAsia" w:ascii="宋体" w:hAnsi="宋体" w:eastAsia="宋体" w:cs="宋体"/>
          <w:sz w:val="24"/>
          <w:szCs w:val="24"/>
          <w:lang w:val="en-US" w:eastAsia="zh-Hans"/>
        </w:rPr>
        <w:t>书面</w:t>
      </w:r>
      <w:r>
        <w:rPr>
          <w:rFonts w:hint="eastAsia" w:ascii="宋体" w:hAnsi="宋体" w:eastAsia="宋体" w:cs="宋体"/>
          <w:sz w:val="24"/>
          <w:szCs w:val="24"/>
        </w:rPr>
        <w:t>允许，不得擅自变更。服务过程中专业操作人员及有特殊要求的岗位，应持证上岗。甲方有权随时要求乙方变更养护人员，乙方须按甲方要求及时完成变更。</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该项目服务人员组成：</w:t>
      </w:r>
    </w:p>
    <w:tbl>
      <w:tblPr>
        <w:tblStyle w:val="63"/>
        <w:tblW w:w="0" w:type="auto"/>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5"/>
        <w:gridCol w:w="2131"/>
        <w:gridCol w:w="213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spacing w:before="156" w:beforeLines="50"/>
              <w:jc w:val="center"/>
              <w:rPr>
                <w:rFonts w:hint="eastAsia" w:ascii="宋体" w:hAnsi="宋体" w:eastAsia="宋体" w:cs="宋体"/>
                <w:kern w:val="0"/>
                <w:sz w:val="24"/>
                <w:szCs w:val="24"/>
              </w:rPr>
            </w:pPr>
            <w:r>
              <w:rPr>
                <w:rFonts w:hint="eastAsia" w:ascii="宋体" w:hAnsi="宋体" w:eastAsia="宋体" w:cs="宋体"/>
                <w:kern w:val="0"/>
                <w:sz w:val="22"/>
                <w:szCs w:val="20"/>
              </w:rPr>
              <w:t>人员组成</w:t>
            </w:r>
          </w:p>
        </w:tc>
        <w:tc>
          <w:tcPr>
            <w:tcW w:w="2131" w:type="dxa"/>
            <w:vAlign w:val="center"/>
          </w:tcPr>
          <w:p>
            <w:pPr>
              <w:spacing w:before="156" w:beforeLines="50"/>
              <w:jc w:val="center"/>
              <w:rPr>
                <w:rFonts w:hint="eastAsia" w:ascii="宋体" w:hAnsi="宋体" w:eastAsia="宋体" w:cs="宋体"/>
                <w:kern w:val="0"/>
                <w:sz w:val="24"/>
                <w:szCs w:val="24"/>
              </w:rPr>
            </w:pPr>
            <w:r>
              <w:rPr>
                <w:rFonts w:hint="eastAsia" w:ascii="宋体" w:hAnsi="宋体" w:eastAsia="宋体" w:cs="宋体"/>
                <w:kern w:val="0"/>
                <w:sz w:val="22"/>
                <w:szCs w:val="20"/>
              </w:rPr>
              <w:t>姓名</w:t>
            </w:r>
          </w:p>
        </w:tc>
        <w:tc>
          <w:tcPr>
            <w:tcW w:w="2130" w:type="dxa"/>
            <w:vAlign w:val="center"/>
          </w:tcPr>
          <w:p>
            <w:pPr>
              <w:spacing w:before="156" w:beforeLines="50"/>
              <w:jc w:val="center"/>
              <w:rPr>
                <w:rFonts w:hint="eastAsia" w:ascii="宋体" w:hAnsi="宋体" w:eastAsia="宋体" w:cs="宋体"/>
                <w:kern w:val="0"/>
                <w:sz w:val="24"/>
                <w:szCs w:val="24"/>
              </w:rPr>
            </w:pPr>
            <w:r>
              <w:rPr>
                <w:rFonts w:hint="eastAsia" w:ascii="宋体" w:hAnsi="宋体" w:eastAsia="宋体" w:cs="宋体"/>
                <w:kern w:val="0"/>
                <w:sz w:val="22"/>
                <w:szCs w:val="20"/>
              </w:rPr>
              <w:t>技术职称</w:t>
            </w:r>
          </w:p>
        </w:tc>
        <w:tc>
          <w:tcPr>
            <w:tcW w:w="2474" w:type="dxa"/>
            <w:vAlign w:val="center"/>
          </w:tcPr>
          <w:p>
            <w:pPr>
              <w:spacing w:before="156" w:beforeLines="50"/>
              <w:jc w:val="center"/>
              <w:rPr>
                <w:rFonts w:hint="eastAsia" w:ascii="宋体" w:hAnsi="宋体" w:eastAsia="宋体" w:cs="宋体"/>
                <w:kern w:val="0"/>
                <w:sz w:val="24"/>
                <w:szCs w:val="24"/>
              </w:rPr>
            </w:pPr>
            <w:r>
              <w:rPr>
                <w:rFonts w:hint="eastAsia" w:ascii="宋体" w:hAnsi="宋体" w:eastAsia="宋体" w:cs="宋体"/>
                <w:kern w:val="0"/>
                <w:sz w:val="22"/>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adjustRightInd w:val="0"/>
              <w:snapToGrid w:val="0"/>
              <w:jc w:val="center"/>
              <w:rPr>
                <w:rFonts w:hint="eastAsia" w:ascii="宋体" w:hAnsi="宋体" w:eastAsia="宋体" w:cs="宋体"/>
                <w:kern w:val="0"/>
                <w:sz w:val="22"/>
                <w:szCs w:val="20"/>
              </w:rPr>
            </w:pPr>
          </w:p>
        </w:tc>
        <w:tc>
          <w:tcPr>
            <w:tcW w:w="2131" w:type="dxa"/>
            <w:vAlign w:val="center"/>
          </w:tcPr>
          <w:p>
            <w:pPr>
              <w:adjustRightInd w:val="0"/>
              <w:snapToGrid w:val="0"/>
              <w:jc w:val="center"/>
              <w:rPr>
                <w:rFonts w:hint="eastAsia" w:ascii="宋体" w:hAnsi="宋体" w:eastAsia="宋体" w:cs="宋体"/>
                <w:kern w:val="0"/>
                <w:sz w:val="22"/>
                <w:szCs w:val="20"/>
              </w:rPr>
            </w:pPr>
          </w:p>
        </w:tc>
        <w:tc>
          <w:tcPr>
            <w:tcW w:w="2130" w:type="dxa"/>
            <w:vAlign w:val="center"/>
          </w:tcPr>
          <w:p>
            <w:pPr>
              <w:adjustRightInd w:val="0"/>
              <w:snapToGrid w:val="0"/>
              <w:jc w:val="center"/>
              <w:rPr>
                <w:rFonts w:hint="eastAsia" w:ascii="宋体" w:hAnsi="宋体" w:eastAsia="宋体" w:cs="宋体"/>
                <w:kern w:val="0"/>
                <w:sz w:val="22"/>
                <w:szCs w:val="20"/>
              </w:rPr>
            </w:pPr>
          </w:p>
        </w:tc>
        <w:tc>
          <w:tcPr>
            <w:tcW w:w="2474" w:type="dxa"/>
            <w:vAlign w:val="center"/>
          </w:tcPr>
          <w:p>
            <w:pPr>
              <w:spacing w:before="156" w:beforeLines="50"/>
              <w:jc w:val="center"/>
              <w:rPr>
                <w:rFonts w:hint="eastAsia" w:ascii="宋体" w:hAnsi="宋体" w:eastAsia="宋体"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adjustRightInd w:val="0"/>
              <w:snapToGrid w:val="0"/>
              <w:jc w:val="center"/>
              <w:rPr>
                <w:rFonts w:hint="eastAsia" w:ascii="宋体" w:hAnsi="宋体" w:eastAsia="宋体" w:cs="宋体"/>
                <w:kern w:val="0"/>
                <w:sz w:val="22"/>
                <w:szCs w:val="20"/>
              </w:rPr>
            </w:pPr>
          </w:p>
        </w:tc>
        <w:tc>
          <w:tcPr>
            <w:tcW w:w="2131" w:type="dxa"/>
            <w:vAlign w:val="center"/>
          </w:tcPr>
          <w:p>
            <w:pPr>
              <w:adjustRightInd w:val="0"/>
              <w:snapToGrid w:val="0"/>
              <w:jc w:val="center"/>
              <w:rPr>
                <w:rFonts w:hint="eastAsia" w:ascii="宋体" w:hAnsi="宋体" w:eastAsia="宋体" w:cs="宋体"/>
                <w:kern w:val="0"/>
                <w:sz w:val="22"/>
                <w:szCs w:val="20"/>
              </w:rPr>
            </w:pPr>
          </w:p>
        </w:tc>
        <w:tc>
          <w:tcPr>
            <w:tcW w:w="2130" w:type="dxa"/>
            <w:vAlign w:val="center"/>
          </w:tcPr>
          <w:p>
            <w:pPr>
              <w:adjustRightInd w:val="0"/>
              <w:snapToGrid w:val="0"/>
              <w:jc w:val="center"/>
              <w:rPr>
                <w:rFonts w:hint="eastAsia" w:ascii="宋体" w:hAnsi="宋体" w:eastAsia="宋体" w:cs="宋体"/>
                <w:kern w:val="0"/>
                <w:sz w:val="22"/>
                <w:szCs w:val="20"/>
              </w:rPr>
            </w:pPr>
          </w:p>
        </w:tc>
        <w:tc>
          <w:tcPr>
            <w:tcW w:w="2474" w:type="dxa"/>
            <w:vAlign w:val="center"/>
          </w:tcPr>
          <w:p>
            <w:pPr>
              <w:spacing w:before="156" w:beforeLines="50"/>
              <w:jc w:val="center"/>
              <w:rPr>
                <w:rFonts w:hint="eastAsia" w:ascii="宋体" w:hAnsi="宋体" w:eastAsia="宋体"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adjustRightInd w:val="0"/>
              <w:snapToGrid w:val="0"/>
              <w:jc w:val="center"/>
              <w:rPr>
                <w:rFonts w:hint="eastAsia" w:ascii="宋体" w:hAnsi="宋体" w:eastAsia="宋体" w:cs="宋体"/>
                <w:kern w:val="0"/>
                <w:sz w:val="22"/>
                <w:szCs w:val="20"/>
              </w:rPr>
            </w:pPr>
          </w:p>
        </w:tc>
        <w:tc>
          <w:tcPr>
            <w:tcW w:w="2131" w:type="dxa"/>
            <w:vAlign w:val="center"/>
          </w:tcPr>
          <w:p>
            <w:pPr>
              <w:adjustRightInd w:val="0"/>
              <w:snapToGrid w:val="0"/>
              <w:jc w:val="center"/>
              <w:rPr>
                <w:rFonts w:hint="eastAsia" w:ascii="宋体" w:hAnsi="宋体" w:eastAsia="宋体" w:cs="宋体"/>
                <w:kern w:val="0"/>
                <w:sz w:val="22"/>
                <w:szCs w:val="20"/>
              </w:rPr>
            </w:pPr>
          </w:p>
        </w:tc>
        <w:tc>
          <w:tcPr>
            <w:tcW w:w="2130" w:type="dxa"/>
            <w:vAlign w:val="center"/>
          </w:tcPr>
          <w:p>
            <w:pPr>
              <w:adjustRightInd w:val="0"/>
              <w:snapToGrid w:val="0"/>
              <w:jc w:val="center"/>
              <w:rPr>
                <w:rFonts w:hint="eastAsia" w:ascii="宋体" w:hAnsi="宋体" w:eastAsia="宋体" w:cs="宋体"/>
                <w:kern w:val="0"/>
                <w:sz w:val="22"/>
                <w:szCs w:val="20"/>
              </w:rPr>
            </w:pPr>
          </w:p>
        </w:tc>
        <w:tc>
          <w:tcPr>
            <w:tcW w:w="2474" w:type="dxa"/>
            <w:vAlign w:val="center"/>
          </w:tcPr>
          <w:p>
            <w:pPr>
              <w:spacing w:before="156" w:beforeLines="50"/>
              <w:jc w:val="center"/>
              <w:rPr>
                <w:rFonts w:hint="eastAsia" w:ascii="宋体" w:hAnsi="宋体" w:eastAsia="宋体"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adjustRightInd w:val="0"/>
              <w:snapToGrid w:val="0"/>
              <w:jc w:val="center"/>
              <w:rPr>
                <w:rFonts w:hint="eastAsia" w:ascii="宋体" w:hAnsi="宋体" w:eastAsia="宋体" w:cs="宋体"/>
                <w:kern w:val="0"/>
                <w:sz w:val="22"/>
                <w:szCs w:val="20"/>
              </w:rPr>
            </w:pPr>
          </w:p>
        </w:tc>
        <w:tc>
          <w:tcPr>
            <w:tcW w:w="2131" w:type="dxa"/>
            <w:vAlign w:val="center"/>
          </w:tcPr>
          <w:p>
            <w:pPr>
              <w:adjustRightInd w:val="0"/>
              <w:snapToGrid w:val="0"/>
              <w:jc w:val="center"/>
              <w:rPr>
                <w:rFonts w:hint="eastAsia" w:ascii="宋体" w:hAnsi="宋体" w:eastAsia="宋体" w:cs="宋体"/>
                <w:kern w:val="0"/>
                <w:sz w:val="22"/>
                <w:szCs w:val="20"/>
              </w:rPr>
            </w:pPr>
          </w:p>
        </w:tc>
        <w:tc>
          <w:tcPr>
            <w:tcW w:w="2130" w:type="dxa"/>
            <w:vAlign w:val="center"/>
          </w:tcPr>
          <w:p>
            <w:pPr>
              <w:adjustRightInd w:val="0"/>
              <w:snapToGrid w:val="0"/>
              <w:jc w:val="center"/>
              <w:rPr>
                <w:rFonts w:hint="eastAsia" w:ascii="宋体" w:hAnsi="宋体" w:eastAsia="宋体" w:cs="宋体"/>
                <w:kern w:val="0"/>
                <w:sz w:val="22"/>
                <w:szCs w:val="20"/>
              </w:rPr>
            </w:pPr>
          </w:p>
        </w:tc>
        <w:tc>
          <w:tcPr>
            <w:tcW w:w="2474" w:type="dxa"/>
            <w:vAlign w:val="center"/>
          </w:tcPr>
          <w:p>
            <w:pPr>
              <w:spacing w:before="156" w:beforeLines="50"/>
              <w:jc w:val="center"/>
              <w:rPr>
                <w:rFonts w:hint="eastAsia" w:ascii="宋体" w:hAnsi="宋体" w:eastAsia="宋体"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adjustRightInd w:val="0"/>
              <w:snapToGrid w:val="0"/>
              <w:jc w:val="center"/>
              <w:rPr>
                <w:rFonts w:hint="eastAsia" w:ascii="宋体" w:hAnsi="宋体" w:eastAsia="宋体" w:cs="宋体"/>
                <w:kern w:val="0"/>
                <w:sz w:val="22"/>
                <w:szCs w:val="20"/>
              </w:rPr>
            </w:pPr>
          </w:p>
        </w:tc>
        <w:tc>
          <w:tcPr>
            <w:tcW w:w="2131" w:type="dxa"/>
            <w:vAlign w:val="center"/>
          </w:tcPr>
          <w:p>
            <w:pPr>
              <w:adjustRightInd w:val="0"/>
              <w:snapToGrid w:val="0"/>
              <w:jc w:val="center"/>
              <w:rPr>
                <w:rFonts w:hint="eastAsia" w:ascii="宋体" w:hAnsi="宋体" w:eastAsia="宋体" w:cs="宋体"/>
                <w:kern w:val="0"/>
                <w:sz w:val="22"/>
                <w:szCs w:val="20"/>
              </w:rPr>
            </w:pPr>
          </w:p>
        </w:tc>
        <w:tc>
          <w:tcPr>
            <w:tcW w:w="2130" w:type="dxa"/>
            <w:vAlign w:val="center"/>
          </w:tcPr>
          <w:p>
            <w:pPr>
              <w:adjustRightInd w:val="0"/>
              <w:snapToGrid w:val="0"/>
              <w:jc w:val="center"/>
              <w:rPr>
                <w:rFonts w:hint="eastAsia" w:ascii="宋体" w:hAnsi="宋体" w:eastAsia="宋体" w:cs="宋体"/>
                <w:kern w:val="0"/>
                <w:sz w:val="22"/>
                <w:szCs w:val="20"/>
              </w:rPr>
            </w:pPr>
          </w:p>
        </w:tc>
        <w:tc>
          <w:tcPr>
            <w:tcW w:w="2474" w:type="dxa"/>
            <w:vAlign w:val="center"/>
          </w:tcPr>
          <w:p>
            <w:pPr>
              <w:spacing w:before="156" w:beforeLines="50"/>
              <w:jc w:val="center"/>
              <w:rPr>
                <w:rFonts w:hint="eastAsia" w:ascii="宋体" w:hAnsi="宋体" w:eastAsia="宋体"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adjustRightInd w:val="0"/>
              <w:snapToGrid w:val="0"/>
              <w:jc w:val="center"/>
              <w:rPr>
                <w:rFonts w:hint="eastAsia" w:ascii="宋体" w:hAnsi="宋体" w:eastAsia="宋体" w:cs="宋体"/>
                <w:kern w:val="0"/>
                <w:sz w:val="22"/>
                <w:szCs w:val="20"/>
              </w:rPr>
            </w:pPr>
          </w:p>
        </w:tc>
        <w:tc>
          <w:tcPr>
            <w:tcW w:w="2131" w:type="dxa"/>
            <w:vAlign w:val="center"/>
          </w:tcPr>
          <w:p>
            <w:pPr>
              <w:adjustRightInd w:val="0"/>
              <w:snapToGrid w:val="0"/>
              <w:jc w:val="center"/>
              <w:rPr>
                <w:rFonts w:hint="eastAsia" w:ascii="宋体" w:hAnsi="宋体" w:eastAsia="宋体" w:cs="宋体"/>
                <w:kern w:val="0"/>
                <w:sz w:val="22"/>
                <w:szCs w:val="20"/>
              </w:rPr>
            </w:pPr>
          </w:p>
        </w:tc>
        <w:tc>
          <w:tcPr>
            <w:tcW w:w="2130" w:type="dxa"/>
            <w:vAlign w:val="center"/>
          </w:tcPr>
          <w:p>
            <w:pPr>
              <w:adjustRightInd w:val="0"/>
              <w:snapToGrid w:val="0"/>
              <w:jc w:val="center"/>
              <w:rPr>
                <w:rFonts w:hint="eastAsia" w:ascii="宋体" w:hAnsi="宋体" w:eastAsia="宋体" w:cs="宋体"/>
                <w:kern w:val="0"/>
                <w:sz w:val="22"/>
                <w:szCs w:val="20"/>
              </w:rPr>
            </w:pPr>
          </w:p>
        </w:tc>
        <w:tc>
          <w:tcPr>
            <w:tcW w:w="2474" w:type="dxa"/>
            <w:vAlign w:val="center"/>
          </w:tcPr>
          <w:p>
            <w:pPr>
              <w:spacing w:before="156" w:beforeLines="50"/>
              <w:jc w:val="center"/>
              <w:rPr>
                <w:rFonts w:hint="eastAsia" w:ascii="宋体" w:hAnsi="宋体" w:eastAsia="宋体" w:cs="宋体"/>
                <w:kern w:val="0"/>
                <w:sz w:val="22"/>
                <w:szCs w:val="20"/>
              </w:rPr>
            </w:pPr>
          </w:p>
        </w:tc>
      </w:tr>
    </w:tbl>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第七条 机械设备</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162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2" w:type="dxa"/>
          </w:tcPr>
          <w:p>
            <w:pPr>
              <w:adjustRightInd w:val="0"/>
              <w:snapToGrid w:val="0"/>
              <w:spacing w:before="156" w:beforeLines="50"/>
              <w:ind w:firstLine="480"/>
              <w:rPr>
                <w:rFonts w:hint="eastAsia" w:ascii="宋体" w:hAnsi="宋体" w:eastAsia="宋体" w:cs="宋体"/>
                <w:sz w:val="22"/>
              </w:rPr>
            </w:pPr>
            <w:r>
              <w:rPr>
                <w:rFonts w:hint="eastAsia" w:ascii="宋体" w:hAnsi="宋体" w:eastAsia="宋体" w:cs="宋体"/>
                <w:sz w:val="22"/>
              </w:rPr>
              <w:t>设备名称</w:t>
            </w:r>
          </w:p>
        </w:tc>
        <w:tc>
          <w:tcPr>
            <w:tcW w:w="1620" w:type="dxa"/>
          </w:tcPr>
          <w:p>
            <w:pPr>
              <w:adjustRightInd w:val="0"/>
              <w:snapToGrid w:val="0"/>
              <w:spacing w:before="156" w:beforeLines="50"/>
              <w:ind w:firstLine="480"/>
              <w:rPr>
                <w:rFonts w:hint="eastAsia" w:ascii="宋体" w:hAnsi="宋体" w:eastAsia="宋体" w:cs="宋体"/>
                <w:sz w:val="22"/>
              </w:rPr>
            </w:pPr>
            <w:r>
              <w:rPr>
                <w:rFonts w:hint="eastAsia" w:ascii="宋体" w:hAnsi="宋体" w:eastAsia="宋体" w:cs="宋体"/>
                <w:sz w:val="22"/>
              </w:rPr>
              <w:t>数量</w:t>
            </w:r>
          </w:p>
        </w:tc>
        <w:tc>
          <w:tcPr>
            <w:tcW w:w="4500" w:type="dxa"/>
          </w:tcPr>
          <w:p>
            <w:pPr>
              <w:adjustRightInd w:val="0"/>
              <w:snapToGrid w:val="0"/>
              <w:spacing w:before="156" w:beforeLines="50"/>
              <w:rPr>
                <w:rFonts w:hint="eastAsia" w:ascii="宋体" w:hAnsi="宋体" w:eastAsia="宋体" w:cs="宋体"/>
                <w:sz w:val="22"/>
              </w:rPr>
            </w:pPr>
            <w:r>
              <w:rPr>
                <w:rFonts w:hint="eastAsia" w:ascii="宋体" w:hAnsi="宋体" w:eastAsia="宋体" w:cs="宋体"/>
                <w:sz w:val="22"/>
              </w:rPr>
              <w:t>品牌、型号、主要技术参数、机动车牌号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2" w:type="dxa"/>
            <w:vAlign w:val="center"/>
          </w:tcPr>
          <w:p>
            <w:pPr>
              <w:jc w:val="center"/>
              <w:rPr>
                <w:rFonts w:hint="eastAsia" w:ascii="宋体" w:hAnsi="宋体" w:eastAsia="宋体" w:cs="宋体"/>
                <w:sz w:val="22"/>
              </w:rPr>
            </w:pPr>
          </w:p>
        </w:tc>
        <w:tc>
          <w:tcPr>
            <w:tcW w:w="1620" w:type="dxa"/>
            <w:vAlign w:val="center"/>
          </w:tcPr>
          <w:p>
            <w:pPr>
              <w:jc w:val="center"/>
              <w:rPr>
                <w:rFonts w:hint="eastAsia" w:ascii="宋体" w:hAnsi="宋体" w:eastAsia="宋体" w:cs="宋体"/>
                <w:sz w:val="22"/>
              </w:rPr>
            </w:pPr>
          </w:p>
        </w:tc>
        <w:tc>
          <w:tcPr>
            <w:tcW w:w="4500" w:type="dxa"/>
          </w:tcPr>
          <w:p>
            <w:pPr>
              <w:adjustRightInd w:val="0"/>
              <w:snapToGrid w:val="0"/>
              <w:spacing w:before="156" w:beforeLines="50"/>
              <w:jc w:val="center"/>
              <w:rPr>
                <w:rFonts w:hint="eastAsia" w:ascii="宋体" w:hAnsi="宋体" w:eastAsia="宋体" w:cs="宋体"/>
                <w:sz w:val="22"/>
              </w:rPr>
            </w:pPr>
          </w:p>
        </w:tc>
      </w:tr>
    </w:tbl>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第八条 甲方职责</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1、及时对服务计划、措施、养护质量与安全进行监督管理。</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2、负责与相关部门的协调工作。</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3、按合同规定按时支付乙方相关经费。</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第九条 项目考核</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乙方应按甲方要求，按时保质保量完成落实整治工作，解决率和及时解决率达到100%。乙方必须无条件服从甲方的相关考核规定。</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1、乙方在合同履行期间，因不文明施工造成各类投诉的，每发生一件扣2000元。</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2、乙方在合同履行期间及质保期内，存在施工不符合施工规范要求，偷工减量，以次充好，经甲方发现，视为质量不达标。质量不达标的，每发生1起扣2000元。且甲方有权要求乙方落实整改，拒绝整改或整改不到位的，甲方可以自行委托第三方施工单位整改到位，费用由乙方全部承担，从履约保证金中进行扣除，并该案卷的整个项目总费用全部扣除。</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3、根据上级领导督办、媒体报道、数字城管抄告、市民投诉、专业监管等情况，综合评出红、橙、黄色预警。被评判为黄色预警的：每月第1次扣款1000元，第2次扣款1500元，第3次扣款2000元（每增加1次增加扣款额500，以此类推）；</w:t>
      </w:r>
      <w:r>
        <w:rPr>
          <w:rFonts w:hint="eastAsia" w:ascii="宋体" w:hAnsi="宋体" w:eastAsia="宋体" w:cs="宋体"/>
          <w:sz w:val="24"/>
          <w:szCs w:val="24"/>
          <w:highlight w:val="none"/>
        </w:rPr>
        <w:t>被评判为红色预警的，</w:t>
      </w:r>
      <w:r>
        <w:rPr>
          <w:rFonts w:hint="eastAsia" w:ascii="宋体" w:hAnsi="宋体" w:eastAsia="宋体" w:cs="宋体"/>
          <w:sz w:val="24"/>
          <w:szCs w:val="24"/>
          <w:highlight w:val="none"/>
          <w:lang w:val="en-US" w:eastAsia="zh-Hans"/>
        </w:rPr>
        <w:t>甲方</w:t>
      </w:r>
      <w:r>
        <w:rPr>
          <w:rFonts w:hint="eastAsia" w:ascii="宋体" w:hAnsi="宋体" w:eastAsia="宋体" w:cs="宋体"/>
          <w:sz w:val="24"/>
          <w:szCs w:val="24"/>
          <w:highlight w:val="none"/>
        </w:rPr>
        <w:t>有权终止合同。</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4、乙方存在工程量虚报情况的，每次扣款1万元。发生三次工程量虚报情况的，甲方有权终止合同。</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5、管理不到位。单个合同期内发生1次管理不到位的，乙方需书面说明原因、分析和整改措施。单个合同期内发生2次以上管理不到位的，甲方立即终止与乙方的合同。</w:t>
      </w:r>
    </w:p>
    <w:p>
      <w:pPr>
        <w:adjustRightInd w:val="0"/>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①乙方在合同履行期间，存在欠薪讨薪，引发、带头、参与集体上访的，视为管理不到位。</w:t>
      </w:r>
    </w:p>
    <w:p>
      <w:pPr>
        <w:spacing w:before="156" w:beforeLines="50"/>
        <w:ind w:firstLine="480" w:firstLineChars="200"/>
        <w:jc w:val="left"/>
        <w:rPr>
          <w:rFonts w:hint="eastAsia" w:ascii="宋体" w:hAnsi="宋体" w:eastAsia="宋体" w:cs="宋体"/>
          <w:b/>
          <w:bCs/>
          <w:sz w:val="24"/>
          <w:szCs w:val="24"/>
        </w:rPr>
      </w:pPr>
      <w:r>
        <w:rPr>
          <w:rFonts w:hint="eastAsia" w:ascii="宋体" w:hAnsi="宋体" w:eastAsia="宋体" w:cs="宋体"/>
          <w:sz w:val="24"/>
          <w:szCs w:val="24"/>
        </w:rPr>
        <w:t>②甲方对乙方全年扣款总数进行考核，考核扣款超过年整治经费5%的，视为1次管理不到位；考核扣款超过年整治经费10%的，视为2次管理不到位。</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第十条 付款办法</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付款方式：①根据考核及审计结果每月支付，在下个月20日前支付（扣除相应处罚款项）至审定金额得90%，剩余10%服务期满</w:t>
      </w:r>
      <w:r>
        <w:rPr>
          <w:rFonts w:hint="eastAsia" w:ascii="宋体" w:hAnsi="宋体" w:eastAsia="宋体" w:cs="宋体"/>
          <w:sz w:val="24"/>
          <w:szCs w:val="24"/>
          <w:lang w:val="en-US" w:eastAsia="zh-Hans"/>
        </w:rPr>
        <w:t>经甲方审定</w:t>
      </w:r>
      <w:r>
        <w:rPr>
          <w:rFonts w:hint="eastAsia" w:ascii="宋体" w:hAnsi="宋体" w:eastAsia="宋体" w:cs="宋体"/>
          <w:sz w:val="24"/>
          <w:szCs w:val="24"/>
        </w:rPr>
        <w:t>后一次性支付。②工程量以甲方负责人签字确认为准。</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注：付款前，乙方须提供符合要求的财务发票，否则甲方有权不予支付，且不承担违约责任，但乙方仍须履行本合同。</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第十一条 违约责任</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乙方在服务期间，出现以下情况之一，甲方有权终止合同并要求乙方支付违约金20万元，若甲方受到的损失超过违约金的，甲方有权就实际损失向乙方追偿。</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1、未经甲方允许，擅自将中标项目转让(转包)给他人；</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2、不符合工程技术标准的；</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3、造成重特大交通事故的；或被媒体曝光的。</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4、乙方擅自变更项目班子成员的；</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5、乙方其他违反本合同约定的行为的。</w:t>
      </w:r>
    </w:p>
    <w:p>
      <w:pPr>
        <w:spacing w:before="156" w:beforeLines="5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第十二条 履约保证金</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在中标通知书发出后7日内乙方应当向甲方提交20万元作为履约保证金（银行、保险公司出具履约保函）。服务期满并验收合格后15个工作日内，退还履约保证金（不计息）。</w:t>
      </w:r>
    </w:p>
    <w:p>
      <w:pPr>
        <w:spacing w:before="156" w:beforeLines="50"/>
        <w:ind w:firstLine="482" w:firstLineChars="200"/>
        <w:jc w:val="left"/>
        <w:rPr>
          <w:rFonts w:hint="eastAsia" w:ascii="宋体" w:hAnsi="宋体" w:eastAsia="宋体" w:cs="宋体"/>
          <w:b/>
          <w:bCs/>
          <w:sz w:val="24"/>
          <w:szCs w:val="24"/>
          <w:lang w:val="zh-CN"/>
        </w:rPr>
      </w:pPr>
      <w:r>
        <w:rPr>
          <w:rFonts w:hint="eastAsia" w:ascii="宋体" w:hAnsi="宋体" w:eastAsia="宋体" w:cs="宋体"/>
          <w:b/>
          <w:bCs/>
          <w:sz w:val="24"/>
          <w:szCs w:val="24"/>
        </w:rPr>
        <w:t xml:space="preserve">第十三条 </w:t>
      </w:r>
      <w:r>
        <w:rPr>
          <w:rFonts w:hint="eastAsia" w:ascii="宋体" w:hAnsi="宋体" w:eastAsia="宋体" w:cs="宋体"/>
          <w:b/>
          <w:bCs/>
          <w:sz w:val="24"/>
          <w:szCs w:val="24"/>
          <w:lang w:val="zh-CN"/>
        </w:rPr>
        <w:t>争议处理</w:t>
      </w:r>
    </w:p>
    <w:p>
      <w:pPr>
        <w:spacing w:before="156" w:beforeLines="50"/>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合同在履行过程中发生争议时，甲方与乙方及时协商解决。协商不成时，提请杭州仲裁委员会根据仲裁规则仲裁。</w:t>
      </w:r>
    </w:p>
    <w:p>
      <w:pPr>
        <w:spacing w:before="156" w:beforeLines="50"/>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对于因违反或终止合同而引起的损失、损害的赔偿，由甲方与乙方友好协商解决，经协商仍未能达成一致的，提交杭州仲裁委员会仲裁。</w:t>
      </w:r>
    </w:p>
    <w:p>
      <w:pPr>
        <w:spacing w:before="156" w:beforeLines="50"/>
        <w:ind w:firstLine="482" w:firstLineChars="200"/>
        <w:jc w:val="left"/>
        <w:rPr>
          <w:rFonts w:hint="eastAsia" w:ascii="宋体" w:hAnsi="宋体" w:eastAsia="宋体" w:cs="宋体"/>
          <w:b/>
          <w:bCs/>
          <w:sz w:val="24"/>
          <w:szCs w:val="24"/>
          <w:lang w:val="zh-CN"/>
        </w:rPr>
      </w:pPr>
      <w:r>
        <w:rPr>
          <w:rFonts w:hint="eastAsia" w:ascii="宋体" w:hAnsi="宋体" w:eastAsia="宋体" w:cs="宋体"/>
          <w:b/>
          <w:bCs/>
          <w:sz w:val="24"/>
          <w:szCs w:val="24"/>
        </w:rPr>
        <w:t xml:space="preserve">第十四条 </w:t>
      </w:r>
      <w:r>
        <w:rPr>
          <w:rFonts w:hint="eastAsia" w:ascii="宋体" w:hAnsi="宋体" w:eastAsia="宋体" w:cs="宋体"/>
          <w:b/>
          <w:bCs/>
          <w:sz w:val="24"/>
          <w:szCs w:val="24"/>
          <w:lang w:val="zh-CN"/>
        </w:rPr>
        <w:t>其他</w:t>
      </w:r>
    </w:p>
    <w:p>
      <w:pPr>
        <w:spacing w:before="156" w:beforeLines="50"/>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未经过甲方的书面同意，乙方不得转让其应履行的合同项下的义务，和将部分合同项下的义务分包给其他单位完成。</w:t>
      </w:r>
    </w:p>
    <w:p>
      <w:pPr>
        <w:spacing w:before="156" w:beforeLines="50"/>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乙方不得参与可能与合同规定的与甲方的利益相冲突的任何活动。</w:t>
      </w:r>
    </w:p>
    <w:p>
      <w:pPr>
        <w:spacing w:before="156" w:beforeLines="50"/>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乙方人员在甲方场地工作时，应遵守甲方相关规章、制度。</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4、本合同任何一方给另一方的通知，都应以书面或电传/传真/电报的形式发送，而另一方应以书面形式确认并发送到对方明确的地址。</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5、合同履行期内甲乙双方均不得随意变更或解除合同。合同若有未尽事宜，需经双方共同协商，订立补充协议，补充协议与本合同有同等法律效力。</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6、采购文件、投标文件及评标过程中形成的文字资料、询标纪要均作为本合同的组成部分，具有同等效力。</w:t>
      </w:r>
    </w:p>
    <w:p>
      <w:pPr>
        <w:adjustRightInd w:val="0"/>
        <w:snapToGrid w:val="0"/>
        <w:spacing w:before="156" w:beforeLines="50"/>
        <w:ind w:firstLine="482"/>
        <w:jc w:val="left"/>
        <w:rPr>
          <w:rFonts w:hint="eastAsia" w:ascii="宋体" w:hAnsi="宋体" w:eastAsia="宋体" w:cs="宋体"/>
          <w:sz w:val="24"/>
          <w:szCs w:val="24"/>
        </w:rPr>
      </w:pPr>
      <w:r>
        <w:rPr>
          <w:rFonts w:hint="eastAsia" w:ascii="宋体" w:hAnsi="宋体" w:eastAsia="宋体" w:cs="宋体"/>
          <w:b/>
          <w:bCs/>
          <w:sz w:val="24"/>
          <w:szCs w:val="24"/>
        </w:rPr>
        <w:t>7.验收还应符合关于印发《杭州高新区（滨江）政府采购项目验收管理办法》的通知（区财监督〔2014〕97号）的相关要求。</w:t>
      </w:r>
    </w:p>
    <w:p>
      <w:pPr>
        <w:spacing w:before="156" w:beforeLines="50"/>
        <w:ind w:firstLine="480" w:firstLineChars="200"/>
        <w:jc w:val="left"/>
        <w:rPr>
          <w:rFonts w:hint="eastAsia" w:ascii="宋体" w:hAnsi="宋体" w:eastAsia="宋体" w:cs="宋体"/>
          <w:sz w:val="24"/>
          <w:szCs w:val="24"/>
        </w:rPr>
      </w:pPr>
      <w:r>
        <w:rPr>
          <w:rFonts w:hint="eastAsia" w:ascii="宋体" w:hAnsi="宋体" w:eastAsia="宋体" w:cs="宋体"/>
          <w:sz w:val="24"/>
          <w:szCs w:val="24"/>
        </w:rPr>
        <w:t>8、本合同一式肆份，甲、乙双方各执贰份。</w:t>
      </w:r>
    </w:p>
    <w:p>
      <w:pPr>
        <w:autoSpaceDE w:val="0"/>
        <w:autoSpaceDN w:val="0"/>
        <w:spacing w:before="156" w:beforeLines="50"/>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9、适用法律：本合同应按照中华人民共和国的法律进行解释。</w:t>
      </w:r>
    </w:p>
    <w:p>
      <w:pPr>
        <w:autoSpaceDE w:val="0"/>
        <w:autoSpaceDN w:val="0"/>
        <w:spacing w:before="156" w:beforeLines="50"/>
        <w:ind w:firstLine="482" w:firstLineChars="200"/>
        <w:jc w:val="left"/>
        <w:rPr>
          <w:rFonts w:hint="eastAsia" w:ascii="宋体" w:hAnsi="宋体" w:eastAsia="宋体" w:cs="宋体"/>
          <w:b/>
          <w:sz w:val="24"/>
          <w:szCs w:val="24"/>
          <w:lang w:val="zh-CN"/>
        </w:rPr>
      </w:pPr>
    </w:p>
    <w:p>
      <w:pPr>
        <w:autoSpaceDE w:val="0"/>
        <w:autoSpaceDN w:val="0"/>
        <w:spacing w:before="156" w:beforeLines="50"/>
        <w:ind w:left="5298" w:leftChars="228" w:hanging="4819" w:hangingChars="2000"/>
        <w:jc w:val="left"/>
        <w:rPr>
          <w:rFonts w:hint="eastAsia" w:ascii="宋体" w:hAnsi="宋体" w:eastAsia="宋体" w:cs="宋体"/>
          <w:sz w:val="24"/>
          <w:szCs w:val="24"/>
          <w:lang w:val="zh-CN" w:eastAsia="zh-CN"/>
        </w:rPr>
      </w:pPr>
      <w:r>
        <w:rPr>
          <w:rFonts w:hint="eastAsia" w:ascii="宋体" w:hAnsi="宋体" w:eastAsia="宋体" w:cs="宋体"/>
          <w:b/>
          <w:sz w:val="24"/>
          <w:szCs w:val="24"/>
          <w:lang w:val="zh-CN"/>
        </w:rPr>
        <w:t>甲方（</w:t>
      </w:r>
      <w:r>
        <w:rPr>
          <w:rFonts w:hint="eastAsia" w:ascii="宋体" w:hAnsi="宋体" w:eastAsia="宋体" w:cs="宋体"/>
          <w:b/>
          <w:sz w:val="24"/>
          <w:szCs w:val="24"/>
          <w:lang w:val="en-US" w:eastAsia="zh-CN"/>
        </w:rPr>
        <w:t>盖章</w:t>
      </w:r>
      <w:r>
        <w:rPr>
          <w:rFonts w:hint="eastAsia" w:ascii="宋体" w:hAnsi="宋体" w:eastAsia="宋体" w:cs="宋体"/>
          <w:b/>
          <w:sz w:val="24"/>
          <w:szCs w:val="24"/>
          <w:lang w:val="zh-CN"/>
        </w:rPr>
        <w:t>）</w:t>
      </w:r>
      <w:r>
        <w:rPr>
          <w:rFonts w:hint="eastAsia" w:ascii="宋体" w:hAnsi="宋体" w:eastAsia="宋体" w:cs="宋体"/>
          <w:sz w:val="24"/>
          <w:szCs w:val="24"/>
          <w:lang w:val="zh-CN"/>
        </w:rPr>
        <w:t xml:space="preserve">：                      </w:t>
      </w:r>
      <w:r>
        <w:rPr>
          <w:rFonts w:hint="eastAsia" w:ascii="宋体" w:hAnsi="宋体" w:eastAsia="宋体" w:cs="宋体"/>
          <w:b/>
          <w:sz w:val="24"/>
          <w:szCs w:val="24"/>
          <w:lang w:val="zh-CN"/>
        </w:rPr>
        <w:t>乙方（</w:t>
      </w:r>
      <w:r>
        <w:rPr>
          <w:rFonts w:hint="eastAsia" w:ascii="宋体" w:hAnsi="宋体" w:eastAsia="宋体" w:cs="宋体"/>
          <w:b/>
          <w:sz w:val="24"/>
          <w:szCs w:val="24"/>
          <w:lang w:val="en-US" w:eastAsia="zh-CN"/>
        </w:rPr>
        <w:t>盖章</w:t>
      </w:r>
      <w:r>
        <w:rPr>
          <w:rFonts w:hint="eastAsia" w:ascii="宋体" w:hAnsi="宋体" w:eastAsia="宋体" w:cs="宋体"/>
          <w:b/>
          <w:sz w:val="24"/>
          <w:szCs w:val="24"/>
          <w:lang w:val="zh-CN"/>
        </w:rPr>
        <w:t>）</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val="0"/>
        <w:autoSpaceDN w:val="0"/>
        <w:bidi w:val="0"/>
        <w:spacing w:before="120" w:beforeLines="50" w:line="280" w:lineRule="exact"/>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法定代表人：                      法定代表人：                  </w:t>
      </w:r>
    </w:p>
    <w:p>
      <w:pPr>
        <w:pStyle w:val="60"/>
        <w:rPr>
          <w:rFonts w:hint="eastAsia" w:ascii="宋体" w:hAnsi="宋体" w:eastAsia="宋体" w:cs="宋体"/>
          <w:lang w:val="zh-CN"/>
        </w:rPr>
      </w:pPr>
      <w:r>
        <w:rPr>
          <w:rFonts w:hint="eastAsia" w:ascii="宋体" w:hAnsi="宋体" w:eastAsia="宋体" w:cs="宋体"/>
          <w:color w:val="auto"/>
          <w:sz w:val="24"/>
          <w:szCs w:val="24"/>
          <w:highlight w:val="none"/>
          <w:lang w:val="zh-CN"/>
        </w:rPr>
        <w:t xml:space="preserve">或受委托人（签字或盖章）：         或受委托人（签字或盖章）： </w:t>
      </w:r>
      <w:r>
        <w:rPr>
          <w:rFonts w:hint="eastAsia" w:ascii="宋体" w:hAnsi="宋体" w:eastAsia="宋体" w:cs="宋体"/>
          <w:color w:val="auto"/>
          <w:szCs w:val="21"/>
        </w:rPr>
        <w:t xml:space="preserve"> </w:t>
      </w:r>
    </w:p>
    <w:p>
      <w:pPr>
        <w:autoSpaceDE w:val="0"/>
        <w:autoSpaceDN w:val="0"/>
        <w:spacing w:before="156" w:beforeLines="50"/>
        <w:ind w:left="6060" w:leftChars="200" w:hanging="5640" w:hangingChars="235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统一社会信用代码：                统一社会信用代码：</w:t>
      </w:r>
      <w:r>
        <w:rPr>
          <w:rFonts w:hint="eastAsia" w:ascii="宋体" w:hAnsi="宋体" w:eastAsia="宋体" w:cs="宋体"/>
          <w:sz w:val="24"/>
          <w:szCs w:val="24"/>
          <w:lang w:val="en-US" w:eastAsia="zh-CN"/>
        </w:rPr>
        <w:t xml:space="preserve"> </w:t>
      </w:r>
    </w:p>
    <w:p>
      <w:pPr>
        <w:autoSpaceDE w:val="0"/>
        <w:autoSpaceDN w:val="0"/>
        <w:spacing w:before="156" w:beforeLines="50"/>
        <w:ind w:left="5220" w:leftChars="200" w:hanging="4800" w:hangingChars="200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住所：                            住所：</w:t>
      </w:r>
      <w:r>
        <w:rPr>
          <w:rFonts w:hint="eastAsia" w:ascii="宋体" w:hAnsi="宋体" w:eastAsia="宋体" w:cs="宋体"/>
          <w:sz w:val="24"/>
          <w:szCs w:val="24"/>
          <w:lang w:val="en-US" w:eastAsia="zh-CN"/>
        </w:rPr>
        <w:t xml:space="preserve"> </w:t>
      </w:r>
    </w:p>
    <w:p>
      <w:pPr>
        <w:autoSpaceDE w:val="0"/>
        <w:autoSpaceDN w:val="0"/>
        <w:spacing w:before="156" w:beforeLines="50"/>
        <w:ind w:firstLine="480" w:firstLineChars="20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联系人：                          联系人：</w:t>
      </w:r>
      <w:r>
        <w:rPr>
          <w:rFonts w:hint="eastAsia" w:ascii="宋体" w:hAnsi="宋体" w:eastAsia="宋体" w:cs="宋体"/>
          <w:sz w:val="24"/>
          <w:szCs w:val="24"/>
          <w:lang w:val="en-US" w:eastAsia="zh-CN"/>
        </w:rPr>
        <w:t xml:space="preserve"> </w:t>
      </w:r>
    </w:p>
    <w:p>
      <w:pPr>
        <w:autoSpaceDE w:val="0"/>
        <w:autoSpaceDN w:val="0"/>
        <w:spacing w:before="156" w:beforeLines="50"/>
        <w:ind w:left="5340" w:leftChars="200" w:hanging="4920" w:hangingChars="205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约定送达地址：                    约定送达地址：</w:t>
      </w:r>
      <w:r>
        <w:rPr>
          <w:rFonts w:hint="eastAsia" w:ascii="宋体" w:hAnsi="宋体" w:eastAsia="宋体" w:cs="宋体"/>
          <w:sz w:val="24"/>
          <w:szCs w:val="24"/>
          <w:lang w:val="en-US" w:eastAsia="zh-CN"/>
        </w:rPr>
        <w:t xml:space="preserve"> </w:t>
      </w:r>
    </w:p>
    <w:p>
      <w:pPr>
        <w:autoSpaceDE w:val="0"/>
        <w:autoSpaceDN w:val="0"/>
        <w:spacing w:before="156" w:beforeLines="50"/>
        <w:ind w:firstLine="480" w:firstLineChars="20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邮政编码：                        邮政编码：</w:t>
      </w:r>
      <w:r>
        <w:rPr>
          <w:rFonts w:hint="eastAsia" w:ascii="宋体" w:hAnsi="宋体" w:eastAsia="宋体" w:cs="宋体"/>
          <w:sz w:val="24"/>
          <w:szCs w:val="24"/>
          <w:lang w:val="en-US" w:eastAsia="zh-CN"/>
        </w:rPr>
        <w:t xml:space="preserve"> </w:t>
      </w:r>
    </w:p>
    <w:p>
      <w:pPr>
        <w:autoSpaceDE w:val="0"/>
        <w:autoSpaceDN w:val="0"/>
        <w:spacing w:before="156" w:beforeLines="50"/>
        <w:ind w:firstLine="480" w:firstLineChars="20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 xml:space="preserve">电话:                             电话: </w:t>
      </w:r>
      <w:r>
        <w:rPr>
          <w:rFonts w:hint="eastAsia" w:ascii="宋体" w:hAnsi="宋体" w:eastAsia="宋体" w:cs="宋体"/>
          <w:sz w:val="24"/>
          <w:szCs w:val="24"/>
          <w:lang w:val="en-US" w:eastAsia="zh-CN"/>
        </w:rPr>
        <w:t xml:space="preserve"> </w:t>
      </w:r>
    </w:p>
    <w:p>
      <w:pPr>
        <w:autoSpaceDE w:val="0"/>
        <w:autoSpaceDN w:val="0"/>
        <w:adjustRightInd w:val="0"/>
        <w:snapToGrid w:val="0"/>
        <w:spacing w:before="156" w:beforeLines="50"/>
        <w:ind w:firstLine="480" w:firstLineChars="20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 xml:space="preserve">传真:                             传真: </w:t>
      </w:r>
      <w:r>
        <w:rPr>
          <w:rFonts w:hint="eastAsia" w:ascii="宋体" w:hAnsi="宋体" w:eastAsia="宋体" w:cs="宋体"/>
          <w:sz w:val="24"/>
          <w:szCs w:val="24"/>
          <w:lang w:val="en-US" w:eastAsia="zh-CN"/>
        </w:rPr>
        <w:t xml:space="preserve"> </w:t>
      </w:r>
    </w:p>
    <w:p>
      <w:pPr>
        <w:autoSpaceDE w:val="0"/>
        <w:autoSpaceDN w:val="0"/>
        <w:adjustRightInd w:val="0"/>
        <w:snapToGrid w:val="0"/>
        <w:spacing w:before="156" w:beforeLines="50"/>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zh-CN"/>
        </w:rPr>
        <w:t>电子邮箱：                        电子邮箱：</w:t>
      </w:r>
      <w:r>
        <w:rPr>
          <w:rFonts w:hint="eastAsia" w:ascii="宋体" w:hAnsi="宋体" w:eastAsia="宋体" w:cs="宋体"/>
          <w:sz w:val="24"/>
          <w:szCs w:val="24"/>
          <w:lang w:val="en-US" w:eastAsia="zh-CN"/>
        </w:rPr>
        <w:t xml:space="preserve"> </w:t>
      </w:r>
    </w:p>
    <w:p>
      <w:pPr>
        <w:autoSpaceDE w:val="0"/>
        <w:autoSpaceDN w:val="0"/>
        <w:adjustRightInd w:val="0"/>
        <w:snapToGrid w:val="0"/>
        <w:spacing w:before="156" w:beforeLines="50"/>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开户银行：                        开户银行：</w:t>
      </w:r>
      <w:r>
        <w:rPr>
          <w:rFonts w:hint="eastAsia" w:ascii="宋体" w:hAnsi="宋体" w:eastAsia="宋体" w:cs="宋体"/>
          <w:sz w:val="24"/>
          <w:szCs w:val="24"/>
          <w:lang w:val="en-US" w:eastAsia="zh-CN"/>
        </w:rPr>
        <w:t xml:space="preserve"> </w:t>
      </w:r>
    </w:p>
    <w:p>
      <w:pPr>
        <w:autoSpaceDE w:val="0"/>
        <w:autoSpaceDN w:val="0"/>
        <w:adjustRightInd w:val="0"/>
        <w:snapToGrid w:val="0"/>
        <w:spacing w:before="156" w:beforeLines="50"/>
        <w:ind w:right="-340" w:rightChars="-162"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开户名称：                        开户名称：</w:t>
      </w:r>
      <w:r>
        <w:rPr>
          <w:rFonts w:hint="eastAsia" w:ascii="宋体" w:hAnsi="宋体" w:eastAsia="宋体" w:cs="宋体"/>
          <w:sz w:val="24"/>
          <w:szCs w:val="24"/>
          <w:lang w:val="en-US" w:eastAsia="zh-CN"/>
        </w:rPr>
        <w:t xml:space="preserve"> </w:t>
      </w:r>
    </w:p>
    <w:p>
      <w:pPr>
        <w:spacing w:before="156" w:beforeLines="50"/>
        <w:ind w:firstLine="487" w:firstLineChars="203"/>
        <w:rPr>
          <w:rFonts w:hint="eastAsia" w:ascii="宋体" w:hAnsi="宋体" w:eastAsia="宋体" w:cs="宋体"/>
          <w:sz w:val="24"/>
          <w:lang w:eastAsia="zh-CN"/>
        </w:rPr>
      </w:pPr>
      <w:r>
        <w:rPr>
          <w:rFonts w:hint="eastAsia" w:ascii="宋体" w:hAnsi="宋体" w:eastAsia="宋体" w:cs="宋体"/>
          <w:sz w:val="24"/>
          <w:szCs w:val="24"/>
        </w:rPr>
        <w:t>开户账号：</w:t>
      </w:r>
      <w:r>
        <w:rPr>
          <w:rFonts w:hint="eastAsia" w:ascii="宋体" w:hAnsi="宋体" w:eastAsia="宋体" w:cs="宋体"/>
          <w:sz w:val="24"/>
          <w:szCs w:val="24"/>
          <w:lang w:val="zh-CN"/>
        </w:rPr>
        <w:t xml:space="preserve">                        </w:t>
      </w:r>
      <w:r>
        <w:rPr>
          <w:rFonts w:hint="eastAsia" w:ascii="宋体" w:hAnsi="宋体" w:eastAsia="宋体" w:cs="宋体"/>
          <w:sz w:val="24"/>
          <w:szCs w:val="24"/>
        </w:rPr>
        <w:t>开户账号：</w:t>
      </w:r>
      <w:r>
        <w:rPr>
          <w:rFonts w:hint="eastAsia" w:ascii="宋体" w:hAnsi="宋体" w:eastAsia="宋体" w:cs="宋体"/>
          <w:sz w:val="24"/>
          <w:lang w:val="en-US" w:eastAsia="zh-CN"/>
        </w:rPr>
        <w:t xml:space="preserve"> </w:t>
      </w:r>
    </w:p>
    <w:p>
      <w:pPr>
        <w:spacing w:before="156" w:beforeLines="50"/>
        <w:ind w:firstLine="487" w:firstLineChars="203"/>
        <w:rPr>
          <w:rFonts w:hint="eastAsia" w:ascii="宋体" w:hAnsi="宋体" w:eastAsia="宋体" w:cs="宋体"/>
          <w:snapToGrid w:val="0"/>
          <w:kern w:val="0"/>
          <w:sz w:val="30"/>
          <w:szCs w:val="30"/>
        </w:rPr>
      </w:pPr>
      <w:r>
        <w:rPr>
          <w:rFonts w:hint="eastAsia" w:ascii="宋体" w:hAnsi="宋体" w:eastAsia="宋体" w:cs="宋体"/>
          <w:sz w:val="24"/>
        </w:rPr>
        <w:t>合同签订时间：202</w:t>
      </w:r>
      <w:r>
        <w:rPr>
          <w:rFonts w:hint="eastAsia" w:ascii="宋体" w:hAnsi="宋体" w:eastAsia="宋体" w:cs="宋体"/>
          <w:sz w:val="24"/>
          <w:lang w:val="en-US" w:eastAsia="zh-CN"/>
        </w:rPr>
        <w:t xml:space="preserve">  </w:t>
      </w:r>
      <w:r>
        <w:rPr>
          <w:rFonts w:hint="eastAsia" w:ascii="宋体" w:hAnsi="宋体" w:eastAsia="宋体" w:cs="宋体"/>
          <w:sz w:val="24"/>
        </w:rPr>
        <w:t>年   月    日</w:t>
      </w:r>
    </w:p>
    <w:p>
      <w:pPr>
        <w:spacing w:line="360" w:lineRule="auto"/>
        <w:jc w:val="center"/>
        <w:rPr>
          <w:rFonts w:hint="eastAsia" w:ascii="宋体" w:hAnsi="宋体" w:eastAsia="宋体" w:cs="宋体"/>
          <w:b/>
          <w:bCs/>
          <w:kern w:val="0"/>
          <w:sz w:val="36"/>
          <w:szCs w:val="24"/>
          <w:lang w:val="zh-CN"/>
        </w:rPr>
      </w:pPr>
      <w:r>
        <w:rPr>
          <w:rFonts w:hint="eastAsia" w:ascii="宋体" w:hAnsi="宋体" w:eastAsia="宋体" w:cs="宋体"/>
          <w:b/>
          <w:bCs/>
          <w:sz w:val="24"/>
          <w:szCs w:val="24"/>
        </w:rPr>
        <w:br w:type="page"/>
      </w:r>
      <w:r>
        <w:rPr>
          <w:rFonts w:hint="eastAsia" w:ascii="宋体" w:hAnsi="宋体" w:eastAsia="宋体" w:cs="宋体"/>
          <w:b/>
          <w:bCs/>
          <w:kern w:val="0"/>
          <w:sz w:val="36"/>
          <w:szCs w:val="24"/>
          <w:lang w:val="zh-CN"/>
        </w:rPr>
        <w:t>安全生产承诺书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为了确保工程全工期无任何安全事故，我单位做出如下承诺：  　　</w:t>
      </w:r>
    </w:p>
    <w:p>
      <w:pPr>
        <w:numPr>
          <w:ilvl w:val="0"/>
          <w:numId w:val="2"/>
        </w:num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确保认真组织好施工期间的安全预防工作，确保施工期内无任何安全事故，如果发生任何安全事故由本单位自行承担一切后果。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2、建立健全现场安全、运输环节安全、土石方工程安全、用电安全、各类机械安全等安全作业制度。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3、配备专职安全员，悬挂安全施工标语。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4、确保所有工序按建筑法和设计图纸以及监理单位要求施工。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5、对涉及变更等工程施工，必须先行报告，按审核批准的施工图纸施工并编制好施工组织设计和安全施工方案。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6、对各施工人员、施工车辆和机械驾驶员做到经常提醒安全施工。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7、制定切实可行的施工事故的应急方案。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8、施工现场在开工前，按施工总平面和分部，分项工程平面布置，安排好施工作业棚，材料堆放的位置。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9、施工现场内危险地段的坑、井、沟、陡坡、线路等设置"危险"或"禁止通行"的标志，夜间设红灯信号。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10、施工现场道路必须保持畅通，夜间施工有足够照明，电线路架设必须符合电气规程要求。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11、工地材料，设备的堆放，必须整齐稳固，拆除的模板，边角废料等及时消除。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12、施工现场饮食卫生必须符合有关法律法规的规定。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13、对施工现场可能影响往来行人安全地段必须设立明显的安全警示标记。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14、机械作业时候，必须有人现场统一指挥作业。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15、驾驶人员作业前对机械、安全制动装置详细检查，确保安全可靠，所有机械驾驶人员必须是持证上岗。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16、各种机械的操作使用，必须按机械本身的操作规程执行。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17、不得破坏施工沿线所有桥涵、道路、原有的下水管道以及所有电线电缆等设施。</w:t>
      </w:r>
    </w:p>
    <w:p>
      <w:pPr>
        <w:pStyle w:val="32"/>
        <w:spacing w:line="360" w:lineRule="auto"/>
        <w:rPr>
          <w:rFonts w:hint="eastAsia" w:ascii="宋体" w:hAnsi="宋体" w:eastAsia="宋体" w:cs="宋体"/>
          <w:sz w:val="24"/>
          <w:szCs w:val="24"/>
        </w:rPr>
      </w:pPr>
      <w:r>
        <w:rPr>
          <w:rFonts w:hint="eastAsia" w:ascii="宋体" w:hAnsi="宋体" w:eastAsia="宋体" w:cs="宋体"/>
          <w:kern w:val="0"/>
          <w:sz w:val="24"/>
          <w:szCs w:val="24"/>
        </w:rPr>
        <w:t>承诺单位（盖章）：</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sz w:val="24"/>
          <w:szCs w:val="24"/>
        </w:rPr>
        <w:t>日期：      年    月    日</w:t>
      </w:r>
    </w:p>
    <w:p>
      <w:pPr>
        <w:spacing w:line="360" w:lineRule="auto"/>
        <w:ind w:left="-420" w:leftChars="-200" w:right="-420" w:rightChars="-200" w:firstLine="480" w:firstLineChars="200"/>
        <w:jc w:val="center"/>
        <w:outlineLvl w:val="0"/>
        <w:rPr>
          <w:rFonts w:ascii="宋体" w:hAnsi="宋体" w:cs="宋体"/>
          <w:sz w:val="24"/>
        </w:rPr>
      </w:pPr>
    </w:p>
    <w:p>
      <w:pPr>
        <w:pStyle w:val="4"/>
        <w:rPr>
          <w:rFonts w:ascii="宋体" w:hAnsi="宋体" w:cs="宋体"/>
          <w:sz w:val="24"/>
        </w:rPr>
      </w:pPr>
    </w:p>
    <w:p>
      <w:pPr>
        <w:rPr>
          <w:rFonts w:ascii="宋体" w:hAnsi="宋体" w:cs="宋体"/>
          <w:sz w:val="24"/>
        </w:rPr>
      </w:pPr>
    </w:p>
    <w:p>
      <w:pPr>
        <w:pStyle w:val="4"/>
        <w:rPr>
          <w:rFonts w:ascii="宋体" w:hAnsi="宋体" w:cs="宋体"/>
          <w:sz w:val="24"/>
        </w:rPr>
      </w:pPr>
    </w:p>
    <w:p>
      <w:pPr>
        <w:rPr>
          <w:rFonts w:ascii="宋体" w:hAnsi="宋体" w:cs="宋体"/>
          <w:sz w:val="24"/>
        </w:rPr>
      </w:pPr>
    </w:p>
    <w:p>
      <w:pPr>
        <w:pStyle w:val="4"/>
        <w:rPr>
          <w:rFonts w:ascii="宋体" w:hAnsi="宋体" w:cs="宋体"/>
          <w:sz w:val="24"/>
        </w:rPr>
      </w:pPr>
    </w:p>
    <w:p/>
    <w:p>
      <w:pPr>
        <w:widowControl/>
        <w:adjustRightInd/>
        <w:jc w:val="center"/>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559" w:firstLineChars="233"/>
        <w:jc w:val="left"/>
        <w:rPr>
          <w:rFonts w:ascii="宋体" w:hAnsi="宋体" w:cs="宋体"/>
          <w:b/>
          <w:kern w:val="0"/>
          <w:sz w:val="32"/>
          <w:szCs w:val="32"/>
        </w:rPr>
      </w:pPr>
      <w:r>
        <w:rPr>
          <w:rFonts w:hint="eastAsia" w:cs="仿宋_GB2312" w:asciiTheme="minorEastAsia" w:hAnsiTheme="minorEastAsia" w:eastAsiaTheme="minorEastAsia"/>
          <w:sz w:val="24"/>
        </w:rPr>
        <w:t>注：根据《</w:t>
      </w:r>
      <w:r>
        <w:rPr>
          <w:rFonts w:cs="仿宋_GB2312" w:asciiTheme="minorEastAsia" w:hAnsiTheme="minorEastAsia" w:eastAsiaTheme="minorEastAsia"/>
          <w:sz w:val="24"/>
        </w:rPr>
        <w:t>关于规范政府采购供应商资格设定及资格审查的通知</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浙财采监[2013]24号</w:t>
      </w:r>
      <w:r>
        <w:rPr>
          <w:rFonts w:hint="eastAsia" w:cs="仿宋_GB2312" w:asciiTheme="minorEastAsia" w:hAnsiTheme="minorEastAsia" w:eastAsiaTheme="minorEastAsia"/>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400" w:name="_Hlk101257010"/>
      <w:r>
        <w:rPr>
          <w:rFonts w:hint="eastAsia" w:ascii="宋体" w:hAnsi="宋体" w:cs="宋体"/>
          <w:sz w:val="24"/>
        </w:rPr>
        <w:t>（如果有)</w:t>
      </w:r>
      <w:bookmarkEnd w:id="400"/>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ind w:firstLine="480" w:firstLineChars="200"/>
        <w:rPr>
          <w:rFonts w:ascii="宋体" w:hAnsi="宋体" w:cs="宋体"/>
          <w:kern w:val="0"/>
          <w:sz w:val="24"/>
          <w:lang w:val="zh-CN"/>
        </w:rPr>
      </w:pPr>
      <w:r>
        <w:rPr>
          <w:rFonts w:hint="eastAsia" w:ascii="宋体" w:hAnsi="宋体" w:cs="宋体"/>
          <w:sz w:val="24"/>
        </w:rPr>
        <w:t xml:space="preserve"> </w:t>
      </w: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2"/>
        <w:snapToGrid w:val="0"/>
        <w:spacing w:before="120" w:after="120" w:line="240" w:lineRule="auto"/>
        <w:jc w:val="center"/>
        <w:rPr>
          <w:rFonts w:ascii="仿宋" w:hAnsi="仿宋" w:eastAsia="仿宋"/>
          <w:color w:val="auto"/>
          <w:kern w:val="0"/>
          <w:sz w:val="30"/>
          <w:szCs w:val="30"/>
          <w:highlight w:val="none"/>
        </w:rPr>
      </w:pPr>
      <w:r>
        <w:rPr>
          <w:rFonts w:hint="eastAsia" w:ascii="宋体" w:hAnsi="宋体" w:eastAsia="宋体" w:cs="宋体"/>
          <w:kern w:val="2"/>
          <w:sz w:val="32"/>
          <w:szCs w:val="32"/>
        </w:rPr>
        <w:t>一、</w:t>
      </w:r>
      <w:r>
        <w:rPr>
          <w:rFonts w:hint="eastAsia" w:ascii="仿宋" w:hAnsi="仿宋" w:eastAsia="仿宋"/>
          <w:b/>
          <w:color w:val="auto"/>
          <w:sz w:val="36"/>
          <w:szCs w:val="36"/>
          <w:highlight w:val="none"/>
        </w:rPr>
        <w:t>开标一览表</w:t>
      </w:r>
    </w:p>
    <w:p>
      <w:pPr>
        <w:snapToGrid w:val="0"/>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杭州市滨江区人民政府长河街道办事处，</w:t>
      </w:r>
      <w:r>
        <w:rPr>
          <w:rFonts w:hint="eastAsia" w:ascii="宋体" w:hAnsi="宋体" w:cs="宋体"/>
          <w:color w:val="auto"/>
          <w:sz w:val="28"/>
          <w:szCs w:val="28"/>
          <w:highlight w:val="none"/>
          <w:lang w:eastAsia="zh-CN"/>
        </w:rPr>
        <w:t>浙江华域高宇项目管理有限公司</w:t>
      </w:r>
      <w:r>
        <w:rPr>
          <w:rFonts w:hint="eastAsia" w:ascii="宋体" w:hAnsi="宋体" w:eastAsia="宋体" w:cs="宋体"/>
          <w:color w:val="auto"/>
          <w:sz w:val="28"/>
          <w:szCs w:val="28"/>
          <w:highlight w:val="none"/>
        </w:rPr>
        <w:t>：</w:t>
      </w:r>
    </w:p>
    <w:p>
      <w:pPr>
        <w:snapToGrid w:val="0"/>
        <w:spacing w:before="120" w:beforeLines="50" w:after="120" w:afterLines="50" w:line="360" w:lineRule="exact"/>
        <w:ind w:firstLine="482"/>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按采购文件要求，我方谨此向你方发出要约如下：如你方接受本投标，我方承诺按照如下投标(开标)一览表的价格完成</w:t>
      </w:r>
      <w:r>
        <w:rPr>
          <w:rFonts w:hint="eastAsia" w:ascii="宋体" w:hAnsi="宋体" w:eastAsia="宋体" w:cs="宋体"/>
          <w:color w:val="auto"/>
          <w:sz w:val="24"/>
          <w:szCs w:val="24"/>
          <w:highlight w:val="none"/>
        </w:rPr>
        <w:t>________</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_________</w:t>
      </w:r>
      <w:r>
        <w:rPr>
          <w:rFonts w:hint="eastAsia" w:ascii="宋体" w:hAnsi="宋体" w:eastAsia="宋体" w:cs="宋体"/>
          <w:color w:val="auto"/>
          <w:kern w:val="0"/>
          <w:sz w:val="24"/>
          <w:szCs w:val="24"/>
          <w:highlight w:val="none"/>
          <w:lang w:val="zh-CN"/>
        </w:rPr>
        <w:t>（项目编号：</w:t>
      </w:r>
      <w:r>
        <w:rPr>
          <w:rFonts w:hint="eastAsia" w:ascii="宋体" w:hAnsi="宋体" w:eastAsia="宋体" w:cs="宋体"/>
          <w:color w:val="auto"/>
          <w:sz w:val="24"/>
          <w:szCs w:val="24"/>
          <w:highlight w:val="none"/>
        </w:rPr>
        <w:t>__________）的实施</w:t>
      </w:r>
      <w:r>
        <w:rPr>
          <w:rFonts w:hint="eastAsia" w:ascii="宋体" w:hAnsi="宋体" w:eastAsia="宋体" w:cs="宋体"/>
          <w:color w:val="auto"/>
          <w:kern w:val="0"/>
          <w:sz w:val="24"/>
          <w:szCs w:val="24"/>
          <w:highlight w:val="none"/>
          <w:lang w:val="zh-CN"/>
        </w:rPr>
        <w:t>。</w:t>
      </w:r>
    </w:p>
    <w:p>
      <w:pPr>
        <w:spacing w:before="120" w:beforeLines="50" w:after="120" w:afterLines="50" w:line="360" w:lineRule="exact"/>
        <w:jc w:val="center"/>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开标一览表(单位均为人民币元)</w:t>
      </w:r>
    </w:p>
    <w:tbl>
      <w:tblPr>
        <w:tblStyle w:val="62"/>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投标报价：</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①工程类（折扣率）：</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。（投标限价100%）</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②人工：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元/天。</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③简易案件处理：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元/天。</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④垃圾清运1：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元/立方米。</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⑤垃圾清运2：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元/车（3吨）。</w:t>
            </w:r>
          </w:p>
          <w:p>
            <w:pPr>
              <w:adjustRightInd w:val="0"/>
              <w:spacing w:before="120" w:beforeLines="50" w:line="34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⑥垃圾清运3：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元/车（3吨）。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服务期：</w:t>
            </w:r>
            <w:r>
              <w:rPr>
                <w:rFonts w:hint="eastAsia" w:ascii="宋体" w:hAnsi="宋体" w:eastAsia="宋体" w:cs="宋体"/>
                <w:color w:val="auto"/>
                <w:sz w:val="24"/>
                <w:szCs w:val="24"/>
                <w:highlight w:val="none"/>
              </w:rPr>
              <w:t>按采购文件要求</w:t>
            </w:r>
          </w:p>
        </w:tc>
      </w:tr>
    </w:tbl>
    <w:p>
      <w:pPr>
        <w:snapToGrid w:val="0"/>
        <w:spacing w:before="120" w:beforeLines="50" w:after="120" w:afterLines="50" w:line="360" w:lineRule="exact"/>
        <w:rPr>
          <w:rFonts w:hint="eastAsia" w:ascii="宋体" w:hAnsi="宋体" w:eastAsia="宋体" w:cs="宋体"/>
          <w:color w:val="auto"/>
          <w:kern w:val="0"/>
          <w:sz w:val="24"/>
          <w:szCs w:val="24"/>
          <w:highlight w:val="none"/>
          <w:lang w:val="zh-CN"/>
        </w:rPr>
      </w:pPr>
      <w:r>
        <w:rPr>
          <w:rFonts w:hint="eastAsia" w:ascii="宋体" w:hAnsi="宋体" w:eastAsia="宋体" w:cs="宋体"/>
          <w:b/>
          <w:color w:val="auto"/>
          <w:kern w:val="0"/>
          <w:sz w:val="24"/>
          <w:szCs w:val="24"/>
          <w:highlight w:val="none"/>
          <w:lang w:val="zh-CN"/>
        </w:rPr>
        <w:t>注：</w:t>
      </w:r>
      <w:r>
        <w:rPr>
          <w:rFonts w:hint="eastAsia" w:ascii="宋体" w:hAnsi="宋体" w:eastAsia="宋体" w:cs="宋体"/>
          <w:color w:val="auto"/>
          <w:kern w:val="0"/>
          <w:sz w:val="24"/>
          <w:szCs w:val="24"/>
          <w:highlight w:val="none"/>
          <w:lang w:val="zh-CN"/>
        </w:rPr>
        <w:t>1、投标人需按本表格式填写，不得自行更改。</w:t>
      </w:r>
    </w:p>
    <w:p>
      <w:pPr>
        <w:spacing w:before="120" w:beforeLines="50" w:after="120" w:afterLines="50" w:line="360" w:lineRule="exact"/>
        <w:ind w:left="-2" w:leftChars="-1"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2、有关本项目实施所涉及的一切费用均计入报价。</w:t>
      </w:r>
    </w:p>
    <w:p>
      <w:pPr>
        <w:snapToGrid w:val="0"/>
        <w:spacing w:before="120" w:beforeLines="50" w:after="120" w:afterLines="50" w:line="360" w:lineRule="exact"/>
        <w:ind w:firstLine="482" w:firstLineChars="200"/>
        <w:jc w:val="left"/>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3、特别提示：采购机构将对</w:t>
      </w:r>
      <w:r>
        <w:rPr>
          <w:rFonts w:hint="eastAsia" w:ascii="宋体" w:hAnsi="宋体" w:eastAsia="宋体" w:cs="宋体"/>
          <w:b/>
          <w:color w:val="auto"/>
          <w:kern w:val="0"/>
          <w:sz w:val="24"/>
          <w:szCs w:val="24"/>
          <w:highlight w:val="none"/>
        </w:rPr>
        <w:t>项目名称和项目编号，中标供应商名称、地址和中标金额，主要中标标的的名称、规格型号、数量、单价、服务要求等</w:t>
      </w:r>
      <w:r>
        <w:rPr>
          <w:rFonts w:hint="eastAsia" w:ascii="宋体" w:hAnsi="宋体" w:eastAsia="宋体" w:cs="宋体"/>
          <w:b/>
          <w:color w:val="auto"/>
          <w:kern w:val="0"/>
          <w:sz w:val="24"/>
          <w:szCs w:val="24"/>
          <w:highlight w:val="none"/>
          <w:lang w:val="zh-CN"/>
        </w:rPr>
        <w:t>予以公告。</w:t>
      </w:r>
    </w:p>
    <w:p>
      <w:pPr>
        <w:snapToGrid w:val="0"/>
        <w:spacing w:before="120" w:beforeLines="50" w:after="120" w:afterLines="50" w:line="360" w:lineRule="exact"/>
        <w:ind w:firstLine="482" w:firstLineChars="200"/>
        <w:jc w:val="left"/>
        <w:rPr>
          <w:rFonts w:hint="eastAsia" w:ascii="仿宋" w:hAnsi="仿宋" w:eastAsia="仿宋" w:cs="Times New Roman"/>
          <w:b/>
          <w:color w:val="auto"/>
          <w:kern w:val="0"/>
          <w:sz w:val="24"/>
          <w:szCs w:val="24"/>
          <w:highlight w:val="none"/>
          <w:lang w:val="zh-CN"/>
        </w:rPr>
      </w:pPr>
      <w:r>
        <w:rPr>
          <w:rFonts w:hint="eastAsia" w:ascii="宋体" w:hAnsi="宋体" w:eastAsia="宋体" w:cs="宋体"/>
          <w:b/>
          <w:color w:val="auto"/>
          <w:kern w:val="0"/>
          <w:sz w:val="24"/>
          <w:szCs w:val="24"/>
          <w:highlight w:val="none"/>
          <w:lang w:val="en-US" w:eastAsia="zh-CN"/>
        </w:rPr>
        <w:t>4.</w:t>
      </w:r>
      <w:r>
        <w:rPr>
          <w:rFonts w:hint="eastAsia" w:ascii="宋体" w:hAnsi="宋体" w:eastAsia="宋体" w:cs="宋体"/>
          <w:b/>
          <w:color w:val="auto"/>
          <w:kern w:val="0"/>
          <w:sz w:val="24"/>
          <w:szCs w:val="24"/>
          <w:highlight w:val="none"/>
          <w:lang w:val="zh-CN"/>
        </w:rPr>
        <w:t>特别说明：▲供应商报价低于项目预算50%的，应当在报价文件中详细阐述不影响产品质量或者诚信履约的具体原因，未做阐述说明的，投标无效。</w:t>
      </w:r>
    </w:p>
    <w:p>
      <w:pPr>
        <w:pStyle w:val="79"/>
        <w:rPr>
          <w:rFonts w:hint="default" w:eastAsia="仿宋"/>
          <w:lang w:val="en-US" w:eastAsia="zh-CN"/>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投标人名称（公章）：</w:t>
      </w: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jc w:val="right"/>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日期：年月日</w:t>
      </w: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1"/>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jc w:val="center"/>
        <w:rPr>
          <w:rFonts w:hint="eastAsia" w:ascii="仿宋" w:hAnsi="仿宋" w:eastAsia="仿宋"/>
          <w:b/>
          <w:color w:val="auto"/>
          <w:sz w:val="30"/>
          <w:szCs w:val="30"/>
          <w:highlight w:val="none"/>
        </w:rPr>
      </w:pPr>
    </w:p>
    <w:p>
      <w:pPr>
        <w:spacing w:line="360" w:lineRule="auto"/>
        <w:jc w:val="center"/>
        <w:rPr>
          <w:rFonts w:hint="eastAsia" w:ascii="仿宋" w:hAnsi="仿宋" w:eastAsia="仿宋"/>
          <w:b/>
          <w:color w:val="auto"/>
          <w:sz w:val="30"/>
          <w:szCs w:val="30"/>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杭州高新开发区（滨江）政府采购支持</w:t>
      </w: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中小企业信用融资暂行办法</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一、适用对象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凡已在浙江省政府采购云平台上注册入库，并取得杭州高新开发区（滨江）政府采购合同的区内中小企业供应商（以下简称供应商），均可申请政府采购信用融资。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开展本区政府采购信用融资工作的银行，应当为区内注册或设立分支机构、且已开展中小企业贷款业务的商业银行。</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二、相关信息获取方式</w:t>
      </w:r>
    </w:p>
    <w:p>
      <w:pPr>
        <w:wordWrap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　政府采购信用融资操作流程：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（一）线上融资模式：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1.供应商中标后，可通过“政采云-金融服务-融资贷款”向合作银行测算授信额度；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2.供应商根据合作银行提供的方案，自行选择金融产品，并办理开户等手续；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3.采购合同签订后，供应商向相应银行发出融资申请；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4.审批通过后，在线办理放贷手续。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（二）线下融资模式：</w:t>
      </w:r>
    </w:p>
    <w:p>
      <w:pPr>
        <w:wordWrap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1.供应商根据杭州市滨江区政府门户网站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"http://www.hhtz.gov.cn/art/2022/1/11/art_1487037_59039349.html" </w:instrText>
      </w:r>
      <w:r>
        <w:rPr>
          <w:rFonts w:hint="eastAsia" w:ascii="宋体" w:hAnsi="宋体" w:eastAsia="宋体" w:cs="宋体"/>
          <w:color w:val="auto"/>
          <w:highlight w:val="none"/>
        </w:rPr>
        <w:fldChar w:fldCharType="separate"/>
      </w:r>
      <w:r>
        <w:rPr>
          <w:rStyle w:val="76"/>
          <w:rFonts w:hint="eastAsia" w:ascii="宋体" w:hAnsi="宋体" w:eastAsia="宋体" w:cs="宋体"/>
          <w:color w:val="auto"/>
          <w:highlight w:val="none"/>
        </w:rPr>
        <w:t>http://www.hhtz.gov.cn/art/2022/1/11/art_1487037_59039349.html</w:t>
      </w:r>
      <w:r>
        <w:rPr>
          <w:rStyle w:val="76"/>
          <w:rFonts w:hint="eastAsia" w:ascii="宋体" w:hAnsi="宋体" w:eastAsia="宋体" w:cs="宋体"/>
          <w:color w:val="auto"/>
          <w:highlight w:val="none"/>
        </w:rPr>
        <w:fldChar w:fldCharType="end"/>
      </w:r>
      <w:r>
        <w:rPr>
          <w:rFonts w:hint="eastAsia" w:ascii="宋体" w:hAnsi="宋体" w:eastAsia="宋体" w:cs="宋体"/>
          <w:color w:val="auto"/>
          <w:sz w:val="24"/>
          <w:highlight w:val="none"/>
        </w:rPr>
        <w:t>获取滨江区政采贷合作银行联系人信息，根据合作银行提供的方案，自行选择金融产品，向合作银行提出信用资格预审，并办理开户等手续；</w:t>
      </w:r>
    </w:p>
    <w:p>
      <w:pPr>
        <w:wordWrap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2.采购合同签订后，向合作银行发出融资申请；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3.合作银行受理申请后，供应商提供审批材料。合作银行应对申请信用融资的供应商及备案的政府采购合同信息进行核对和审查；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4.审批通过后，合作银行应按照与杭州市滨江区财政局合作备忘录中约定的审批放款期限和优惠利率及时予以放款。</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四、注意事项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jc w:val="left"/>
        <w:rPr>
          <w:rFonts w:ascii="仿宋" w:hAnsi="仿宋" w:eastAsia="仿宋"/>
          <w:color w:val="auto"/>
          <w:sz w:val="24"/>
          <w:szCs w:val="24"/>
          <w:highlight w:val="none"/>
        </w:rPr>
      </w:pPr>
      <w:r>
        <w:rPr>
          <w:rFonts w:hint="eastAsia" w:ascii="宋体" w:hAnsi="宋体" w:eastAsia="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pStyle w:val="2"/>
        <w:rPr>
          <w:color w:val="auto"/>
          <w:highlight w:val="none"/>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1" w:name="OLE_LINK13"/>
      <w:bookmarkStart w:id="402" w:name="OLE_LINK14"/>
      <w:r>
        <w:rPr>
          <w:rFonts w:hint="eastAsia" w:ascii="宋体" w:hAnsi="宋体" w:cs="宋体"/>
          <w:b/>
          <w:spacing w:val="6"/>
          <w:sz w:val="32"/>
          <w:szCs w:val="32"/>
        </w:rPr>
        <w:t>残疾人福利性单位声明函</w:t>
      </w:r>
    </w:p>
    <w:bookmarkEnd w:id="401"/>
    <w:bookmarkEnd w:id="40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0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0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04"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0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sz w:val="24"/>
        </w:rPr>
      </w:pPr>
      <w:r>
        <w:rPr>
          <w:rFonts w:hint="eastAsia" w:ascii="宋体" w:hAnsi="宋体" w:cs="宋体"/>
          <w:sz w:val="24"/>
        </w:rPr>
        <w:br w:type="page"/>
      </w:r>
    </w:p>
    <w:p>
      <w:pPr>
        <w:pStyle w:val="4"/>
        <w:rPr>
          <w:rFonts w:cs="仿宋_GB2312"/>
          <w:sz w:val="24"/>
        </w:rPr>
      </w:pPr>
      <w:r>
        <w:rPr>
          <w:rFonts w:hint="eastAsia"/>
        </w:rPr>
        <w:t>附件</w:t>
      </w:r>
      <w:r>
        <w:rPr>
          <w:rFonts w:hint="eastAsia"/>
          <w:lang w:val="en-US"/>
        </w:rPr>
        <w:t>8</w:t>
      </w:r>
      <w:r>
        <w:rPr>
          <w:rFonts w:hint="eastAsia"/>
        </w:rPr>
        <w:t>样品（演示）授权委托书</w:t>
      </w:r>
    </w:p>
    <w:p>
      <w:pPr>
        <w:jc w:val="center"/>
        <w:rPr>
          <w:sz w:val="40"/>
        </w:rPr>
      </w:pPr>
      <w:r>
        <w:rPr>
          <w:rFonts w:hint="eastAsia"/>
          <w:sz w:val="40"/>
        </w:rPr>
        <w:t>样品（演示）授权委托书</w:t>
      </w:r>
    </w:p>
    <w:p>
      <w:pPr>
        <w:jc w:val="center"/>
        <w:rPr>
          <w:sz w:val="40"/>
        </w:rPr>
      </w:pPr>
    </w:p>
    <w:p>
      <w:pPr>
        <w:snapToGrid w:val="0"/>
        <w:spacing w:line="360" w:lineRule="auto"/>
        <w:rPr>
          <w:rFonts w:cs="仿宋"/>
        </w:rPr>
      </w:pPr>
      <w:r>
        <w:rPr>
          <w:rFonts w:hint="eastAsia" w:cs="仿宋_GB2312"/>
        </w:rPr>
        <w:t>XXX（单位名称或采购机构名称）</w:t>
      </w:r>
      <w:r>
        <w:rPr>
          <w:rFonts w:hint="eastAsia" w:cs="仿宋"/>
          <w:lang w:val="zh-CN"/>
        </w:rPr>
        <w:t>：</w:t>
      </w:r>
    </w:p>
    <w:p>
      <w:pPr>
        <w:snapToGrid w:val="0"/>
        <w:spacing w:line="360" w:lineRule="auto"/>
        <w:ind w:left="254" w:leftChars="121" w:firstLine="420" w:firstLineChars="200"/>
        <w:rPr>
          <w:rFonts w:cs="仿宋"/>
          <w:u w:val="single"/>
          <w:lang w:val="zh-CN"/>
        </w:rPr>
      </w:pPr>
      <w:r>
        <w:rPr>
          <w:rFonts w:hint="eastAsia" w:cs="仿宋"/>
          <w:lang w:val="zh-CN"/>
        </w:rPr>
        <w:t>兹委派</w:t>
      </w:r>
      <w:r>
        <w:rPr>
          <w:rFonts w:hint="eastAsia" w:cs="仿宋"/>
          <w:u w:val="single"/>
          <w:lang w:val="zh-CN"/>
        </w:rPr>
        <w:t xml:space="preserve">                </w:t>
      </w:r>
      <w:r>
        <w:rPr>
          <w:rFonts w:hint="eastAsia" w:cs="仿宋"/>
          <w:lang w:val="zh-CN"/>
        </w:rPr>
        <w:t>先生/女士，身份证号：</w:t>
      </w:r>
      <w:r>
        <w:rPr>
          <w:rFonts w:hint="eastAsia" w:cs="仿宋"/>
          <w:u w:val="single"/>
          <w:lang w:val="zh-CN"/>
        </w:rPr>
        <w:t xml:space="preserve"> </w:t>
      </w:r>
      <w:r>
        <w:rPr>
          <w:rFonts w:cs="仿宋"/>
          <w:u w:val="single"/>
          <w:lang w:val="zh-CN"/>
        </w:rPr>
        <w:t xml:space="preserve">                  </w:t>
      </w:r>
    </w:p>
    <w:p>
      <w:pPr>
        <w:snapToGrid w:val="0"/>
        <w:spacing w:line="360" w:lineRule="auto"/>
        <w:ind w:left="254" w:leftChars="121" w:firstLine="420" w:firstLineChars="200"/>
        <w:rPr>
          <w:rFonts w:cs="仿宋"/>
        </w:rPr>
      </w:pPr>
      <w:r>
        <w:rPr>
          <w:rFonts w:hint="eastAsia" w:cs="仿宋"/>
          <w:lang w:val="zh-CN"/>
        </w:rPr>
        <w:t>手机：</w:t>
      </w:r>
      <w:r>
        <w:rPr>
          <w:rFonts w:hint="eastAsia" w:cs="仿宋"/>
          <w:u w:val="single"/>
          <w:lang w:val="zh-CN"/>
        </w:rPr>
        <w:t xml:space="preserve">      </w:t>
      </w:r>
      <w:r>
        <w:rPr>
          <w:rFonts w:cs="仿宋"/>
          <w:u w:val="single"/>
          <w:lang w:val="zh-CN"/>
        </w:rPr>
        <w:t xml:space="preserve">     </w:t>
      </w:r>
      <w:r>
        <w:rPr>
          <w:rFonts w:hint="eastAsia" w:cs="仿宋"/>
          <w:u w:val="single"/>
          <w:lang w:val="zh-CN"/>
        </w:rPr>
        <w:t xml:space="preserve">  </w:t>
      </w:r>
      <w:r>
        <w:rPr>
          <w:rFonts w:hint="eastAsia" w:cs="仿宋"/>
          <w:lang w:val="zh-CN"/>
        </w:rPr>
        <w:t>，代表我公司前来递交</w:t>
      </w:r>
      <w:r>
        <w:rPr>
          <w:rFonts w:cs="仿宋"/>
          <w:u w:val="single"/>
          <w:lang w:val="zh-CN"/>
        </w:rPr>
        <w:t xml:space="preserve">                           </w:t>
      </w:r>
      <w:r>
        <w:rPr>
          <w:rFonts w:hint="eastAsia" w:cs="仿宋"/>
          <w:u w:val="single"/>
          <w:lang w:val="zh-CN"/>
        </w:rPr>
        <w:t>采购项目</w:t>
      </w:r>
      <w:r>
        <w:rPr>
          <w:rFonts w:hint="eastAsia" w:cs="仿宋"/>
          <w:lang w:val="zh-CN"/>
        </w:rPr>
        <w:t>【项目编号：</w:t>
      </w:r>
      <w:r>
        <w:rPr>
          <w:rFonts w:cs="仿宋"/>
          <w:lang w:val="zh-CN"/>
        </w:rPr>
        <w:t xml:space="preserve">              </w:t>
      </w:r>
      <w:r>
        <w:rPr>
          <w:rFonts w:hint="eastAsia" w:cs="仿宋"/>
          <w:lang w:val="zh-CN"/>
        </w:rPr>
        <w:t xml:space="preserve">】（标项号： </w:t>
      </w:r>
      <w:r>
        <w:rPr>
          <w:rFonts w:cs="仿宋"/>
          <w:lang w:val="zh-CN"/>
        </w:rPr>
        <w:t xml:space="preserve"> </w:t>
      </w:r>
      <w:r>
        <w:rPr>
          <w:rFonts w:hint="eastAsia" w:cs="仿宋"/>
          <w:lang w:val="zh-CN"/>
        </w:rPr>
        <w:t>）投标样品或参加演示，并全权负责标后取回样品等其他处理事宜。</w:t>
      </w:r>
    </w:p>
    <w:p>
      <w:pPr>
        <w:snapToGrid w:val="0"/>
        <w:spacing w:line="360" w:lineRule="auto"/>
        <w:rPr>
          <w:rFonts w:cs="仿宋"/>
          <w:lang w:val="zh-CN"/>
        </w:rPr>
      </w:pPr>
      <w:r>
        <w:rPr>
          <w:rFonts w:hint="eastAsia" w:cs="仿宋"/>
          <w:lang w:val="zh-CN"/>
        </w:rPr>
        <w:t xml:space="preserve">  </w:t>
      </w:r>
    </w:p>
    <w:p>
      <w:pPr>
        <w:snapToGrid w:val="0"/>
        <w:spacing w:line="360" w:lineRule="auto"/>
        <w:rPr>
          <w:rFonts w:cs="仿宋"/>
        </w:rPr>
      </w:pPr>
      <w:r>
        <w:rPr>
          <w:rFonts w:hint="eastAsia" w:cs="仿宋"/>
          <w:lang w:val="zh-CN"/>
        </w:rPr>
        <w:t xml:space="preserve">    特此告知。</w:t>
      </w:r>
    </w:p>
    <w:p>
      <w:pPr>
        <w:snapToGrid w:val="0"/>
        <w:spacing w:line="360" w:lineRule="auto"/>
        <w:rPr>
          <w:rFonts w:cs="仿宋"/>
        </w:rPr>
      </w:pPr>
      <w:r>
        <w:rPr>
          <w:rFonts w:hint="eastAsia" w:cs="仿宋"/>
          <w:lang w:val="zh-CN"/>
        </w:rPr>
        <w:t xml:space="preserve">                                                  投标人名称(公章)：</w:t>
      </w:r>
    </w:p>
    <w:p>
      <w:pPr>
        <w:snapToGrid w:val="0"/>
        <w:spacing w:line="360" w:lineRule="auto"/>
        <w:rPr>
          <w:rFonts w:cs="仿宋"/>
        </w:rPr>
      </w:pPr>
      <w:r>
        <w:rPr>
          <w:rFonts w:hint="eastAsia" w:cs="仿宋"/>
          <w:lang w:val="zh-CN"/>
        </w:rPr>
        <w:t xml:space="preserve">                                                  </w:t>
      </w:r>
    </w:p>
    <w:p>
      <w:pPr>
        <w:snapToGrid w:val="0"/>
        <w:spacing w:line="360" w:lineRule="auto"/>
        <w:ind w:right="240"/>
        <w:jc w:val="right"/>
        <w:rPr>
          <w:rFonts w:cs="仿宋"/>
          <w:lang w:val="zh-CN"/>
        </w:rPr>
      </w:pPr>
      <w:r>
        <w:rPr>
          <w:rFonts w:hint="eastAsia" w:cs="仿宋"/>
          <w:lang w:val="zh-CN"/>
        </w:rPr>
        <w:t>签发日期：  年  月   日</w:t>
      </w:r>
    </w:p>
    <w:p>
      <w:pPr>
        <w:snapToGrid w:val="0"/>
        <w:spacing w:line="360" w:lineRule="auto"/>
        <w:ind w:right="240"/>
        <w:jc w:val="right"/>
        <w:rPr>
          <w:rFonts w:cs="仿宋"/>
          <w:lang w:val="zh-CN"/>
        </w:rPr>
      </w:pPr>
    </w:p>
    <w:p>
      <w:pPr>
        <w:snapToGrid w:val="0"/>
        <w:spacing w:line="360" w:lineRule="auto"/>
        <w:ind w:right="1920"/>
        <w:rPr>
          <w:rFonts w:cs="仿宋"/>
          <w:lang w:val="zh-CN"/>
        </w:rPr>
      </w:pPr>
    </w:p>
    <w:p>
      <w:pPr>
        <w:snapToGrid w:val="0"/>
        <w:spacing w:line="360" w:lineRule="auto"/>
        <w:ind w:right="240"/>
        <w:jc w:val="right"/>
        <w:rPr>
          <w:rFonts w:cs="仿宋"/>
          <w:lang w:val="zh-CN"/>
        </w:rPr>
      </w:pPr>
    </w:p>
    <w:p>
      <w:pPr>
        <w:snapToGrid w:val="0"/>
        <w:spacing w:line="360" w:lineRule="auto"/>
        <w:ind w:right="240"/>
        <w:rPr>
          <w:rFonts w:cs="仿宋"/>
          <w:lang w:val="zh-CN"/>
        </w:rPr>
      </w:pPr>
      <w:r>
        <w:rPr>
          <w:rFonts w:hint="eastAsia" w:cs="仿宋"/>
        </w:rPr>
        <w:t>受委托人</w:t>
      </w:r>
      <w:r>
        <w:rPr>
          <w:rFonts w:hint="eastAsia" w:cs="仿宋"/>
          <w:lang w:val="zh-CN"/>
        </w:rPr>
        <w:t>身份证复印件：</w:t>
      </w:r>
    </w:p>
    <w:p>
      <w:pPr>
        <w:snapToGrid w:val="0"/>
        <w:spacing w:line="360" w:lineRule="auto"/>
        <w:ind w:right="240"/>
        <w:rPr>
          <w:rFonts w:cs="仿宋"/>
          <w:lang w:val="zh-CN"/>
        </w:rPr>
      </w:pPr>
    </w:p>
    <w:p>
      <w:pPr>
        <w:snapToGrid w:val="0"/>
        <w:spacing w:line="360" w:lineRule="auto"/>
        <w:ind w:right="240"/>
        <w:rPr>
          <w:rFonts w:cs="仿宋"/>
          <w:lang w:val="zh-CN"/>
        </w:rPr>
      </w:pPr>
      <w:r>
        <w:rPr>
          <w:rFonts w:hint="eastAsia" w:cs="仿宋"/>
          <w:lang w:val="zh-CN"/>
        </w:rPr>
        <w:t>说明：本委托书在有样品或演示时由受委托人携带至指定地点。</w:t>
      </w:r>
    </w:p>
    <w:p>
      <w:pPr>
        <w:spacing w:line="360" w:lineRule="auto"/>
        <w:rPr>
          <w:rFonts w:cs="仿宋_GB2312"/>
          <w:b/>
        </w:rPr>
      </w:pPr>
      <w:r>
        <w:rPr>
          <w:rFonts w:cs="仿宋_GB2312"/>
          <w:b/>
        </w:rPr>
        <w:t>同时有样品和演示的</w:t>
      </w:r>
      <w:r>
        <w:rPr>
          <w:rFonts w:hint="eastAsia" w:cs="仿宋_GB2312"/>
          <w:b/>
        </w:rPr>
        <w:t>，</w:t>
      </w:r>
      <w:r>
        <w:rPr>
          <w:rFonts w:cs="仿宋_GB2312"/>
          <w:b/>
        </w:rPr>
        <w:t>可委托不同人员</w:t>
      </w:r>
      <w:r>
        <w:rPr>
          <w:rFonts w:hint="eastAsia" w:cs="仿宋_GB2312"/>
          <w:b/>
        </w:rPr>
        <w:t>。</w:t>
      </w:r>
    </w:p>
    <w:p>
      <w:pPr>
        <w:pStyle w:val="4"/>
      </w:pPr>
    </w:p>
    <w:p>
      <w:pPr>
        <w:spacing w:line="360" w:lineRule="auto"/>
        <w:jc w:val="center"/>
        <w:rPr>
          <w:rFonts w:ascii="宋体" w:hAnsi="宋体" w:cs="宋体"/>
          <w:b/>
          <w:sz w:val="32"/>
          <w:szCs w:val="32"/>
        </w:rPr>
      </w:pPr>
    </w:p>
    <w:p>
      <w:pPr>
        <w:pStyle w:val="4"/>
      </w:pP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6" w:name="_Toc131845147"/>
    <w:bookmarkStart w:id="407" w:name="_Toc91899912"/>
    <w:bookmarkStart w:id="408" w:name="_Toc36110187"/>
    <w:bookmarkStart w:id="409" w:name="_Toc164085800"/>
    <w:r>
      <w:rPr>
        <w:rFonts w:hint="eastAsia" w:ascii="仿宋_GB2312" w:eastAsia="仿宋_GB2312"/>
        <w:kern w:val="0"/>
        <w:szCs w:val="21"/>
      </w:rPr>
      <w:t xml:space="preserve"> 页</w:t>
    </w:r>
    <w:bookmarkEnd w:id="406"/>
    <w:bookmarkEnd w:id="407"/>
    <w:bookmarkEnd w:id="408"/>
    <w:bookmarkEnd w:id="4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5B136C"/>
    <w:multiLevelType w:val="singleLevel"/>
    <w:tmpl w:val="E95B136C"/>
    <w:lvl w:ilvl="0" w:tentative="0">
      <w:start w:val="1"/>
      <w:numFmt w:val="decimal"/>
      <w:suff w:val="nothing"/>
      <w:lvlText w:val="%1、"/>
      <w:lvlJc w:val="left"/>
    </w:lvl>
  </w:abstractNum>
  <w:abstractNum w:abstractNumId="1">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NDdmYjgwOGVhMGY3ZDY4Njc3NjEzNTI4YWRmMDg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9C0"/>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4D56"/>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D8A"/>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218"/>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33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A17"/>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6F32E73"/>
    <w:rsid w:val="07245D42"/>
    <w:rsid w:val="07264C62"/>
    <w:rsid w:val="0764344E"/>
    <w:rsid w:val="0779354C"/>
    <w:rsid w:val="08061376"/>
    <w:rsid w:val="08452D77"/>
    <w:rsid w:val="086401F8"/>
    <w:rsid w:val="08751CAA"/>
    <w:rsid w:val="087E4C40"/>
    <w:rsid w:val="0885449C"/>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23652E"/>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C3028B"/>
    <w:rsid w:val="10F33360"/>
    <w:rsid w:val="10FC16EA"/>
    <w:rsid w:val="110F1D40"/>
    <w:rsid w:val="11266F33"/>
    <w:rsid w:val="114F36F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5F6578A"/>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D70716"/>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2C70275"/>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7E64DC"/>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6A74B4"/>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C273CE"/>
    <w:rsid w:val="33EB55CD"/>
    <w:rsid w:val="33EC4C02"/>
    <w:rsid w:val="340D2360"/>
    <w:rsid w:val="3410665D"/>
    <w:rsid w:val="34211214"/>
    <w:rsid w:val="342E63AB"/>
    <w:rsid w:val="34950E68"/>
    <w:rsid w:val="34986E94"/>
    <w:rsid w:val="34AF62C9"/>
    <w:rsid w:val="34CB4388"/>
    <w:rsid w:val="34FA6E12"/>
    <w:rsid w:val="353323D5"/>
    <w:rsid w:val="354D7158"/>
    <w:rsid w:val="358D5588"/>
    <w:rsid w:val="363A3B40"/>
    <w:rsid w:val="365302AE"/>
    <w:rsid w:val="36607A0A"/>
    <w:rsid w:val="366E227C"/>
    <w:rsid w:val="366F2E0D"/>
    <w:rsid w:val="367B6A5C"/>
    <w:rsid w:val="36A74ADA"/>
    <w:rsid w:val="36AD60D5"/>
    <w:rsid w:val="36B224F9"/>
    <w:rsid w:val="36EC0CC9"/>
    <w:rsid w:val="373F410B"/>
    <w:rsid w:val="37EE7094"/>
    <w:rsid w:val="3804682A"/>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DC7D8B"/>
    <w:rsid w:val="3DE041CB"/>
    <w:rsid w:val="3E0D48F6"/>
    <w:rsid w:val="3E1868B4"/>
    <w:rsid w:val="3E377251"/>
    <w:rsid w:val="3E42664B"/>
    <w:rsid w:val="3E5A733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0E64EB"/>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5756EE"/>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6C2C8D"/>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DF358F"/>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B1079"/>
    <w:rsid w:val="63AC6CC0"/>
    <w:rsid w:val="63E41A00"/>
    <w:rsid w:val="64055776"/>
    <w:rsid w:val="64240056"/>
    <w:rsid w:val="643A3D28"/>
    <w:rsid w:val="643E143A"/>
    <w:rsid w:val="64491666"/>
    <w:rsid w:val="648B6EEF"/>
    <w:rsid w:val="64C158BF"/>
    <w:rsid w:val="64CE2EAA"/>
    <w:rsid w:val="65156AE4"/>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C21766"/>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082C7C"/>
    <w:rsid w:val="6E8335BD"/>
    <w:rsid w:val="6E8E12EF"/>
    <w:rsid w:val="6E972936"/>
    <w:rsid w:val="6ED446C5"/>
    <w:rsid w:val="6F2A7D94"/>
    <w:rsid w:val="6F8331F1"/>
    <w:rsid w:val="6FAE1A09"/>
    <w:rsid w:val="6FD75BF8"/>
    <w:rsid w:val="707723D0"/>
    <w:rsid w:val="70F5661B"/>
    <w:rsid w:val="71360107"/>
    <w:rsid w:val="713B688E"/>
    <w:rsid w:val="71B34C1D"/>
    <w:rsid w:val="71CA10F3"/>
    <w:rsid w:val="71D43752"/>
    <w:rsid w:val="71F1796A"/>
    <w:rsid w:val="72154626"/>
    <w:rsid w:val="72262B5D"/>
    <w:rsid w:val="72283FF7"/>
    <w:rsid w:val="722E7212"/>
    <w:rsid w:val="723A0474"/>
    <w:rsid w:val="72485A07"/>
    <w:rsid w:val="725923E4"/>
    <w:rsid w:val="72864BF7"/>
    <w:rsid w:val="729023FC"/>
    <w:rsid w:val="72A14F9D"/>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FEEE6"/>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04404"/>
    <w:rsid w:val="7A3E5150"/>
    <w:rsid w:val="7A4670D6"/>
    <w:rsid w:val="7A534B63"/>
    <w:rsid w:val="7A615382"/>
    <w:rsid w:val="7A67303B"/>
    <w:rsid w:val="7AAB1D04"/>
    <w:rsid w:val="7ABA4368"/>
    <w:rsid w:val="7AD05746"/>
    <w:rsid w:val="7B203D0C"/>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663C0"/>
    <w:rsid w:val="7F715AF2"/>
    <w:rsid w:val="7F886E69"/>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263"/>
    <w:autoRedefine/>
    <w:qFormat/>
    <w:uiPriority w:val="0"/>
    <w:pPr>
      <w:spacing w:line="480" w:lineRule="exact"/>
      <w:ind w:firstLine="480" w:firstLineChars="200"/>
    </w:pPr>
    <w:rPr>
      <w:rFonts w:ascii="宋体" w:hAnsi="宋体"/>
      <w:sz w:val="24"/>
    </w:rPr>
  </w:style>
  <w:style w:type="paragraph" w:styleId="6">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2"/>
    <w:autoRedefine/>
    <w:qFormat/>
    <w:uiPriority w:val="99"/>
    <w:pPr>
      <w:jc w:val="left"/>
    </w:pPr>
  </w:style>
  <w:style w:type="paragraph" w:styleId="21">
    <w:name w:val="Salutation"/>
    <w:basedOn w:val="1"/>
    <w:next w:val="1"/>
    <w:link w:val="296"/>
    <w:autoRedefine/>
    <w:qFormat/>
    <w:uiPriority w:val="0"/>
    <w:rPr>
      <w:rFonts w:ascii="仿宋_GB2312" w:eastAsia="仿宋_GB2312"/>
      <w:sz w:val="28"/>
      <w:szCs w:val="20"/>
    </w:rPr>
  </w:style>
  <w:style w:type="paragraph" w:styleId="22">
    <w:name w:val="Body Text 3"/>
    <w:basedOn w:val="1"/>
    <w:link w:val="328"/>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1"/>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0"/>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1"/>
    <w:autoRedefine/>
    <w:qFormat/>
    <w:uiPriority w:val="99"/>
    <w:pPr>
      <w:tabs>
        <w:tab w:val="center" w:pos="4153"/>
        <w:tab w:val="right" w:pos="8306"/>
      </w:tabs>
      <w:snapToGrid w:val="0"/>
      <w:jc w:val="left"/>
    </w:pPr>
    <w:rPr>
      <w:sz w:val="18"/>
      <w:szCs w:val="18"/>
    </w:rPr>
  </w:style>
  <w:style w:type="paragraph" w:styleId="40">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6"/>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3"/>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0"/>
    <w:autoRedefine/>
    <w:qFormat/>
    <w:uiPriority w:val="0"/>
    <w:pPr>
      <w:spacing w:after="120" w:line="480" w:lineRule="auto"/>
    </w:pPr>
  </w:style>
  <w:style w:type="paragraph" w:styleId="56">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5"/>
    <w:autoRedefine/>
    <w:qFormat/>
    <w:uiPriority w:val="0"/>
    <w:rPr>
      <w:b/>
      <w:bCs/>
    </w:rPr>
  </w:style>
  <w:style w:type="paragraph" w:styleId="60">
    <w:name w:val="Body Text First Indent"/>
    <w:basedOn w:val="24"/>
    <w:link w:val="319"/>
    <w:autoRedefine/>
    <w:qFormat/>
    <w:uiPriority w:val="0"/>
    <w:pPr>
      <w:ind w:firstLine="420"/>
    </w:pPr>
    <w:rPr>
      <w:rFonts w:hAnsi="Calibri" w:cs="Times New Roman"/>
      <w:snapToGrid/>
      <w:szCs w:val="20"/>
    </w:rPr>
  </w:style>
  <w:style w:type="paragraph" w:styleId="61">
    <w:name w:val="Body Text First Indent 2"/>
    <w:basedOn w:val="2"/>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basedOn w:val="69"/>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Default"/>
    <w:next w:val="80"/>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9"/>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4"/>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2"/>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7"/>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79"/>
    <w:autoRedefine/>
    <w:qFormat/>
    <w:uiPriority w:val="0"/>
    <w:rPr>
      <w:rFonts w:ascii="仿宋_GB2312"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3"/>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58"/>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8"/>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1"/>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6"/>
    <w:autoRedefine/>
    <w:qFormat/>
    <w:uiPriority w:val="0"/>
    <w:rPr>
      <w:rFonts w:ascii="黑体" w:hAnsi="Courier New" w:eastAsia="黑体"/>
    </w:rPr>
  </w:style>
  <w:style w:type="character" w:customStyle="1" w:styleId="300">
    <w:name w:val="正文文本 2 Char1"/>
    <w:link w:val="55"/>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7"/>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10"/>
    <w:autoRedefine/>
    <w:qFormat/>
    <w:uiPriority w:val="0"/>
    <w:rPr>
      <w:b/>
      <w:bCs/>
      <w:kern w:val="2"/>
      <w:sz w:val="24"/>
      <w:szCs w:val="24"/>
    </w:rPr>
  </w:style>
  <w:style w:type="character" w:customStyle="1" w:styleId="306">
    <w:name w:val="正文文本缩进 2 Char"/>
    <w:link w:val="36"/>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49"/>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60"/>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7"/>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2"/>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autoRedefine/>
    <w:qFormat/>
    <w:uiPriority w:val="99"/>
    <w:rPr>
      <w:kern w:val="2"/>
      <w:sz w:val="21"/>
      <w:szCs w:val="24"/>
    </w:rPr>
  </w:style>
  <w:style w:type="character" w:customStyle="1" w:styleId="343">
    <w:name w:val="签名 Char"/>
    <w:link w:val="41"/>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2"/>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39"/>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0"/>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69"/>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6"/>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69"/>
    <w:autoRedefine/>
    <w:qFormat/>
    <w:uiPriority w:val="0"/>
    <w:rPr>
      <w:rFonts w:ascii="Arial" w:hAnsi="Arial" w:eastAsia="黑体" w:cs="Arial"/>
      <w:snapToGrid w:val="0"/>
      <w:kern w:val="0"/>
      <w:szCs w:val="21"/>
    </w:rPr>
  </w:style>
  <w:style w:type="character" w:customStyle="1" w:styleId="430">
    <w:name w:val="hui"/>
    <w:basedOn w:val="69"/>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outlineLvl w:val="5"/>
    </w:pPr>
  </w:style>
  <w:style w:type="paragraph" w:customStyle="1" w:styleId="472">
    <w:name w:val="5级标题"/>
    <w:basedOn w:val="473"/>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5"/>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79"/>
    <w:next w:val="79"/>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79"/>
    <w:next w:val="79"/>
    <w:autoRedefine/>
    <w:qFormat/>
    <w:uiPriority w:val="0"/>
    <w:rPr>
      <w:rFonts w:ascii="宋体" w:eastAsia="宋体" w:cs="Times New Roman"/>
      <w:color w:val="auto"/>
    </w:rPr>
  </w:style>
  <w:style w:type="paragraph" w:customStyle="1" w:styleId="548">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3"/>
    <w:autoRedefine/>
    <w:qFormat/>
    <w:uiPriority w:val="0"/>
    <w:pPr>
      <w:tabs>
        <w:tab w:val="left" w:pos="840"/>
      </w:tabs>
      <w:adjustRightInd/>
      <w:ind w:left="840" w:hanging="420"/>
    </w:pPr>
  </w:style>
  <w:style w:type="paragraph" w:customStyle="1" w:styleId="624">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Lines="0" w:afterLines="0"/>
      <w:ind w:left="1680"/>
      <w:outlineLvl w:val="2"/>
    </w:pPr>
  </w:style>
  <w:style w:type="paragraph" w:customStyle="1" w:styleId="656">
    <w:name w:val="章标题"/>
    <w:next w:val="63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5"/>
    <w:next w:val="52"/>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9"/>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autoRedefine/>
    <w:qFormat/>
    <w:uiPriority w:val="0"/>
    <w:pPr>
      <w:tabs>
        <w:tab w:val="left" w:pos="1080"/>
      </w:tabs>
      <w:ind w:left="1080" w:hanging="1080"/>
    </w:pPr>
  </w:style>
  <w:style w:type="paragraph" w:customStyle="1" w:styleId="895">
    <w:name w:val="数字标题1"/>
    <w:basedOn w:val="3"/>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7"/>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autoRedefine/>
    <w:qFormat/>
    <w:uiPriority w:val="19"/>
    <w:rPr>
      <w:i/>
      <w:iCs/>
    </w:rPr>
  </w:style>
  <w:style w:type="paragraph" w:customStyle="1" w:styleId="964">
    <w:name w:val="Other|1"/>
    <w:basedOn w:val="1"/>
    <w:autoRedefine/>
    <w:qFormat/>
    <w:uiPriority w:val="0"/>
    <w:pPr>
      <w:spacing w:line="408" w:lineRule="auto"/>
      <w:ind w:firstLine="400"/>
    </w:pPr>
    <w:rPr>
      <w:rFonts w:ascii="宋体" w:hAnsi="宋体" w:cs="宋体"/>
      <w:sz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Pages>
  <Words>6311</Words>
  <Characters>35975</Characters>
  <Lines>299</Lines>
  <Paragraphs>84</Paragraphs>
  <TotalTime>12</TotalTime>
  <ScaleCrop>false</ScaleCrop>
  <LinksUpToDate>false</LinksUpToDate>
  <CharactersWithSpaces>42202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2023-12-21T01:40:00Z</dcterms:created>
  <dc:creator>玥</dc:creator>
  <cp:lastModifiedBy>北极熊不吃鱼</cp:lastModifiedBy>
  <cp:lastPrinted>2021-12-30T11:06:00Z</cp:lastPrinted>
  <dcterms:modified xsi:type="dcterms:W3CDTF">2024-01-12T09:07:37Z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AF998815823A437C8176E214295AC7EE_13</vt:lpwstr>
  </property>
</Properties>
</file>