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sz w:val="56"/>
          <w:szCs w:val="40"/>
        </w:rPr>
      </w:pPr>
      <w:r>
        <w:rPr>
          <w:rFonts w:hint="eastAsia"/>
          <w:sz w:val="56"/>
          <w:szCs w:val="40"/>
        </w:rPr>
        <w:t>杭州市萧山区市政桥梁车辆动态称重检测系统项目</w:t>
      </w:r>
    </w:p>
    <w:p>
      <w:pPr>
        <w:jc w:val="center"/>
        <w:rPr>
          <w:sz w:val="40"/>
        </w:rPr>
      </w:pPr>
    </w:p>
    <w:p>
      <w:pPr>
        <w:jc w:val="center"/>
        <w:rPr>
          <w:sz w:val="40"/>
        </w:rPr>
      </w:pPr>
      <w:r>
        <w:rPr>
          <w:rFonts w:hint="eastAsia"/>
          <w:sz w:val="40"/>
        </w:rPr>
        <w:t>招标文件</w:t>
      </w:r>
    </w:p>
    <w:p>
      <w:pPr>
        <w:jc w:val="center"/>
        <w:rPr>
          <w:sz w:val="40"/>
        </w:rPr>
      </w:pPr>
      <w:r>
        <w:rPr>
          <w:sz w:val="40"/>
        </w:rPr>
        <w:t>（电子招投标）</w:t>
      </w:r>
    </w:p>
    <w:p>
      <w:pPr>
        <w:jc w:val="center"/>
        <w:rPr>
          <w:rFonts w:hint="default" w:eastAsia="仿宋"/>
          <w:sz w:val="36"/>
          <w:lang w:val="en-US" w:eastAsia="zh-CN"/>
        </w:rPr>
      </w:pPr>
      <w:r>
        <w:rPr>
          <w:rFonts w:hint="eastAsia"/>
          <w:sz w:val="36"/>
        </w:rPr>
        <w:t>编号</w:t>
      </w:r>
      <w:r>
        <w:rPr>
          <w:sz w:val="36"/>
        </w:rPr>
        <w:t>:</w:t>
      </w:r>
      <w:r>
        <w:t xml:space="preserve"> </w:t>
      </w:r>
      <w:r>
        <w:rPr>
          <w:rFonts w:hint="eastAsia"/>
          <w:sz w:val="36"/>
        </w:rPr>
        <w:t xml:space="preserve"> LVBZZX-GYGK-2022</w:t>
      </w:r>
      <w:r>
        <w:rPr>
          <w:rFonts w:hint="eastAsia"/>
          <w:sz w:val="36"/>
          <w:lang w:val="en-US" w:eastAsia="zh-CN"/>
        </w:rPr>
        <w:t>436</w:t>
      </w:r>
    </w:p>
    <w:p>
      <w:pPr>
        <w:jc w:val="center"/>
        <w:rPr>
          <w:sz w:val="36"/>
        </w:rPr>
      </w:pPr>
    </w:p>
    <w:p>
      <w:pPr>
        <w:jc w:val="center"/>
        <w:rPr>
          <w:sz w:val="36"/>
        </w:rPr>
      </w:pPr>
    </w:p>
    <w:p>
      <w:pPr>
        <w:jc w:val="center"/>
        <w:rPr>
          <w:sz w:val="36"/>
        </w:rPr>
      </w:pPr>
    </w:p>
    <w:p>
      <w:pPr>
        <w:jc w:val="center"/>
        <w:rPr>
          <w:sz w:val="36"/>
        </w:rPr>
      </w:pPr>
    </w:p>
    <w:p/>
    <w:p>
      <w:pPr>
        <w:jc w:val="center"/>
      </w:pPr>
    </w:p>
    <w:p>
      <w:pPr>
        <w:jc w:val="center"/>
        <w:rPr>
          <w:sz w:val="36"/>
        </w:rPr>
      </w:pPr>
      <w:r>
        <w:rPr>
          <w:rFonts w:hint="eastAsia"/>
          <w:sz w:val="36"/>
        </w:rPr>
        <w:t>杭州市萧山区市政绿化养护保障中心</w:t>
      </w:r>
    </w:p>
    <w:p>
      <w:pPr>
        <w:jc w:val="center"/>
        <w:rPr>
          <w:sz w:val="36"/>
        </w:rPr>
      </w:pPr>
      <w:r>
        <w:rPr>
          <w:rFonts w:hint="eastAsia"/>
          <w:sz w:val="36"/>
        </w:rPr>
        <w:t>浙江华域高宇项目管理有限公司</w:t>
      </w:r>
    </w:p>
    <w:p>
      <w:pPr>
        <w:jc w:val="center"/>
        <w:rPr>
          <w:sz w:val="36"/>
        </w:rPr>
      </w:pPr>
      <w:r>
        <w:rPr>
          <w:rFonts w:hint="eastAsia"/>
          <w:sz w:val="36"/>
        </w:rPr>
        <w:t>2022年0</w:t>
      </w:r>
      <w:r>
        <w:rPr>
          <w:rFonts w:hint="eastAsia"/>
          <w:sz w:val="36"/>
          <w:lang w:val="en-US" w:eastAsia="zh-CN"/>
        </w:rPr>
        <w:t>9</w:t>
      </w:r>
      <w:r>
        <w:rPr>
          <w:rFonts w:hint="eastAsia"/>
          <w:sz w:val="36"/>
        </w:rPr>
        <w:t>月</w:t>
      </w:r>
      <w:r>
        <w:rPr>
          <w:rFonts w:hint="eastAsia"/>
          <w:sz w:val="36"/>
          <w:lang w:val="en-US" w:eastAsia="zh-CN"/>
        </w:rPr>
        <w:t>8</w:t>
      </w:r>
      <w:r>
        <w:rPr>
          <w:rFonts w:hint="eastAsia"/>
          <w:sz w:val="36"/>
        </w:rPr>
        <w:t>日</w:t>
      </w:r>
    </w:p>
    <w:p>
      <w:pPr>
        <w:jc w:val="center"/>
      </w:pPr>
      <w:r>
        <w:rPr>
          <w:rFonts w:hint="eastAsia"/>
        </w:rPr>
        <w:t>本招标文件为2022年7月1日稿，请各位投标人详细阅读各项条款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3"/>
      </w:pPr>
      <w:r>
        <w:rPr>
          <w:rFonts w:hint="eastAsia"/>
        </w:rPr>
        <w:t>第一部分</w:t>
      </w:r>
      <w:r>
        <w:t xml:space="preserve"> </w:t>
      </w:r>
      <w:r>
        <w:rPr>
          <w:rFonts w:hint="eastAsia"/>
        </w:rPr>
        <w:t>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after="0"/>
            </w:pPr>
            <w:r>
              <w:rPr>
                <w:rFonts w:hint="eastAsia"/>
              </w:rPr>
              <w:t>项目概况</w:t>
            </w:r>
          </w:p>
          <w:p>
            <w:pPr>
              <w:spacing w:after="0"/>
              <w:rPr>
                <w:u w:val="single"/>
              </w:rPr>
            </w:pPr>
            <w:r>
              <w:rPr>
                <w:rFonts w:hint="eastAsia" w:cs="仿宋_GB2312"/>
                <w:u w:val="single"/>
              </w:rPr>
              <w:t>（杭州市萧山区市政桥梁车辆动态称重检测系统项目）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26"/>
                <w:rFonts w:ascii="仿宋_GB2312" w:eastAsia="仿宋_GB2312" w:cs="Times New Roman"/>
                <w:color w:val="auto"/>
                <w:kern w:val="2"/>
              </w:rPr>
              <w:t>https://www.zcygov.cn/）获取（下载）招标文件，并于</w:t>
            </w:r>
            <w:r>
              <w:rPr>
                <w:rFonts w:hint="eastAsia"/>
                <w:u w:val="single"/>
              </w:rPr>
              <w:t>202</w:t>
            </w:r>
            <w:r>
              <w:rPr>
                <w:rFonts w:hint="eastAsia"/>
                <w:u w:val="single"/>
                <w:lang w:val="en-US" w:eastAsia="zh-CN"/>
              </w:rPr>
              <w:t>2</w:t>
            </w:r>
            <w:r>
              <w:rPr>
                <w:u w:val="single"/>
              </w:rPr>
              <w:t>年</w:t>
            </w:r>
            <w:r>
              <w:rPr>
                <w:rFonts w:hint="eastAsia"/>
                <w:u w:val="single"/>
                <w:lang w:val="en-US" w:eastAsia="zh-CN"/>
              </w:rPr>
              <w:t>9</w:t>
            </w:r>
            <w:r>
              <w:rPr>
                <w:rFonts w:hint="eastAsia"/>
                <w:u w:val="single"/>
              </w:rPr>
              <w:t>月</w:t>
            </w:r>
            <w:r>
              <w:rPr>
                <w:rFonts w:hint="eastAsia"/>
                <w:u w:val="single"/>
                <w:lang w:val="en-US" w:eastAsia="zh-CN"/>
              </w:rPr>
              <w:t>30</w:t>
            </w:r>
            <w:r>
              <w:rPr>
                <w:rFonts w:hint="eastAsia"/>
                <w:u w:val="single"/>
              </w:rPr>
              <w:t xml:space="preserve">日 </w:t>
            </w:r>
            <w:r>
              <w:rPr>
                <w:rFonts w:hint="eastAsia"/>
                <w:u w:val="single"/>
                <w:lang w:val="en-US" w:eastAsia="zh-CN"/>
              </w:rPr>
              <w:t>9</w:t>
            </w:r>
            <w:r>
              <w:rPr>
                <w:rFonts w:hint="eastAsia"/>
                <w:u w:val="single"/>
              </w:rPr>
              <w:t>点</w:t>
            </w:r>
            <w:r>
              <w:rPr>
                <w:rFonts w:hint="eastAsia"/>
                <w:u w:val="single"/>
                <w:lang w:val="en-US" w:eastAsia="zh-CN"/>
              </w:rPr>
              <w:t>30</w:t>
            </w:r>
            <w:r>
              <w:rPr>
                <w:rFonts w:hint="eastAsia"/>
                <w:u w:val="single"/>
              </w:rPr>
              <w:t>分</w:t>
            </w:r>
            <w:r>
              <w:rPr>
                <w:rFonts w:hint="eastAsia"/>
                <w:bCs/>
                <w:u w:val="single"/>
              </w:rPr>
              <w:t>00秒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pPr>
        <w:rPr>
          <w:rFonts w:hint="default" w:eastAsia="仿宋"/>
          <w:lang w:val="en-US" w:eastAsia="zh-CN"/>
        </w:rPr>
      </w:pPr>
      <w:r>
        <w:rPr>
          <w:rFonts w:hint="eastAsia"/>
        </w:rPr>
        <w:t>项目编号：LVBZZX-GYGK-2022</w:t>
      </w:r>
      <w:r>
        <w:rPr>
          <w:rFonts w:hint="eastAsia"/>
          <w:lang w:val="en-US" w:eastAsia="zh-CN"/>
        </w:rPr>
        <w:t>436</w:t>
      </w:r>
      <w:bookmarkStart w:id="529" w:name="_GoBack"/>
      <w:bookmarkEnd w:id="529"/>
    </w:p>
    <w:p>
      <w:r>
        <w:t>项目名称：</w:t>
      </w:r>
      <w:r>
        <w:rPr>
          <w:rFonts w:hint="eastAsia"/>
        </w:rPr>
        <w:t>杭州市萧山区市政桥梁车辆动态称重检测系统项目</w:t>
      </w:r>
    </w:p>
    <w:p>
      <w:r>
        <w:t>预算金额（元）：</w:t>
      </w:r>
      <w:r>
        <w:rPr>
          <w:rFonts w:hint="eastAsia"/>
          <w:lang w:val="en-US" w:eastAsia="zh-CN"/>
        </w:rPr>
        <w:t>7200000</w:t>
      </w:r>
      <w:r>
        <w:t xml:space="preserve"> </w:t>
      </w:r>
      <w:r>
        <w:rPr>
          <w:rFonts w:hint="eastAsia"/>
        </w:rPr>
        <w:t xml:space="preserve"> </w:t>
      </w:r>
    </w:p>
    <w:p>
      <w:r>
        <w:rPr>
          <w:rFonts w:hint="eastAsia"/>
        </w:rPr>
        <w:t>最高限价（元）：</w:t>
      </w:r>
      <w:r>
        <w:rPr>
          <w:rFonts w:hint="eastAsia"/>
          <w:lang w:val="en-US" w:eastAsia="zh-CN"/>
        </w:rPr>
        <w:t>7200000</w:t>
      </w:r>
      <w:r>
        <w:t xml:space="preserve"> </w:t>
      </w:r>
      <w:r>
        <w:rPr>
          <w:rFonts w:hint="eastAsia"/>
        </w:rPr>
        <w:t xml:space="preserve"> </w:t>
      </w:r>
    </w:p>
    <w:p>
      <w:r>
        <w:rPr>
          <w:rFonts w:hint="eastAsia"/>
        </w:rPr>
        <w:t>采购需求：杭州市萧山区市政桥梁车辆动态称重检测系统项目；主要内容：桥梁车辆动态称重检测系统</w:t>
      </w:r>
      <w:r>
        <w:t>。</w:t>
      </w:r>
      <w:r>
        <w:rPr>
          <w:rFonts w:hint="eastAsia"/>
        </w:rPr>
        <w:t>详见招标文件第三部分采购需求。</w:t>
      </w:r>
    </w:p>
    <w:p>
      <w:r>
        <w:rPr>
          <w:rFonts w:hint="eastAsia"/>
        </w:rPr>
        <w:t>合同履约期限：详见招标文件</w:t>
      </w:r>
    </w:p>
    <w:p>
      <w:r>
        <w:rPr>
          <w:rFonts w:hint="eastAsia"/>
        </w:rPr>
        <w:t>本项目接受联合体投标：（√）是；（ ）否</w:t>
      </w:r>
      <w:r>
        <w:t xml:space="preserve"> </w:t>
      </w:r>
      <w:r>
        <w:rPr>
          <w:rFonts w:hint="eastAsia"/>
        </w:rPr>
        <w:t>。</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w:t>
      </w:r>
      <w:r>
        <w:rPr>
          <w:rFonts w:hint="eastAsia"/>
          <w:lang w:val="en-US" w:eastAsia="zh-CN"/>
        </w:rPr>
        <w:t xml:space="preserve">  </w:t>
      </w:r>
      <w:r>
        <w:rPr>
          <w:rFonts w:hint="eastAsia"/>
        </w:rPr>
        <w:t>）无；</w:t>
      </w:r>
    </w:p>
    <w:p>
      <w:r>
        <w:rPr>
          <w:rFonts w:hint="eastAsia"/>
        </w:rPr>
        <w:t>（√ ）专门面向中小企业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rPr>
        <w:t>202</w:t>
      </w:r>
      <w:r>
        <w:rPr>
          <w:rFonts w:hint="eastAsia"/>
          <w:lang w:val="en-US" w:eastAsia="zh-CN"/>
        </w:rPr>
        <w:t>2</w:t>
      </w:r>
      <w:r>
        <w:t>年</w:t>
      </w:r>
      <w:r>
        <w:rPr>
          <w:rFonts w:hint="eastAsia"/>
          <w:lang w:val="en-US" w:eastAsia="zh-CN"/>
        </w:rPr>
        <w:t>9</w:t>
      </w:r>
      <w:r>
        <w:t>月</w:t>
      </w:r>
      <w:r>
        <w:rPr>
          <w:rFonts w:hint="eastAsia"/>
          <w:lang w:val="en-US" w:eastAsia="zh-CN"/>
        </w:rPr>
        <w:t>30</w:t>
      </w:r>
      <w: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rPr>
        <w:t>202</w:t>
      </w:r>
      <w:r>
        <w:rPr>
          <w:rFonts w:hint="eastAsia"/>
          <w:lang w:val="en-US" w:eastAsia="zh-CN"/>
        </w:rPr>
        <w:t>2</w:t>
      </w:r>
      <w:r>
        <w:t>年</w:t>
      </w:r>
      <w:r>
        <w:rPr>
          <w:rFonts w:hint="eastAsia"/>
          <w:lang w:val="en-US" w:eastAsia="zh-CN"/>
        </w:rPr>
        <w:t>9</w:t>
      </w:r>
      <w:r>
        <w:rPr>
          <w:rFonts w:hint="eastAsia"/>
        </w:rPr>
        <w:t>月</w:t>
      </w:r>
      <w:r>
        <w:rPr>
          <w:rFonts w:hint="eastAsia"/>
          <w:lang w:val="en-US" w:eastAsia="zh-CN"/>
        </w:rPr>
        <w:t>30</w:t>
      </w:r>
      <w:r>
        <w:rPr>
          <w:rFonts w:hint="eastAsia"/>
        </w:rPr>
        <w:t>日</w:t>
      </w:r>
      <w:r>
        <w:rPr>
          <w:rFonts w:hint="eastAsia"/>
          <w:lang w:val="en-US" w:eastAsia="zh-CN"/>
        </w:rPr>
        <w:t>9</w:t>
      </w:r>
      <w:r>
        <w:rPr>
          <w:rFonts w:hint="eastAsia"/>
        </w:rPr>
        <w:t>点</w:t>
      </w:r>
      <w:r>
        <w:rPr>
          <w:rFonts w:hint="eastAsia"/>
          <w:lang w:val="en-US" w:eastAsia="zh-CN"/>
        </w:rPr>
        <w:t>30</w:t>
      </w:r>
      <w:r>
        <w:rPr>
          <w:rFonts w:hint="eastAsia"/>
        </w:rPr>
        <w:t>分 （北京时间）</w:t>
      </w:r>
    </w:p>
    <w:p>
      <w:r>
        <w:rPr>
          <w:rFonts w:hint="eastAsia"/>
        </w:rPr>
        <w:t>投标地点（网址）：政采云平台（</w:t>
      </w:r>
      <w:r>
        <w:t xml:space="preserve">https://www.zcygov.cn/） </w:t>
      </w:r>
    </w:p>
    <w:p>
      <w:r>
        <w:rPr>
          <w:rFonts w:hint="eastAsia"/>
        </w:rPr>
        <w:t>开标时间：202</w:t>
      </w:r>
      <w:r>
        <w:rPr>
          <w:rFonts w:hint="eastAsia"/>
          <w:lang w:val="en-US" w:eastAsia="zh-CN"/>
        </w:rPr>
        <w:t>2</w:t>
      </w:r>
      <w:r>
        <w:t>年</w:t>
      </w:r>
      <w:r>
        <w:rPr>
          <w:rFonts w:hint="eastAsia"/>
          <w:lang w:val="en-US" w:eastAsia="zh-CN"/>
        </w:rPr>
        <w:t>9</w:t>
      </w:r>
      <w:r>
        <w:rPr>
          <w:rFonts w:hint="eastAsia"/>
        </w:rPr>
        <w:t>月</w:t>
      </w:r>
      <w:r>
        <w:rPr>
          <w:rFonts w:hint="eastAsia"/>
          <w:lang w:val="en-US" w:eastAsia="zh-CN"/>
        </w:rPr>
        <w:t>30</w:t>
      </w:r>
      <w:r>
        <w:rPr>
          <w:rFonts w:hint="eastAsia"/>
        </w:rPr>
        <w:t>日</w:t>
      </w:r>
      <w:r>
        <w:rPr>
          <w:rFonts w:hint="eastAsia"/>
          <w:lang w:val="en-US" w:eastAsia="zh-CN"/>
        </w:rPr>
        <w:t>9</w:t>
      </w:r>
      <w:r>
        <w:rPr>
          <w:rFonts w:hint="eastAsia"/>
        </w:rPr>
        <w:t>点</w:t>
      </w:r>
      <w:r>
        <w:rPr>
          <w:rFonts w:hint="eastAsia"/>
          <w:lang w:val="en-US" w:eastAsia="zh-CN"/>
        </w:rPr>
        <w:t>30</w:t>
      </w:r>
      <w:r>
        <w:rPr>
          <w:rFonts w:hint="eastAsia"/>
        </w:rPr>
        <w:t xml:space="preserve">分 </w:t>
      </w:r>
    </w:p>
    <w:p>
      <w:r>
        <w:rPr>
          <w:rFonts w:hint="eastAsia"/>
        </w:rPr>
        <w:t>开标地点（网址）：</w:t>
      </w:r>
      <w:r>
        <w:t>政</w:t>
      </w:r>
      <w:r>
        <w:rPr>
          <w:rFonts w:hint="eastAsia"/>
        </w:rPr>
        <w:t>采云平台（</w:t>
      </w:r>
      <w:r>
        <w:t>https://www.zcygov.cn/）</w:t>
      </w:r>
      <w:r>
        <w:rPr>
          <w:rFonts w:hint="eastAsia"/>
        </w:rPr>
        <w:t>。</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r>
        <w:rPr>
          <w:rFonts w:hint="eastAsia"/>
        </w:rPr>
        <w:t>1</w:t>
      </w:r>
      <w:r>
        <w:t>.</w:t>
      </w:r>
      <w:r>
        <w:rPr>
          <w:rFonts w:hint="eastAsia"/>
        </w:rPr>
        <w:t>采购人信息</w:t>
      </w:r>
    </w:p>
    <w:p>
      <w:bookmarkStart w:id="0" w:name="_Toc28359009"/>
      <w:bookmarkStart w:id="1" w:name="_Toc28359086"/>
      <w:r>
        <w:rPr>
          <w:rFonts w:hint="eastAsia"/>
        </w:rPr>
        <w:t>名 称：杭州市萧山区市政绿化养护保障中心</w:t>
      </w:r>
    </w:p>
    <w:p>
      <w:r>
        <w:rPr>
          <w:rFonts w:hint="eastAsia"/>
        </w:rPr>
        <w:t>地址：萧山区萧然南路630号</w:t>
      </w:r>
    </w:p>
    <w:p>
      <w:r>
        <w:rPr>
          <w:rFonts w:hint="eastAsia"/>
        </w:rPr>
        <w:t>传真：/</w:t>
      </w:r>
    </w:p>
    <w:p>
      <w:r>
        <w:rPr>
          <w:rFonts w:hint="eastAsia"/>
        </w:rPr>
        <w:t>项目联系人（询问）：陈新旭</w:t>
      </w:r>
    </w:p>
    <w:p>
      <w:r>
        <w:rPr>
          <w:rFonts w:hint="eastAsia"/>
        </w:rPr>
        <w:t>项目联系方式（询问）：0571-82427450   619241413@qq.com（邮箱）</w:t>
      </w:r>
    </w:p>
    <w:p>
      <w:r>
        <w:rPr>
          <w:rFonts w:hint="eastAsia"/>
        </w:rPr>
        <w:t>质疑联系人：李东</w:t>
      </w:r>
    </w:p>
    <w:p>
      <w:r>
        <w:rPr>
          <w:rFonts w:hint="eastAsia"/>
        </w:rPr>
        <w:t>质疑联系方式： 0571-82695089</w:t>
      </w:r>
    </w:p>
    <w:p>
      <w:r>
        <w:rPr>
          <w:rFonts w:hint="eastAsia"/>
        </w:rPr>
        <w:t>2</w:t>
      </w:r>
      <w:r>
        <w:t>.</w:t>
      </w:r>
      <w:r>
        <w:rPr>
          <w:rFonts w:hint="eastAsia"/>
        </w:rPr>
        <w:t>采购代理机构信息</w:t>
      </w:r>
      <w:bookmarkEnd w:id="0"/>
      <w:bookmarkEnd w:id="1"/>
    </w:p>
    <w:p>
      <w:r>
        <w:rPr>
          <w:rFonts w:hint="eastAsia"/>
        </w:rPr>
        <w:t>名 称：浙江华域高宇项目管理有限公司</w:t>
      </w:r>
    </w:p>
    <w:p>
      <w:r>
        <w:rPr>
          <w:rFonts w:hint="eastAsia"/>
        </w:rPr>
        <w:t>地址：萧山区北干街道金城路560号心意广场2幢1101室</w:t>
      </w:r>
    </w:p>
    <w:p>
      <w:r>
        <w:rPr>
          <w:rFonts w:hint="eastAsia"/>
        </w:rPr>
        <w:t>传真：0571-22866657</w:t>
      </w:r>
    </w:p>
    <w:p>
      <w:r>
        <w:rPr>
          <w:rFonts w:hint="eastAsia"/>
        </w:rPr>
        <w:t>项目联系人（询问）：陈超</w:t>
      </w:r>
    </w:p>
    <w:p>
      <w:r>
        <w:rPr>
          <w:rFonts w:hint="eastAsia"/>
        </w:rPr>
        <w:t>项目联系方式（询问）：0571-22816663/13738195695</w:t>
      </w:r>
    </w:p>
    <w:p>
      <w:r>
        <w:rPr>
          <w:rFonts w:hint="eastAsia"/>
        </w:rPr>
        <w:t>质疑联系人：高天宇</w:t>
      </w:r>
    </w:p>
    <w:p>
      <w:r>
        <w:rPr>
          <w:rFonts w:hint="eastAsia"/>
        </w:rPr>
        <w:t>质疑联系方式：0571-22816663</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3"/>
      </w:pPr>
      <w:r>
        <w:rPr>
          <w:rFonts w:hint="eastAsia"/>
        </w:rPr>
        <w:t>第二部分</w:t>
      </w:r>
      <w:r>
        <w:t xml:space="preserve"> 投标人须知</w:t>
      </w:r>
    </w:p>
    <w:p>
      <w:pPr>
        <w:pStyle w:val="2"/>
        <w:ind w:left="480"/>
      </w:pPr>
      <w:r>
        <w:rPr>
          <w:rFonts w:hint="eastAsia"/>
        </w:rPr>
        <w:t>前附表</w:t>
      </w:r>
    </w:p>
    <w:tbl>
      <w:tblPr>
        <w:tblStyle w:val="22"/>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w:t>
            </w:r>
            <w:r>
              <w:rPr>
                <w:rFonts w:hint="eastAsia"/>
              </w:rPr>
              <w:t>√</w:t>
            </w:r>
            <w:r>
              <w:rPr>
                <w:rFonts w:hint="eastAsia" w:cs="仿宋"/>
                <w:sz w:val="22"/>
              </w:rPr>
              <w:t xml:space="preserve"> )A货物类，单一产品或核心产品为：</w:t>
            </w:r>
            <w:r>
              <w:rPr>
                <w:rFonts w:hint="eastAsia" w:cs="仿宋"/>
                <w:sz w:val="22"/>
                <w:u w:val="single"/>
              </w:rPr>
              <w:t xml:space="preserve">    </w:t>
            </w:r>
            <w:r>
              <w:rPr>
                <w:rFonts w:hint="eastAsia" w:cs="仿宋"/>
                <w:sz w:val="22"/>
              </w:rPr>
              <w:t>。</w:t>
            </w:r>
          </w:p>
          <w:p>
            <w:pPr>
              <w:spacing w:after="0"/>
            </w:pPr>
            <w:r>
              <w:rPr>
                <w:rFonts w:hint="eastAsia" w:cs="仿宋"/>
                <w:sz w:val="22"/>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（1）标的：杭州市萧山区市政桥梁车辆动态称重检测系统项目 ，属于工业 行业；……</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w:t>
            </w:r>
            <w:r>
              <w:rPr>
                <w:rFonts w:hint="eastAsia"/>
              </w:rPr>
              <w:t>√</w:t>
            </w:r>
            <w:r>
              <w:rPr>
                <w:rFonts w:hint="eastAsia" w:cs="仿宋"/>
                <w:sz w:val="22"/>
              </w:rPr>
              <w:t>)</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pPr>
            <w:r>
              <w:rPr>
                <w:rFonts w:hint="eastAsia" w:cs="仿宋"/>
                <w:b/>
                <w:sz w:val="22"/>
              </w:rPr>
              <w:t>联合体和分包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同意将非主体、非关键性的</w:t>
            </w:r>
            <w:r>
              <w:rPr>
                <w:rFonts w:hint="eastAsia" w:ascii="仿宋_GB2312" w:eastAsia="仿宋_GB2312"/>
                <w:sz w:val="22"/>
                <w:u w:val="single"/>
              </w:rPr>
              <w:t xml:space="preserve">             </w:t>
            </w:r>
            <w:r>
              <w:rPr>
                <w:rFonts w:hint="eastAsia" w:ascii="仿宋_GB2312" w:eastAsia="仿宋_GB2312"/>
                <w:sz w:val="22"/>
              </w:rPr>
              <w:t>工作分包。</w:t>
            </w:r>
          </w:p>
          <w:p>
            <w:pPr>
              <w:spacing w:after="0"/>
              <w:rPr>
                <w:rFonts w:ascii="仿宋_GB2312" w:eastAsia="仿宋_GB2312"/>
                <w:sz w:val="22"/>
              </w:rPr>
            </w:pPr>
            <w:r>
              <w:rPr>
                <w:rFonts w:hint="eastAsia" w:ascii="仿宋_GB2312" w:eastAsia="仿宋_GB2312"/>
                <w:b/>
                <w:sz w:val="22"/>
              </w:rPr>
              <w:t>（ ）</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5</w:t>
            </w:r>
          </w:p>
        </w:tc>
        <w:tc>
          <w:tcPr>
            <w:tcW w:w="822" w:type="pct"/>
            <w:vAlign w:val="center"/>
          </w:tcPr>
          <w:p>
            <w:pPr>
              <w:spacing w:after="0"/>
              <w:rPr>
                <w:color w:val="auto"/>
                <w:highlight w:val="none"/>
              </w:rPr>
            </w:pPr>
            <w:r>
              <w:rPr>
                <w:rFonts w:hint="eastAsia" w:cs="仿宋"/>
                <w:b/>
                <w:color w:val="auto"/>
                <w:sz w:val="22"/>
                <w:highlight w:val="none"/>
              </w:rPr>
              <w:t>开标前答疑会或现场考察</w:t>
            </w:r>
          </w:p>
        </w:tc>
        <w:tc>
          <w:tcPr>
            <w:tcW w:w="3867" w:type="pct"/>
            <w:vAlign w:val="center"/>
          </w:tcPr>
          <w:p>
            <w:pPr>
              <w:spacing w:after="0" w:line="360" w:lineRule="auto"/>
              <w:rPr>
                <w:rFonts w:ascii="仿宋_GB2312" w:eastAsia="仿宋_GB2312"/>
                <w:color w:val="auto"/>
                <w:sz w:val="22"/>
                <w:highlight w:val="none"/>
              </w:rPr>
            </w:pPr>
            <w:r>
              <w:rPr>
                <w:rFonts w:hint="eastAsia" w:ascii="仿宋_GB2312" w:eastAsia="仿宋_GB2312"/>
                <w:b/>
                <w:color w:val="auto"/>
                <w:sz w:val="22"/>
                <w:highlight w:val="none"/>
              </w:rPr>
              <w:t>（√）</w:t>
            </w:r>
            <w:r>
              <w:rPr>
                <w:rFonts w:hint="eastAsia" w:ascii="仿宋_GB2312" w:eastAsia="仿宋_GB2312" w:cs="Arial"/>
                <w:color w:val="auto"/>
                <w:sz w:val="22"/>
                <w:highlight w:val="none"/>
              </w:rPr>
              <w:t>A</w:t>
            </w:r>
            <w:r>
              <w:rPr>
                <w:rFonts w:hint="eastAsia" w:ascii="仿宋_GB2312" w:eastAsia="仿宋_GB2312"/>
                <w:color w:val="auto"/>
                <w:sz w:val="22"/>
                <w:highlight w:val="none"/>
              </w:rPr>
              <w:t>不组织。</w:t>
            </w:r>
          </w:p>
          <w:p>
            <w:pPr>
              <w:spacing w:after="0" w:line="360" w:lineRule="auto"/>
              <w:rPr>
                <w:rFonts w:ascii="仿宋_GB2312" w:eastAsia="仿宋_GB2312"/>
                <w:color w:val="auto"/>
                <w:sz w:val="22"/>
                <w:highlight w:val="none"/>
              </w:rPr>
            </w:pPr>
            <w:r>
              <w:rPr>
                <w:rFonts w:hint="eastAsia" w:ascii="仿宋_GB2312" w:eastAsia="仿宋_GB2312"/>
                <w:b/>
                <w:color w:val="auto"/>
                <w:sz w:val="22"/>
                <w:highlight w:val="none"/>
              </w:rPr>
              <w:t xml:space="preserve">（ </w:t>
            </w:r>
            <w:r>
              <w:rPr>
                <w:rFonts w:ascii="仿宋_GB2312" w:eastAsia="仿宋_GB2312"/>
                <w:b/>
                <w:color w:val="auto"/>
                <w:sz w:val="22"/>
                <w:highlight w:val="none"/>
              </w:rPr>
              <w:t xml:space="preserve"> </w:t>
            </w:r>
            <w:r>
              <w:rPr>
                <w:rFonts w:hint="eastAsia" w:ascii="仿宋_GB2312" w:eastAsia="仿宋_GB2312"/>
                <w:b/>
                <w:color w:val="auto"/>
                <w:sz w:val="22"/>
                <w:highlight w:val="none"/>
              </w:rPr>
              <w:t>）</w:t>
            </w:r>
            <w:r>
              <w:rPr>
                <w:rFonts w:hint="eastAsia" w:ascii="仿宋_GB2312" w:eastAsia="仿宋_GB2312"/>
                <w:color w:val="auto"/>
                <w:sz w:val="22"/>
                <w:highlight w:val="none"/>
              </w:rPr>
              <w:t>B组织，时间：</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,地点：</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w:t>
            </w:r>
          </w:p>
          <w:p>
            <w:pPr>
              <w:spacing w:after="0"/>
              <w:rPr>
                <w:color w:val="auto"/>
                <w:highlight w:val="none"/>
              </w:rPr>
            </w:pPr>
            <w:r>
              <w:rPr>
                <w:rFonts w:hint="eastAsia" w:ascii="仿宋_GB2312" w:eastAsia="仿宋_GB2312"/>
                <w:color w:val="auto"/>
                <w:sz w:val="22"/>
                <w:highlight w:val="none"/>
              </w:rPr>
              <w:t>联系人：</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rPr>
                <w:bCs/>
                <w:sz w:val="22"/>
              </w:rPr>
            </w:pPr>
            <w:r>
              <w:rPr>
                <w:rFonts w:hint="eastAsia"/>
                <w:bCs/>
                <w:sz w:val="22"/>
              </w:rPr>
              <w:t>（√）A不要求提供。</w:t>
            </w:r>
          </w:p>
          <w:p>
            <w:pPr>
              <w:spacing w:after="0" w:line="360" w:lineRule="auto"/>
            </w:pPr>
            <w:r>
              <w:rPr>
                <w:rFonts w:hint="eastAsia"/>
                <w:bCs/>
                <w:sz w:val="22"/>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rPr>
                <w:bCs/>
                <w:sz w:val="22"/>
              </w:rPr>
            </w:pPr>
            <w:r>
              <w:rPr>
                <w:rFonts w:hint="eastAsia"/>
                <w:bCs/>
                <w:sz w:val="22"/>
              </w:rPr>
              <w:t>（</w:t>
            </w:r>
            <w:r>
              <w:rPr>
                <w:rFonts w:hint="eastAsia"/>
              </w:rPr>
              <w:t>√</w:t>
            </w:r>
            <w:r>
              <w:rPr>
                <w:rFonts w:hint="eastAsia"/>
                <w:bCs/>
                <w:sz w:val="22"/>
              </w:rPr>
              <w:t>）A不要求。</w:t>
            </w:r>
          </w:p>
          <w:p>
            <w:pPr>
              <w:spacing w:after="0" w:line="360" w:lineRule="auto"/>
            </w:pPr>
            <w:r>
              <w:rPr>
                <w:rFonts w:hint="eastAsia"/>
                <w:bCs/>
                <w:sz w:val="22"/>
              </w:rPr>
              <w:t>（  ）B要求演示，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sz w:val="22"/>
                <w:lang w:val="zh-CN"/>
              </w:rPr>
            </w:pPr>
            <w:r>
              <w:rPr>
                <w:rFonts w:hint="eastAsia" w:cs="Arial"/>
                <w:bCs/>
                <w:sz w:val="22"/>
                <w:lang w:val="zh-CN"/>
              </w:rPr>
              <w:t>有关本项目实施所需的所有费用（含税费）均计入报价。</w:t>
            </w:r>
            <w:r>
              <w:rPr>
                <w:rFonts w:hint="eastAsia" w:cs="Arial"/>
                <w:bCs/>
                <w:sz w:val="22"/>
              </w:rPr>
              <w:t>开标一览表（报价表）是报价的唯一载体</w:t>
            </w:r>
            <w:r>
              <w:rPr>
                <w:rFonts w:hint="eastAsia" w:cs="Arial"/>
                <w:bCs/>
                <w:sz w:val="22"/>
                <w:lang w:val="zh-CN"/>
              </w:rPr>
              <w:t>。投标文件中价格全部采用人民币报价。招标文件未列明，而投标人认为必需的费用也需列入报价。</w:t>
            </w:r>
          </w:p>
          <w:p>
            <w:pPr>
              <w:spacing w:after="0" w:line="360" w:lineRule="auto"/>
              <w:rPr>
                <w:rFonts w:cs="Arial"/>
                <w:bCs/>
                <w:sz w:val="22"/>
                <w:lang w:val="zh-CN"/>
              </w:rPr>
            </w:pPr>
            <w:r>
              <w:rPr>
                <w:rFonts w:hint="eastAsia" w:cs="Arial"/>
                <w:bCs/>
                <w:sz w:val="22"/>
                <w:lang w:val="zh-CN"/>
              </w:rPr>
              <w:t>投标报价出现下列情形的，投标无效：</w:t>
            </w:r>
          </w:p>
          <w:p>
            <w:pPr>
              <w:spacing w:after="0" w:line="360" w:lineRule="auto"/>
              <w:ind w:firstLine="440" w:firstLineChars="200"/>
              <w:rPr>
                <w:rFonts w:cs="Arial"/>
                <w:bCs/>
                <w:sz w:val="22"/>
                <w:lang w:val="zh-CN"/>
              </w:rPr>
            </w:pPr>
            <w:r>
              <w:rPr>
                <w:rFonts w:hint="eastAsia" w:cs="Arial"/>
                <w:bCs/>
                <w:sz w:val="22"/>
                <w:lang w:val="zh-CN"/>
              </w:rPr>
              <w:t>投标文件出现不是唯一的、有选择性投标报价的；</w:t>
            </w:r>
          </w:p>
          <w:p>
            <w:pPr>
              <w:spacing w:after="0" w:line="360" w:lineRule="auto"/>
              <w:ind w:firstLine="440" w:firstLineChars="200"/>
              <w:rPr>
                <w:rFonts w:cs="Arial"/>
                <w:bCs/>
                <w:sz w:val="22"/>
                <w:lang w:val="zh-CN"/>
              </w:rPr>
            </w:pPr>
            <w:r>
              <w:rPr>
                <w:rFonts w:hint="eastAsia" w:cs="Arial"/>
                <w:bCs/>
                <w:sz w:val="22"/>
                <w:lang w:val="zh-CN"/>
              </w:rPr>
              <w:t>投标报价超过招标文件中规定的预算金额或者最高限价的;</w:t>
            </w:r>
          </w:p>
          <w:p>
            <w:pPr>
              <w:spacing w:after="0" w:line="360" w:lineRule="auto"/>
              <w:ind w:firstLine="440" w:firstLineChars="200"/>
              <w:rPr>
                <w:rFonts w:cs="Arial"/>
                <w:bCs/>
                <w:sz w:val="22"/>
              </w:rPr>
            </w:pPr>
            <w:r>
              <w:rPr>
                <w:rFonts w:hint="eastAsia" w:cs="Arial"/>
                <w:bCs/>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sz w:val="22"/>
              </w:rPr>
            </w:pPr>
            <w:r>
              <w:rPr>
                <w:rFonts w:hint="eastAsia" w:cs="Arial"/>
                <w:bCs/>
                <w:sz w:val="22"/>
              </w:rPr>
              <w:t>投标人对根据修正原则修正后的报价不确认的。</w:t>
            </w:r>
          </w:p>
          <w:p>
            <w:pPr>
              <w:spacing w:after="0" w:line="360" w:lineRule="auto"/>
              <w:ind w:firstLine="440" w:firstLineChars="200"/>
              <w:rPr>
                <w:bCs/>
                <w:sz w:val="22"/>
              </w:rPr>
            </w:pPr>
            <w:r>
              <w:rPr>
                <w:rFonts w:hint="eastAsia" w:cs="Arial"/>
                <w:bCs/>
                <w:sz w:val="22"/>
              </w:rPr>
              <w:t>资格文件、商务技术文件与报价文件未分开制作</w:t>
            </w:r>
            <w:r>
              <w:rPr>
                <w:rFonts w:hint="eastAsia"/>
                <w:bCs/>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sz w:val="22"/>
              </w:rPr>
              <w:t>本项目</w:t>
            </w:r>
            <w:r>
              <w:rPr>
                <w:sz w:val="22"/>
              </w:rPr>
              <w:t>支持</w:t>
            </w:r>
            <w:r>
              <w:rPr>
                <w:rFonts w:hint="eastAsia"/>
                <w:sz w:val="22"/>
              </w:rPr>
              <w:t>《杭州市萧山区政府采购支持中小企业信用融资暂行办法》。</w:t>
            </w:r>
          </w:p>
          <w:p>
            <w:pPr>
              <w:spacing w:after="0"/>
              <w:rPr>
                <w:sz w:val="22"/>
              </w:rPr>
            </w:pPr>
            <w:r>
              <w:rPr>
                <w:rFonts w:hint="eastAsia"/>
                <w:sz w:val="22"/>
              </w:rPr>
              <w:t>有</w:t>
            </w:r>
            <w:r>
              <w:rPr>
                <w:sz w:val="22"/>
              </w:rPr>
              <w:t>融资需求的中标供应商可参照相关规定及银行方案</w:t>
            </w:r>
            <w:r>
              <w:rPr>
                <w:rFonts w:hint="eastAsia"/>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6"/>
                <w:rFonts w:ascii="仿宋" w:hAnsi="仿宋" w:eastAsia="仿宋" w:cstheme="majorBidi"/>
                <w:snapToGrid/>
                <w:color w:val="auto"/>
                <w:sz w:val="22"/>
                <w:szCs w:val="24"/>
              </w:rPr>
              <w:t>http://www.xiaoshan.gov.cn/art/2018/12/20/art_1229293109_1559514.html</w:t>
            </w:r>
            <w:r>
              <w:rPr>
                <w:rStyle w:val="26"/>
                <w:rFonts w:ascii="仿宋" w:hAnsi="仿宋" w:eastAsia="仿宋" w:cstheme="majorBidi"/>
                <w:snapToGrid/>
                <w:color w:val="auto"/>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spacing w:after="0"/>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pPr>
            <w:r>
              <w:rPr>
                <w:rFonts w:hint="eastAsia"/>
                <w:b/>
                <w:sz w:val="22"/>
              </w:rPr>
              <w:t>采购机构代理费用</w:t>
            </w:r>
          </w:p>
        </w:tc>
        <w:tc>
          <w:tcPr>
            <w:tcW w:w="3867" w:type="pct"/>
            <w:vAlign w:val="center"/>
          </w:tcPr>
          <w:p>
            <w:pPr>
              <w:spacing w:after="0"/>
              <w:rPr>
                <w:sz w:val="22"/>
              </w:rPr>
            </w:pPr>
            <w:r>
              <w:rPr>
                <w:rFonts w:hint="eastAsia"/>
                <w:sz w:val="22"/>
              </w:rPr>
              <w:t>由中标单位支付，按《招标代理服务收费管理暂行办法》[2002]1980号文件收费标准，中标价结合中标优惠率44%下浮率收取。</w:t>
            </w:r>
          </w:p>
          <w:p>
            <w:pPr>
              <w:spacing w:after="0"/>
              <w:rPr>
                <w:sz w:val="22"/>
              </w:rPr>
            </w:pPr>
            <w:r>
              <w:rPr>
                <w:rFonts w:hint="eastAsia"/>
                <w:sz w:val="22"/>
              </w:rPr>
              <w:t xml:space="preserve">缴纳账号：33001617092053005082 </w:t>
            </w:r>
          </w:p>
          <w:p>
            <w:pPr>
              <w:spacing w:after="0"/>
              <w:rPr>
                <w:sz w:val="22"/>
              </w:rPr>
            </w:pPr>
            <w:r>
              <w:rPr>
                <w:rFonts w:hint="eastAsia"/>
                <w:sz w:val="22"/>
              </w:rPr>
              <w:t xml:space="preserve">开户银行：萧山建行时代广场支行 </w:t>
            </w:r>
          </w:p>
          <w:p>
            <w:pPr>
              <w:spacing w:after="0"/>
              <w:rPr>
                <w:sz w:val="22"/>
              </w:rPr>
            </w:pPr>
            <w:r>
              <w:rPr>
                <w:rFonts w:hint="eastAsia"/>
                <w:sz w:val="22"/>
              </w:rPr>
              <w:t>帐户名称：浙江华域高宇项目管理有限公司</w:t>
            </w:r>
          </w:p>
          <w:p>
            <w:pPr>
              <w:spacing w:after="0"/>
            </w:pPr>
            <w:r>
              <w:rPr>
                <w:rFonts w:hint="eastAsia"/>
                <w:sz w:val="22"/>
              </w:rPr>
              <w:t>银行帐号：33001617092053005082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pPr>
            <w:r>
              <w:rPr>
                <w:rFonts w:hint="eastAsia" w:cs="仿宋"/>
                <w:b/>
                <w:sz w:val="22"/>
              </w:rPr>
              <w:t>履约保证金</w:t>
            </w:r>
          </w:p>
        </w:tc>
        <w:tc>
          <w:tcPr>
            <w:tcW w:w="3867" w:type="pct"/>
            <w:vAlign w:val="center"/>
          </w:tcPr>
          <w:p>
            <w:pPr>
              <w:pStyle w:val="14"/>
              <w:spacing w:line="360" w:lineRule="auto"/>
              <w:ind w:hanging="4"/>
              <w:rPr>
                <w:rFonts w:ascii="仿宋" w:hAnsi="仿宋" w:eastAsia="仿宋"/>
                <w:sz w:val="22"/>
              </w:rPr>
            </w:pPr>
            <w:r>
              <w:rPr>
                <w:rFonts w:hint="eastAsia" w:ascii="仿宋" w:hAnsi="仿宋" w:eastAsia="仿宋"/>
                <w:sz w:val="22"/>
              </w:rPr>
              <w:t>履约保证金：收取1%，合同签订后支付，履约完成后无息退还。</w:t>
            </w:r>
          </w:p>
          <w:p>
            <w:pPr>
              <w:spacing w:after="0"/>
            </w:pPr>
            <w:r>
              <w:rPr>
                <w:rFonts w:hint="eastAsia" w:cs="仿宋_GB2312"/>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sz w:val="22"/>
              </w:rPr>
              <w:t>由采购人/</w:t>
            </w:r>
            <w:r>
              <w:rPr>
                <w:rFonts w:hint="eastAsia" w:cs="仿宋_GB2312"/>
                <w:sz w:val="22"/>
              </w:rPr>
              <w:t>采购机构进行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pPr>
            <w:r>
              <w:rPr>
                <w:rFonts w:hint="eastAsia" w:cs="仿宋"/>
                <w:b/>
                <w:sz w:val="22"/>
              </w:rPr>
              <w:t>质疑接收人及答复</w:t>
            </w:r>
          </w:p>
        </w:tc>
        <w:tc>
          <w:tcPr>
            <w:tcW w:w="3867" w:type="pct"/>
            <w:vAlign w:val="center"/>
          </w:tcPr>
          <w:p>
            <w:pPr>
              <w:snapToGrid w:val="0"/>
              <w:spacing w:after="0"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pPr>
              <w:snapToGrid w:val="0"/>
              <w:spacing w:after="0" w:line="360" w:lineRule="auto"/>
              <w:rPr>
                <w:b/>
                <w:sz w:val="22"/>
              </w:rPr>
            </w:pPr>
            <w:r>
              <w:rPr>
                <w:rFonts w:hint="eastAsia"/>
                <w:b/>
                <w:sz w:val="22"/>
              </w:rPr>
              <w:t>线上提交质疑方式：政采云线上质疑路径：项目采购-询问质疑投诉-质疑列表。请使用ca签章在每一页质疑文件中加盖电子公章，上传完整附件。</w:t>
            </w:r>
          </w:p>
          <w:p>
            <w:pPr>
              <w:snapToGrid w:val="0"/>
              <w:spacing w:after="0" w:line="360" w:lineRule="auto"/>
              <w:rPr>
                <w:sz w:val="22"/>
              </w:rPr>
            </w:pPr>
            <w:r>
              <w:rPr>
                <w:rFonts w:hint="eastAsia"/>
                <w:sz w:val="22"/>
              </w:rPr>
              <w:t>本项目涉及资格条件、采购需求、评分办法及采购过程中有关现场考察或开标前答疑会等事项由</w:t>
            </w:r>
            <w:r>
              <w:rPr>
                <w:sz w:val="22"/>
              </w:rPr>
              <w:t>采购人进行答复。</w:t>
            </w:r>
          </w:p>
          <w:p>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rPr>
                <w:b/>
                <w:sz w:val="22"/>
              </w:rPr>
            </w:pPr>
            <w:r>
              <w:rPr>
                <w:rFonts w:hint="eastAsia"/>
                <w:b/>
                <w:sz w:val="22"/>
              </w:rPr>
              <w:t>严格执行预算限价，项目如涉及办公用房装修、通用办公设备家具的不得超限额标准。</w:t>
            </w:r>
          </w:p>
          <w:p>
            <w:pPr>
              <w:spacing w:after="0"/>
            </w:pPr>
            <w:r>
              <w:rPr>
                <w:rFonts w:hint="eastAsia"/>
                <w:b/>
                <w:sz w:val="22"/>
              </w:rPr>
              <w:t>本项目</w:t>
            </w:r>
            <w:r>
              <w:rPr>
                <w:b/>
                <w:sz w:val="22"/>
              </w:rPr>
              <w:t>通用</w:t>
            </w:r>
            <w:r>
              <w:rPr>
                <w:rFonts w:hint="eastAsia"/>
                <w:b/>
                <w:sz w:val="22"/>
              </w:rPr>
              <w:t>总则</w:t>
            </w:r>
            <w:r>
              <w:rPr>
                <w:b/>
                <w:sz w:val="22"/>
              </w:rPr>
              <w:t>条款与前附表等专</w:t>
            </w:r>
            <w:r>
              <w:rPr>
                <w:rFonts w:hint="eastAsia"/>
                <w:b/>
                <w:sz w:val="22"/>
              </w:rPr>
              <w:t>用</w:t>
            </w:r>
            <w:r>
              <w:rPr>
                <w:b/>
                <w:sz w:val="22"/>
              </w:rPr>
              <w:t>特别规定有冲突之处，以专用条款（</w:t>
            </w:r>
            <w:r>
              <w:rPr>
                <w:rFonts w:hint="eastAsia"/>
                <w:b/>
                <w:sz w:val="22"/>
              </w:rPr>
              <w:t>特别规定</w:t>
            </w:r>
            <w:r>
              <w:rPr>
                <w:b/>
                <w:sz w:val="22"/>
              </w:rPr>
              <w:t>）</w:t>
            </w:r>
            <w:r>
              <w:rPr>
                <w:rFonts w:hint="eastAsia"/>
                <w:b/>
                <w:sz w:val="22"/>
              </w:rPr>
              <w:t>为准</w:t>
            </w:r>
          </w:p>
        </w:tc>
      </w:tr>
    </w:tbl>
    <w:p/>
    <w:p>
      <w:pPr>
        <w:spacing w:line="276" w:lineRule="auto"/>
      </w:pPr>
      <w:r>
        <w:br w:type="page"/>
      </w:r>
    </w:p>
    <w:p>
      <w:pPr>
        <w:pStyle w:val="2"/>
        <w:ind w:left="480"/>
      </w:pPr>
      <w:r>
        <w:rPr>
          <w:rFonts w:hint="eastAsia"/>
        </w:rPr>
        <w:t>一、总则</w:t>
      </w:r>
    </w:p>
    <w:p>
      <w:pPr>
        <w:pStyle w:val="4"/>
      </w:pPr>
      <w:r>
        <w:t>1. 适用范围</w:t>
      </w:r>
    </w:p>
    <w:p>
      <w:r>
        <w:rPr>
          <w:rFonts w:hint="eastAsia"/>
        </w:rPr>
        <w:t>本招标文件适用于该项目的招标、投标、开标、资格审查及信用信息查询、评标、定标、合同、验收等行为（法律、法规另有规定的，从其规定）。</w:t>
      </w:r>
    </w:p>
    <w:p>
      <w:pPr>
        <w:pStyle w:val="4"/>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4"/>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2"/>
        <w:ind w:left="480"/>
      </w:pPr>
      <w:r>
        <w:t>二、招标文件的构成、澄清、修改</w:t>
      </w:r>
    </w:p>
    <w:p>
      <w:pPr>
        <w:pStyle w:val="4"/>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4"/>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ind w:left="480"/>
      </w:pPr>
      <w:r>
        <w:rPr>
          <w:rFonts w:hint="eastAsia"/>
        </w:rPr>
        <w:t>三、投标</w:t>
      </w:r>
    </w:p>
    <w:p>
      <w:pPr>
        <w:pStyle w:val="4"/>
      </w:pPr>
      <w:r>
        <w:t>7. 招标文件的获取</w:t>
      </w:r>
    </w:p>
    <w:p>
      <w:r>
        <w:rPr>
          <w:rFonts w:hint="eastAsia"/>
        </w:rPr>
        <w:t>详见招标公告中获取招标文件的时间期限、地点、方式及招标文件售价。</w:t>
      </w:r>
    </w:p>
    <w:p>
      <w:pPr>
        <w:pStyle w:val="4"/>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4"/>
      </w:pPr>
      <w:r>
        <w:t>9.投标保证金</w:t>
      </w:r>
    </w:p>
    <w:p>
      <w:r>
        <w:rPr>
          <w:rFonts w:hint="eastAsia"/>
        </w:rPr>
        <w:t>本项目不需缴纳投标保证金。</w:t>
      </w:r>
    </w:p>
    <w:p>
      <w:pPr>
        <w:pStyle w:val="4"/>
      </w:pPr>
      <w:r>
        <w:t>10. 投标文件的语言</w:t>
      </w:r>
    </w:p>
    <w:p>
      <w:r>
        <w:rPr>
          <w:rFonts w:hint="eastAsia"/>
        </w:rPr>
        <w:t>投标文件及投标人与采购有关的来往通知、函件和文件均应使用中文。</w:t>
      </w:r>
    </w:p>
    <w:p>
      <w:pPr>
        <w:pStyle w:val="4"/>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4"/>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4"/>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4"/>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4"/>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2"/>
        <w:ind w:left="480"/>
      </w:pPr>
      <w:r>
        <w:rPr>
          <w:rFonts w:hint="eastAsia"/>
        </w:rPr>
        <w:t>四、开标、资格审查与信用信息查询</w:t>
      </w:r>
    </w:p>
    <w:p>
      <w:pPr>
        <w:pStyle w:val="4"/>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4"/>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4"/>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
        <w:ind w:left="480"/>
      </w:pPr>
      <w:r>
        <w:rPr>
          <w:rFonts w:hint="eastAsia"/>
        </w:rPr>
        <w:t>五、评标</w:t>
      </w:r>
    </w:p>
    <w:p>
      <w:pPr>
        <w:pStyle w:val="4"/>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2"/>
        <w:ind w:left="480"/>
      </w:pPr>
      <w:r>
        <w:rPr>
          <w:rFonts w:hint="eastAsia"/>
        </w:rPr>
        <w:t>六、定</w:t>
      </w:r>
      <w:r>
        <w:t xml:space="preserve"> 标</w:t>
      </w:r>
    </w:p>
    <w:p>
      <w:pPr>
        <w:pStyle w:val="4"/>
      </w:pPr>
      <w:r>
        <w:t>22. 确定中标供应商</w:t>
      </w:r>
    </w:p>
    <w:p>
      <w:r>
        <w:rPr>
          <w:rFonts w:hint="eastAsia"/>
        </w:rPr>
        <w:t>采购人将自收到评审报告之日起</w:t>
      </w:r>
      <w:r>
        <w:t>5个工作日内通过电子交易平台在评审报告推荐的中标候选人中按顺序确定中标供应商。</w:t>
      </w:r>
    </w:p>
    <w:p>
      <w:pPr>
        <w:pStyle w:val="4"/>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2"/>
        <w:ind w:left="480"/>
      </w:pPr>
      <w:r>
        <w:rPr>
          <w:rFonts w:hint="eastAsia"/>
        </w:rPr>
        <w:t>七、合同授予</w:t>
      </w:r>
    </w:p>
    <w:p>
      <w:pPr>
        <w:pStyle w:val="4"/>
      </w:pPr>
      <w:r>
        <w:t>24. 合同主要条款详见第五部分拟签订的合同文本。</w:t>
      </w:r>
    </w:p>
    <w:p>
      <w:pPr>
        <w:pStyle w:val="4"/>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4"/>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2"/>
        <w:ind w:left="480"/>
      </w:pPr>
      <w:r>
        <w:rPr>
          <w:rFonts w:hint="eastAsia"/>
        </w:rPr>
        <w:t>八、电子交易活动的中止</w:t>
      </w:r>
    </w:p>
    <w:p>
      <w:pPr>
        <w:pStyle w:val="4"/>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
        <w:ind w:left="480"/>
      </w:pPr>
      <w:r>
        <w:rPr>
          <w:rFonts w:hint="eastAsia"/>
        </w:rPr>
        <w:t>九、验收</w:t>
      </w:r>
    </w:p>
    <w:p>
      <w:pPr>
        <w:pStyle w:val="4"/>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46"/>
        </w:rPr>
      </w:pPr>
      <w:r>
        <w:rPr>
          <w:rStyle w:val="46"/>
          <w:rFonts w:hint="eastAsia"/>
        </w:rPr>
        <w:t>属于实质性要求条款的，请用符号“▲”标明，否则属于非实质性要求。</w:t>
      </w:r>
    </w:p>
    <w:p>
      <w:pPr>
        <w:snapToGrid w:val="0"/>
        <w:rPr>
          <w:rStyle w:val="46"/>
          <w:rFonts w:hint="eastAsia"/>
        </w:rPr>
      </w:pPr>
      <w:r>
        <w:rPr>
          <w:rStyle w:val="46"/>
          <w:rFonts w:hint="eastAsia"/>
        </w:rPr>
        <w:t>“★”系产品采购项目中单一产品或核心产品。</w:t>
      </w:r>
    </w:p>
    <w:p>
      <w:pPr>
        <w:pStyle w:val="2"/>
        <w:numPr>
          <w:ilvl w:val="0"/>
          <w:numId w:val="1"/>
        </w:numPr>
        <w:ind w:left="1110"/>
      </w:pPr>
      <w:r>
        <w:t>招标一览表</w:t>
      </w:r>
    </w:p>
    <w:p>
      <w:pPr>
        <w:pStyle w:val="2"/>
      </w:pPr>
    </w:p>
    <w:tbl>
      <w:tblPr>
        <w:tblStyle w:val="21"/>
        <w:tblpPr w:leftFromText="180" w:rightFromText="180" w:vertAnchor="text" w:horzAnchor="page" w:tblpX="1691" w:tblpY="-116"/>
        <w:tblOverlap w:val="never"/>
        <w:tblW w:w="8407" w:type="dxa"/>
        <w:jc w:val="center"/>
        <w:tblLayout w:type="fixed"/>
        <w:tblCellMar>
          <w:top w:w="0" w:type="dxa"/>
          <w:left w:w="0" w:type="dxa"/>
          <w:bottom w:w="0" w:type="dxa"/>
          <w:right w:w="0" w:type="dxa"/>
        </w:tblCellMar>
      </w:tblPr>
      <w:tblGrid>
        <w:gridCol w:w="1251"/>
        <w:gridCol w:w="2910"/>
        <w:gridCol w:w="1860"/>
        <w:gridCol w:w="810"/>
        <w:gridCol w:w="870"/>
        <w:gridCol w:w="706"/>
      </w:tblGrid>
      <w:tr>
        <w:tblPrEx>
          <w:tblCellMar>
            <w:top w:w="0" w:type="dxa"/>
            <w:left w:w="0" w:type="dxa"/>
            <w:bottom w:w="0" w:type="dxa"/>
            <w:right w:w="0" w:type="dxa"/>
          </w:tblCellMar>
        </w:tblPrEx>
        <w:trPr>
          <w:cantSplit/>
          <w:trHeight w:val="663" w:hRule="atLeast"/>
          <w:jc w:val="center"/>
        </w:trPr>
        <w:tc>
          <w:tcPr>
            <w:tcW w:w="12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bookmarkStart w:id="2" w:name="_Toc21378"/>
            <w:r>
              <w:rPr>
                <w:rFonts w:hint="eastAsia" w:cs="仿宋"/>
                <w:bCs/>
              </w:rPr>
              <w:t xml:space="preserve"> 标项</w:t>
            </w:r>
          </w:p>
        </w:tc>
        <w:tc>
          <w:tcPr>
            <w:tcW w:w="29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名称</w:t>
            </w:r>
          </w:p>
        </w:tc>
        <w:tc>
          <w:tcPr>
            <w:tcW w:w="18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规格型号与参数</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单位</w:t>
            </w:r>
          </w:p>
        </w:tc>
        <w:tc>
          <w:tcPr>
            <w:tcW w:w="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数量</w:t>
            </w:r>
          </w:p>
        </w:tc>
        <w:tc>
          <w:tcPr>
            <w:tcW w:w="706" w:type="dxa"/>
            <w:tcBorders>
              <w:top w:val="single" w:color="auto" w:sz="4" w:space="0"/>
              <w:left w:val="nil"/>
              <w:bottom w:val="single" w:color="auto" w:sz="4" w:space="0"/>
              <w:right w:val="single" w:color="auto" w:sz="4" w:space="0"/>
            </w:tcBorders>
            <w:vAlign w:val="center"/>
          </w:tcPr>
          <w:p>
            <w:pPr>
              <w:jc w:val="center"/>
              <w:rPr>
                <w:rFonts w:cs="仿宋"/>
                <w:bCs/>
              </w:rPr>
            </w:pPr>
            <w:r>
              <w:rPr>
                <w:rFonts w:hint="eastAsia" w:cs="仿宋"/>
                <w:bCs/>
              </w:rPr>
              <w:t>备注</w:t>
            </w:r>
          </w:p>
        </w:tc>
      </w:tr>
      <w:tr>
        <w:trPr>
          <w:cantSplit/>
          <w:trHeight w:val="927" w:hRule="atLeast"/>
          <w:jc w:val="center"/>
        </w:trPr>
        <w:tc>
          <w:tcPr>
            <w:tcW w:w="12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1</w:t>
            </w:r>
          </w:p>
        </w:tc>
        <w:tc>
          <w:tcPr>
            <w:tcW w:w="29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rPr>
              <w:t>杭州市萧山区市政桥梁车辆动态称重检测系统项目</w:t>
            </w:r>
          </w:p>
        </w:tc>
        <w:tc>
          <w:tcPr>
            <w:tcW w:w="18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详见招标需求</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套</w:t>
            </w:r>
          </w:p>
        </w:tc>
        <w:tc>
          <w:tcPr>
            <w:tcW w:w="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1</w:t>
            </w:r>
          </w:p>
        </w:tc>
        <w:tc>
          <w:tcPr>
            <w:tcW w:w="706" w:type="dxa"/>
            <w:tcBorders>
              <w:top w:val="single" w:color="auto" w:sz="4" w:space="0"/>
              <w:left w:val="nil"/>
              <w:bottom w:val="single" w:color="auto" w:sz="4" w:space="0"/>
              <w:right w:val="single" w:color="auto" w:sz="4" w:space="0"/>
            </w:tcBorders>
            <w:vAlign w:val="center"/>
          </w:tcPr>
          <w:p>
            <w:pPr>
              <w:jc w:val="center"/>
              <w:rPr>
                <w:rFonts w:cs="仿宋"/>
                <w:bCs/>
              </w:rPr>
            </w:pPr>
          </w:p>
        </w:tc>
      </w:tr>
    </w:tbl>
    <w:p>
      <w:pPr>
        <w:pStyle w:val="2"/>
        <w:numPr>
          <w:ilvl w:val="0"/>
          <w:numId w:val="1"/>
        </w:numPr>
        <w:ind w:left="1110" w:leftChars="0"/>
        <w:rPr>
          <w:b/>
          <w:sz w:val="28"/>
          <w:szCs w:val="28"/>
        </w:rPr>
      </w:pPr>
      <w:r>
        <w:rPr>
          <w:rFonts w:hint="default" w:cstheme="majorBidi"/>
          <w:bCs w:val="0"/>
          <w:sz w:val="28"/>
        </w:rPr>
        <w:t>招标</w:t>
      </w:r>
      <w:r>
        <w:rPr>
          <w:rFonts w:hint="default" w:cstheme="majorBidi"/>
          <w:bCs w:val="0"/>
          <w:sz w:val="28"/>
          <w:lang w:val="zh-CN"/>
        </w:rPr>
        <w:t>需求</w:t>
      </w:r>
      <w:bookmarkEnd w:id="2"/>
    </w:p>
    <w:p>
      <w:pPr>
        <w:pStyle w:val="2"/>
        <w:numPr>
          <w:ilvl w:val="1"/>
          <w:numId w:val="2"/>
        </w:numPr>
        <w:spacing w:before="100" w:after="100" w:line="360" w:lineRule="auto"/>
        <w:ind w:left="-2" w:leftChars="-1"/>
        <w:jc w:val="left"/>
        <w:rPr>
          <w:sz w:val="30"/>
          <w:szCs w:val="30"/>
        </w:rPr>
      </w:pPr>
      <w:r>
        <w:rPr>
          <w:rFonts w:hint="eastAsia"/>
          <w:sz w:val="30"/>
          <w:szCs w:val="30"/>
        </w:rPr>
        <w:t>项目概述：</w:t>
      </w:r>
    </w:p>
    <w:p>
      <w:pPr>
        <w:pStyle w:val="4"/>
        <w:numPr>
          <w:ilvl w:val="2"/>
          <w:numId w:val="2"/>
        </w:numPr>
        <w:spacing w:before="100" w:after="100" w:line="360" w:lineRule="auto"/>
        <w:ind w:left="-2" w:leftChars="-1" w:firstLine="1"/>
        <w:rPr>
          <w:sz w:val="28"/>
          <w:szCs w:val="28"/>
        </w:rPr>
      </w:pPr>
      <w:r>
        <w:rPr>
          <w:rFonts w:hint="eastAsia"/>
          <w:sz w:val="28"/>
          <w:szCs w:val="28"/>
        </w:rPr>
        <w:t>项目建设背景</w:t>
      </w:r>
    </w:p>
    <w:p>
      <w:pPr>
        <w:spacing w:line="360" w:lineRule="auto"/>
        <w:ind w:firstLine="480" w:firstLineChars="200"/>
        <w:rPr>
          <w:rFonts w:cs="仿宋_GB2312"/>
        </w:rPr>
      </w:pPr>
      <w:r>
        <w:rPr>
          <w:rFonts w:hint="eastAsia" w:cs="仿宋_GB2312"/>
        </w:rPr>
        <w:t xml:space="preserve">公路交通是国民经济的大动脉，桥梁、隧道则是公路交通的咽喉要道，在保障公路通畅中桥梁、隧道起着至关重要的作用。 </w:t>
      </w:r>
    </w:p>
    <w:p>
      <w:pPr>
        <w:spacing w:line="360" w:lineRule="auto"/>
        <w:ind w:firstLine="480" w:firstLineChars="200"/>
        <w:rPr>
          <w:rFonts w:cs="仿宋_GB2312"/>
        </w:rPr>
      </w:pPr>
      <w:r>
        <w:rPr>
          <w:rFonts w:hint="eastAsia" w:cs="仿宋_GB2312"/>
        </w:rPr>
        <w:t xml:space="preserve">迄今为止，我国建成通车的高等级公路里程已达到上百万公里，其中各类桥梁有 85 万多座（2018 年交通部统计数据，未含市政桥梁）。目前除大量的中小 跨径桥梁外，为适应高等级公路向高原山区延伸和跨越江河湖海的需要，各种类 型的大跨度桥梁也得到了很大发展。其类型涵盖了梁式桥、拱式桥、刚架桥、斜拉桥、悬索桥等五大桥型体系。反映了我国桥梁建造技术在勘察、设计、施工、科研等方面综合能力的巨大进步。 </w:t>
      </w:r>
    </w:p>
    <w:p>
      <w:pPr>
        <w:spacing w:line="360" w:lineRule="auto"/>
        <w:ind w:firstLine="480" w:firstLineChars="200"/>
        <w:rPr>
          <w:rFonts w:cs="仿宋_GB2312"/>
        </w:rPr>
      </w:pPr>
      <w:r>
        <w:rPr>
          <w:rFonts w:hint="eastAsia" w:cs="仿宋_GB2312"/>
        </w:rPr>
        <w:t>随着公路技术等级的不断提高，交通量和重型车辆的急剧增加，原设计标准 较低的现有道路和桥梁已严重影响着公路运输事业的发展。再加上近年来道路桥 梁垮塌等事故时有发生，道路货运车辆违法运输已成为危及全国道路交通安全的一个严重问题。使得道路、桥梁等不堪重负，大大降低了道路和桥梁的使用寿命； 同时，车辆安全系数在大幅度降低，不断引发交通事故，给人民生命财产带来巨大的损失，桥梁的安全性问题日益引起各方面人士的广泛关注，另外还容易造成交通拥堵，引发环境污染。</w:t>
      </w:r>
    </w:p>
    <w:p>
      <w:pPr>
        <w:spacing w:line="360" w:lineRule="auto"/>
        <w:ind w:firstLine="480" w:firstLineChars="200"/>
        <w:rPr>
          <w:rFonts w:cs="仿宋_GB2312"/>
        </w:rPr>
      </w:pPr>
      <w:r>
        <w:rPr>
          <w:rFonts w:hint="eastAsia" w:cs="仿宋_GB2312"/>
        </w:rPr>
        <w:t>货运车辆超限超载运输问题已成为危害道路交通可持续发展的“痼疾”，近 些年来，全国各级政府不断加大治理车辆超限超载运输的力度来保证道路的安全， 取得了重要的阶段性成果。但是由于复杂的社会经济因素，全国超限检测形势仍 很严峻，反弹的隐患并未消除；巩固治理成果，持久推进超限检测工作压力依然很大。因此治理车辆超限超载运输是一项长期性、日常性工作，必须持之以恒，把治理超限超载工作纳入长效机制至关重要。</w:t>
      </w:r>
    </w:p>
    <w:p>
      <w:pPr>
        <w:spacing w:line="360" w:lineRule="auto"/>
        <w:ind w:firstLine="480" w:firstLineChars="200"/>
        <w:rPr>
          <w:rFonts w:cs="仿宋_GB2312"/>
        </w:rPr>
      </w:pPr>
      <w:r>
        <w:rPr>
          <w:rFonts w:hint="eastAsia" w:cs="仿宋_GB2312"/>
        </w:rPr>
        <w:t>根据中华人民共和国交通部的要求，为进一步落实交通运输部、各省市政府 部门对治理超限工作相关指示和要求，进一步统一思想，构建长效管理机制，切 实加大超限运输治理工作力度，保障道路路网及人民生命财产的安全。</w:t>
      </w:r>
    </w:p>
    <w:p>
      <w:pPr>
        <w:pStyle w:val="4"/>
        <w:numPr>
          <w:ilvl w:val="2"/>
          <w:numId w:val="2"/>
        </w:numPr>
        <w:spacing w:before="100" w:after="100" w:line="360" w:lineRule="auto"/>
        <w:ind w:left="-2" w:leftChars="-1" w:firstLine="1"/>
        <w:rPr>
          <w:szCs w:val="28"/>
        </w:rPr>
      </w:pPr>
      <w:bookmarkStart w:id="3" w:name="_bookmark5"/>
      <w:bookmarkEnd w:id="3"/>
      <w:bookmarkStart w:id="4" w:name="_Toc111101096"/>
      <w:r>
        <w:rPr>
          <w:rFonts w:hint="eastAsia"/>
          <w:szCs w:val="28"/>
        </w:rPr>
        <w:t>项目</w:t>
      </w:r>
      <w:r>
        <w:rPr>
          <w:szCs w:val="28"/>
        </w:rPr>
        <w:t>的必要性</w:t>
      </w:r>
      <w:bookmarkEnd w:id="4"/>
    </w:p>
    <w:p>
      <w:pPr>
        <w:spacing w:line="360" w:lineRule="auto"/>
        <w:ind w:firstLine="480" w:firstLineChars="200"/>
        <w:rPr>
          <w:rFonts w:cs="仿宋_GB2312"/>
        </w:rPr>
      </w:pPr>
      <w:r>
        <w:rPr>
          <w:rFonts w:cs="仿宋_GB2312"/>
        </w:rPr>
        <w:t xml:space="preserve">本世纪初，交通部已就桥梁安全的重要性，于 2001年6 月下发了《关于进一步加强桥梁养护管理工作的通知》以及《关于公路桥梁养护管理工作制度的通知》等重要文件,强调“重视桥梁的养护及安全管理工作”。但至今大部分桥梁管理部门都仍延续人工、定期巡检的传统方式进行检查判定，没有实施更有效的手 段来对桥梁的使用和健康状况进行有效、准确、定量的评估。 </w:t>
      </w:r>
    </w:p>
    <w:p>
      <w:pPr>
        <w:spacing w:line="360" w:lineRule="auto"/>
        <w:ind w:firstLine="480" w:firstLineChars="200"/>
        <w:rPr>
          <w:rFonts w:cs="仿宋_GB2312"/>
        </w:rPr>
      </w:pPr>
      <w:r>
        <w:rPr>
          <w:rFonts w:cs="仿宋_GB2312"/>
        </w:rPr>
        <w:t>采用先进技术手段，对现役桥梁的使用、负荷等情况进行精确实时监测和统计，将此作为桥梁安全预警的基础，并配合相应的管理手段是今后桥梁安全保护和管理的必然方向。</w:t>
      </w:r>
    </w:p>
    <w:p>
      <w:pPr>
        <w:spacing w:line="360" w:lineRule="auto"/>
        <w:ind w:firstLine="480" w:firstLineChars="200"/>
        <w:rPr>
          <w:rFonts w:cs="仿宋_GB2312"/>
        </w:rPr>
      </w:pPr>
      <w:r>
        <w:rPr>
          <w:rFonts w:cs="仿宋_GB2312"/>
        </w:rPr>
        <w:t>无论公路桥梁还是市政桥梁，一旦发生坍塌事故，不仅经济、生命财产蒙受巨大损失，还会造成恶劣的社会、政治影响，涉及相关地区、行业管理部门、相关领导的重大责任。防止此类恶性事故发生的有效办法，就是利用先进的技术手段对通过桥梁的车辆负荷进行有效地检测和监控，禁止严重超载车辆通过桥梁、减少超载车辆的通行量。</w:t>
      </w:r>
    </w:p>
    <w:p>
      <w:pPr>
        <w:pStyle w:val="4"/>
        <w:numPr>
          <w:ilvl w:val="2"/>
          <w:numId w:val="2"/>
        </w:numPr>
        <w:spacing w:before="100" w:after="100" w:line="360" w:lineRule="auto"/>
        <w:ind w:left="-2" w:leftChars="-1" w:firstLine="1"/>
        <w:rPr>
          <w:sz w:val="28"/>
          <w:szCs w:val="28"/>
        </w:rPr>
      </w:pPr>
      <w:r>
        <w:rPr>
          <w:rFonts w:hint="eastAsia"/>
          <w:sz w:val="28"/>
          <w:szCs w:val="28"/>
        </w:rPr>
        <w:t>项目建设目标</w:t>
      </w:r>
    </w:p>
    <w:p>
      <w:pPr>
        <w:spacing w:line="360" w:lineRule="auto"/>
        <w:ind w:firstLine="480" w:firstLineChars="200"/>
        <w:rPr>
          <w:rFonts w:cs="仿宋_GB2312"/>
        </w:rPr>
      </w:pPr>
      <w:r>
        <w:rPr>
          <w:rFonts w:hint="eastAsia" w:cs="仿宋_GB2312"/>
        </w:rPr>
        <w:t>为掌握萧山区湘湖隧道、长山新桥的超限超载车辆通行状况，借鉴目前已有的较为成熟的公路车辆动态称重检测系统，提出在上桥/进隧道前路段安装动态称重检测系统，同时在上桥/进隧道处或下桥/出隧道处安装取证抓拍卡口系统的建设模式，可实现对各种正常行驶车辆的动态称重和图片抓拍功能，检测过桥/ 隧道的货运车辆的轴重、总重、车型、速度，抓拍车牌、照片等数据，将所有数据进行匹配，形成完整的车辆信息证据链，并将信息上传至超限数据管理平台以及共享传输至相关部门。一旦检测到车辆有超限行为，超限数据管理平台将自动报警。</w:t>
      </w:r>
    </w:p>
    <w:p>
      <w:pPr>
        <w:spacing w:line="360" w:lineRule="auto"/>
        <w:ind w:firstLine="480" w:firstLineChars="200"/>
        <w:rPr>
          <w:rFonts w:cs="仿宋_GB2312"/>
        </w:rPr>
      </w:pPr>
      <w:r>
        <w:rPr>
          <w:rFonts w:hint="eastAsia" w:cs="仿宋_GB2312"/>
        </w:rPr>
        <w:t>对于违反机动车超限超载执法标准的超限车辆由相关部门进行事后处罚，达到威慑超限车辆，保护桥梁、隧道的目的。</w:t>
      </w:r>
    </w:p>
    <w:p>
      <w:pPr>
        <w:pStyle w:val="4"/>
        <w:numPr>
          <w:ilvl w:val="2"/>
          <w:numId w:val="2"/>
        </w:numPr>
        <w:spacing w:before="100" w:after="100" w:line="360" w:lineRule="auto"/>
        <w:ind w:left="-2" w:leftChars="-1" w:firstLine="1"/>
        <w:rPr>
          <w:sz w:val="28"/>
          <w:szCs w:val="28"/>
        </w:rPr>
      </w:pPr>
      <w:r>
        <w:rPr>
          <w:rFonts w:hint="eastAsia"/>
          <w:sz w:val="28"/>
          <w:szCs w:val="28"/>
        </w:rPr>
        <w:t>项目点位选择</w:t>
      </w:r>
    </w:p>
    <w:p>
      <w:pPr>
        <w:spacing w:line="360" w:lineRule="auto"/>
        <w:ind w:firstLine="480" w:firstLineChars="200"/>
        <w:rPr>
          <w:rFonts w:cs="仿宋_GB2312"/>
        </w:rPr>
      </w:pPr>
      <w:r>
        <w:rPr>
          <w:rFonts w:hint="eastAsia" w:cs="仿宋_GB2312"/>
        </w:rPr>
        <w:t xml:space="preserve">1.点位路段道路平直，横坡小于 2%，纵坡小于 3%；视野开阔。 </w:t>
      </w:r>
    </w:p>
    <w:p>
      <w:pPr>
        <w:spacing w:line="360" w:lineRule="auto"/>
        <w:ind w:firstLine="480" w:firstLineChars="200"/>
        <w:rPr>
          <w:rFonts w:cs="仿宋_GB2312"/>
        </w:rPr>
      </w:pPr>
      <w:r>
        <w:rPr>
          <w:rFonts w:hint="eastAsia" w:cs="仿宋_GB2312"/>
        </w:rPr>
        <w:t xml:space="preserve">2.点位道路两侧满足排水要求； </w:t>
      </w:r>
    </w:p>
    <w:p>
      <w:pPr>
        <w:spacing w:line="360" w:lineRule="auto"/>
        <w:ind w:firstLine="480" w:firstLineChars="200"/>
        <w:rPr>
          <w:rFonts w:cs="仿宋_GB2312"/>
        </w:rPr>
      </w:pPr>
      <w:r>
        <w:rPr>
          <w:rFonts w:hint="eastAsia" w:cs="仿宋_GB2312"/>
        </w:rPr>
        <w:t xml:space="preserve">3.点位道路两侧有足够的位置可供挖埋监控杆、标志牌基础的混凝土基础，系统的布置更加规范，保证了建成后的效果； </w:t>
      </w:r>
    </w:p>
    <w:p>
      <w:pPr>
        <w:spacing w:line="360" w:lineRule="auto"/>
        <w:ind w:firstLine="480" w:firstLineChars="200"/>
        <w:rPr>
          <w:rFonts w:cs="仿宋_GB2312"/>
        </w:rPr>
      </w:pPr>
      <w:r>
        <w:rPr>
          <w:rFonts w:hint="eastAsia" w:cs="仿宋_GB2312"/>
        </w:rPr>
        <w:t xml:space="preserve">4.点位路边供电及传输链路完善，方便现场取电及数据信息的传输。 </w:t>
      </w:r>
    </w:p>
    <w:p>
      <w:pPr>
        <w:ind w:firstLine="480" w:firstLineChars="200"/>
        <w:rPr>
          <w:rFonts w:cs="仿宋_GB2312"/>
        </w:rPr>
      </w:pPr>
      <w:r>
        <w:rPr>
          <w:rFonts w:hint="eastAsia" w:cs="仿宋_GB2312"/>
        </w:rPr>
        <w:t>5.点位路边两侧均建有钢护栏或其他隔离设施，可有效防止车辆溜边作弊，逃避检测。</w:t>
      </w:r>
    </w:p>
    <w:p>
      <w:pPr>
        <w:pStyle w:val="27"/>
        <w:ind w:left="0" w:firstLine="480" w:firstLineChars="200"/>
        <w:rPr>
          <w:rFonts w:hint="eastAsia"/>
          <w:color w:val="FF0000"/>
        </w:rPr>
      </w:pPr>
      <w:r>
        <w:rPr>
          <w:rFonts w:hint="eastAsia"/>
          <w:color w:val="FF0000"/>
        </w:rPr>
        <w:t>6、具体点位以专家评审后实际为准。</w:t>
      </w:r>
    </w:p>
    <w:p>
      <w:pPr>
        <w:pStyle w:val="2"/>
        <w:numPr>
          <w:ilvl w:val="1"/>
          <w:numId w:val="2"/>
        </w:numPr>
        <w:spacing w:before="100" w:after="100" w:line="360" w:lineRule="auto"/>
        <w:ind w:left="-2" w:leftChars="-1"/>
        <w:jc w:val="left"/>
        <w:rPr>
          <w:sz w:val="30"/>
          <w:szCs w:val="30"/>
        </w:rPr>
      </w:pPr>
      <w:r>
        <w:rPr>
          <w:rFonts w:hint="eastAsia"/>
          <w:sz w:val="30"/>
          <w:szCs w:val="30"/>
        </w:rPr>
        <w:t>采购清单：</w:t>
      </w:r>
    </w:p>
    <w:tbl>
      <w:tblPr>
        <w:tblStyle w:val="21"/>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6"/>
        <w:gridCol w:w="425"/>
        <w:gridCol w:w="1238"/>
        <w:gridCol w:w="4481"/>
        <w:gridCol w:w="506"/>
        <w:gridCol w:w="733"/>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1" w:hRule="atLeast"/>
        </w:trPr>
        <w:tc>
          <w:tcPr>
            <w:tcW w:w="396" w:type="pct"/>
            <w:vMerge w:val="restart"/>
            <w:shd w:val="clear" w:color="auto" w:fill="FFFFFF" w:themeFill="background1"/>
            <w:vAlign w:val="center"/>
          </w:tcPr>
          <w:p>
            <w:pPr>
              <w:jc w:val="center"/>
              <w:rPr>
                <w:rFonts w:cs="宋体"/>
                <w:b/>
                <w:bCs/>
                <w:szCs w:val="21"/>
              </w:rPr>
            </w:pPr>
            <w:r>
              <w:rPr>
                <w:rFonts w:hint="eastAsia" w:cs="宋体"/>
                <w:b/>
                <w:bCs/>
                <w:szCs w:val="21"/>
              </w:rPr>
              <w:t>序号</w:t>
            </w:r>
          </w:p>
        </w:tc>
        <w:tc>
          <w:tcPr>
            <w:tcW w:w="960" w:type="pct"/>
            <w:gridSpan w:val="2"/>
            <w:vMerge w:val="restart"/>
            <w:shd w:val="clear" w:color="auto" w:fill="FFFFFF" w:themeFill="background1"/>
            <w:vAlign w:val="center"/>
          </w:tcPr>
          <w:p>
            <w:pPr>
              <w:jc w:val="center"/>
              <w:rPr>
                <w:rFonts w:cs="宋体"/>
                <w:b/>
                <w:bCs/>
                <w:szCs w:val="21"/>
              </w:rPr>
            </w:pPr>
            <w:r>
              <w:rPr>
                <w:rFonts w:hint="eastAsia" w:cs="宋体"/>
                <w:b/>
                <w:bCs/>
                <w:szCs w:val="21"/>
              </w:rPr>
              <w:t>设备名称</w:t>
            </w:r>
          </w:p>
        </w:tc>
        <w:tc>
          <w:tcPr>
            <w:tcW w:w="2588" w:type="pct"/>
            <w:vMerge w:val="restart"/>
            <w:shd w:val="clear" w:color="auto" w:fill="FFFFFF" w:themeFill="background1"/>
            <w:vAlign w:val="center"/>
          </w:tcPr>
          <w:p>
            <w:pPr>
              <w:jc w:val="center"/>
              <w:rPr>
                <w:rFonts w:cs="宋体"/>
                <w:b/>
                <w:bCs/>
                <w:szCs w:val="21"/>
              </w:rPr>
            </w:pPr>
            <w:r>
              <w:rPr>
                <w:rFonts w:hint="eastAsia" w:cs="宋体"/>
                <w:b/>
                <w:bCs/>
                <w:szCs w:val="21"/>
              </w:rPr>
              <w:t>规格参数要求</w:t>
            </w:r>
          </w:p>
        </w:tc>
        <w:tc>
          <w:tcPr>
            <w:tcW w:w="292" w:type="pct"/>
            <w:vMerge w:val="restart"/>
            <w:shd w:val="clear" w:color="auto" w:fill="FFFFFF" w:themeFill="background1"/>
            <w:vAlign w:val="center"/>
          </w:tcPr>
          <w:p>
            <w:pPr>
              <w:jc w:val="center"/>
              <w:rPr>
                <w:rFonts w:cs="宋体"/>
                <w:b/>
                <w:bCs/>
                <w:szCs w:val="21"/>
              </w:rPr>
            </w:pPr>
            <w:r>
              <w:rPr>
                <w:rFonts w:hint="eastAsia" w:cs="宋体"/>
                <w:b/>
                <w:bCs/>
                <w:szCs w:val="21"/>
              </w:rPr>
              <w:t>单位</w:t>
            </w:r>
          </w:p>
        </w:tc>
        <w:tc>
          <w:tcPr>
            <w:tcW w:w="423" w:type="pct"/>
            <w:vMerge w:val="restart"/>
            <w:shd w:val="clear" w:color="auto" w:fill="FFFFFF" w:themeFill="background1"/>
            <w:vAlign w:val="center"/>
          </w:tcPr>
          <w:p>
            <w:pPr>
              <w:jc w:val="center"/>
              <w:rPr>
                <w:rFonts w:cs="宋体"/>
                <w:b/>
                <w:bCs/>
                <w:szCs w:val="21"/>
              </w:rPr>
            </w:pPr>
            <w:r>
              <w:rPr>
                <w:rFonts w:hint="eastAsia" w:cs="宋体"/>
                <w:b/>
                <w:bCs/>
                <w:szCs w:val="21"/>
              </w:rPr>
              <w:t>数量</w:t>
            </w:r>
          </w:p>
        </w:tc>
        <w:tc>
          <w:tcPr>
            <w:tcW w:w="338" w:type="pct"/>
            <w:vMerge w:val="restart"/>
            <w:shd w:val="clear" w:color="auto" w:fill="FFFFFF" w:themeFill="background1"/>
            <w:vAlign w:val="center"/>
          </w:tcPr>
          <w:p>
            <w:pPr>
              <w:jc w:val="center"/>
              <w:rPr>
                <w:rFonts w:cs="宋体"/>
                <w:b/>
                <w:bCs/>
                <w:szCs w:val="21"/>
              </w:rPr>
            </w:pPr>
            <w:r>
              <w:rPr>
                <w:rFonts w:hint="eastAsia"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1" w:hRule="atLeast"/>
        </w:trPr>
        <w:tc>
          <w:tcPr>
            <w:tcW w:w="396" w:type="pct"/>
            <w:vMerge w:val="continue"/>
            <w:shd w:val="clear" w:color="auto" w:fill="FFFFFF" w:themeFill="background1"/>
            <w:vAlign w:val="center"/>
          </w:tcPr>
          <w:p>
            <w:pPr>
              <w:rPr>
                <w:rFonts w:cs="宋体"/>
                <w:b/>
                <w:bCs/>
                <w:szCs w:val="21"/>
              </w:rPr>
            </w:pPr>
          </w:p>
        </w:tc>
        <w:tc>
          <w:tcPr>
            <w:tcW w:w="960" w:type="pct"/>
            <w:gridSpan w:val="2"/>
            <w:vMerge w:val="continue"/>
            <w:shd w:val="clear" w:color="auto" w:fill="FFFFFF" w:themeFill="background1"/>
            <w:vAlign w:val="center"/>
          </w:tcPr>
          <w:p>
            <w:pPr>
              <w:rPr>
                <w:rFonts w:cs="宋体"/>
                <w:b/>
                <w:bCs/>
                <w:szCs w:val="21"/>
              </w:rPr>
            </w:pPr>
          </w:p>
        </w:tc>
        <w:tc>
          <w:tcPr>
            <w:tcW w:w="2588" w:type="pct"/>
            <w:vMerge w:val="continue"/>
            <w:shd w:val="clear" w:color="auto" w:fill="FFFFFF" w:themeFill="background1"/>
            <w:vAlign w:val="center"/>
          </w:tcPr>
          <w:p>
            <w:pPr>
              <w:rPr>
                <w:rFonts w:cs="宋体"/>
                <w:b/>
                <w:bCs/>
                <w:szCs w:val="21"/>
              </w:rPr>
            </w:pPr>
          </w:p>
        </w:tc>
        <w:tc>
          <w:tcPr>
            <w:tcW w:w="292" w:type="pct"/>
            <w:vMerge w:val="continue"/>
            <w:shd w:val="clear" w:color="auto" w:fill="FFFFFF" w:themeFill="background1"/>
            <w:vAlign w:val="center"/>
          </w:tcPr>
          <w:p>
            <w:pPr>
              <w:rPr>
                <w:rFonts w:cs="宋体"/>
                <w:b/>
                <w:bCs/>
                <w:szCs w:val="21"/>
              </w:rPr>
            </w:pPr>
          </w:p>
        </w:tc>
        <w:tc>
          <w:tcPr>
            <w:tcW w:w="423" w:type="pct"/>
            <w:vMerge w:val="continue"/>
            <w:shd w:val="clear" w:color="auto" w:fill="FFFFFF" w:themeFill="background1"/>
            <w:vAlign w:val="center"/>
          </w:tcPr>
          <w:p>
            <w:pPr>
              <w:rPr>
                <w:rFonts w:cs="宋体"/>
                <w:b/>
                <w:bCs/>
                <w:szCs w:val="21"/>
              </w:rPr>
            </w:pPr>
          </w:p>
        </w:tc>
        <w:tc>
          <w:tcPr>
            <w:tcW w:w="338" w:type="pct"/>
            <w:vMerge w:val="continue"/>
            <w:shd w:val="clear" w:color="auto" w:fill="FFFFFF" w:themeFill="background1"/>
            <w:vAlign w:val="center"/>
          </w:tcPr>
          <w:p>
            <w:pPr>
              <w:rPr>
                <w:rFonts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5000" w:type="pct"/>
            <w:gridSpan w:val="7"/>
            <w:shd w:val="clear" w:color="auto" w:fill="FFFFFF" w:themeFill="background1"/>
            <w:vAlign w:val="center"/>
          </w:tcPr>
          <w:p>
            <w:pPr>
              <w:rPr>
                <w:rFonts w:cs="宋体"/>
                <w:b/>
                <w:bCs/>
                <w:szCs w:val="21"/>
              </w:rPr>
            </w:pPr>
            <w:r>
              <w:rPr>
                <w:rFonts w:hint="eastAsia" w:cs="宋体"/>
                <w:b/>
                <w:bCs/>
                <w:szCs w:val="21"/>
              </w:rPr>
              <w:t>桥梁车辆动态称重检测系统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1</w:t>
            </w:r>
          </w:p>
        </w:tc>
        <w:tc>
          <w:tcPr>
            <w:tcW w:w="960" w:type="pct"/>
            <w:gridSpan w:val="2"/>
            <w:shd w:val="clear" w:color="auto" w:fill="FFFFFF" w:themeFill="background1"/>
            <w:vAlign w:val="center"/>
          </w:tcPr>
          <w:p>
            <w:pPr>
              <w:jc w:val="center"/>
              <w:rPr>
                <w:rFonts w:cs="宋体"/>
                <w:b/>
                <w:bCs/>
                <w:szCs w:val="21"/>
              </w:rPr>
            </w:pPr>
            <w:r>
              <w:rPr>
                <w:rFonts w:hint="eastAsia" w:cs="宋体"/>
                <w:b/>
                <w:bCs/>
                <w:szCs w:val="21"/>
              </w:rPr>
              <w:t>动态高速称重系统（平板结构）</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1.1</w:t>
            </w:r>
          </w:p>
        </w:tc>
        <w:tc>
          <w:tcPr>
            <w:tcW w:w="960" w:type="pct"/>
            <w:gridSpan w:val="2"/>
            <w:shd w:val="clear" w:color="auto" w:fill="FFFFFF" w:themeFill="background1"/>
            <w:vAlign w:val="center"/>
          </w:tcPr>
          <w:p>
            <w:pPr>
              <w:jc w:val="center"/>
              <w:rPr>
                <w:rFonts w:cs="宋体"/>
                <w:szCs w:val="21"/>
              </w:rPr>
            </w:pPr>
            <w:r>
              <w:rPr>
                <w:rFonts w:hint="eastAsia" w:cs="宋体"/>
                <w:szCs w:val="21"/>
              </w:rPr>
              <w:t>平板式称重主体</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准确度等级：整车总重量的准确度等级5级；额定容量：最大单轴或轴组载荷：Max≥40t，最小单轴或轴组载荷：Min≤500kg；动态称重运行速度：最小称量运行速度≤0.5km/h，最大称量运行速度≥100km/h；具有省级及以上相关审批资质的计量主管部门颁发的《计量器具型式批准证书》；</w:t>
            </w:r>
          </w:p>
          <w:p>
            <w:pPr>
              <w:rPr>
                <w:rFonts w:hint="eastAsia" w:eastAsia="仿宋" w:cs="宋体"/>
                <w:szCs w:val="21"/>
                <w:lang w:eastAsia="zh-CN"/>
              </w:rPr>
            </w:pPr>
            <w:r>
              <w:rPr>
                <w:rFonts w:hint="eastAsia" w:cs="宋体"/>
                <w:szCs w:val="21"/>
              </w:rPr>
              <w:t>●2、测速误差≤±1km/h（投标时提供检测报告）</w:t>
            </w:r>
          </w:p>
          <w:p>
            <w:pPr>
              <w:rPr>
                <w:rFonts w:hint="eastAsia" w:eastAsia="仿宋" w:cs="宋体"/>
                <w:szCs w:val="21"/>
                <w:lang w:eastAsia="zh-CN"/>
              </w:rPr>
            </w:pPr>
            <w:r>
              <w:rPr>
                <w:rFonts w:hint="eastAsia" w:cs="宋体"/>
                <w:szCs w:val="21"/>
              </w:rPr>
              <w:t>3、采用一体式安装方式布置高速动态平板秤台，每个秤台均能独立称重检测；</w:t>
            </w:r>
          </w:p>
          <w:p>
            <w:pPr>
              <w:rPr>
                <w:rFonts w:hint="eastAsia" w:eastAsia="仿宋" w:cs="宋体"/>
                <w:szCs w:val="21"/>
                <w:lang w:eastAsia="zh-CN"/>
              </w:rPr>
            </w:pPr>
            <w:r>
              <w:rPr>
                <w:rFonts w:hint="eastAsia" w:cs="宋体"/>
                <w:szCs w:val="21"/>
              </w:rPr>
              <w:t>4、首次检定最大允许误差±2.50％，使用中检验最大允许误差±5.00％；</w:t>
            </w:r>
          </w:p>
          <w:p>
            <w:pPr>
              <w:rPr>
                <w:rFonts w:hint="eastAsia" w:eastAsia="仿宋" w:cs="宋体"/>
                <w:szCs w:val="21"/>
                <w:lang w:eastAsia="zh-CN"/>
              </w:rPr>
            </w:pPr>
            <w:r>
              <w:rPr>
                <w:rFonts w:hint="eastAsia" w:cs="宋体"/>
                <w:szCs w:val="21"/>
              </w:rPr>
              <w:t>5、相邻台面之间采用“无缝”拼接技术，保证车辆在碾压台面接缝行驶时也可准确检测；</w:t>
            </w:r>
          </w:p>
          <w:p>
            <w:pPr>
              <w:rPr>
                <w:rFonts w:hint="eastAsia" w:eastAsia="仿宋" w:cs="宋体"/>
                <w:szCs w:val="21"/>
                <w:lang w:eastAsia="zh-CN"/>
              </w:rPr>
            </w:pPr>
            <w:r>
              <w:rPr>
                <w:rFonts w:hint="eastAsia" w:cs="宋体"/>
                <w:szCs w:val="21"/>
              </w:rPr>
              <w:t>6、动态称重设备能够适应道路行车时的复杂环境，对于异常行驶行为均能准确秤量，并提供证明文件；</w:t>
            </w:r>
          </w:p>
          <w:p>
            <w:pPr>
              <w:rPr>
                <w:rFonts w:hint="eastAsia" w:eastAsia="仿宋" w:cs="宋体"/>
                <w:szCs w:val="21"/>
                <w:lang w:eastAsia="zh-CN"/>
              </w:rPr>
            </w:pPr>
            <w:r>
              <w:rPr>
                <w:rFonts w:hint="eastAsia" w:cs="宋体"/>
                <w:szCs w:val="21"/>
              </w:rPr>
              <w:t>7、采用电阻应变式称重传感器，每个车道12个传感器；</w:t>
            </w:r>
          </w:p>
          <w:p>
            <w:pPr>
              <w:rPr>
                <w:rFonts w:hint="eastAsia" w:eastAsia="仿宋" w:cs="宋体"/>
                <w:szCs w:val="21"/>
                <w:lang w:eastAsia="zh-CN"/>
              </w:rPr>
            </w:pPr>
            <w:r>
              <w:rPr>
                <w:rFonts w:hint="eastAsia" w:cs="宋体"/>
                <w:szCs w:val="21"/>
              </w:rPr>
              <w:t>8、秤台采用合金钢材质，秤台横向长度根据车道路面实际检测宽度进行定制；</w:t>
            </w:r>
          </w:p>
          <w:p>
            <w:pPr>
              <w:rPr>
                <w:rFonts w:cs="宋体"/>
                <w:szCs w:val="21"/>
              </w:rPr>
            </w:pPr>
            <w:r>
              <w:rPr>
                <w:rFonts w:hint="eastAsia" w:cs="宋体"/>
                <w:szCs w:val="21"/>
              </w:rPr>
              <w:t>●9、称重平板承载器抗盐雾性能符合国标GB/T2423《电工电子产品环境试验》的相关要求规定；秤台抗盐雾性能通过连续喷雾≥520h盐雾测试合格（投标时提供检测报告）；</w:t>
            </w:r>
          </w:p>
          <w:p>
            <w:pPr>
              <w:pStyle w:val="27"/>
              <w:rPr>
                <w:rFonts w:hint="default" w:eastAsia="仿宋"/>
                <w:lang w:val="en-US" w:eastAsia="zh-CN"/>
              </w:rPr>
            </w:pPr>
          </w:p>
        </w:tc>
        <w:tc>
          <w:tcPr>
            <w:tcW w:w="292" w:type="pct"/>
            <w:shd w:val="clear" w:color="auto" w:fill="FFFFFF" w:themeFill="background1"/>
            <w:vAlign w:val="center"/>
          </w:tcPr>
          <w:p>
            <w:pPr>
              <w:jc w:val="center"/>
              <w:rPr>
                <w:rFonts w:cs="宋体"/>
                <w:szCs w:val="21"/>
              </w:rPr>
            </w:pPr>
            <w:r>
              <w:rPr>
                <w:rFonts w:hint="eastAsia" w:cs="宋体"/>
                <w:szCs w:val="21"/>
              </w:rPr>
              <w:t>车道</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1.2</w:t>
            </w:r>
          </w:p>
        </w:tc>
        <w:tc>
          <w:tcPr>
            <w:tcW w:w="960" w:type="pct"/>
            <w:gridSpan w:val="2"/>
            <w:shd w:val="clear" w:color="auto" w:fill="FFFFFF" w:themeFill="background1"/>
            <w:vAlign w:val="center"/>
          </w:tcPr>
          <w:p>
            <w:pPr>
              <w:jc w:val="center"/>
              <w:rPr>
                <w:rFonts w:cs="宋体"/>
                <w:szCs w:val="21"/>
              </w:rPr>
            </w:pPr>
            <w:r>
              <w:rPr>
                <w:rFonts w:hint="eastAsia" w:cs="宋体"/>
                <w:szCs w:val="21"/>
              </w:rPr>
              <w:t>称重传感器</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类型:电阻应变式：</w:t>
            </w:r>
          </w:p>
          <w:p>
            <w:pPr>
              <w:rPr>
                <w:rFonts w:hint="eastAsia" w:eastAsia="仿宋" w:cs="宋体"/>
                <w:szCs w:val="21"/>
                <w:lang w:eastAsia="zh-CN"/>
              </w:rPr>
            </w:pPr>
            <w:r>
              <w:rPr>
                <w:rFonts w:hint="eastAsia" w:cs="宋体"/>
                <w:szCs w:val="21"/>
              </w:rPr>
              <w:t>●1、额定量程≥20吨，安全过载能力160%（32吨），极限过载能力320%（64吨）（投标时提供检测报告）；</w:t>
            </w:r>
          </w:p>
          <w:p>
            <w:pPr>
              <w:rPr>
                <w:rFonts w:hint="eastAsia" w:eastAsia="仿宋" w:cs="宋体"/>
                <w:szCs w:val="21"/>
                <w:lang w:eastAsia="zh-CN"/>
              </w:rPr>
            </w:pPr>
            <w:r>
              <w:rPr>
                <w:rFonts w:hint="eastAsia" w:cs="宋体"/>
                <w:szCs w:val="21"/>
              </w:rPr>
              <w:t>2、性能指标:灵敏度:≥1.65±0.01mV/V；</w:t>
            </w:r>
          </w:p>
          <w:p>
            <w:pPr>
              <w:rPr>
                <w:rFonts w:hint="eastAsia" w:eastAsia="仿宋" w:cs="宋体"/>
                <w:szCs w:val="21"/>
                <w:lang w:eastAsia="zh-CN"/>
              </w:rPr>
            </w:pPr>
            <w:r>
              <w:rPr>
                <w:rFonts w:hint="eastAsia" w:cs="宋体"/>
                <w:szCs w:val="21"/>
              </w:rPr>
              <w:t>3、零点输出:±200uV/10V；</w:t>
            </w:r>
          </w:p>
          <w:p>
            <w:pPr>
              <w:rPr>
                <w:rFonts w:hint="eastAsia" w:eastAsia="仿宋" w:cs="宋体"/>
                <w:szCs w:val="21"/>
                <w:lang w:eastAsia="zh-CN"/>
              </w:rPr>
            </w:pPr>
            <w:r>
              <w:rPr>
                <w:rFonts w:hint="eastAsia" w:cs="宋体"/>
                <w:szCs w:val="21"/>
              </w:rPr>
              <w:t>4、零点温度漂移:±0.02%FS/10℃；</w:t>
            </w:r>
          </w:p>
          <w:p>
            <w:pPr>
              <w:rPr>
                <w:rFonts w:hint="eastAsia" w:eastAsia="仿宋" w:cs="宋体"/>
                <w:szCs w:val="21"/>
                <w:lang w:eastAsia="zh-CN"/>
              </w:rPr>
            </w:pPr>
            <w:r>
              <w:rPr>
                <w:rFonts w:hint="eastAsia" w:cs="宋体"/>
                <w:szCs w:val="21"/>
              </w:rPr>
              <w:t>5、温度补偿范围:-10℃~+50℃；</w:t>
            </w:r>
          </w:p>
          <w:p>
            <w:pPr>
              <w:rPr>
                <w:rFonts w:hint="eastAsia" w:eastAsia="仿宋" w:cs="宋体"/>
                <w:szCs w:val="21"/>
                <w:lang w:eastAsia="zh-CN"/>
              </w:rPr>
            </w:pPr>
            <w:r>
              <w:rPr>
                <w:rFonts w:hint="eastAsia" w:cs="宋体"/>
                <w:szCs w:val="21"/>
              </w:rPr>
              <w:t>6、灵敏度温度漂移:±0.02%FS/10℃；</w:t>
            </w:r>
          </w:p>
          <w:p>
            <w:pPr>
              <w:rPr>
                <w:rFonts w:hint="eastAsia" w:eastAsia="仿宋" w:cs="宋体"/>
                <w:szCs w:val="21"/>
                <w:lang w:eastAsia="zh-CN"/>
              </w:rPr>
            </w:pPr>
            <w:r>
              <w:rPr>
                <w:rFonts w:hint="eastAsia" w:cs="宋体"/>
                <w:szCs w:val="21"/>
              </w:rPr>
              <w:t>7、工作温度范围:-10℃~+40℃；</w:t>
            </w:r>
          </w:p>
          <w:p>
            <w:pPr>
              <w:rPr>
                <w:rFonts w:hint="eastAsia" w:eastAsia="仿宋" w:cs="宋体"/>
                <w:szCs w:val="21"/>
                <w:lang w:eastAsia="zh-CN"/>
              </w:rPr>
            </w:pPr>
            <w:r>
              <w:rPr>
                <w:rFonts w:hint="eastAsia" w:cs="宋体"/>
                <w:szCs w:val="21"/>
              </w:rPr>
              <w:t>8、非线性:±0.02%FS；</w:t>
            </w:r>
          </w:p>
          <w:p>
            <w:pPr>
              <w:rPr>
                <w:rFonts w:hint="eastAsia" w:eastAsia="仿宋" w:cs="宋体"/>
                <w:szCs w:val="21"/>
                <w:lang w:eastAsia="zh-CN"/>
              </w:rPr>
            </w:pPr>
            <w:r>
              <w:rPr>
                <w:rFonts w:hint="eastAsia" w:cs="宋体"/>
                <w:szCs w:val="21"/>
              </w:rPr>
              <w:t>9、滞后:±0.02%FS；</w:t>
            </w:r>
          </w:p>
          <w:p>
            <w:pPr>
              <w:rPr>
                <w:rFonts w:hint="eastAsia" w:eastAsia="仿宋" w:cs="宋体"/>
                <w:szCs w:val="21"/>
                <w:lang w:eastAsia="zh-CN"/>
              </w:rPr>
            </w:pPr>
            <w:r>
              <w:rPr>
                <w:rFonts w:hint="eastAsia" w:cs="宋体"/>
                <w:szCs w:val="21"/>
              </w:rPr>
              <w:t>10、零点平衡:±0.02%FS；</w:t>
            </w:r>
          </w:p>
          <w:p>
            <w:pPr>
              <w:rPr>
                <w:rFonts w:hint="eastAsia" w:eastAsia="仿宋" w:cs="宋体"/>
                <w:szCs w:val="21"/>
                <w:lang w:eastAsia="zh-CN"/>
              </w:rPr>
            </w:pPr>
            <w:r>
              <w:rPr>
                <w:rFonts w:hint="eastAsia" w:cs="宋体"/>
                <w:szCs w:val="21"/>
              </w:rPr>
              <w:t>11、综合误差:±0.02%FS；</w:t>
            </w:r>
          </w:p>
          <w:p>
            <w:pPr>
              <w:rPr>
                <w:rFonts w:hint="eastAsia" w:eastAsia="仿宋" w:cs="宋体"/>
                <w:szCs w:val="21"/>
                <w:lang w:eastAsia="zh-CN"/>
              </w:rPr>
            </w:pPr>
            <w:r>
              <w:rPr>
                <w:rFonts w:hint="eastAsia" w:cs="宋体"/>
                <w:szCs w:val="21"/>
              </w:rPr>
              <w:t>12、每车道12只；</w:t>
            </w:r>
          </w:p>
          <w:p>
            <w:pPr>
              <w:rPr>
                <w:rFonts w:hint="eastAsia" w:eastAsia="仿宋" w:cs="宋体"/>
                <w:szCs w:val="21"/>
                <w:lang w:eastAsia="zh-CN"/>
              </w:rPr>
            </w:pPr>
            <w:r>
              <w:rPr>
                <w:rFonts w:hint="eastAsia" w:cs="宋体"/>
                <w:szCs w:val="21"/>
              </w:rPr>
              <w:t>13、称重传感器防护等级性能符合</w:t>
            </w:r>
            <w:r>
              <w:rPr>
                <w:rFonts w:hint="eastAsia" w:cs="宋体"/>
                <w:color w:val="auto"/>
                <w:szCs w:val="21"/>
                <w:highlight w:val="none"/>
              </w:rPr>
              <w:t>IP68</w:t>
            </w:r>
            <w:r>
              <w:rPr>
                <w:rFonts w:hint="eastAsia" w:cs="宋体"/>
                <w:szCs w:val="21"/>
              </w:rPr>
              <w:t>标准（投标时提供检测报告）；</w:t>
            </w:r>
          </w:p>
          <w:p>
            <w:pPr>
              <w:rPr>
                <w:rFonts w:hint="eastAsia" w:eastAsia="仿宋" w:cs="宋体"/>
                <w:szCs w:val="21"/>
                <w:lang w:eastAsia="zh-CN"/>
              </w:rPr>
            </w:pPr>
            <w:r>
              <w:rPr>
                <w:rFonts w:hint="eastAsia" w:cs="宋体"/>
                <w:szCs w:val="21"/>
              </w:rPr>
              <w:t>14、称重传感器振动测试（定频）符合GB/T 2423.10标准，振动频率≥11HZ，加速度≥5g，振动方向X、Y、Z三个轴向，振动时间≥3H每轴向，实验结果要求无损坏、无故障，正常工作（投标时提供检测报告）；</w:t>
            </w:r>
          </w:p>
          <w:p>
            <w:pPr>
              <w:rPr>
                <w:rFonts w:hint="eastAsia" w:eastAsia="仿宋" w:cs="宋体"/>
                <w:szCs w:val="21"/>
                <w:lang w:eastAsia="zh-CN"/>
              </w:rPr>
            </w:pPr>
            <w:r>
              <w:rPr>
                <w:rFonts w:hint="eastAsia" w:cs="宋体"/>
                <w:szCs w:val="21"/>
              </w:rPr>
              <w:t>15、称重传感器振动测试（扫频）符合GB/T 2423.10标准，振动频率12-35-12HZ，加速度≥5g，扫频方向X轴，扫描次数≥15次，实验结果要求无损坏、无故障，正常工作（投标时提供检测报告）；</w:t>
            </w:r>
          </w:p>
          <w:p>
            <w:pPr>
              <w:rPr>
                <w:rFonts w:hint="eastAsia" w:eastAsia="仿宋" w:cs="宋体"/>
                <w:szCs w:val="21"/>
                <w:lang w:eastAsia="zh-CN"/>
              </w:rPr>
            </w:pPr>
            <w:r>
              <w:rPr>
                <w:rFonts w:hint="eastAsia" w:cs="宋体"/>
                <w:szCs w:val="21"/>
              </w:rPr>
              <w:t>●16、称重传感器机械冲击性能符合GB/T 2423.5标准，冲击实验加速度为≥16g，脉冲持续时间为≥11ms，在三个互相垂直的方向上各击≥7次，实验结果要求无损坏、无故障，正常工作（投标时提供检测报告）；</w:t>
            </w:r>
          </w:p>
          <w:p>
            <w:pPr>
              <w:rPr>
                <w:rFonts w:cs="宋体"/>
                <w:szCs w:val="21"/>
              </w:rPr>
            </w:pPr>
            <w:r>
              <w:rPr>
                <w:rFonts w:hint="eastAsia" w:cs="宋体"/>
                <w:szCs w:val="21"/>
              </w:rPr>
              <w:t>●17、在直流500V的条件下，绝缘电阻值≥200MΩ（投标时提供检测报告）。</w:t>
            </w:r>
          </w:p>
        </w:tc>
        <w:tc>
          <w:tcPr>
            <w:tcW w:w="292" w:type="pct"/>
            <w:shd w:val="clear" w:color="auto" w:fill="FFFFFF" w:themeFill="background1"/>
            <w:vAlign w:val="center"/>
          </w:tcPr>
          <w:p>
            <w:pPr>
              <w:jc w:val="center"/>
              <w:rPr>
                <w:rFonts w:cs="宋体"/>
                <w:szCs w:val="21"/>
              </w:rPr>
            </w:pPr>
            <w:r>
              <w:rPr>
                <w:rFonts w:hint="eastAsia" w:cs="宋体"/>
                <w:szCs w:val="21"/>
              </w:rPr>
              <w:t>车道</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1.3</w:t>
            </w:r>
          </w:p>
        </w:tc>
        <w:tc>
          <w:tcPr>
            <w:tcW w:w="960" w:type="pct"/>
            <w:gridSpan w:val="2"/>
            <w:shd w:val="clear" w:color="auto" w:fill="FFFFFF" w:themeFill="background1"/>
            <w:vAlign w:val="center"/>
          </w:tcPr>
          <w:p>
            <w:pPr>
              <w:jc w:val="center"/>
              <w:rPr>
                <w:rFonts w:cs="宋体"/>
                <w:szCs w:val="21"/>
              </w:rPr>
            </w:pPr>
            <w:r>
              <w:rPr>
                <w:rFonts w:hint="eastAsia" w:cs="宋体"/>
                <w:szCs w:val="21"/>
              </w:rPr>
              <w:t>平板式称重平台基础</w:t>
            </w:r>
          </w:p>
        </w:tc>
        <w:tc>
          <w:tcPr>
            <w:tcW w:w="2588" w:type="pct"/>
            <w:shd w:val="clear" w:color="auto" w:fill="FFFFFF" w:themeFill="background1"/>
            <w:vAlign w:val="center"/>
          </w:tcPr>
          <w:p>
            <w:pP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含路面开挖、碎渣清理、高强灌浆料、钢筋、管材及路面内施工机具人工等费用；</w:t>
            </w:r>
          </w:p>
          <w:p>
            <w:pPr>
              <w:rPr>
                <w:rFonts w:cs="宋体"/>
                <w:szCs w:val="21"/>
              </w:rPr>
            </w:pPr>
            <w:r>
              <w:rPr>
                <w:rFonts w:hint="eastAsia" w:ascii="仿宋" w:hAnsi="仿宋" w:eastAsia="仿宋" w:cs="仿宋"/>
                <w:bCs/>
                <w:color w:val="auto"/>
                <w:szCs w:val="21"/>
                <w:highlight w:val="none"/>
              </w:rPr>
              <w:t>高强灌浆料以特种水泥作为胶结材料、配以多种外加剂和特选骨料复合，辅以高流态、微膨胀、防离析等物质配制而成，具有大流动度、无收缩、微膨胀、早强、高强、无毒、无害、不老化、自密性好、防锈等特点。</w:t>
            </w:r>
            <w:r>
              <w:rPr>
                <w:rFonts w:hint="eastAsia" w:ascii="仿宋" w:hAnsi="仿宋" w:eastAsia="仿宋" w:cs="宋体"/>
                <w:color w:val="auto"/>
                <w:kern w:val="0"/>
                <w:szCs w:val="21"/>
              </w:rPr>
              <w:t>夏季12小时内通行重车；冬季24小时内通行重车</w:t>
            </w:r>
            <w:r>
              <w:rPr>
                <w:rFonts w:hint="eastAsia" w:cs="宋体"/>
                <w:color w:val="auto"/>
                <w:kern w:val="0"/>
                <w:szCs w:val="21"/>
                <w:lang w:eastAsia="zh-CN"/>
              </w:rPr>
              <w:t>。</w:t>
            </w:r>
            <w:r>
              <w:rPr>
                <w:rFonts w:hint="eastAsia" w:cs="宋体"/>
                <w:color w:val="auto"/>
                <w:szCs w:val="21"/>
              </w:rPr>
              <w:t>施工时对道路沥青的破坏及修复。</w:t>
            </w:r>
          </w:p>
        </w:tc>
        <w:tc>
          <w:tcPr>
            <w:tcW w:w="292" w:type="pct"/>
            <w:shd w:val="clear" w:color="auto" w:fill="FFFFFF" w:themeFill="background1"/>
            <w:vAlign w:val="center"/>
          </w:tcPr>
          <w:p>
            <w:pPr>
              <w:jc w:val="center"/>
              <w:rPr>
                <w:rFonts w:cs="宋体"/>
                <w:szCs w:val="21"/>
              </w:rPr>
            </w:pPr>
            <w:r>
              <w:rPr>
                <w:rFonts w:hint="eastAsia" w:cs="宋体"/>
                <w:szCs w:val="21"/>
              </w:rPr>
              <w:t>车道</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1.4</w:t>
            </w:r>
          </w:p>
        </w:tc>
        <w:tc>
          <w:tcPr>
            <w:tcW w:w="960" w:type="pct"/>
            <w:gridSpan w:val="2"/>
            <w:shd w:val="clear" w:color="auto" w:fill="FFFFFF" w:themeFill="background1"/>
            <w:vAlign w:val="center"/>
          </w:tcPr>
          <w:p>
            <w:pPr>
              <w:jc w:val="center"/>
              <w:rPr>
                <w:rFonts w:cs="宋体"/>
                <w:szCs w:val="21"/>
              </w:rPr>
            </w:pPr>
            <w:r>
              <w:rPr>
                <w:rFonts w:hint="eastAsia" w:cs="宋体"/>
                <w:szCs w:val="21"/>
              </w:rPr>
              <w:t>车辆检测器</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电感量自调谐范围20-1000uH,Q值≥5；灵敏度4级可调；频率范围20kHz-110kHz，4级可调；响应时间≤100ms；</w:t>
            </w:r>
          </w:p>
          <w:p>
            <w:pPr>
              <w:rPr>
                <w:rFonts w:cs="宋体"/>
                <w:szCs w:val="21"/>
              </w:rPr>
            </w:pPr>
            <w:r>
              <w:rPr>
                <w:rFonts w:hint="eastAsia" w:cs="宋体"/>
                <w:szCs w:val="21"/>
              </w:rPr>
              <w:t>可接入4路地感线圈</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1.5</w:t>
            </w:r>
          </w:p>
        </w:tc>
        <w:tc>
          <w:tcPr>
            <w:tcW w:w="960" w:type="pct"/>
            <w:gridSpan w:val="2"/>
            <w:shd w:val="clear" w:color="auto" w:fill="FFFFFF" w:themeFill="background1"/>
            <w:vAlign w:val="center"/>
          </w:tcPr>
          <w:p>
            <w:pPr>
              <w:jc w:val="center"/>
              <w:rPr>
                <w:rFonts w:cs="宋体"/>
                <w:szCs w:val="21"/>
              </w:rPr>
            </w:pPr>
            <w:r>
              <w:rPr>
                <w:rFonts w:hint="eastAsia" w:cs="宋体"/>
                <w:szCs w:val="21"/>
              </w:rPr>
              <w:t>地感线圈及浇料</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1、线圈电缆由载面积1.5mm</w:t>
            </w:r>
            <w:r>
              <w:rPr>
                <w:rFonts w:hint="eastAsia" w:ascii="宋体" w:hAnsi="宋体" w:cs="宋体"/>
                <w:szCs w:val="21"/>
              </w:rPr>
              <w:t>²</w:t>
            </w:r>
            <w:r>
              <w:rPr>
                <w:rFonts w:hint="eastAsia" w:cs="仿宋"/>
                <w:szCs w:val="21"/>
              </w:rPr>
              <w:t>的多股铜导线组成，应用于超低压电路（</w:t>
            </w:r>
            <w:r>
              <w:rPr>
                <w:rFonts w:hint="eastAsia" w:cs="宋体"/>
                <w:szCs w:val="21"/>
              </w:rPr>
              <w:t>AC32V以下）；</w:t>
            </w:r>
          </w:p>
          <w:p>
            <w:pPr>
              <w:rPr>
                <w:rFonts w:cs="宋体"/>
                <w:szCs w:val="21"/>
              </w:rPr>
            </w:pPr>
            <w:r>
              <w:rPr>
                <w:rFonts w:hint="eastAsia" w:cs="宋体"/>
                <w:szCs w:val="21"/>
              </w:rPr>
              <w:t>2、含线圈切槽施工及安装浇料等。</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24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1.6</w:t>
            </w:r>
          </w:p>
        </w:tc>
        <w:tc>
          <w:tcPr>
            <w:tcW w:w="960" w:type="pct"/>
            <w:gridSpan w:val="2"/>
            <w:shd w:val="clear" w:color="auto" w:fill="FFFFFF" w:themeFill="background1"/>
            <w:vAlign w:val="center"/>
          </w:tcPr>
          <w:p>
            <w:pPr>
              <w:jc w:val="center"/>
              <w:rPr>
                <w:rFonts w:cs="宋体"/>
                <w:szCs w:val="21"/>
              </w:rPr>
            </w:pPr>
            <w:r>
              <w:rPr>
                <w:rFonts w:hint="eastAsia" w:cs="宋体"/>
                <w:szCs w:val="21"/>
              </w:rPr>
              <w:t>数据采集器</w:t>
            </w:r>
          </w:p>
        </w:tc>
        <w:tc>
          <w:tcPr>
            <w:tcW w:w="2588" w:type="pct"/>
            <w:shd w:val="clear" w:color="auto" w:fill="FFFFFF" w:themeFill="background1"/>
            <w:vAlign w:val="center"/>
          </w:tcPr>
          <w:p>
            <w:pPr>
              <w:rPr>
                <w:rFonts w:cs="宋体"/>
                <w:szCs w:val="21"/>
              </w:rPr>
            </w:pPr>
            <w:r>
              <w:rPr>
                <w:rFonts w:hint="eastAsia" w:cs="宋体"/>
                <w:szCs w:val="21"/>
              </w:rPr>
              <w:t>跨道精检型，AD转换，数据采集，轴数识别；12路同步采样模拟输入，采样率高达248kS/s；24位分辨率，ADC具有114dB动态范围；输入信号的范围从±1V至10V时，可设置2种增益设置，高达+20dB；交流/直流可选；12路通道提供的通道密度适宜大多数NVH；高可靠性。</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1.7</w:t>
            </w:r>
          </w:p>
        </w:tc>
        <w:tc>
          <w:tcPr>
            <w:tcW w:w="960" w:type="pct"/>
            <w:gridSpan w:val="2"/>
            <w:shd w:val="clear" w:color="auto" w:fill="FFFFFF" w:themeFill="background1"/>
            <w:vAlign w:val="center"/>
          </w:tcPr>
          <w:p>
            <w:pPr>
              <w:jc w:val="center"/>
              <w:rPr>
                <w:rFonts w:cs="宋体"/>
                <w:szCs w:val="21"/>
              </w:rPr>
            </w:pPr>
            <w:r>
              <w:rPr>
                <w:rFonts w:hint="eastAsia" w:cs="宋体"/>
                <w:szCs w:val="21"/>
              </w:rPr>
              <w:t>称重数据处理一体机</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实现公路超限检测数据的采集、匹配处理、存储以及数据转发输出。接收抓拍摄像机所抓拍的记录、图像、视频以及称重传感器系统获得的称重记录;对抓拍记录以及称重记录进行整合与匹配处理,合成车辆超限信息与证据链，具备公路治超非现场执法数据采集软件知识产权证明；</w:t>
            </w:r>
            <w:r>
              <w:rPr>
                <w:rFonts w:hint="eastAsia" w:cs="宋体"/>
                <w:szCs w:val="21"/>
                <w:highlight w:val="none"/>
              </w:rPr>
              <w:t>（提供软件知识产权证明</w:t>
            </w:r>
            <w:r>
              <w:rPr>
                <w:rFonts w:hint="eastAsia" w:cs="宋体"/>
                <w:szCs w:val="21"/>
                <w:highlight w:val="none"/>
                <w:lang w:val="en-US" w:eastAsia="zh-CN"/>
              </w:rPr>
              <w:t>或相关授权证明并加盖单位公章</w:t>
            </w:r>
            <w:r>
              <w:rPr>
                <w:rFonts w:hint="eastAsia" w:cs="宋体"/>
                <w:szCs w:val="21"/>
                <w:highlight w:val="none"/>
              </w:rPr>
              <w:t>）</w:t>
            </w:r>
            <w:r>
              <w:rPr>
                <w:rFonts w:hint="eastAsia" w:cs="宋体"/>
                <w:szCs w:val="21"/>
              </w:rPr>
              <w:t>；</w:t>
            </w:r>
          </w:p>
          <w:p>
            <w:pPr>
              <w:rPr>
                <w:rFonts w:hint="eastAsia" w:eastAsia="仿宋" w:cs="宋体"/>
                <w:szCs w:val="21"/>
                <w:lang w:eastAsia="zh-CN"/>
              </w:rPr>
            </w:pPr>
            <w:r>
              <w:rPr>
                <w:rFonts w:hint="eastAsia" w:cs="宋体"/>
                <w:szCs w:val="21"/>
              </w:rPr>
              <w:t>2、机型：2U机架式；</w:t>
            </w:r>
          </w:p>
          <w:p>
            <w:pPr>
              <w:rPr>
                <w:rFonts w:hint="eastAsia" w:eastAsia="仿宋" w:cs="宋体"/>
                <w:szCs w:val="21"/>
                <w:lang w:eastAsia="zh-CN"/>
              </w:rPr>
            </w:pPr>
            <w:r>
              <w:rPr>
                <w:rFonts w:hint="eastAsia" w:cs="宋体"/>
                <w:szCs w:val="21"/>
              </w:rPr>
              <w:t>●3、为数据接收和输出匹配程度一致，称重数据处理一体机与称重承载器同一品牌；</w:t>
            </w:r>
          </w:p>
          <w:p>
            <w:pPr>
              <w:rPr>
                <w:rFonts w:hint="eastAsia" w:eastAsia="仿宋" w:cs="宋体"/>
                <w:szCs w:val="21"/>
                <w:lang w:eastAsia="zh-CN"/>
              </w:rPr>
            </w:pPr>
            <w:r>
              <w:rPr>
                <w:rFonts w:hint="eastAsia" w:cs="宋体"/>
                <w:szCs w:val="21"/>
              </w:rPr>
              <w:t>4、内存：配置16G内存，最大支持4个内存插槽，最高容量可支持256G；</w:t>
            </w:r>
          </w:p>
          <w:p>
            <w:pPr>
              <w:rPr>
                <w:rFonts w:hint="eastAsia" w:eastAsia="仿宋" w:cs="宋体"/>
                <w:szCs w:val="21"/>
                <w:lang w:eastAsia="zh-CN"/>
              </w:rPr>
            </w:pPr>
            <w:r>
              <w:rPr>
                <w:rFonts w:hint="eastAsia" w:cs="宋体"/>
                <w:szCs w:val="21"/>
              </w:rPr>
              <w:t>5、国产x86处理器（投标时提供国产x86处理器原厂证明函原件的扫描件）；</w:t>
            </w:r>
          </w:p>
          <w:p>
            <w:pPr>
              <w:rPr>
                <w:rFonts w:hint="eastAsia" w:eastAsia="仿宋" w:cs="宋体"/>
                <w:szCs w:val="21"/>
                <w:lang w:eastAsia="zh-CN"/>
              </w:rPr>
            </w:pPr>
            <w:r>
              <w:rPr>
                <w:rFonts w:hint="eastAsia" w:cs="宋体"/>
                <w:szCs w:val="21"/>
              </w:rPr>
              <w:t>●6、公路治超非现场执法数据采集软件通过国产CPU兼容性认证，提供认证证书原件的扫描件；</w:t>
            </w:r>
          </w:p>
          <w:p>
            <w:pPr>
              <w:rPr>
                <w:rFonts w:hint="eastAsia" w:eastAsia="仿宋" w:cs="宋体"/>
                <w:szCs w:val="21"/>
                <w:lang w:eastAsia="zh-CN"/>
              </w:rPr>
            </w:pPr>
            <w:r>
              <w:rPr>
                <w:rFonts w:hint="eastAsia" w:cs="宋体"/>
                <w:szCs w:val="21"/>
              </w:rPr>
              <w:t>7、配置≥1颗CPU，每颗CPU核心数≥4核，每颗CPU主频≥2.8GHz；</w:t>
            </w:r>
          </w:p>
          <w:p>
            <w:pPr>
              <w:rPr>
                <w:rFonts w:hint="eastAsia" w:eastAsia="仿宋" w:cs="宋体"/>
                <w:szCs w:val="21"/>
                <w:lang w:eastAsia="zh-CN"/>
              </w:rPr>
            </w:pPr>
            <w:r>
              <w:rPr>
                <w:rFonts w:hint="eastAsia" w:cs="宋体"/>
                <w:szCs w:val="21"/>
              </w:rPr>
              <w:t>8、 硬盘：主板支持1个M.2槽位，标配1块240G M.2 SSD盘，提供主板照片证明；额外可扩展4个3.5寸盘，同时支持3.5寸和2.5寸转换，投标时提供机器照片证明；</w:t>
            </w:r>
          </w:p>
          <w:p>
            <w:pPr>
              <w:rPr>
                <w:rFonts w:hint="eastAsia" w:eastAsia="仿宋" w:cs="宋体"/>
                <w:szCs w:val="21"/>
                <w:lang w:eastAsia="zh-CN"/>
              </w:rPr>
            </w:pPr>
            <w:r>
              <w:rPr>
                <w:rFonts w:hint="eastAsia" w:cs="宋体"/>
                <w:szCs w:val="21"/>
              </w:rPr>
              <w:t>9、前面板接口：前面板板载I350芯片双口千兆网络接口，至少具有一个串口和两个USB接口；</w:t>
            </w:r>
          </w:p>
          <w:p>
            <w:pPr>
              <w:rPr>
                <w:rFonts w:hint="eastAsia" w:eastAsia="仿宋" w:cs="宋体"/>
                <w:szCs w:val="21"/>
                <w:lang w:eastAsia="zh-CN"/>
              </w:rPr>
            </w:pPr>
            <w:r>
              <w:rPr>
                <w:rFonts w:hint="eastAsia" w:cs="宋体"/>
                <w:szCs w:val="21"/>
              </w:rPr>
              <w:t>10、前面板具有液晶显示屏；</w:t>
            </w:r>
          </w:p>
          <w:p>
            <w:pPr>
              <w:rPr>
                <w:rFonts w:hint="eastAsia" w:eastAsia="仿宋" w:cs="宋体"/>
                <w:szCs w:val="21"/>
                <w:lang w:eastAsia="zh-CN"/>
              </w:rPr>
            </w:pPr>
            <w:r>
              <w:rPr>
                <w:rFonts w:hint="eastAsia" w:cs="宋体"/>
                <w:szCs w:val="21"/>
              </w:rPr>
              <w:t>11、扩展插槽：前面板具有2个PCI-E 3.0×8、2个PCI-E 3.0 x4，投标时提供前面板照片证明；</w:t>
            </w:r>
          </w:p>
          <w:p>
            <w:pPr>
              <w:rPr>
                <w:rFonts w:hint="eastAsia" w:eastAsia="仿宋" w:cs="宋体"/>
                <w:szCs w:val="21"/>
                <w:lang w:eastAsia="zh-CN"/>
              </w:rPr>
            </w:pPr>
            <w:r>
              <w:rPr>
                <w:rFonts w:hint="eastAsia" w:cs="宋体"/>
                <w:szCs w:val="21"/>
              </w:rPr>
              <w:t>12、系统维护：实际配置2个BMC管理口，千兆百兆自适应，投标时提供物理机截图和BMC系统管理界面的证明；</w:t>
            </w:r>
          </w:p>
          <w:p>
            <w:pPr>
              <w:rPr>
                <w:rFonts w:cs="宋体"/>
                <w:szCs w:val="21"/>
              </w:rPr>
            </w:pPr>
            <w:r>
              <w:rPr>
                <w:rFonts w:hint="eastAsia" w:cs="宋体"/>
                <w:szCs w:val="21"/>
              </w:rPr>
              <w:t>13、支持独立的远程管理控制端口，实现与操作系统无关的远程开机、关机、重启等操作；实时监控服务器内部关键部件运行状态和温度信息，CPU、内存、风扇、电源等。</w:t>
            </w:r>
          </w:p>
        </w:tc>
        <w:tc>
          <w:tcPr>
            <w:tcW w:w="292" w:type="pct"/>
            <w:shd w:val="clear" w:color="auto" w:fill="FFFFFF" w:themeFill="background1"/>
            <w:vAlign w:val="center"/>
          </w:tcPr>
          <w:p>
            <w:pPr>
              <w:jc w:val="center"/>
              <w:rPr>
                <w:rFonts w:cs="宋体"/>
                <w:szCs w:val="21"/>
              </w:rPr>
            </w:pPr>
            <w:r>
              <w:rPr>
                <w:rFonts w:hint="eastAsia" w:cs="宋体"/>
                <w:szCs w:val="21"/>
              </w:rPr>
              <w:t>台</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1.8</w:t>
            </w:r>
          </w:p>
        </w:tc>
        <w:tc>
          <w:tcPr>
            <w:tcW w:w="960" w:type="pct"/>
            <w:gridSpan w:val="2"/>
            <w:shd w:val="clear" w:color="auto" w:fill="FFFFFF" w:themeFill="background1"/>
            <w:vAlign w:val="center"/>
          </w:tcPr>
          <w:p>
            <w:pPr>
              <w:jc w:val="center"/>
              <w:rPr>
                <w:rFonts w:cs="宋体"/>
                <w:szCs w:val="21"/>
              </w:rPr>
            </w:pPr>
            <w:r>
              <w:rPr>
                <w:rFonts w:hint="eastAsia" w:cs="宋体"/>
                <w:szCs w:val="21"/>
              </w:rPr>
              <w:t>工业数据交换终端</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1、24端口千兆电+4端口千兆光以太网交换机（1个CLI口，24个千兆电口，4个千兆光口，配置双工业级AC电源，1U高度，标准19寸机架安装）;</w:t>
            </w:r>
          </w:p>
          <w:p>
            <w:pPr>
              <w:rPr>
                <w:rFonts w:hint="eastAsia" w:eastAsia="仿宋" w:cs="宋体"/>
                <w:szCs w:val="21"/>
                <w:lang w:eastAsia="zh-CN"/>
              </w:rPr>
            </w:pPr>
            <w:r>
              <w:rPr>
                <w:rFonts w:hint="eastAsia" w:cs="宋体"/>
                <w:szCs w:val="21"/>
              </w:rPr>
              <w:t>2、交换容量不小于256Gbps∶适用于需要高流量低延时业务，提供检测报告∶</w:t>
            </w:r>
          </w:p>
          <w:p>
            <w:pPr>
              <w:rPr>
                <w:rFonts w:hint="eastAsia" w:eastAsia="仿宋" w:cs="宋体"/>
                <w:szCs w:val="21"/>
                <w:lang w:eastAsia="zh-CN"/>
              </w:rPr>
            </w:pPr>
            <w:r>
              <w:rPr>
                <w:rFonts w:hint="eastAsia" w:cs="宋体"/>
                <w:szCs w:val="21"/>
              </w:rPr>
              <w:t>3、全金属封闭结构，工作温度范围可以达到一40~85C;</w:t>
            </w:r>
          </w:p>
          <w:p>
            <w:pPr>
              <w:rPr>
                <w:rFonts w:hint="eastAsia" w:eastAsia="仿宋" w:cs="宋体"/>
                <w:szCs w:val="21"/>
                <w:lang w:eastAsia="zh-CN"/>
              </w:rPr>
            </w:pPr>
            <w:r>
              <w:rPr>
                <w:rFonts w:hint="eastAsia" w:cs="宋体"/>
                <w:szCs w:val="21"/>
              </w:rPr>
              <w:t>4、平均无故障工作时间（MTBF）∶大于40万小时</w:t>
            </w:r>
          </w:p>
          <w:p>
            <w:pPr>
              <w:rPr>
                <w:rFonts w:cs="宋体"/>
                <w:szCs w:val="21"/>
              </w:rPr>
            </w:pPr>
            <w:r>
              <w:rPr>
                <w:rFonts w:hint="eastAsia" w:cs="宋体"/>
                <w:szCs w:val="21"/>
              </w:rPr>
              <w:t>5、产品具备向IP</w:t>
            </w:r>
            <w:r>
              <w:rPr>
                <w:rFonts w:hint="eastAsia" w:cs="宋体"/>
                <w:szCs w:val="21"/>
                <w:lang w:val="en-US" w:eastAsia="zh-CN"/>
              </w:rPr>
              <w:t>V</w:t>
            </w:r>
            <w:r>
              <w:rPr>
                <w:rFonts w:hint="eastAsia" w:cs="宋体"/>
                <w:szCs w:val="21"/>
              </w:rPr>
              <w:t>6过度的能力，产品具有IPV6协议管理及IPV6路由处理软件;</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vMerge w:val="restart"/>
            <w:shd w:val="clear" w:color="auto" w:fill="FFFFFF" w:themeFill="background1"/>
            <w:vAlign w:val="center"/>
          </w:tcPr>
          <w:p>
            <w:pPr>
              <w:jc w:val="center"/>
              <w:rPr>
                <w:rFonts w:cs="宋体"/>
                <w:szCs w:val="21"/>
              </w:rPr>
            </w:pPr>
            <w:r>
              <w:rPr>
                <w:rFonts w:hint="eastAsia" w:cs="宋体"/>
                <w:szCs w:val="21"/>
              </w:rPr>
              <w:t>1.9</w:t>
            </w:r>
          </w:p>
        </w:tc>
        <w:tc>
          <w:tcPr>
            <w:tcW w:w="245" w:type="pct"/>
            <w:vMerge w:val="restart"/>
            <w:shd w:val="clear" w:color="auto" w:fill="FFFFFF" w:themeFill="background1"/>
            <w:vAlign w:val="center"/>
          </w:tcPr>
          <w:p>
            <w:pPr>
              <w:rPr>
                <w:rFonts w:cs="宋体"/>
                <w:szCs w:val="21"/>
              </w:rPr>
            </w:pPr>
            <w:r>
              <w:rPr>
                <w:rFonts w:hint="eastAsia" w:cs="宋体"/>
                <w:szCs w:val="21"/>
              </w:rPr>
              <w:t>称重控制机柜</w:t>
            </w:r>
          </w:p>
        </w:tc>
        <w:tc>
          <w:tcPr>
            <w:tcW w:w="714" w:type="pct"/>
            <w:shd w:val="clear" w:color="auto" w:fill="FFFFFF" w:themeFill="background1"/>
            <w:vAlign w:val="center"/>
          </w:tcPr>
          <w:p>
            <w:pPr>
              <w:rPr>
                <w:rFonts w:cs="宋体"/>
                <w:szCs w:val="21"/>
              </w:rPr>
            </w:pPr>
            <w:r>
              <w:rPr>
                <w:rFonts w:hint="eastAsia" w:cs="宋体"/>
                <w:szCs w:val="21"/>
              </w:rPr>
              <w:t>户外柜体</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设备柜，</w:t>
            </w:r>
          </w:p>
          <w:p>
            <w:pPr>
              <w:rPr>
                <w:rFonts w:hint="eastAsia" w:eastAsia="仿宋" w:cs="宋体"/>
                <w:szCs w:val="21"/>
                <w:lang w:eastAsia="zh-CN"/>
              </w:rPr>
            </w:pPr>
            <w:r>
              <w:rPr>
                <w:rFonts w:hint="eastAsia" w:cs="宋体"/>
                <w:szCs w:val="21"/>
              </w:rPr>
              <w:t>1、内尺寸宽 x 深 x 高：≥650mmx650mmx1400mm；外尺寸：宽 x 深 x 高：≥750mmx750mmx1650mm；</w:t>
            </w:r>
          </w:p>
          <w:p>
            <w:pPr>
              <w:rPr>
                <w:rFonts w:hint="eastAsia" w:eastAsia="仿宋" w:cs="宋体"/>
                <w:szCs w:val="21"/>
                <w:lang w:eastAsia="zh-CN"/>
              </w:rPr>
            </w:pPr>
            <w:r>
              <w:rPr>
                <w:rFonts w:hint="eastAsia" w:cs="宋体"/>
                <w:szCs w:val="21"/>
              </w:rPr>
              <w:t>2、设备柜采用空调散热，MTBF≥50000h；</w:t>
            </w:r>
          </w:p>
          <w:p>
            <w:pPr>
              <w:rPr>
                <w:rFonts w:hint="eastAsia" w:eastAsia="仿宋" w:cs="宋体"/>
                <w:szCs w:val="21"/>
                <w:lang w:eastAsia="zh-CN"/>
              </w:rPr>
            </w:pPr>
            <w:r>
              <w:rPr>
                <w:rFonts w:hint="eastAsia" w:cs="宋体"/>
                <w:szCs w:val="21"/>
              </w:rPr>
              <w:t>3、使用条件：环境温度：-40℃ ~ +70℃；环境湿度：≤95﹪（+40℃时）；大气压力：70KPa ~ 106KPa；</w:t>
            </w:r>
          </w:p>
          <w:p>
            <w:pPr>
              <w:rPr>
                <w:rFonts w:hint="eastAsia" w:eastAsia="仿宋" w:cs="宋体"/>
                <w:szCs w:val="21"/>
                <w:lang w:eastAsia="zh-CN"/>
              </w:rPr>
            </w:pPr>
            <w:r>
              <w:rPr>
                <w:rFonts w:hint="eastAsia" w:cs="宋体"/>
                <w:szCs w:val="21"/>
              </w:rPr>
              <w:t>4、箱体防护等级：IP55 级；</w:t>
            </w:r>
          </w:p>
          <w:p>
            <w:pPr>
              <w:rPr>
                <w:rFonts w:hint="eastAsia" w:eastAsia="仿宋" w:cs="宋体"/>
                <w:szCs w:val="21"/>
                <w:lang w:eastAsia="zh-CN"/>
              </w:rPr>
            </w:pPr>
            <w:r>
              <w:rPr>
                <w:rFonts w:hint="eastAsia" w:cs="宋体"/>
                <w:szCs w:val="21"/>
              </w:rPr>
              <w:t>5、颜色：白/灰</w:t>
            </w:r>
          </w:p>
          <w:p>
            <w:pPr>
              <w:rPr>
                <w:rFonts w:hint="eastAsia" w:eastAsia="仿宋" w:cs="宋体"/>
                <w:szCs w:val="21"/>
                <w:lang w:eastAsia="zh-CN"/>
              </w:rPr>
            </w:pPr>
            <w:r>
              <w:rPr>
                <w:rFonts w:hint="eastAsia" w:cs="宋体"/>
                <w:szCs w:val="21"/>
              </w:rPr>
              <w:t>6、机械强度：各表面承受垂直压力＞980N，门打开后最外端承受垂直压力＞200N；</w:t>
            </w:r>
          </w:p>
          <w:p>
            <w:pPr>
              <w:rPr>
                <w:rFonts w:hint="eastAsia" w:eastAsia="仿宋" w:cs="宋体"/>
                <w:szCs w:val="21"/>
                <w:lang w:eastAsia="zh-CN"/>
              </w:rPr>
            </w:pPr>
            <w:r>
              <w:rPr>
                <w:rFonts w:hint="eastAsia" w:cs="宋体"/>
                <w:szCs w:val="21"/>
              </w:rPr>
              <w:t>7、供电电源：AC220±5%；</w:t>
            </w:r>
          </w:p>
          <w:p>
            <w:pPr>
              <w:rPr>
                <w:rFonts w:hint="eastAsia" w:eastAsia="仿宋" w:cs="宋体"/>
                <w:szCs w:val="21"/>
                <w:lang w:eastAsia="zh-CN"/>
              </w:rPr>
            </w:pPr>
            <w:r>
              <w:rPr>
                <w:rFonts w:hint="eastAsia" w:cs="宋体"/>
                <w:szCs w:val="21"/>
              </w:rPr>
              <w:t>8、落地安装。</w:t>
            </w:r>
          </w:p>
          <w:p>
            <w:pPr>
              <w:rPr>
                <w:rFonts w:hint="eastAsia" w:cs="宋体"/>
                <w:szCs w:val="21"/>
              </w:rPr>
            </w:pPr>
            <w:r>
              <w:rPr>
                <w:rFonts w:hint="eastAsia" w:cs="宋体"/>
                <w:szCs w:val="21"/>
              </w:rPr>
              <w:t>9、含显示器、键盘、鼠标等。</w:t>
            </w:r>
          </w:p>
          <w:p>
            <w:pPr>
              <w:rPr>
                <w:rFonts w:hint="eastAsia" w:eastAsia="仿宋" w:cs="宋体"/>
                <w:szCs w:val="21"/>
                <w:lang w:eastAsia="zh-CN"/>
              </w:rPr>
            </w:pPr>
            <w:r>
              <w:rPr>
                <w:rFonts w:hint="eastAsia" w:cs="宋体"/>
                <w:szCs w:val="21"/>
              </w:rPr>
              <w:t>10、不锈钢，表面喷塑</w:t>
            </w:r>
          </w:p>
          <w:p>
            <w:pPr>
              <w:rPr>
                <w:rFonts w:hint="eastAsia" w:eastAsia="仿宋" w:cs="宋体"/>
                <w:szCs w:val="21"/>
                <w:lang w:eastAsia="zh-CN"/>
              </w:rPr>
            </w:pPr>
            <w:r>
              <w:rPr>
                <w:rFonts w:hint="eastAsia" w:cs="宋体"/>
                <w:szCs w:val="21"/>
              </w:rPr>
              <w:t>含恒温恒湿空调</w:t>
            </w:r>
          </w:p>
          <w:p>
            <w:pPr>
              <w:rPr>
                <w:rFonts w:hint="eastAsia" w:eastAsia="仿宋" w:cs="宋体"/>
                <w:szCs w:val="21"/>
                <w:lang w:eastAsia="zh-CN"/>
              </w:rPr>
            </w:pPr>
            <w:r>
              <w:rPr>
                <w:rFonts w:hint="eastAsia" w:cs="宋体"/>
                <w:szCs w:val="21"/>
              </w:rPr>
              <w:t>1、制冷量：600W B、 能效比：1.8；</w:t>
            </w:r>
          </w:p>
          <w:p>
            <w:pPr>
              <w:rPr>
                <w:rFonts w:hint="eastAsia" w:eastAsia="仿宋" w:cs="宋体"/>
                <w:szCs w:val="21"/>
                <w:lang w:eastAsia="zh-CN"/>
              </w:rPr>
            </w:pPr>
            <w:r>
              <w:rPr>
                <w:rFonts w:hint="eastAsia" w:cs="宋体"/>
                <w:szCs w:val="21"/>
              </w:rPr>
              <w:t>2、输入电压：AC220V；</w:t>
            </w:r>
          </w:p>
          <w:p>
            <w:pPr>
              <w:rPr>
                <w:rFonts w:hint="eastAsia" w:eastAsia="仿宋" w:cs="宋体"/>
                <w:szCs w:val="21"/>
                <w:lang w:eastAsia="zh-CN"/>
              </w:rPr>
            </w:pPr>
            <w:r>
              <w:rPr>
                <w:rFonts w:hint="eastAsia" w:cs="宋体"/>
                <w:szCs w:val="21"/>
              </w:rPr>
              <w:t>3、温控方式：智能温控，可根据舱内温度进行自动调节；</w:t>
            </w:r>
          </w:p>
          <w:p>
            <w:pPr>
              <w:rPr>
                <w:rFonts w:hint="eastAsia" w:eastAsia="仿宋" w:cs="宋体"/>
                <w:szCs w:val="21"/>
                <w:lang w:eastAsia="zh-CN"/>
              </w:rPr>
            </w:pPr>
            <w:r>
              <w:rPr>
                <w:rFonts w:hint="eastAsia" w:cs="宋体"/>
                <w:szCs w:val="21"/>
              </w:rPr>
              <w:t>4、防护等级：IP55；</w:t>
            </w:r>
          </w:p>
          <w:p>
            <w:pPr>
              <w:rPr>
                <w:rFonts w:cs="宋体"/>
                <w:szCs w:val="21"/>
              </w:rPr>
            </w:pPr>
            <w:r>
              <w:rPr>
                <w:rFonts w:hint="eastAsia" w:cs="宋体"/>
                <w:szCs w:val="21"/>
              </w:rPr>
              <w:t>5、通信方式：RS485。</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vMerge w:val="continue"/>
            <w:shd w:val="clear" w:color="auto" w:fill="FFFFFF" w:themeFill="background1"/>
            <w:vAlign w:val="center"/>
          </w:tcPr>
          <w:p>
            <w:pPr>
              <w:rPr>
                <w:rFonts w:cs="宋体"/>
                <w:szCs w:val="21"/>
              </w:rPr>
            </w:pPr>
          </w:p>
        </w:tc>
        <w:tc>
          <w:tcPr>
            <w:tcW w:w="245" w:type="pct"/>
            <w:vMerge w:val="continue"/>
            <w:shd w:val="clear" w:color="auto" w:fill="FFFFFF" w:themeFill="background1"/>
            <w:vAlign w:val="center"/>
          </w:tcPr>
          <w:p>
            <w:pPr>
              <w:rPr>
                <w:rFonts w:cs="宋体"/>
                <w:szCs w:val="21"/>
              </w:rPr>
            </w:pPr>
          </w:p>
        </w:tc>
        <w:tc>
          <w:tcPr>
            <w:tcW w:w="714" w:type="pct"/>
            <w:shd w:val="clear" w:color="auto" w:fill="FFFFFF" w:themeFill="background1"/>
            <w:vAlign w:val="center"/>
          </w:tcPr>
          <w:p>
            <w:pPr>
              <w:rPr>
                <w:rFonts w:cs="宋体"/>
                <w:szCs w:val="21"/>
              </w:rPr>
            </w:pPr>
            <w:r>
              <w:rPr>
                <w:rFonts w:hint="eastAsia" w:cs="宋体"/>
                <w:szCs w:val="21"/>
              </w:rPr>
              <w:t>交直流机架式配电单元</w:t>
            </w:r>
          </w:p>
        </w:tc>
        <w:tc>
          <w:tcPr>
            <w:tcW w:w="2588" w:type="pct"/>
            <w:shd w:val="clear" w:color="auto" w:fill="FFFFFF" w:themeFill="background1"/>
            <w:vAlign w:val="center"/>
          </w:tcPr>
          <w:p>
            <w:pPr>
              <w:rPr>
                <w:rFonts w:cs="宋体"/>
                <w:szCs w:val="21"/>
              </w:rPr>
            </w:pPr>
            <w:r>
              <w:rPr>
                <w:rFonts w:hint="eastAsia" w:cs="宋体"/>
                <w:szCs w:val="21"/>
              </w:rPr>
              <w:t>机架式配电模块，高度4U，总输入：不小于1*80A/2P，情报板机柜：不不小于2*25A/2P,监控机柜：不小于2*16A/2P，PDU、空调及预留：不小于3*16A/1P，含C级防雷模块（带32A/2P开关）</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vMerge w:val="continue"/>
            <w:shd w:val="clear" w:color="auto" w:fill="FFFFFF" w:themeFill="background1"/>
            <w:vAlign w:val="center"/>
          </w:tcPr>
          <w:p>
            <w:pPr>
              <w:rPr>
                <w:rFonts w:cs="宋体"/>
                <w:szCs w:val="21"/>
              </w:rPr>
            </w:pPr>
          </w:p>
        </w:tc>
        <w:tc>
          <w:tcPr>
            <w:tcW w:w="245" w:type="pct"/>
            <w:vMerge w:val="continue"/>
            <w:shd w:val="clear" w:color="auto" w:fill="FFFFFF" w:themeFill="background1"/>
            <w:vAlign w:val="center"/>
          </w:tcPr>
          <w:p>
            <w:pPr>
              <w:rPr>
                <w:rFonts w:cs="宋体"/>
                <w:szCs w:val="21"/>
              </w:rPr>
            </w:pPr>
          </w:p>
        </w:tc>
        <w:tc>
          <w:tcPr>
            <w:tcW w:w="714" w:type="pct"/>
            <w:shd w:val="clear" w:color="auto" w:fill="FFFFFF" w:themeFill="background1"/>
            <w:vAlign w:val="center"/>
          </w:tcPr>
          <w:p>
            <w:pPr>
              <w:rPr>
                <w:rFonts w:cs="宋体"/>
                <w:szCs w:val="21"/>
              </w:rPr>
            </w:pPr>
            <w:r>
              <w:rPr>
                <w:rFonts w:hint="eastAsia" w:cs="宋体"/>
                <w:szCs w:val="21"/>
              </w:rPr>
              <w:t>PDU</w:t>
            </w:r>
          </w:p>
        </w:tc>
        <w:tc>
          <w:tcPr>
            <w:tcW w:w="2588" w:type="pct"/>
            <w:shd w:val="clear" w:color="auto" w:fill="FFFFFF" w:themeFill="background1"/>
            <w:vAlign w:val="center"/>
          </w:tcPr>
          <w:p>
            <w:pPr>
              <w:rPr>
                <w:rFonts w:cs="宋体"/>
                <w:szCs w:val="21"/>
              </w:rPr>
            </w:pPr>
            <w:r>
              <w:rPr>
                <w:rFonts w:hint="eastAsia" w:cs="宋体"/>
                <w:szCs w:val="21"/>
              </w:rPr>
              <w:t>机柜PDU，单相16A输入，8位10A国标输出</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vMerge w:val="continue"/>
            <w:shd w:val="clear" w:color="auto" w:fill="FFFFFF" w:themeFill="background1"/>
            <w:vAlign w:val="center"/>
          </w:tcPr>
          <w:p>
            <w:pPr>
              <w:rPr>
                <w:rFonts w:cs="宋体"/>
                <w:szCs w:val="21"/>
              </w:rPr>
            </w:pPr>
          </w:p>
        </w:tc>
        <w:tc>
          <w:tcPr>
            <w:tcW w:w="245" w:type="pct"/>
            <w:vMerge w:val="continue"/>
            <w:shd w:val="clear" w:color="auto" w:fill="FFFFFF" w:themeFill="background1"/>
            <w:vAlign w:val="center"/>
          </w:tcPr>
          <w:p>
            <w:pPr>
              <w:rPr>
                <w:rFonts w:cs="宋体"/>
                <w:szCs w:val="21"/>
              </w:rPr>
            </w:pPr>
          </w:p>
        </w:tc>
        <w:tc>
          <w:tcPr>
            <w:tcW w:w="714" w:type="pct"/>
            <w:shd w:val="clear" w:color="auto" w:fill="FFFFFF" w:themeFill="background1"/>
            <w:vAlign w:val="center"/>
          </w:tcPr>
          <w:p>
            <w:pPr>
              <w:rPr>
                <w:rFonts w:cs="宋体"/>
                <w:szCs w:val="21"/>
              </w:rPr>
            </w:pPr>
            <w:r>
              <w:rPr>
                <w:rFonts w:hint="eastAsia" w:cs="宋体"/>
                <w:szCs w:val="21"/>
              </w:rPr>
              <w:t>稳压器</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1、输入电压：单相 185V-250V，三相 320V-430V；</w:t>
            </w:r>
          </w:p>
          <w:p>
            <w:pPr>
              <w:rPr>
                <w:rFonts w:hint="eastAsia" w:eastAsia="仿宋" w:cs="宋体"/>
                <w:szCs w:val="21"/>
                <w:lang w:eastAsia="zh-CN"/>
              </w:rPr>
            </w:pPr>
            <w:r>
              <w:rPr>
                <w:rFonts w:hint="eastAsia" w:cs="宋体"/>
                <w:szCs w:val="21"/>
              </w:rPr>
              <w:t>2、输出电压：单相 220V±1%，三相 380V±1%；</w:t>
            </w:r>
          </w:p>
          <w:p>
            <w:pPr>
              <w:rPr>
                <w:rFonts w:hint="eastAsia" w:eastAsia="仿宋" w:cs="宋体"/>
                <w:szCs w:val="21"/>
                <w:lang w:eastAsia="zh-CN"/>
              </w:rPr>
            </w:pPr>
            <w:r>
              <w:rPr>
                <w:rFonts w:hint="eastAsia" w:cs="宋体"/>
                <w:szCs w:val="21"/>
              </w:rPr>
              <w:t>3、频率：50±2Hz；负载效应：&lt;=±0.5%；</w:t>
            </w:r>
          </w:p>
          <w:p>
            <w:pPr>
              <w:rPr>
                <w:rFonts w:hint="eastAsia" w:eastAsia="仿宋" w:cs="宋体"/>
                <w:szCs w:val="21"/>
                <w:lang w:eastAsia="zh-CN"/>
              </w:rPr>
            </w:pPr>
            <w:r>
              <w:rPr>
                <w:rFonts w:hint="eastAsia" w:cs="宋体"/>
                <w:szCs w:val="21"/>
              </w:rPr>
              <w:t>4、效率：&gt;90%；功率：500VA；</w:t>
            </w:r>
          </w:p>
          <w:p>
            <w:pPr>
              <w:rPr>
                <w:rFonts w:cs="宋体"/>
                <w:szCs w:val="21"/>
              </w:rPr>
            </w:pPr>
            <w:r>
              <w:rPr>
                <w:rFonts w:hint="eastAsia" w:cs="宋体"/>
                <w:szCs w:val="21"/>
              </w:rPr>
              <w:t>5、响应时间 20ms-100ms；</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vMerge w:val="continue"/>
            <w:shd w:val="clear" w:color="auto" w:fill="FFFFFF" w:themeFill="background1"/>
            <w:vAlign w:val="center"/>
          </w:tcPr>
          <w:p>
            <w:pPr>
              <w:rPr>
                <w:rFonts w:cs="宋体"/>
                <w:szCs w:val="21"/>
              </w:rPr>
            </w:pPr>
          </w:p>
        </w:tc>
        <w:tc>
          <w:tcPr>
            <w:tcW w:w="245" w:type="pct"/>
            <w:vMerge w:val="continue"/>
            <w:shd w:val="clear" w:color="auto" w:fill="FFFFFF" w:themeFill="background1"/>
            <w:vAlign w:val="center"/>
          </w:tcPr>
          <w:p>
            <w:pPr>
              <w:rPr>
                <w:rFonts w:cs="宋体"/>
                <w:szCs w:val="21"/>
              </w:rPr>
            </w:pPr>
          </w:p>
        </w:tc>
        <w:tc>
          <w:tcPr>
            <w:tcW w:w="714" w:type="pct"/>
            <w:shd w:val="clear" w:color="auto" w:fill="FFFFFF" w:themeFill="background1"/>
            <w:vAlign w:val="center"/>
          </w:tcPr>
          <w:p>
            <w:pPr>
              <w:rPr>
                <w:rFonts w:cs="宋体"/>
                <w:szCs w:val="21"/>
              </w:rPr>
            </w:pPr>
            <w:r>
              <w:rPr>
                <w:rFonts w:hint="eastAsia" w:cs="宋体"/>
                <w:szCs w:val="21"/>
              </w:rPr>
              <w:t>柜内辅材</w:t>
            </w:r>
          </w:p>
        </w:tc>
        <w:tc>
          <w:tcPr>
            <w:tcW w:w="2588" w:type="pct"/>
            <w:shd w:val="clear" w:color="auto" w:fill="FFFFFF" w:themeFill="background1"/>
            <w:vAlign w:val="center"/>
          </w:tcPr>
          <w:p>
            <w:pPr>
              <w:rPr>
                <w:rFonts w:cs="宋体"/>
                <w:szCs w:val="21"/>
              </w:rPr>
            </w:pPr>
            <w:r>
              <w:rPr>
                <w:rFonts w:hint="eastAsia" w:cs="宋体"/>
                <w:szCs w:val="21"/>
              </w:rPr>
              <w:t>内部连接使用的线材、扎带等</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1.10</w:t>
            </w:r>
          </w:p>
        </w:tc>
        <w:tc>
          <w:tcPr>
            <w:tcW w:w="960" w:type="pct"/>
            <w:gridSpan w:val="2"/>
            <w:shd w:val="clear" w:color="auto" w:fill="FFFFFF" w:themeFill="background1"/>
            <w:vAlign w:val="center"/>
          </w:tcPr>
          <w:p>
            <w:pPr>
              <w:jc w:val="center"/>
              <w:rPr>
                <w:rFonts w:cs="宋体"/>
                <w:szCs w:val="21"/>
              </w:rPr>
            </w:pPr>
            <w:r>
              <w:rPr>
                <w:rFonts w:hint="eastAsia" w:cs="宋体"/>
                <w:szCs w:val="21"/>
              </w:rPr>
              <w:t>机柜基础及接地</w:t>
            </w:r>
          </w:p>
        </w:tc>
        <w:tc>
          <w:tcPr>
            <w:tcW w:w="2588" w:type="pct"/>
            <w:shd w:val="clear" w:color="auto" w:fill="FFFFFF" w:themeFill="background1"/>
            <w:vAlign w:val="center"/>
          </w:tcPr>
          <w:p>
            <w:pPr>
              <w:rPr>
                <w:rFonts w:cs="宋体"/>
                <w:szCs w:val="21"/>
              </w:rPr>
            </w:pPr>
            <w:r>
              <w:rPr>
                <w:rFonts w:hint="eastAsia" w:cs="宋体"/>
                <w:szCs w:val="21"/>
              </w:rPr>
              <w:t>1m*1m*0.7m 基础，接地电阻不大于 4 欧姆</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1.11</w:t>
            </w:r>
          </w:p>
        </w:tc>
        <w:tc>
          <w:tcPr>
            <w:tcW w:w="960" w:type="pct"/>
            <w:gridSpan w:val="2"/>
            <w:shd w:val="clear" w:color="auto" w:fill="FFFFFF" w:themeFill="background1"/>
            <w:vAlign w:val="center"/>
          </w:tcPr>
          <w:p>
            <w:pPr>
              <w:jc w:val="center"/>
              <w:rPr>
                <w:rFonts w:cs="宋体"/>
                <w:szCs w:val="21"/>
              </w:rPr>
            </w:pPr>
            <w:r>
              <w:rPr>
                <w:rFonts w:hint="eastAsia" w:cs="宋体"/>
                <w:szCs w:val="21"/>
              </w:rPr>
              <w:t>公路治超称重算法系统</w:t>
            </w:r>
          </w:p>
        </w:tc>
        <w:tc>
          <w:tcPr>
            <w:tcW w:w="2588" w:type="pct"/>
            <w:shd w:val="clear" w:color="auto" w:fill="FFFFFF" w:themeFill="background1"/>
            <w:vAlign w:val="center"/>
          </w:tcPr>
          <w:p>
            <w:pPr>
              <w:rPr>
                <w:rFonts w:cs="宋体"/>
                <w:szCs w:val="21"/>
              </w:rPr>
            </w:pPr>
            <w:r>
              <w:rPr>
                <w:rFonts w:hint="eastAsia" w:cs="宋体"/>
                <w:szCs w:val="21"/>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1.12</w:t>
            </w:r>
          </w:p>
        </w:tc>
        <w:tc>
          <w:tcPr>
            <w:tcW w:w="960" w:type="pct"/>
            <w:gridSpan w:val="2"/>
            <w:shd w:val="clear" w:color="auto" w:fill="FFFFFF" w:themeFill="background1"/>
            <w:vAlign w:val="center"/>
          </w:tcPr>
          <w:p>
            <w:pPr>
              <w:jc w:val="center"/>
              <w:rPr>
                <w:rFonts w:cs="宋体"/>
                <w:szCs w:val="21"/>
              </w:rPr>
            </w:pPr>
            <w:r>
              <w:rPr>
                <w:rFonts w:hint="eastAsia" w:cs="宋体"/>
                <w:szCs w:val="21"/>
              </w:rPr>
              <w:t>公路车辆动态行驶数据自动采集系统</w:t>
            </w:r>
          </w:p>
        </w:tc>
        <w:tc>
          <w:tcPr>
            <w:tcW w:w="2588" w:type="pct"/>
            <w:shd w:val="clear" w:color="auto" w:fill="FFFFFF" w:themeFill="background1"/>
            <w:vAlign w:val="center"/>
          </w:tcPr>
          <w:p>
            <w:pPr>
              <w:rPr>
                <w:rFonts w:cs="宋体"/>
                <w:szCs w:val="21"/>
              </w:rPr>
            </w:pPr>
            <w:r>
              <w:rPr>
                <w:rFonts w:hint="eastAsia" w:cs="宋体"/>
                <w:szCs w:val="21"/>
              </w:rPr>
              <w:t>车辆通过自动分车，准确判断车辆轴数；全速度段称重满足动态衡器5级标准；0-1km/h超低速修正模块，确保超低速能够准确称重；可根据不同路段设置的监控要求，实现单车道，双车道，及多车道多功能的实时抓拍和监控；自动匹配车辆重量数据和车牌、抓拍数据，形成完整检测数据；自动上传检测数据。</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车辆识别系统</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2.1</w:t>
            </w:r>
          </w:p>
        </w:tc>
        <w:tc>
          <w:tcPr>
            <w:tcW w:w="960" w:type="pct"/>
            <w:gridSpan w:val="2"/>
            <w:shd w:val="clear" w:color="auto" w:fill="FFFFFF" w:themeFill="background1"/>
            <w:vAlign w:val="center"/>
          </w:tcPr>
          <w:p>
            <w:pPr>
              <w:jc w:val="center"/>
              <w:rPr>
                <w:rFonts w:cs="宋体"/>
                <w:szCs w:val="21"/>
              </w:rPr>
            </w:pPr>
            <w:r>
              <w:rPr>
                <w:rFonts w:hint="eastAsia" w:cs="宋体"/>
                <w:szCs w:val="21"/>
              </w:rPr>
              <w:t>超限高清号牌抓拍相机(前抓)</w:t>
            </w:r>
          </w:p>
        </w:tc>
        <w:tc>
          <w:tcPr>
            <w:tcW w:w="2588" w:type="pct"/>
            <w:shd w:val="clear" w:color="auto" w:fill="FFFFFF" w:themeFill="background1"/>
            <w:vAlign w:val="center"/>
          </w:tcPr>
          <w:p>
            <w:pPr>
              <w:numPr>
                <w:ilvl w:val="0"/>
                <w:numId w:val="3"/>
              </w:numPr>
              <w:rPr>
                <w:rFonts w:hint="eastAsia" w:cs="宋体"/>
                <w:szCs w:val="21"/>
              </w:rPr>
            </w:pPr>
            <w:r>
              <w:rPr>
                <w:rFonts w:hint="eastAsia" w:cs="宋体"/>
                <w:szCs w:val="21"/>
              </w:rPr>
              <w:t>包含摄像机（内置偏振镜）、高清镜头、室外防护罩、风扇、内置补光灯、电源适配器、相机内置防雷模块、安装万向节等</w:t>
            </w:r>
          </w:p>
          <w:p>
            <w:pPr>
              <w:numPr>
                <w:ilvl w:val="0"/>
                <w:numId w:val="3"/>
              </w:numPr>
              <w:rPr>
                <w:rFonts w:hint="eastAsia" w:cs="宋体"/>
                <w:szCs w:val="21"/>
              </w:rPr>
            </w:pPr>
            <w:r>
              <w:rPr>
                <w:rFonts w:hint="eastAsia" w:cs="宋体"/>
                <w:szCs w:val="21"/>
              </w:rPr>
              <w:t>2.像素：900W</w:t>
            </w:r>
          </w:p>
          <w:p>
            <w:pPr>
              <w:numPr>
                <w:ilvl w:val="0"/>
                <w:numId w:val="3"/>
              </w:numPr>
              <w:rPr>
                <w:rFonts w:hint="eastAsia" w:cs="宋体"/>
                <w:szCs w:val="21"/>
              </w:rPr>
            </w:pPr>
            <w:r>
              <w:rPr>
                <w:rFonts w:hint="eastAsia" w:cs="宋体"/>
                <w:szCs w:val="21"/>
              </w:rPr>
              <w:t>3.分辨率：最大支持4096*2160</w:t>
            </w:r>
          </w:p>
          <w:p>
            <w:pPr>
              <w:numPr>
                <w:ilvl w:val="0"/>
                <w:numId w:val="3"/>
              </w:numPr>
              <w:rPr>
                <w:rFonts w:hint="eastAsia" w:cs="宋体"/>
                <w:szCs w:val="21"/>
              </w:rPr>
            </w:pPr>
            <w:r>
              <w:rPr>
                <w:rFonts w:hint="eastAsia" w:cs="宋体"/>
                <w:szCs w:val="21"/>
              </w:rPr>
              <w:t>4.帧率：25fps</w:t>
            </w:r>
          </w:p>
          <w:p>
            <w:pPr>
              <w:numPr>
                <w:ilvl w:val="0"/>
                <w:numId w:val="3"/>
              </w:numPr>
              <w:rPr>
                <w:rFonts w:hint="eastAsia" w:cs="宋体"/>
                <w:szCs w:val="21"/>
              </w:rPr>
            </w:pPr>
            <w:r>
              <w:rPr>
                <w:rFonts w:hint="eastAsia" w:cs="宋体"/>
                <w:szCs w:val="21"/>
              </w:rPr>
              <w:t>5.图像传感器：采用1" 英寸全局曝光CMOS（GMOS）传感器</w:t>
            </w:r>
          </w:p>
          <w:p>
            <w:pPr>
              <w:numPr>
                <w:ilvl w:val="0"/>
                <w:numId w:val="3"/>
              </w:numPr>
              <w:rPr>
                <w:rFonts w:hint="eastAsia" w:cs="宋体"/>
                <w:szCs w:val="21"/>
              </w:rPr>
            </w:pPr>
            <w:r>
              <w:rPr>
                <w:rFonts w:hint="eastAsia" w:cs="宋体"/>
                <w:szCs w:val="21"/>
              </w:rPr>
              <w:t>6.镜头：25mm镜头</w:t>
            </w:r>
          </w:p>
          <w:p>
            <w:pPr>
              <w:numPr>
                <w:ilvl w:val="0"/>
                <w:numId w:val="3"/>
              </w:numPr>
              <w:rPr>
                <w:rFonts w:hint="eastAsia" w:cs="宋体"/>
                <w:szCs w:val="21"/>
              </w:rPr>
            </w:pPr>
            <w:r>
              <w:rPr>
                <w:rFonts w:hint="eastAsia" w:cs="宋体"/>
                <w:szCs w:val="21"/>
              </w:rPr>
              <w:t>7.照度：彩色:0.01Lux</w:t>
            </w:r>
          </w:p>
          <w:p>
            <w:pPr>
              <w:numPr>
                <w:ilvl w:val="0"/>
                <w:numId w:val="3"/>
              </w:numPr>
              <w:rPr>
                <w:rFonts w:hint="eastAsia" w:cs="宋体"/>
                <w:szCs w:val="21"/>
              </w:rPr>
            </w:pPr>
            <w:r>
              <w:rPr>
                <w:rFonts w:hint="eastAsia" w:cs="宋体"/>
                <w:szCs w:val="21"/>
              </w:rPr>
              <w:t>8.视频压缩标准：H.265/H.264/MJPEG</w:t>
            </w:r>
          </w:p>
          <w:p>
            <w:pPr>
              <w:numPr>
                <w:ilvl w:val="0"/>
                <w:numId w:val="3"/>
              </w:numPr>
              <w:rPr>
                <w:rFonts w:hint="eastAsia" w:cs="宋体"/>
                <w:szCs w:val="21"/>
              </w:rPr>
            </w:pPr>
            <w:r>
              <w:rPr>
                <w:rFonts w:hint="eastAsia" w:cs="宋体"/>
                <w:szCs w:val="21"/>
              </w:rPr>
              <w:t>9.图像输出格式：JPEG</w:t>
            </w:r>
          </w:p>
          <w:p>
            <w:pPr>
              <w:numPr>
                <w:ilvl w:val="0"/>
                <w:numId w:val="3"/>
              </w:numPr>
              <w:rPr>
                <w:rFonts w:hint="eastAsia" w:cs="宋体"/>
                <w:szCs w:val="21"/>
              </w:rPr>
            </w:pPr>
            <w:r>
              <w:rPr>
                <w:rFonts w:hint="eastAsia" w:cs="宋体"/>
                <w:szCs w:val="21"/>
              </w:rPr>
              <w:t>10.输出：电平量信号</w:t>
            </w:r>
          </w:p>
          <w:p>
            <w:pPr>
              <w:numPr>
                <w:ilvl w:val="0"/>
                <w:numId w:val="3"/>
              </w:numPr>
              <w:rPr>
                <w:rFonts w:hint="eastAsia" w:cs="宋体"/>
                <w:szCs w:val="21"/>
              </w:rPr>
            </w:pPr>
            <w:r>
              <w:rPr>
                <w:rFonts w:hint="eastAsia" w:cs="宋体"/>
                <w:szCs w:val="21"/>
              </w:rPr>
              <w:t>11.通讯接口：2个RJ45 100M/1000M自适应网口，3个RS485接口，1个RS232接口</w:t>
            </w:r>
          </w:p>
          <w:p>
            <w:pPr>
              <w:numPr>
                <w:ilvl w:val="0"/>
                <w:numId w:val="3"/>
              </w:numPr>
              <w:rPr>
                <w:rFonts w:hint="eastAsia" w:cs="宋体"/>
                <w:szCs w:val="21"/>
              </w:rPr>
            </w:pPr>
            <w:r>
              <w:rPr>
                <w:rFonts w:hint="eastAsia" w:cs="宋体"/>
                <w:szCs w:val="21"/>
              </w:rPr>
              <w:t>12.触发输入：1个触发/报警输入</w:t>
            </w:r>
          </w:p>
          <w:p>
            <w:pPr>
              <w:numPr>
                <w:ilvl w:val="0"/>
                <w:numId w:val="3"/>
              </w:numPr>
              <w:rPr>
                <w:rFonts w:hint="eastAsia" w:cs="宋体"/>
                <w:szCs w:val="21"/>
              </w:rPr>
            </w:pPr>
            <w:r>
              <w:rPr>
                <w:rFonts w:hint="eastAsia" w:cs="宋体"/>
                <w:szCs w:val="21"/>
              </w:rPr>
              <w:t>13.触发输出：7路F+F-输出接口,可作为补光灯同步输出控制</w:t>
            </w:r>
          </w:p>
          <w:p>
            <w:pPr>
              <w:numPr>
                <w:ilvl w:val="0"/>
                <w:numId w:val="3"/>
              </w:numPr>
              <w:rPr>
                <w:rFonts w:hint="eastAsia" w:cs="宋体"/>
                <w:szCs w:val="21"/>
              </w:rPr>
            </w:pPr>
            <w:r>
              <w:rPr>
                <w:rFonts w:hint="eastAsia" w:cs="宋体"/>
                <w:szCs w:val="21"/>
              </w:rPr>
              <w:t>14.同步输入：SYNC信号灯电源同步输入</w:t>
            </w:r>
          </w:p>
          <w:p>
            <w:pPr>
              <w:numPr>
                <w:ilvl w:val="0"/>
                <w:numId w:val="3"/>
              </w:numPr>
              <w:rPr>
                <w:rFonts w:hint="eastAsia" w:cs="宋体"/>
                <w:szCs w:val="21"/>
              </w:rPr>
            </w:pPr>
            <w:r>
              <w:rPr>
                <w:rFonts w:hint="eastAsia" w:cs="宋体"/>
                <w:szCs w:val="21"/>
              </w:rPr>
              <w:t>15.自动光圈镜头：支持</w:t>
            </w:r>
          </w:p>
          <w:p>
            <w:pPr>
              <w:numPr>
                <w:ilvl w:val="0"/>
                <w:numId w:val="3"/>
              </w:numPr>
              <w:rPr>
                <w:rFonts w:hint="eastAsia" w:cs="宋体"/>
                <w:szCs w:val="21"/>
              </w:rPr>
            </w:pPr>
            <w:r>
              <w:rPr>
                <w:rFonts w:hint="eastAsia" w:cs="宋体"/>
                <w:szCs w:val="21"/>
              </w:rPr>
              <w:t>16.工作电压：100VAC～240VAC；频率：48Hz～52Hz；</w:t>
            </w:r>
          </w:p>
          <w:p>
            <w:pPr>
              <w:numPr>
                <w:ilvl w:val="0"/>
                <w:numId w:val="3"/>
              </w:numPr>
              <w:rPr>
                <w:rFonts w:hint="eastAsia" w:cs="宋体"/>
                <w:szCs w:val="21"/>
              </w:rPr>
            </w:pPr>
            <w:r>
              <w:rPr>
                <w:rFonts w:hint="eastAsia" w:cs="宋体"/>
                <w:szCs w:val="21"/>
              </w:rPr>
              <w:t>17.功耗：20W MAX</w:t>
            </w:r>
          </w:p>
          <w:p>
            <w:pPr>
              <w:numPr>
                <w:ilvl w:val="0"/>
                <w:numId w:val="3"/>
              </w:numPr>
              <w:rPr>
                <w:rFonts w:hint="eastAsia" w:cs="宋体"/>
                <w:szCs w:val="21"/>
              </w:rPr>
            </w:pPr>
            <w:r>
              <w:rPr>
                <w:rFonts w:hint="eastAsia" w:cs="宋体"/>
                <w:szCs w:val="21"/>
              </w:rPr>
              <w:t>18.支持智能识别功能：内置视频识别功能，支持车牌识别、视频触发、车身颜色识别、车型识别，通行车辆信息捕获和违章检测功能；</w:t>
            </w:r>
          </w:p>
          <w:p>
            <w:pPr>
              <w:numPr>
                <w:ilvl w:val="0"/>
                <w:numId w:val="3"/>
              </w:numPr>
              <w:rPr>
                <w:rFonts w:hint="eastAsia" w:cs="宋体"/>
                <w:szCs w:val="21"/>
              </w:rPr>
            </w:pPr>
            <w:r>
              <w:rPr>
                <w:rFonts w:hint="eastAsia" w:cs="宋体"/>
                <w:szCs w:val="21"/>
              </w:rPr>
              <w:t>19.设备可识别351种机动车品牌标志，白天识别准确率≥99%，夜晚识别准确率≥99%。（提供公安部检验报告）</w:t>
            </w:r>
          </w:p>
          <w:p>
            <w:pPr>
              <w:numPr>
                <w:ilvl w:val="0"/>
                <w:numId w:val="3"/>
              </w:numPr>
              <w:rPr>
                <w:rFonts w:hint="eastAsia" w:cs="宋体"/>
                <w:szCs w:val="21"/>
              </w:rPr>
            </w:pPr>
            <w:r>
              <w:rPr>
                <w:rFonts w:hint="eastAsia" w:cs="宋体"/>
                <w:szCs w:val="21"/>
              </w:rPr>
              <w:t>20.设备支持人脸区域自动曝光，可根据人脸区域和光照变化自动调节人脸区域曝光参数；可通过IE浏览器设置人脸自动曝光的参考亮度、最短持续时间和人脸过滤时间；（提供公安部检验报告）</w:t>
            </w:r>
          </w:p>
          <w:p>
            <w:pPr>
              <w:numPr>
                <w:ilvl w:val="0"/>
                <w:numId w:val="3"/>
              </w:numPr>
              <w:rPr>
                <w:rFonts w:hint="eastAsia" w:cs="宋体"/>
                <w:szCs w:val="21"/>
              </w:rPr>
            </w:pPr>
            <w:r>
              <w:rPr>
                <w:rFonts w:hint="eastAsia" w:cs="宋体"/>
                <w:szCs w:val="21"/>
              </w:rPr>
              <w:t>21.支持设定以位置、车速、车型、行驶方向和车牌类型等为触发条件进行抓拍；（提供公安部检验报告）</w:t>
            </w:r>
          </w:p>
          <w:p>
            <w:pPr>
              <w:numPr>
                <w:ilvl w:val="0"/>
                <w:numId w:val="3"/>
              </w:numPr>
              <w:rPr>
                <w:rFonts w:hint="eastAsia" w:cs="宋体"/>
                <w:szCs w:val="21"/>
              </w:rPr>
            </w:pPr>
            <w:r>
              <w:rPr>
                <w:rFonts w:hint="eastAsia" w:cs="宋体"/>
                <w:szCs w:val="21"/>
              </w:rPr>
              <w:t>22.支持车牌黑/白名单设置，最大可设置60万条黑/白名单；（提供公安部检验报告）</w:t>
            </w:r>
          </w:p>
          <w:p>
            <w:pPr>
              <w:numPr>
                <w:ilvl w:val="0"/>
                <w:numId w:val="3"/>
              </w:numPr>
              <w:rPr>
                <w:rFonts w:hint="eastAsia" w:cs="宋体"/>
                <w:szCs w:val="21"/>
              </w:rPr>
            </w:pPr>
            <w:r>
              <w:rPr>
                <w:rFonts w:hint="eastAsia" w:cs="宋体"/>
                <w:szCs w:val="21"/>
              </w:rPr>
              <w:t>23.支持车辆子品牌识别功能，通过车头可识别7100种，通过车尾可识别3800种，全天识别准确率不低于99%；（提供公安部检验报告）</w:t>
            </w:r>
          </w:p>
          <w:p>
            <w:pPr>
              <w:numPr>
                <w:ilvl w:val="0"/>
                <w:numId w:val="3"/>
              </w:numPr>
              <w:rPr>
                <w:rFonts w:hint="eastAsia" w:cs="宋体"/>
                <w:szCs w:val="21"/>
              </w:rPr>
            </w:pPr>
            <w:r>
              <w:rPr>
                <w:rFonts w:hint="eastAsia" w:cs="宋体"/>
                <w:szCs w:val="21"/>
              </w:rPr>
              <w:t>24.支持对机动车、非机动车、行人等混合目标进行检测，样机能同时检测不少于100个混合的静态目标并对这些目标进行绿框跟踪、优选、抓拍及属性分析；（提供公安部检验报告）</w:t>
            </w:r>
          </w:p>
          <w:p>
            <w:pPr>
              <w:numPr>
                <w:ilvl w:val="0"/>
                <w:numId w:val="3"/>
              </w:numPr>
              <w:rPr>
                <w:rFonts w:hint="eastAsia" w:cs="宋体"/>
                <w:szCs w:val="21"/>
              </w:rPr>
            </w:pPr>
            <w:r>
              <w:rPr>
                <w:rFonts w:hint="eastAsia" w:cs="宋体"/>
                <w:szCs w:val="21"/>
              </w:rPr>
              <w:t>25.支持在AC25V-320V供电条件下正常工作（提供公安部检验报告）</w:t>
            </w:r>
          </w:p>
          <w:p>
            <w:pPr>
              <w:numPr>
                <w:ilvl w:val="0"/>
                <w:numId w:val="0"/>
              </w:numPr>
              <w:rPr>
                <w:rFonts w:hint="default" w:eastAsia="仿宋"/>
                <w:lang w:val="en-US" w:eastAsia="zh-CN"/>
              </w:rPr>
            </w:pPr>
            <w:r>
              <w:rPr>
                <w:rFonts w:hint="eastAsia" w:cs="宋体"/>
                <w:szCs w:val="21"/>
                <w:lang w:val="en-US" w:eastAsia="zh-CN"/>
              </w:rPr>
              <w:t>26.超限高清号牌抓拍相机</w:t>
            </w:r>
            <w:r>
              <w:rPr>
                <w:rFonts w:hint="eastAsia" w:cs="宋体"/>
                <w:szCs w:val="21"/>
              </w:rPr>
              <w:t>防护等级性能</w:t>
            </w:r>
            <w:r>
              <w:rPr>
                <w:rFonts w:hint="eastAsia" w:cs="宋体"/>
                <w:szCs w:val="21"/>
                <w:lang w:eastAsia="zh-CN"/>
              </w:rPr>
              <w:t>须</w:t>
            </w:r>
            <w:r>
              <w:rPr>
                <w:rFonts w:hint="eastAsia" w:cs="宋体"/>
                <w:szCs w:val="21"/>
              </w:rPr>
              <w:t>符合</w:t>
            </w:r>
            <w:r>
              <w:rPr>
                <w:rFonts w:hint="eastAsia" w:cs="宋体"/>
                <w:color w:val="auto"/>
                <w:szCs w:val="21"/>
                <w:highlight w:val="none"/>
              </w:rPr>
              <w:t>IP6</w:t>
            </w:r>
            <w:r>
              <w:rPr>
                <w:rFonts w:hint="eastAsia" w:cs="宋体"/>
                <w:color w:val="auto"/>
                <w:szCs w:val="21"/>
                <w:highlight w:val="none"/>
                <w:lang w:val="en-US" w:eastAsia="zh-CN"/>
              </w:rPr>
              <w:t>5</w:t>
            </w:r>
            <w:r>
              <w:rPr>
                <w:rFonts w:hint="eastAsia" w:cs="宋体"/>
                <w:szCs w:val="21"/>
              </w:rPr>
              <w:t>标准</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2.2</w:t>
            </w:r>
          </w:p>
        </w:tc>
        <w:tc>
          <w:tcPr>
            <w:tcW w:w="960" w:type="pct"/>
            <w:gridSpan w:val="2"/>
            <w:shd w:val="clear" w:color="auto" w:fill="FFFFFF" w:themeFill="background1"/>
            <w:vAlign w:val="center"/>
          </w:tcPr>
          <w:p>
            <w:pPr>
              <w:jc w:val="center"/>
              <w:rPr>
                <w:rFonts w:cs="宋体"/>
                <w:szCs w:val="21"/>
              </w:rPr>
            </w:pPr>
            <w:r>
              <w:rPr>
                <w:rFonts w:hint="eastAsia" w:cs="宋体"/>
                <w:szCs w:val="21"/>
              </w:rPr>
              <w:t>超限高清号牌抓拍相机(尾抓)</w:t>
            </w:r>
          </w:p>
        </w:tc>
        <w:tc>
          <w:tcPr>
            <w:tcW w:w="2588" w:type="pct"/>
            <w:shd w:val="clear" w:color="auto" w:fill="FFFFFF" w:themeFill="background1"/>
            <w:vAlign w:val="center"/>
          </w:tcPr>
          <w:p>
            <w:pPr>
              <w:rPr>
                <w:rFonts w:cs="宋体"/>
                <w:szCs w:val="21"/>
              </w:rPr>
            </w:pPr>
            <w:r>
              <w:rPr>
                <w:rFonts w:hint="eastAsia" w:cs="宋体"/>
                <w:szCs w:val="21"/>
                <w:lang w:val="en-US" w:eastAsia="zh-CN"/>
              </w:rPr>
              <w:t>同“</w:t>
            </w:r>
            <w:r>
              <w:rPr>
                <w:rFonts w:hint="eastAsia" w:cs="宋体"/>
                <w:szCs w:val="21"/>
              </w:rPr>
              <w:t>超限高清号牌抓拍相机(前抓)</w:t>
            </w:r>
            <w:r>
              <w:rPr>
                <w:rFonts w:hint="eastAsia" w:cs="宋体"/>
                <w:szCs w:val="21"/>
                <w:lang w:val="en-US" w:eastAsia="zh-CN"/>
              </w:rPr>
              <w:t>”</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2.3</w:t>
            </w:r>
          </w:p>
        </w:tc>
        <w:tc>
          <w:tcPr>
            <w:tcW w:w="960" w:type="pct"/>
            <w:gridSpan w:val="2"/>
            <w:shd w:val="clear" w:color="auto" w:fill="FFFFFF" w:themeFill="background1"/>
            <w:vAlign w:val="center"/>
          </w:tcPr>
          <w:p>
            <w:pPr>
              <w:jc w:val="center"/>
              <w:rPr>
                <w:rFonts w:cs="宋体"/>
                <w:szCs w:val="21"/>
              </w:rPr>
            </w:pPr>
            <w:r>
              <w:rPr>
                <w:rFonts w:hint="eastAsia" w:cs="宋体"/>
                <w:szCs w:val="21"/>
              </w:rPr>
              <w:t>超限高清号牌抓拍相机(侧后抓)</w:t>
            </w:r>
          </w:p>
        </w:tc>
        <w:tc>
          <w:tcPr>
            <w:tcW w:w="2588" w:type="pct"/>
            <w:shd w:val="clear" w:color="auto" w:fill="FFFFFF" w:themeFill="background1"/>
            <w:vAlign w:val="center"/>
          </w:tcPr>
          <w:p>
            <w:pPr>
              <w:rPr>
                <w:rFonts w:cs="宋体"/>
                <w:szCs w:val="21"/>
              </w:rPr>
            </w:pPr>
            <w:r>
              <w:rPr>
                <w:rFonts w:hint="eastAsia" w:cs="宋体"/>
                <w:szCs w:val="21"/>
                <w:lang w:val="en-US" w:eastAsia="zh-CN"/>
              </w:rPr>
              <w:t>同“</w:t>
            </w:r>
            <w:r>
              <w:rPr>
                <w:rFonts w:hint="eastAsia" w:cs="宋体"/>
                <w:szCs w:val="21"/>
              </w:rPr>
              <w:t>超限高清号牌抓拍相机(前抓)</w:t>
            </w:r>
            <w:r>
              <w:rPr>
                <w:rFonts w:hint="eastAsia" w:cs="宋体"/>
                <w:szCs w:val="21"/>
                <w:lang w:val="en-US" w:eastAsia="zh-CN"/>
              </w:rPr>
              <w:t>”</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8</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2.4</w:t>
            </w:r>
          </w:p>
        </w:tc>
        <w:tc>
          <w:tcPr>
            <w:tcW w:w="960" w:type="pct"/>
            <w:gridSpan w:val="2"/>
            <w:shd w:val="clear" w:color="auto" w:fill="FFFFFF" w:themeFill="background1"/>
            <w:vAlign w:val="center"/>
          </w:tcPr>
          <w:p>
            <w:pPr>
              <w:jc w:val="center"/>
              <w:rPr>
                <w:rFonts w:cs="宋体"/>
                <w:szCs w:val="21"/>
              </w:rPr>
            </w:pPr>
            <w:r>
              <w:rPr>
                <w:rFonts w:hint="eastAsia" w:cs="宋体"/>
                <w:szCs w:val="21"/>
              </w:rPr>
              <w:t>超限高清号牌抓拍相机(上桥取证)</w:t>
            </w:r>
          </w:p>
        </w:tc>
        <w:tc>
          <w:tcPr>
            <w:tcW w:w="2588" w:type="pct"/>
            <w:shd w:val="clear" w:color="auto" w:fill="FFFFFF" w:themeFill="background1"/>
            <w:vAlign w:val="center"/>
          </w:tcPr>
          <w:p>
            <w:pPr>
              <w:rPr>
                <w:rFonts w:cs="宋体"/>
                <w:szCs w:val="21"/>
              </w:rPr>
            </w:pPr>
            <w:r>
              <w:rPr>
                <w:rFonts w:hint="eastAsia" w:cs="宋体"/>
                <w:szCs w:val="21"/>
                <w:lang w:val="en-US" w:eastAsia="zh-CN"/>
              </w:rPr>
              <w:t>同“</w:t>
            </w:r>
            <w:r>
              <w:rPr>
                <w:rFonts w:hint="eastAsia" w:cs="宋体"/>
                <w:szCs w:val="21"/>
              </w:rPr>
              <w:t>超限高清号牌抓拍相机(前抓)</w:t>
            </w:r>
            <w:r>
              <w:rPr>
                <w:rFonts w:hint="eastAsia" w:cs="宋体"/>
                <w:szCs w:val="21"/>
                <w:lang w:val="en-US" w:eastAsia="zh-CN"/>
              </w:rPr>
              <w:t>”</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8</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2.5</w:t>
            </w:r>
          </w:p>
        </w:tc>
        <w:tc>
          <w:tcPr>
            <w:tcW w:w="960" w:type="pct"/>
            <w:gridSpan w:val="2"/>
            <w:shd w:val="clear" w:color="auto" w:fill="FFFFFF" w:themeFill="background1"/>
            <w:vAlign w:val="center"/>
          </w:tcPr>
          <w:p>
            <w:pPr>
              <w:jc w:val="center"/>
              <w:rPr>
                <w:rFonts w:cs="宋体"/>
                <w:szCs w:val="21"/>
              </w:rPr>
            </w:pPr>
            <w:r>
              <w:rPr>
                <w:rFonts w:hint="eastAsia" w:cs="宋体"/>
                <w:szCs w:val="21"/>
              </w:rPr>
              <w:t>爆闪灯</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单车道气体闪光灯，单次闪光能量≥200J，白天可看清前排司乘人员面部特征</w:t>
            </w:r>
          </w:p>
          <w:p>
            <w:pPr>
              <w:rPr>
                <w:rFonts w:hint="eastAsia" w:eastAsia="仿宋" w:cs="宋体"/>
                <w:szCs w:val="21"/>
                <w:lang w:eastAsia="zh-CN"/>
              </w:rPr>
            </w:pPr>
            <w:r>
              <w:rPr>
                <w:rFonts w:hint="eastAsia" w:cs="宋体"/>
                <w:szCs w:val="21"/>
              </w:rPr>
              <w:t>峰值功率大，有效提升白天人脸效果</w:t>
            </w:r>
          </w:p>
          <w:p>
            <w:pPr>
              <w:rPr>
                <w:rFonts w:hint="eastAsia" w:eastAsia="仿宋" w:cs="宋体"/>
                <w:szCs w:val="21"/>
                <w:lang w:eastAsia="zh-CN"/>
              </w:rPr>
            </w:pPr>
            <w:r>
              <w:rPr>
                <w:rFonts w:hint="eastAsia" w:cs="宋体"/>
                <w:szCs w:val="21"/>
              </w:rPr>
              <w:t>具有光敏，支持白天和晚上两档亮度，可通过RS485调节亮度值</w:t>
            </w:r>
          </w:p>
          <w:p>
            <w:pPr>
              <w:rPr>
                <w:rFonts w:hint="eastAsia" w:eastAsia="仿宋" w:cs="宋体"/>
                <w:szCs w:val="21"/>
                <w:lang w:eastAsia="zh-CN"/>
              </w:rPr>
            </w:pPr>
            <w:r>
              <w:rPr>
                <w:rFonts w:hint="eastAsia" w:cs="宋体"/>
                <w:szCs w:val="21"/>
              </w:rPr>
              <w:t>回电时间＜67ms，有效补光距离16m～25m</w:t>
            </w:r>
          </w:p>
          <w:p>
            <w:pPr>
              <w:rPr>
                <w:rFonts w:hint="eastAsia" w:eastAsia="仿宋" w:cs="宋体"/>
                <w:szCs w:val="21"/>
                <w:lang w:eastAsia="zh-CN"/>
              </w:rPr>
            </w:pPr>
            <w:r>
              <w:rPr>
                <w:rFonts w:hint="eastAsia" w:cs="宋体"/>
                <w:szCs w:val="21"/>
              </w:rPr>
              <w:t>工作环境-25～+70℃</w:t>
            </w:r>
          </w:p>
          <w:p>
            <w:pPr>
              <w:rPr>
                <w:rFonts w:hint="eastAsia" w:eastAsia="仿宋" w:cs="宋体"/>
                <w:szCs w:val="21"/>
                <w:lang w:eastAsia="zh-CN"/>
              </w:rPr>
            </w:pPr>
            <w:r>
              <w:rPr>
                <w:rFonts w:hint="eastAsia" w:cs="宋体"/>
                <w:szCs w:val="21"/>
              </w:rPr>
              <w:t>电平量触发（可定制开关量触发）具有手动万向节，调节方便</w:t>
            </w:r>
          </w:p>
          <w:p>
            <w:pPr>
              <w:rPr>
                <w:rFonts w:hint="eastAsia" w:eastAsia="仿宋" w:cs="宋体"/>
                <w:szCs w:val="21"/>
                <w:lang w:eastAsia="zh-CN"/>
              </w:rPr>
            </w:pPr>
            <w:r>
              <w:rPr>
                <w:rFonts w:hint="eastAsia" w:cs="宋体"/>
                <w:szCs w:val="21"/>
              </w:rPr>
              <w:t>内置光栅（可选配外置光栅），可有效减少光污染</w:t>
            </w:r>
          </w:p>
          <w:p>
            <w:pPr>
              <w:rPr>
                <w:rFonts w:hint="eastAsia" w:eastAsia="仿宋" w:cs="宋体"/>
                <w:szCs w:val="21"/>
                <w:lang w:eastAsia="zh-CN"/>
              </w:rPr>
            </w:pPr>
            <w:r>
              <w:rPr>
                <w:rFonts w:hint="eastAsia" w:cs="宋体"/>
                <w:szCs w:val="21"/>
              </w:rPr>
              <w:t>一般规范</w:t>
            </w:r>
          </w:p>
          <w:p>
            <w:pPr>
              <w:rPr>
                <w:rFonts w:hint="eastAsia" w:eastAsia="仿宋" w:cs="宋体"/>
                <w:szCs w:val="21"/>
                <w:lang w:eastAsia="zh-CN"/>
              </w:rPr>
            </w:pPr>
            <w:r>
              <w:rPr>
                <w:rFonts w:hint="eastAsia" w:cs="宋体"/>
                <w:szCs w:val="21"/>
              </w:rPr>
              <w:t>防护等级：IP65</w:t>
            </w:r>
          </w:p>
          <w:p>
            <w:pPr>
              <w:rPr>
                <w:rFonts w:hint="eastAsia" w:eastAsia="仿宋" w:cs="宋体"/>
                <w:szCs w:val="21"/>
                <w:lang w:eastAsia="zh-CN"/>
              </w:rPr>
            </w:pPr>
            <w:r>
              <w:rPr>
                <w:rFonts w:hint="eastAsia" w:cs="宋体"/>
                <w:szCs w:val="21"/>
              </w:rPr>
              <w:t>电源：AC220V±10%</w:t>
            </w:r>
          </w:p>
          <w:p>
            <w:pPr>
              <w:rPr>
                <w:rFonts w:cs="宋体"/>
                <w:szCs w:val="21"/>
              </w:rPr>
            </w:pPr>
            <w:r>
              <w:rPr>
                <w:rFonts w:hint="eastAsia" w:cs="宋体"/>
                <w:szCs w:val="21"/>
              </w:rPr>
              <w:t>工作湿度：湿度5%~95%@40℃，无凝结</w:t>
            </w:r>
          </w:p>
        </w:tc>
        <w:tc>
          <w:tcPr>
            <w:tcW w:w="292" w:type="pct"/>
            <w:shd w:val="clear" w:color="auto" w:fill="FFFFFF" w:themeFill="background1"/>
            <w:vAlign w:val="center"/>
          </w:tcPr>
          <w:p>
            <w:pPr>
              <w:jc w:val="center"/>
              <w:rPr>
                <w:rFonts w:cs="宋体"/>
                <w:szCs w:val="21"/>
              </w:rPr>
            </w:pPr>
            <w:r>
              <w:rPr>
                <w:rFonts w:hint="eastAsia" w:cs="宋体"/>
                <w:szCs w:val="21"/>
              </w:rPr>
              <w:t>台</w:t>
            </w:r>
          </w:p>
        </w:tc>
        <w:tc>
          <w:tcPr>
            <w:tcW w:w="423" w:type="pct"/>
            <w:shd w:val="clear" w:color="auto" w:fill="FFFFFF" w:themeFill="background1"/>
            <w:vAlign w:val="center"/>
          </w:tcPr>
          <w:p>
            <w:pPr>
              <w:jc w:val="center"/>
              <w:rPr>
                <w:rFonts w:cs="宋体"/>
                <w:szCs w:val="21"/>
              </w:rPr>
            </w:pPr>
            <w:r>
              <w:rPr>
                <w:rFonts w:hint="eastAsia" w:cs="宋体"/>
                <w:szCs w:val="21"/>
              </w:rPr>
              <w:t>40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2.6</w:t>
            </w:r>
          </w:p>
        </w:tc>
        <w:tc>
          <w:tcPr>
            <w:tcW w:w="960" w:type="pct"/>
            <w:gridSpan w:val="2"/>
            <w:shd w:val="clear" w:color="auto" w:fill="FFFFFF" w:themeFill="background1"/>
            <w:vAlign w:val="center"/>
          </w:tcPr>
          <w:p>
            <w:pPr>
              <w:jc w:val="center"/>
              <w:rPr>
                <w:rFonts w:cs="宋体"/>
                <w:szCs w:val="21"/>
              </w:rPr>
            </w:pPr>
            <w:r>
              <w:rPr>
                <w:rFonts w:hint="eastAsia" w:cs="宋体"/>
                <w:szCs w:val="21"/>
              </w:rPr>
              <w:t>补光灯</w:t>
            </w:r>
          </w:p>
        </w:tc>
        <w:tc>
          <w:tcPr>
            <w:tcW w:w="2588" w:type="pct"/>
            <w:shd w:val="clear" w:color="auto" w:fill="FFFFFF" w:themeFill="background1"/>
            <w:vAlign w:val="center"/>
          </w:tcPr>
          <w:p>
            <w:pPr>
              <w:rPr>
                <w:rFonts w:hint="eastAsia" w:cs="宋体"/>
                <w:szCs w:val="21"/>
              </w:rPr>
            </w:pPr>
            <w:r>
              <w:rPr>
                <w:rFonts w:hint="eastAsia" w:cs="宋体"/>
                <w:szCs w:val="21"/>
              </w:rPr>
              <w:t>【16颗】【白光】</w:t>
            </w:r>
          </w:p>
          <w:p>
            <w:pPr>
              <w:rPr>
                <w:rFonts w:hint="eastAsia" w:eastAsia="仿宋" w:cs="宋体"/>
                <w:szCs w:val="21"/>
                <w:lang w:eastAsia="zh-CN"/>
              </w:rPr>
            </w:pPr>
            <w:r>
              <w:rPr>
                <w:rFonts w:hint="eastAsia" w:cs="宋体"/>
                <w:szCs w:val="21"/>
              </w:rPr>
              <w:t>光源类型：大功率LED，单车道环境补光</w:t>
            </w:r>
          </w:p>
          <w:p>
            <w:pPr>
              <w:rPr>
                <w:rFonts w:hint="eastAsia" w:eastAsia="仿宋" w:cs="宋体"/>
                <w:szCs w:val="21"/>
                <w:lang w:eastAsia="zh-CN"/>
              </w:rPr>
            </w:pPr>
            <w:r>
              <w:rPr>
                <w:rFonts w:hint="eastAsia" w:cs="宋体"/>
                <w:szCs w:val="21"/>
              </w:rPr>
              <w:t>LED灯珠数量：16颗</w:t>
            </w:r>
          </w:p>
          <w:p>
            <w:pPr>
              <w:rPr>
                <w:rFonts w:hint="eastAsia" w:eastAsia="仿宋" w:cs="宋体"/>
                <w:szCs w:val="21"/>
                <w:lang w:eastAsia="zh-CN"/>
              </w:rPr>
            </w:pPr>
            <w:r>
              <w:rPr>
                <w:rFonts w:hint="eastAsia" w:cs="宋体"/>
                <w:szCs w:val="21"/>
              </w:rPr>
              <w:t>发光角度：10°</w:t>
            </w:r>
          </w:p>
          <w:p>
            <w:pPr>
              <w:rPr>
                <w:rFonts w:hint="eastAsia" w:eastAsia="仿宋" w:cs="宋体"/>
                <w:szCs w:val="21"/>
                <w:lang w:eastAsia="zh-CN"/>
              </w:rPr>
            </w:pPr>
            <w:r>
              <w:rPr>
                <w:rFonts w:hint="eastAsia" w:cs="宋体"/>
                <w:szCs w:val="21"/>
              </w:rPr>
              <w:t>最佳补光距离：16米-25米</w:t>
            </w:r>
          </w:p>
          <w:p>
            <w:pPr>
              <w:rPr>
                <w:rFonts w:hint="eastAsia" w:eastAsia="仿宋" w:cs="宋体"/>
                <w:szCs w:val="21"/>
                <w:lang w:eastAsia="zh-CN"/>
              </w:rPr>
            </w:pPr>
            <w:r>
              <w:rPr>
                <w:rFonts w:hint="eastAsia" w:cs="宋体"/>
                <w:szCs w:val="21"/>
              </w:rPr>
              <w:t>触发方式：电平量触发(可选配开关量触发)</w:t>
            </w:r>
          </w:p>
          <w:p>
            <w:pPr>
              <w:rPr>
                <w:rFonts w:hint="eastAsia" w:eastAsia="仿宋" w:cs="宋体"/>
                <w:szCs w:val="21"/>
                <w:lang w:eastAsia="zh-CN"/>
              </w:rPr>
            </w:pPr>
            <w:r>
              <w:rPr>
                <w:rFonts w:hint="eastAsia" w:cs="宋体"/>
                <w:szCs w:val="21"/>
              </w:rPr>
              <w:t>响应时间：小于20us</w:t>
            </w:r>
          </w:p>
          <w:p>
            <w:pPr>
              <w:rPr>
                <w:rFonts w:hint="eastAsia" w:eastAsia="仿宋" w:cs="宋体"/>
                <w:szCs w:val="21"/>
                <w:lang w:eastAsia="zh-CN"/>
              </w:rPr>
            </w:pPr>
            <w:r>
              <w:rPr>
                <w:rFonts w:hint="eastAsia" w:cs="宋体"/>
                <w:szCs w:val="21"/>
              </w:rPr>
              <w:t>日夜功能：支持环境亮度监测,低照度下自动开启(可选配)</w:t>
            </w:r>
          </w:p>
          <w:p>
            <w:pPr>
              <w:rPr>
                <w:rFonts w:hint="eastAsia" w:eastAsia="仿宋" w:cs="宋体"/>
                <w:szCs w:val="21"/>
                <w:lang w:eastAsia="zh-CN"/>
              </w:rPr>
            </w:pPr>
            <w:r>
              <w:rPr>
                <w:rFonts w:hint="eastAsia" w:cs="宋体"/>
                <w:szCs w:val="21"/>
              </w:rPr>
              <w:t>触发信号电平：4V-6V</w:t>
            </w:r>
          </w:p>
          <w:p>
            <w:pPr>
              <w:rPr>
                <w:rFonts w:hint="eastAsia" w:eastAsia="仿宋" w:cs="宋体"/>
                <w:szCs w:val="21"/>
                <w:lang w:eastAsia="zh-CN"/>
              </w:rPr>
            </w:pPr>
            <w:r>
              <w:rPr>
                <w:rFonts w:hint="eastAsia" w:cs="宋体"/>
                <w:szCs w:val="21"/>
              </w:rPr>
              <w:t>防护等级：IP66</w:t>
            </w:r>
          </w:p>
          <w:p>
            <w:pPr>
              <w:rPr>
                <w:rFonts w:hint="eastAsia" w:eastAsia="仿宋" w:cs="宋体"/>
                <w:szCs w:val="21"/>
                <w:lang w:eastAsia="zh-CN"/>
              </w:rPr>
            </w:pPr>
            <w:r>
              <w:rPr>
                <w:rFonts w:hint="eastAsia" w:cs="宋体"/>
                <w:szCs w:val="21"/>
              </w:rPr>
              <w:t>外形尺寸：128mm(W)×216mm(H)×159mm(D)</w:t>
            </w:r>
          </w:p>
          <w:p>
            <w:pPr>
              <w:rPr>
                <w:rFonts w:hint="eastAsia" w:cs="宋体"/>
                <w:szCs w:val="21"/>
              </w:rPr>
            </w:pPr>
            <w:r>
              <w:rPr>
                <w:rFonts w:hint="eastAsia" w:cs="宋体"/>
                <w:szCs w:val="21"/>
              </w:rPr>
              <w:t>功率：平均功率36W(实际功率与控制方式有关)</w:t>
            </w:r>
          </w:p>
          <w:p>
            <w:pPr>
              <w:rPr>
                <w:rFonts w:hint="eastAsia" w:eastAsia="仿宋" w:cs="宋体"/>
                <w:szCs w:val="21"/>
                <w:lang w:eastAsia="zh-CN"/>
              </w:rPr>
            </w:pPr>
            <w:r>
              <w:rPr>
                <w:rFonts w:hint="eastAsia" w:ascii="仿宋" w:hAnsi="仿宋" w:eastAsia="仿宋" w:cs="仿宋"/>
                <w:bCs/>
                <w:color w:val="auto"/>
                <w:szCs w:val="21"/>
                <w:highlight w:val="none"/>
              </w:rPr>
              <w:t>防炫目：闪光灯内置防炫目光栅结构</w:t>
            </w:r>
          </w:p>
          <w:p>
            <w:pPr>
              <w:rPr>
                <w:rFonts w:hint="eastAsia" w:eastAsia="仿宋" w:cs="宋体"/>
                <w:szCs w:val="21"/>
                <w:lang w:eastAsia="zh-CN"/>
              </w:rPr>
            </w:pPr>
            <w:r>
              <w:rPr>
                <w:rFonts w:hint="eastAsia" w:cs="宋体"/>
                <w:szCs w:val="21"/>
              </w:rPr>
              <w:t>●支持自闪、跟随、自动频闪（外部摄像机触发）模式；（提供公安部检验报告）</w:t>
            </w:r>
          </w:p>
          <w:p>
            <w:pPr>
              <w:rPr>
                <w:rFonts w:hint="eastAsia" w:eastAsia="仿宋" w:cs="宋体"/>
                <w:szCs w:val="21"/>
                <w:lang w:eastAsia="zh-CN"/>
              </w:rPr>
            </w:pPr>
            <w:r>
              <w:rPr>
                <w:rFonts w:hint="eastAsia" w:cs="宋体"/>
                <w:szCs w:val="21"/>
              </w:rPr>
              <w:t>●频率0-250HZ可调；支持通过调整占空比1%~39%进行亮度调节；（提供公安部检验报告）</w:t>
            </w:r>
          </w:p>
          <w:p>
            <w:pPr>
              <w:rPr>
                <w:rFonts w:hint="eastAsia" w:eastAsia="仿宋" w:cs="宋体"/>
                <w:szCs w:val="21"/>
                <w:lang w:eastAsia="zh-CN"/>
              </w:rPr>
            </w:pPr>
            <w:r>
              <w:rPr>
                <w:rFonts w:hint="eastAsia" w:cs="仿宋"/>
                <w:szCs w:val="21"/>
              </w:rPr>
              <w:t>●</w:t>
            </w:r>
            <w:r>
              <w:rPr>
                <w:rFonts w:hint="eastAsia" w:cs="宋体"/>
                <w:szCs w:val="21"/>
              </w:rPr>
              <w:t>支持爆闪功能，爆闪持续时间、延迟时间及最小间隔时间可设；（提供公安部检验报告）</w:t>
            </w:r>
          </w:p>
          <w:p>
            <w:pPr>
              <w:rPr>
                <w:rFonts w:hint="eastAsia" w:eastAsia="仿宋" w:cs="宋体"/>
                <w:szCs w:val="21"/>
                <w:lang w:eastAsia="zh-CN"/>
              </w:rPr>
            </w:pPr>
            <w:r>
              <w:rPr>
                <w:rFonts w:hint="eastAsia" w:cs="仿宋"/>
                <w:szCs w:val="21"/>
              </w:rPr>
              <w:t>●</w:t>
            </w:r>
            <w:r>
              <w:rPr>
                <w:rFonts w:hint="eastAsia" w:cs="宋体"/>
                <w:szCs w:val="21"/>
              </w:rPr>
              <w:t>支持通过RS485远程控制补光灯的亮度、开启/关闭；（提供公安部检验报告）</w:t>
            </w:r>
          </w:p>
          <w:p>
            <w:pPr>
              <w:rPr>
                <w:rFonts w:cs="宋体"/>
                <w:szCs w:val="21"/>
              </w:rPr>
            </w:pPr>
            <w:r>
              <w:rPr>
                <w:rFonts w:hint="eastAsia" w:cs="仿宋"/>
                <w:szCs w:val="21"/>
              </w:rPr>
              <w:t>●</w:t>
            </w:r>
            <w:r>
              <w:rPr>
                <w:rFonts w:hint="eastAsia" w:cs="宋体"/>
                <w:szCs w:val="21"/>
              </w:rPr>
              <w:t>支持远程显示补光灯故障、正常、开启、关闭等工作状态；（投标时提供认证证书的扫描件）</w:t>
            </w:r>
          </w:p>
        </w:tc>
        <w:tc>
          <w:tcPr>
            <w:tcW w:w="292" w:type="pct"/>
            <w:shd w:val="clear" w:color="auto" w:fill="FFFFFF" w:themeFill="background1"/>
            <w:vAlign w:val="center"/>
          </w:tcPr>
          <w:p>
            <w:pPr>
              <w:jc w:val="center"/>
              <w:rPr>
                <w:rFonts w:cs="宋体"/>
                <w:szCs w:val="21"/>
              </w:rPr>
            </w:pPr>
            <w:r>
              <w:rPr>
                <w:rFonts w:hint="eastAsia" w:cs="宋体"/>
                <w:szCs w:val="21"/>
              </w:rPr>
              <w:t>台</w:t>
            </w:r>
          </w:p>
        </w:tc>
        <w:tc>
          <w:tcPr>
            <w:tcW w:w="423" w:type="pct"/>
            <w:shd w:val="clear" w:color="auto" w:fill="FFFFFF" w:themeFill="background1"/>
            <w:vAlign w:val="center"/>
          </w:tcPr>
          <w:p>
            <w:pPr>
              <w:jc w:val="center"/>
              <w:rPr>
                <w:rFonts w:cs="宋体"/>
                <w:szCs w:val="21"/>
              </w:rPr>
            </w:pPr>
            <w:r>
              <w:rPr>
                <w:rFonts w:hint="eastAsia" w:cs="宋体"/>
                <w:szCs w:val="21"/>
              </w:rPr>
              <w:t>24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2.7</w:t>
            </w:r>
          </w:p>
        </w:tc>
        <w:tc>
          <w:tcPr>
            <w:tcW w:w="960" w:type="pct"/>
            <w:gridSpan w:val="2"/>
            <w:shd w:val="clear" w:color="auto" w:fill="FFFFFF" w:themeFill="background1"/>
            <w:vAlign w:val="center"/>
          </w:tcPr>
          <w:p>
            <w:pPr>
              <w:jc w:val="center"/>
              <w:rPr>
                <w:rFonts w:cs="宋体"/>
                <w:szCs w:val="21"/>
              </w:rPr>
            </w:pPr>
            <w:r>
              <w:rPr>
                <w:rFonts w:hint="eastAsia" w:cs="宋体"/>
                <w:szCs w:val="21"/>
              </w:rPr>
              <w:t>龙门架型杆件</w:t>
            </w:r>
          </w:p>
        </w:tc>
        <w:tc>
          <w:tcPr>
            <w:tcW w:w="2588" w:type="pct"/>
            <w:shd w:val="clear" w:color="auto" w:fill="FFFFFF" w:themeFill="background1"/>
            <w:vAlign w:val="center"/>
          </w:tcPr>
          <w:p>
            <w:pPr>
              <w:rPr>
                <w:rFonts w:cs="宋体"/>
                <w:szCs w:val="21"/>
              </w:rPr>
            </w:pPr>
            <w:r>
              <w:rPr>
                <w:rFonts w:hint="eastAsia" w:cs="宋体"/>
                <w:szCs w:val="21"/>
              </w:rPr>
              <w:t>利旧（旧有龙门架型LED大屏的杆件作为南向北方向前抓拍杆件）</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w:t>
            </w:r>
          </w:p>
        </w:tc>
        <w:tc>
          <w:tcPr>
            <w:tcW w:w="338" w:type="pct"/>
            <w:shd w:val="clear" w:color="auto" w:fill="FFFFFF" w:themeFill="background1"/>
            <w:vAlign w:val="center"/>
          </w:tcPr>
          <w:p>
            <w:pPr>
              <w:rPr>
                <w:rFonts w:cs="宋体"/>
                <w:szCs w:val="21"/>
              </w:rPr>
            </w:pPr>
            <w:r>
              <w:rPr>
                <w:rFonts w:hint="eastAsia" w:cs="宋体"/>
                <w:szCs w:val="21"/>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2.8</w:t>
            </w:r>
          </w:p>
        </w:tc>
        <w:tc>
          <w:tcPr>
            <w:tcW w:w="960" w:type="pct"/>
            <w:gridSpan w:val="2"/>
            <w:shd w:val="clear" w:color="auto" w:fill="FFFFFF" w:themeFill="background1"/>
            <w:vAlign w:val="center"/>
          </w:tcPr>
          <w:p>
            <w:pPr>
              <w:jc w:val="center"/>
              <w:rPr>
                <w:rFonts w:cs="宋体"/>
                <w:szCs w:val="21"/>
              </w:rPr>
            </w:pPr>
            <w:r>
              <w:rPr>
                <w:rFonts w:hint="eastAsia" w:cs="宋体"/>
                <w:szCs w:val="21"/>
              </w:rPr>
              <w:t>L型监控杆件</w:t>
            </w:r>
          </w:p>
        </w:tc>
        <w:tc>
          <w:tcPr>
            <w:tcW w:w="2588" w:type="pct"/>
            <w:shd w:val="clear" w:color="auto" w:fill="FFFFFF" w:themeFill="background1"/>
            <w:vAlign w:val="center"/>
          </w:tcPr>
          <w:p>
            <w:pPr>
              <w:rPr>
                <w:rFonts w:cs="宋体"/>
                <w:szCs w:val="21"/>
              </w:rPr>
            </w:pPr>
            <w:r>
              <w:rPr>
                <w:rFonts w:hint="eastAsia" w:cs="宋体"/>
                <w:szCs w:val="21"/>
              </w:rPr>
              <w:t>净空高6.5米，横杆：根据道路宽度定制；立柱采用热浸镀锌喷塑处理，镀锌厚度不小于270g/m2，喷塑厚度不小于0.076mm；立柱的壁厚8mm，横梁圆管壁厚6mm含避雷及接地防护设施。</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7</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2.9</w:t>
            </w:r>
          </w:p>
        </w:tc>
        <w:tc>
          <w:tcPr>
            <w:tcW w:w="960" w:type="pct"/>
            <w:gridSpan w:val="2"/>
            <w:shd w:val="clear" w:color="auto" w:fill="FFFFFF" w:themeFill="background1"/>
            <w:vAlign w:val="center"/>
          </w:tcPr>
          <w:p>
            <w:pPr>
              <w:jc w:val="center"/>
              <w:rPr>
                <w:rFonts w:cs="宋体"/>
                <w:szCs w:val="21"/>
              </w:rPr>
            </w:pPr>
            <w:r>
              <w:rPr>
                <w:rFonts w:hint="eastAsia" w:cs="宋体"/>
                <w:szCs w:val="21"/>
              </w:rPr>
              <w:t>L杆基础</w:t>
            </w:r>
          </w:p>
        </w:tc>
        <w:tc>
          <w:tcPr>
            <w:tcW w:w="2588" w:type="pct"/>
            <w:shd w:val="clear" w:color="auto" w:fill="FFFFFF" w:themeFill="background1"/>
            <w:vAlign w:val="center"/>
          </w:tcPr>
          <w:p>
            <w:pPr>
              <w:rPr>
                <w:rFonts w:cs="宋体"/>
                <w:szCs w:val="21"/>
              </w:rPr>
            </w:pPr>
            <w:r>
              <w:rPr>
                <w:rFonts w:hint="eastAsia" w:cs="宋体"/>
                <w:szCs w:val="21"/>
              </w:rPr>
              <w:t>含L杆基础施工、支模，吊装。</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7</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2.10</w:t>
            </w:r>
          </w:p>
        </w:tc>
        <w:tc>
          <w:tcPr>
            <w:tcW w:w="960" w:type="pct"/>
            <w:gridSpan w:val="2"/>
            <w:shd w:val="clear" w:color="auto" w:fill="FFFFFF" w:themeFill="background1"/>
            <w:vAlign w:val="center"/>
          </w:tcPr>
          <w:p>
            <w:pPr>
              <w:jc w:val="center"/>
              <w:rPr>
                <w:rFonts w:cs="宋体"/>
                <w:szCs w:val="21"/>
              </w:rPr>
            </w:pPr>
            <w:r>
              <w:rPr>
                <w:rFonts w:hint="eastAsia" w:cs="宋体"/>
                <w:szCs w:val="21"/>
              </w:rPr>
              <w:t>抱杆机柜</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抱杆机柜，含强电模块，总输入：不小于1*16A/2P,设备：不小于3*10A/1P。防护等级IP55。</w:t>
            </w:r>
          </w:p>
          <w:p>
            <w:pPr>
              <w:rPr>
                <w:rFonts w:hint="eastAsia" w:eastAsia="仿宋" w:cs="宋体"/>
                <w:szCs w:val="21"/>
                <w:lang w:eastAsia="zh-CN"/>
              </w:rPr>
            </w:pPr>
            <w:r>
              <w:rPr>
                <w:rFonts w:hint="eastAsia" w:cs="宋体"/>
                <w:szCs w:val="21"/>
              </w:rPr>
              <w:t>1、输入断电监测和断网故障诊断</w:t>
            </w:r>
          </w:p>
          <w:p>
            <w:pPr>
              <w:rPr>
                <w:rFonts w:hint="eastAsia" w:eastAsia="仿宋" w:cs="宋体"/>
                <w:szCs w:val="21"/>
                <w:lang w:eastAsia="zh-CN"/>
              </w:rPr>
            </w:pPr>
            <w:r>
              <w:rPr>
                <w:rFonts w:hint="eastAsia" w:cs="宋体"/>
                <w:szCs w:val="21"/>
              </w:rPr>
              <w:t>2、机箱门异常开启现场声光报警，并将报警信号上传。箱门支持布防/撤防设定，撤防时间可设定，可与维护光源联动</w:t>
            </w:r>
          </w:p>
          <w:p>
            <w:pPr>
              <w:rPr>
                <w:rFonts w:hint="eastAsia" w:eastAsia="仿宋" w:cs="宋体"/>
                <w:szCs w:val="21"/>
                <w:lang w:eastAsia="zh-CN"/>
              </w:rPr>
            </w:pPr>
            <w:r>
              <w:rPr>
                <w:rFonts w:hint="eastAsia" w:cs="宋体"/>
                <w:szCs w:val="21"/>
              </w:rPr>
              <w:t xml:space="preserve">3、至少3路可控的220VAC 2A接线端子。至少1路12VDC 1.5A供电，均可远程及本地逻辑控制。 </w:t>
            </w:r>
          </w:p>
          <w:p>
            <w:pPr>
              <w:rPr>
                <w:rFonts w:hint="eastAsia" w:eastAsia="仿宋" w:cs="宋体"/>
                <w:szCs w:val="21"/>
                <w:lang w:eastAsia="zh-CN"/>
              </w:rPr>
            </w:pPr>
            <w:r>
              <w:rPr>
                <w:rFonts w:hint="eastAsia" w:cs="宋体"/>
                <w:szCs w:val="21"/>
              </w:rPr>
              <w:t>至少1路12VDC 1A供电端子。远程对1路24VAC与2路12VDC外接适配器输出电源进行控制。</w:t>
            </w:r>
          </w:p>
          <w:p>
            <w:pPr>
              <w:rPr>
                <w:rFonts w:hint="eastAsia" w:eastAsia="仿宋" w:cs="宋体"/>
                <w:szCs w:val="21"/>
                <w:lang w:eastAsia="zh-CN"/>
              </w:rPr>
            </w:pPr>
            <w:r>
              <w:rPr>
                <w:rFonts w:hint="eastAsia" w:cs="宋体"/>
                <w:szCs w:val="21"/>
              </w:rPr>
              <w:t xml:space="preserve">1路RS485接口、1路RS232接口、一路以太网接口   </w:t>
            </w:r>
          </w:p>
          <w:p>
            <w:pPr>
              <w:rPr>
                <w:rFonts w:hint="eastAsia" w:eastAsia="仿宋" w:cs="宋体"/>
                <w:szCs w:val="21"/>
                <w:lang w:eastAsia="zh-CN"/>
              </w:rPr>
            </w:pPr>
            <w:r>
              <w:rPr>
                <w:rFonts w:hint="eastAsia" w:cs="宋体"/>
                <w:szCs w:val="21"/>
              </w:rPr>
              <w:t>4、监测电量参数，包含但不限于AC220v交流电压、各负载电流等数据</w:t>
            </w:r>
          </w:p>
          <w:p>
            <w:pPr>
              <w:rPr>
                <w:rFonts w:hint="eastAsia" w:eastAsia="仿宋" w:cs="宋体"/>
                <w:szCs w:val="21"/>
                <w:lang w:eastAsia="zh-CN"/>
              </w:rPr>
            </w:pPr>
            <w:r>
              <w:rPr>
                <w:rFonts w:hint="eastAsia" w:cs="宋体"/>
                <w:szCs w:val="21"/>
              </w:rPr>
              <w:t>5、软件平台B/S架构设计、可开放数据接口与其他系统对接；支持GIS地图管理；支持通过站点反查迅速地图定位；</w:t>
            </w:r>
          </w:p>
          <w:p>
            <w:pPr>
              <w:rPr>
                <w:rFonts w:hint="eastAsia" w:eastAsia="仿宋" w:cs="宋体"/>
                <w:szCs w:val="21"/>
                <w:lang w:eastAsia="zh-CN"/>
              </w:rPr>
            </w:pPr>
            <w:r>
              <w:rPr>
                <w:rFonts w:hint="eastAsia" w:cs="宋体"/>
                <w:szCs w:val="21"/>
              </w:rPr>
              <w:t>支持主流视频厂家图像预览；支持多种数据类型的报表统计与导出；支持大屏展示功能。</w:t>
            </w:r>
          </w:p>
          <w:p>
            <w:pPr>
              <w:rPr>
                <w:rFonts w:hint="eastAsia" w:eastAsia="仿宋" w:cs="宋体"/>
                <w:szCs w:val="21"/>
                <w:lang w:eastAsia="zh-CN"/>
              </w:rPr>
            </w:pPr>
            <w:r>
              <w:rPr>
                <w:rFonts w:hint="eastAsia" w:cs="仿宋"/>
                <w:szCs w:val="21"/>
              </w:rPr>
              <w:t>●</w:t>
            </w:r>
            <w:r>
              <w:rPr>
                <w:rFonts w:hint="eastAsia" w:cs="宋体"/>
                <w:szCs w:val="21"/>
              </w:rPr>
              <w:t>6、提供设备厂家公安部检测报告。</w:t>
            </w:r>
          </w:p>
          <w:p>
            <w:pPr>
              <w:pStyle w:val="2"/>
              <w:rPr>
                <w:rFonts w:hint="eastAsia"/>
                <w:lang w:eastAsia="zh-CN"/>
              </w:rPr>
            </w:pP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8</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3</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路面视频监控系统</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3.1</w:t>
            </w:r>
          </w:p>
        </w:tc>
        <w:tc>
          <w:tcPr>
            <w:tcW w:w="960" w:type="pct"/>
            <w:gridSpan w:val="2"/>
            <w:shd w:val="clear" w:color="auto" w:fill="FFFFFF" w:themeFill="background1"/>
            <w:vAlign w:val="center"/>
          </w:tcPr>
          <w:p>
            <w:pPr>
              <w:jc w:val="center"/>
              <w:rPr>
                <w:rFonts w:cs="宋体"/>
                <w:szCs w:val="21"/>
              </w:rPr>
            </w:pPr>
            <w:r>
              <w:rPr>
                <w:rFonts w:hint="eastAsia" w:cs="宋体"/>
                <w:szCs w:val="21"/>
              </w:rPr>
              <w:t>高清红外球形摄像机</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【400万像素黑光系列8寸网络高清高速智能球机】</w:t>
            </w:r>
          </w:p>
          <w:p>
            <w:pPr>
              <w:rPr>
                <w:rFonts w:hint="eastAsia" w:eastAsia="仿宋" w:cs="宋体"/>
                <w:szCs w:val="21"/>
                <w:lang w:eastAsia="zh-CN"/>
              </w:rPr>
            </w:pPr>
            <w:r>
              <w:rPr>
                <w:rFonts w:hint="eastAsia" w:cs="宋体"/>
                <w:szCs w:val="21"/>
              </w:rPr>
              <w:t>支持三种智能资源切换：Smart事件、道路监控、人脸抓拍</w:t>
            </w:r>
          </w:p>
          <w:p>
            <w:pPr>
              <w:rPr>
                <w:rFonts w:hint="eastAsia" w:eastAsia="仿宋" w:cs="宋体"/>
                <w:szCs w:val="21"/>
                <w:lang w:eastAsia="zh-CN"/>
              </w:rPr>
            </w:pPr>
            <w:r>
              <w:rPr>
                <w:rFonts w:hint="eastAsia" w:cs="宋体"/>
                <w:szCs w:val="21"/>
              </w:rPr>
              <w:t>Smart事件：越界侦测，区域入侵侦测，进入/离开区域侦测等智能侦测功能</w:t>
            </w:r>
          </w:p>
          <w:p>
            <w:pPr>
              <w:rPr>
                <w:rFonts w:hint="eastAsia" w:eastAsia="仿宋" w:cs="宋体"/>
                <w:szCs w:val="21"/>
                <w:lang w:eastAsia="zh-CN"/>
              </w:rPr>
            </w:pPr>
            <w:r>
              <w:rPr>
                <w:rFonts w:hint="eastAsia" w:cs="宋体"/>
                <w:szCs w:val="21"/>
              </w:rPr>
              <w:t>道路监控：支持车辆检测（支持车牌识别，车型/车身颜色/车牌颜色识别）和混行检测，车牌捕获及检索、多场景巡航检测、云存储服务功能</w:t>
            </w:r>
          </w:p>
          <w:p>
            <w:pPr>
              <w:rPr>
                <w:rFonts w:hint="eastAsia" w:eastAsia="仿宋" w:cs="宋体"/>
                <w:szCs w:val="21"/>
                <w:lang w:eastAsia="zh-CN"/>
              </w:rPr>
            </w:pPr>
            <w:r>
              <w:rPr>
                <w:rFonts w:hint="eastAsia" w:cs="宋体"/>
                <w:szCs w:val="21"/>
              </w:rPr>
              <w:t>人脸抓拍：支持同时抓拍30张人脸，支持对运动人脸进行检测、跟踪、抓拍、评分、筛选，输出最优的人脸抓图</w:t>
            </w:r>
          </w:p>
          <w:p>
            <w:pPr>
              <w:rPr>
                <w:rFonts w:hint="eastAsia" w:eastAsia="仿宋" w:cs="宋体"/>
                <w:szCs w:val="21"/>
                <w:lang w:eastAsia="zh-CN"/>
              </w:rPr>
            </w:pPr>
            <w:r>
              <w:rPr>
                <w:rFonts w:hint="eastAsia" w:cs="仿宋"/>
                <w:szCs w:val="21"/>
              </w:rPr>
              <w:t>●</w:t>
            </w:r>
            <w:r>
              <w:rPr>
                <w:rFonts w:hint="eastAsia" w:cs="宋体"/>
                <w:szCs w:val="21"/>
              </w:rPr>
              <w:t>摄像机内置两个图像传感器，可分别输出黑白视频图像和彩色视频图像，并可对这两路视频图像进行融合输出（提供公安部检验报告）采用双sensor架构，支持超宽光谱感光成像</w:t>
            </w:r>
          </w:p>
          <w:p>
            <w:pPr>
              <w:rPr>
                <w:rFonts w:hint="eastAsia" w:eastAsia="仿宋" w:cs="宋体"/>
                <w:szCs w:val="21"/>
                <w:lang w:eastAsia="zh-CN"/>
              </w:rPr>
            </w:pPr>
            <w:r>
              <w:rPr>
                <w:rFonts w:hint="eastAsia" w:cs="仿宋"/>
                <w:szCs w:val="21"/>
              </w:rPr>
              <w:t>●</w:t>
            </w:r>
            <w:r>
              <w:rPr>
                <w:rFonts w:hint="eastAsia" w:cs="宋体"/>
                <w:szCs w:val="21"/>
              </w:rPr>
              <w:t>设备补光自动模式，设备具有亮度限制调节功能，限制等级在0~100可调。具有白光增强设置选项，开启后，在夜晚模式下，可开启白光灯，白光亮度等级在0~100可调（提供公安部检验报告）</w:t>
            </w:r>
          </w:p>
          <w:p>
            <w:pPr>
              <w:rPr>
                <w:rFonts w:hint="eastAsia" w:eastAsia="仿宋" w:cs="宋体"/>
                <w:szCs w:val="21"/>
                <w:lang w:eastAsia="zh-CN"/>
              </w:rPr>
            </w:pPr>
            <w:r>
              <w:rPr>
                <w:rFonts w:hint="eastAsia" w:cs="仿宋"/>
                <w:szCs w:val="21"/>
              </w:rPr>
              <w:t>●</w:t>
            </w:r>
            <w:r>
              <w:rPr>
                <w:rFonts w:hint="eastAsia" w:cs="宋体"/>
                <w:szCs w:val="21"/>
              </w:rPr>
              <w:t>设备在近光灯、中光灯开启后，在变焦过程中红外光斑形状为矩形，长宽比为16:9（提供公安部检验报告）</w:t>
            </w:r>
          </w:p>
          <w:p>
            <w:pPr>
              <w:rPr>
                <w:rFonts w:hint="eastAsia" w:eastAsia="仿宋" w:cs="宋体"/>
                <w:szCs w:val="21"/>
                <w:lang w:eastAsia="zh-CN"/>
              </w:rPr>
            </w:pPr>
            <w:r>
              <w:rPr>
                <w:rFonts w:hint="eastAsia" w:cs="仿宋"/>
                <w:szCs w:val="21"/>
              </w:rPr>
              <w:t>●</w:t>
            </w:r>
            <w:r>
              <w:rPr>
                <w:rFonts w:hint="eastAsia" w:cs="宋体"/>
                <w:szCs w:val="21"/>
              </w:rPr>
              <w:t>设备补光手动模式，可同时调整近光灯、中光灯、远光灯的红外灯和白光灯功率（0~100之间可调）。可仅开启白光灯/红外灯进行补光，在仅开启白光灯进行补光时，可输出彩色视频图像（提供公安部检验报告）</w:t>
            </w:r>
          </w:p>
          <w:p>
            <w:pPr>
              <w:rPr>
                <w:rFonts w:hint="eastAsia" w:eastAsia="仿宋" w:cs="宋体"/>
                <w:szCs w:val="21"/>
                <w:lang w:eastAsia="zh-CN"/>
              </w:rPr>
            </w:pPr>
            <w:r>
              <w:rPr>
                <w:rFonts w:hint="eastAsia" w:cs="宋体"/>
                <w:szCs w:val="21"/>
              </w:rPr>
              <w:t>支持GB35114安全加密</w:t>
            </w:r>
          </w:p>
          <w:p>
            <w:pPr>
              <w:rPr>
                <w:rFonts w:hint="eastAsia" w:eastAsia="仿宋" w:cs="宋体"/>
                <w:szCs w:val="21"/>
                <w:lang w:eastAsia="zh-CN"/>
              </w:rPr>
            </w:pPr>
            <w:r>
              <w:rPr>
                <w:rFonts w:hint="eastAsia" w:cs="宋体"/>
                <w:szCs w:val="21"/>
              </w:rPr>
              <w:t>传感器类型: 1/1.8＂progressive scan CMOS</w:t>
            </w:r>
          </w:p>
          <w:p>
            <w:pPr>
              <w:rPr>
                <w:rFonts w:hint="eastAsia" w:eastAsia="仿宋" w:cs="宋体"/>
                <w:szCs w:val="21"/>
                <w:lang w:eastAsia="zh-CN"/>
              </w:rPr>
            </w:pPr>
            <w:r>
              <w:rPr>
                <w:rFonts w:hint="eastAsia" w:cs="宋体"/>
                <w:szCs w:val="21"/>
              </w:rPr>
              <w:t>最低照度: 彩色：0.0004 Lux @（F1.6，AGC ON），黑白：0.0001 Lux @（F1.6，AGC ON），0 Lux with IR</w:t>
            </w:r>
          </w:p>
          <w:p>
            <w:pPr>
              <w:rPr>
                <w:rFonts w:hint="eastAsia" w:eastAsia="仿宋" w:cs="宋体"/>
                <w:szCs w:val="21"/>
                <w:lang w:eastAsia="zh-CN"/>
              </w:rPr>
            </w:pPr>
            <w:r>
              <w:rPr>
                <w:rFonts w:hint="eastAsia" w:cs="宋体"/>
                <w:szCs w:val="21"/>
              </w:rPr>
              <w:t>宽动态: 120 dB超宽动态</w:t>
            </w:r>
          </w:p>
          <w:p>
            <w:pPr>
              <w:rPr>
                <w:rFonts w:hint="eastAsia" w:eastAsia="仿宋" w:cs="宋体"/>
                <w:szCs w:val="21"/>
                <w:lang w:eastAsia="zh-CN"/>
              </w:rPr>
            </w:pPr>
            <w:r>
              <w:rPr>
                <w:rFonts w:hint="eastAsia" w:cs="宋体"/>
                <w:szCs w:val="21"/>
              </w:rPr>
              <w:t>焦距: 6 mm~150 mm，25×光学</w:t>
            </w:r>
          </w:p>
          <w:p>
            <w:pPr>
              <w:rPr>
                <w:rFonts w:hint="eastAsia" w:eastAsia="仿宋" w:cs="宋体"/>
                <w:szCs w:val="21"/>
                <w:lang w:eastAsia="zh-CN"/>
              </w:rPr>
            </w:pPr>
            <w:r>
              <w:rPr>
                <w:rFonts w:hint="eastAsia" w:cs="宋体"/>
                <w:szCs w:val="21"/>
              </w:rPr>
              <w:t>红外照射距离: 200 m</w:t>
            </w:r>
          </w:p>
          <w:p>
            <w:pPr>
              <w:rPr>
                <w:rFonts w:hint="eastAsia" w:eastAsia="仿宋" w:cs="宋体"/>
                <w:szCs w:val="21"/>
                <w:lang w:eastAsia="zh-CN"/>
              </w:rPr>
            </w:pPr>
            <w:r>
              <w:rPr>
                <w:rFonts w:hint="eastAsia" w:cs="宋体"/>
                <w:szCs w:val="21"/>
              </w:rPr>
              <w:t>防补光过曝: 支持</w:t>
            </w:r>
          </w:p>
          <w:p>
            <w:pPr>
              <w:rPr>
                <w:rFonts w:hint="eastAsia" w:eastAsia="仿宋" w:cs="宋体"/>
                <w:szCs w:val="21"/>
                <w:lang w:eastAsia="zh-CN"/>
              </w:rPr>
            </w:pPr>
            <w:r>
              <w:rPr>
                <w:rFonts w:hint="eastAsia" w:cs="宋体"/>
                <w:szCs w:val="21"/>
              </w:rPr>
              <w:t>水平范围: 360°</w:t>
            </w:r>
          </w:p>
          <w:p>
            <w:pPr>
              <w:rPr>
                <w:rFonts w:hint="eastAsia" w:eastAsia="仿宋" w:cs="宋体"/>
                <w:szCs w:val="21"/>
                <w:lang w:eastAsia="zh-CN"/>
              </w:rPr>
            </w:pPr>
            <w:r>
              <w:rPr>
                <w:rFonts w:hint="eastAsia" w:cs="宋体"/>
                <w:szCs w:val="21"/>
              </w:rPr>
              <w:t>垂直范围: -20°~90°（自动翻转）</w:t>
            </w:r>
          </w:p>
          <w:p>
            <w:pPr>
              <w:rPr>
                <w:rFonts w:hint="eastAsia" w:eastAsia="仿宋" w:cs="宋体"/>
                <w:szCs w:val="21"/>
                <w:lang w:eastAsia="zh-CN"/>
              </w:rPr>
            </w:pPr>
            <w:r>
              <w:rPr>
                <w:rFonts w:hint="eastAsia" w:cs="宋体"/>
                <w:szCs w:val="21"/>
              </w:rPr>
              <w:t>水平速度: 水平键控速度：0.1°~160°/s，速度可设；水平预置点速度：240°/s</w:t>
            </w:r>
          </w:p>
          <w:p>
            <w:pPr>
              <w:rPr>
                <w:rFonts w:hint="eastAsia" w:eastAsia="仿宋" w:cs="宋体"/>
                <w:szCs w:val="21"/>
                <w:lang w:eastAsia="zh-CN"/>
              </w:rPr>
            </w:pPr>
            <w:r>
              <w:rPr>
                <w:rFonts w:hint="eastAsia" w:cs="宋体"/>
                <w:szCs w:val="21"/>
              </w:rPr>
              <w:t>垂直速度: 垂直键控速度：0.1°~120°/s，速度可设；垂直预置点速度：200°/s</w:t>
            </w:r>
          </w:p>
          <w:p>
            <w:pPr>
              <w:rPr>
                <w:rFonts w:hint="eastAsia" w:eastAsia="仿宋" w:cs="宋体"/>
                <w:szCs w:val="21"/>
                <w:lang w:eastAsia="zh-CN"/>
              </w:rPr>
            </w:pPr>
            <w:r>
              <w:rPr>
                <w:rFonts w:hint="eastAsia" w:cs="宋体"/>
                <w:szCs w:val="21"/>
              </w:rPr>
              <w:t>主码流帧率分辨率: 50 Hz：25 fps（2560 × 1440）；60 Hz：30 fps（2560 × 1440）</w:t>
            </w:r>
          </w:p>
          <w:p>
            <w:pPr>
              <w:rPr>
                <w:rFonts w:hint="eastAsia" w:eastAsia="仿宋" w:cs="宋体"/>
                <w:szCs w:val="21"/>
                <w:lang w:eastAsia="zh-CN"/>
              </w:rPr>
            </w:pPr>
            <w:r>
              <w:rPr>
                <w:rFonts w:hint="eastAsia" w:cs="宋体"/>
                <w:szCs w:val="21"/>
              </w:rPr>
              <w:t>视频压缩标准: H.265，H.264，MJPEG</w:t>
            </w:r>
          </w:p>
          <w:p>
            <w:pPr>
              <w:rPr>
                <w:rFonts w:hint="eastAsia" w:eastAsia="仿宋" w:cs="宋体"/>
                <w:szCs w:val="21"/>
                <w:lang w:eastAsia="zh-CN"/>
              </w:rPr>
            </w:pPr>
            <w:r>
              <w:rPr>
                <w:rFonts w:hint="eastAsia" w:cs="宋体"/>
                <w:szCs w:val="21"/>
              </w:rPr>
              <w:t>Smart图像增强: 120 dB超宽动态，强光抑制，电子防抖，Smart IR</w:t>
            </w:r>
          </w:p>
          <w:p>
            <w:pPr>
              <w:rPr>
                <w:rFonts w:hint="eastAsia" w:eastAsia="仿宋" w:cs="宋体"/>
                <w:szCs w:val="21"/>
                <w:lang w:eastAsia="zh-CN"/>
              </w:rPr>
            </w:pPr>
            <w:r>
              <w:rPr>
                <w:rFonts w:hint="eastAsia" w:cs="宋体"/>
                <w:szCs w:val="21"/>
              </w:rPr>
              <w:t>网络存储: NAS（NFS，SMB/CIFS）</w:t>
            </w:r>
          </w:p>
          <w:p>
            <w:pPr>
              <w:rPr>
                <w:rFonts w:hint="eastAsia" w:eastAsia="仿宋" w:cs="宋体"/>
                <w:szCs w:val="21"/>
                <w:lang w:eastAsia="zh-CN"/>
              </w:rPr>
            </w:pPr>
            <w:r>
              <w:rPr>
                <w:rFonts w:hint="eastAsia" w:cs="宋体"/>
                <w:szCs w:val="21"/>
              </w:rPr>
              <w:t>网络接口: RJ45网口，自适应10 M/100 M网络数据</w:t>
            </w:r>
          </w:p>
          <w:p>
            <w:pPr>
              <w:rPr>
                <w:rFonts w:hint="eastAsia" w:eastAsia="仿宋" w:cs="宋体"/>
                <w:szCs w:val="21"/>
                <w:lang w:eastAsia="zh-CN"/>
              </w:rPr>
            </w:pPr>
            <w:r>
              <w:rPr>
                <w:rFonts w:hint="eastAsia" w:cs="宋体"/>
                <w:szCs w:val="21"/>
              </w:rPr>
              <w:t>SD卡扩展: 支持MicroSD(即TF卡)/MicroSDHC/MicroSDXC卡，最大支持256 GB</w:t>
            </w:r>
          </w:p>
          <w:p>
            <w:pPr>
              <w:rPr>
                <w:rFonts w:hint="eastAsia" w:eastAsia="仿宋" w:cs="宋体"/>
                <w:szCs w:val="21"/>
                <w:lang w:eastAsia="zh-CN"/>
              </w:rPr>
            </w:pPr>
            <w:r>
              <w:rPr>
                <w:rFonts w:hint="eastAsia" w:cs="宋体"/>
                <w:szCs w:val="21"/>
              </w:rPr>
              <w:t>报警输入: 7路报警输入</w:t>
            </w:r>
          </w:p>
          <w:p>
            <w:pPr>
              <w:rPr>
                <w:rFonts w:hint="eastAsia" w:eastAsia="仿宋" w:cs="宋体"/>
                <w:szCs w:val="21"/>
                <w:lang w:eastAsia="zh-CN"/>
              </w:rPr>
            </w:pPr>
            <w:r>
              <w:rPr>
                <w:rFonts w:hint="eastAsia" w:cs="宋体"/>
                <w:szCs w:val="21"/>
              </w:rPr>
              <w:t>报警输出: 2路报警输出</w:t>
            </w:r>
          </w:p>
          <w:p>
            <w:pPr>
              <w:rPr>
                <w:rFonts w:hint="eastAsia" w:eastAsia="仿宋" w:cs="宋体"/>
                <w:szCs w:val="21"/>
                <w:lang w:eastAsia="zh-CN"/>
              </w:rPr>
            </w:pPr>
            <w:r>
              <w:rPr>
                <w:rFonts w:hint="eastAsia" w:cs="宋体"/>
                <w:szCs w:val="21"/>
              </w:rPr>
              <w:t>音频输入: 1路音频输入</w:t>
            </w:r>
          </w:p>
          <w:p>
            <w:pPr>
              <w:rPr>
                <w:rFonts w:hint="eastAsia" w:eastAsia="仿宋" w:cs="宋体"/>
                <w:szCs w:val="21"/>
                <w:lang w:eastAsia="zh-CN"/>
              </w:rPr>
            </w:pPr>
            <w:r>
              <w:rPr>
                <w:rFonts w:hint="eastAsia" w:cs="宋体"/>
                <w:szCs w:val="21"/>
              </w:rPr>
              <w:t>音频输出: 1路音频输出</w:t>
            </w:r>
          </w:p>
          <w:p>
            <w:pPr>
              <w:rPr>
                <w:rFonts w:hint="eastAsia" w:eastAsia="仿宋" w:cs="宋体"/>
                <w:szCs w:val="21"/>
                <w:lang w:eastAsia="zh-CN"/>
              </w:rPr>
            </w:pPr>
            <w:r>
              <w:rPr>
                <w:rFonts w:hint="eastAsia" w:cs="宋体"/>
                <w:szCs w:val="21"/>
              </w:rPr>
              <w:t>支持RS485接口</w:t>
            </w:r>
          </w:p>
          <w:p>
            <w:pPr>
              <w:rPr>
                <w:rFonts w:hint="eastAsia" w:eastAsia="仿宋" w:cs="宋体"/>
                <w:szCs w:val="21"/>
                <w:lang w:eastAsia="zh-CN"/>
              </w:rPr>
            </w:pPr>
            <w:r>
              <w:rPr>
                <w:rFonts w:hint="eastAsia" w:cs="宋体"/>
                <w:szCs w:val="21"/>
              </w:rPr>
              <w:t>工作温湿度: -40 ℃~70 ℃；湿度小于95%</w:t>
            </w:r>
          </w:p>
          <w:p>
            <w:pPr>
              <w:rPr>
                <w:rFonts w:cs="宋体"/>
                <w:szCs w:val="21"/>
              </w:rPr>
            </w:pPr>
            <w:r>
              <w:rPr>
                <w:rFonts w:hint="eastAsia" w:cs="宋体"/>
                <w:szCs w:val="21"/>
              </w:rPr>
              <w:t>防护: IP67</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3.2</w:t>
            </w:r>
          </w:p>
        </w:tc>
        <w:tc>
          <w:tcPr>
            <w:tcW w:w="960" w:type="pct"/>
            <w:gridSpan w:val="2"/>
            <w:shd w:val="clear" w:color="auto" w:fill="FFFFFF" w:themeFill="background1"/>
            <w:vAlign w:val="center"/>
          </w:tcPr>
          <w:p>
            <w:pPr>
              <w:jc w:val="center"/>
              <w:rPr>
                <w:rFonts w:cs="宋体"/>
                <w:szCs w:val="21"/>
              </w:rPr>
            </w:pPr>
            <w:r>
              <w:rPr>
                <w:rFonts w:hint="eastAsia" w:cs="宋体"/>
                <w:szCs w:val="21"/>
              </w:rPr>
              <w:t>硬盘录像机</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2盘位；</w:t>
            </w:r>
          </w:p>
          <w:p>
            <w:pPr>
              <w:rPr>
                <w:rFonts w:hint="eastAsia" w:eastAsia="仿宋" w:cs="宋体"/>
                <w:szCs w:val="21"/>
                <w:lang w:eastAsia="zh-CN"/>
              </w:rPr>
            </w:pPr>
            <w:r>
              <w:rPr>
                <w:rFonts w:hint="eastAsia" w:cs="宋体"/>
                <w:szCs w:val="21"/>
              </w:rPr>
              <w:t>1个千兆网口；</w:t>
            </w:r>
          </w:p>
          <w:p>
            <w:pPr>
              <w:rPr>
                <w:rFonts w:hint="eastAsia" w:eastAsia="仿宋" w:cs="宋体"/>
                <w:szCs w:val="21"/>
                <w:lang w:eastAsia="zh-CN"/>
              </w:rPr>
            </w:pPr>
            <w:r>
              <w:rPr>
                <w:rFonts w:hint="eastAsia" w:cs="宋体"/>
                <w:szCs w:val="21"/>
              </w:rPr>
              <w:t>1个USB2.0接口、1个USB3.0接口；</w:t>
            </w:r>
          </w:p>
          <w:p>
            <w:pPr>
              <w:rPr>
                <w:rFonts w:hint="eastAsia" w:eastAsia="仿宋" w:cs="宋体"/>
                <w:szCs w:val="21"/>
                <w:lang w:eastAsia="zh-CN"/>
              </w:rPr>
            </w:pPr>
            <w:r>
              <w:rPr>
                <w:rFonts w:hint="eastAsia" w:cs="宋体"/>
                <w:szCs w:val="21"/>
              </w:rPr>
              <w:t>报警IO：4进1出；</w:t>
            </w:r>
          </w:p>
          <w:p>
            <w:pPr>
              <w:rPr>
                <w:rFonts w:hint="eastAsia" w:eastAsia="仿宋" w:cs="宋体"/>
                <w:szCs w:val="21"/>
                <w:lang w:eastAsia="zh-CN"/>
              </w:rPr>
            </w:pPr>
            <w:r>
              <w:rPr>
                <w:rFonts w:hint="eastAsia" w:cs="宋体"/>
                <w:szCs w:val="21"/>
              </w:rPr>
              <w:t>32路H.264、H.265接入；</w:t>
            </w:r>
          </w:p>
          <w:p>
            <w:pPr>
              <w:rPr>
                <w:rFonts w:hint="eastAsia" w:eastAsia="仿宋" w:cs="宋体"/>
                <w:szCs w:val="21"/>
                <w:lang w:eastAsia="zh-CN"/>
              </w:rPr>
            </w:pPr>
            <w:r>
              <w:rPr>
                <w:rFonts w:hint="eastAsia" w:cs="宋体"/>
                <w:szCs w:val="21"/>
              </w:rPr>
              <w:t>最大支持8×1080P解码；</w:t>
            </w:r>
          </w:p>
          <w:p>
            <w:pPr>
              <w:rPr>
                <w:rFonts w:hint="eastAsia" w:eastAsia="仿宋" w:cs="宋体"/>
                <w:szCs w:val="21"/>
                <w:lang w:eastAsia="zh-CN"/>
              </w:rPr>
            </w:pPr>
            <w:r>
              <w:rPr>
                <w:rFonts w:hint="eastAsia" w:cs="宋体"/>
                <w:szCs w:val="21"/>
              </w:rPr>
              <w:t>支持H.264、H.265解码；</w:t>
            </w:r>
          </w:p>
          <w:p>
            <w:pPr>
              <w:rPr>
                <w:rFonts w:cs="宋体"/>
                <w:szCs w:val="21"/>
              </w:rPr>
            </w:pPr>
            <w:r>
              <w:rPr>
                <w:rFonts w:hint="eastAsia" w:cs="宋体"/>
                <w:szCs w:val="21"/>
              </w:rPr>
              <w:t>Smart 2.0/整机热备/ANR/智能检索/智能回放/车牌检索/人脸检索/热度图/客流量统计/分时段回放/超高倍速回放/双系统备份。</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3.3</w:t>
            </w:r>
          </w:p>
        </w:tc>
        <w:tc>
          <w:tcPr>
            <w:tcW w:w="960" w:type="pct"/>
            <w:gridSpan w:val="2"/>
            <w:shd w:val="clear" w:color="auto" w:fill="FFFFFF" w:themeFill="background1"/>
            <w:vAlign w:val="center"/>
          </w:tcPr>
          <w:p>
            <w:pPr>
              <w:jc w:val="center"/>
              <w:rPr>
                <w:rFonts w:cs="宋体"/>
                <w:szCs w:val="21"/>
              </w:rPr>
            </w:pPr>
            <w:r>
              <w:rPr>
                <w:rFonts w:hint="eastAsia" w:cs="宋体"/>
                <w:szCs w:val="21"/>
              </w:rPr>
              <w:t>智能交通终端管理设备</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 xml:space="preserve">四代终端服务器，嵌入式操作系统； </w:t>
            </w:r>
          </w:p>
          <w:p>
            <w:pPr>
              <w:rPr>
                <w:rFonts w:hint="eastAsia" w:eastAsia="仿宋" w:cs="宋体"/>
                <w:szCs w:val="21"/>
                <w:lang w:eastAsia="zh-CN"/>
              </w:rPr>
            </w:pPr>
            <w:r>
              <w:rPr>
                <w:rFonts w:hint="eastAsia" w:cs="宋体"/>
                <w:szCs w:val="21"/>
              </w:rPr>
              <w:t xml:space="preserve">内置 1 块 3.5 寸 4T 硬盘；支持 12 路 IPC 接入； </w:t>
            </w:r>
          </w:p>
          <w:p>
            <w:pPr>
              <w:rPr>
                <w:rFonts w:hint="eastAsia" w:eastAsia="仿宋" w:cs="宋体"/>
                <w:szCs w:val="21"/>
                <w:lang w:eastAsia="zh-CN"/>
              </w:rPr>
            </w:pPr>
            <w:r>
              <w:rPr>
                <w:rFonts w:hint="eastAsia" w:cs="宋体"/>
                <w:szCs w:val="21"/>
              </w:rPr>
              <w:t xml:space="preserve">网络接口：设备具有 16 个 1000M 以太网接口，1 个内部和 1 个外部 10/100/1000M 自适应以太网接口，1 个内部和 1 个外部千兆可光电切换光纤接口； </w:t>
            </w:r>
          </w:p>
          <w:p>
            <w:pPr>
              <w:rPr>
                <w:rFonts w:hint="eastAsia" w:eastAsia="仿宋" w:cs="宋体"/>
                <w:szCs w:val="21"/>
                <w:lang w:eastAsia="zh-CN"/>
              </w:rPr>
            </w:pPr>
            <w:r>
              <w:rPr>
                <w:rFonts w:hint="eastAsia" w:cs="宋体"/>
                <w:szCs w:val="21"/>
              </w:rPr>
              <w:t xml:space="preserve">其他接口：设备具有 2 个 RS-232 接口、2 个 RS-485接口、1 个 USB3.0 接口、2 路报警输入接口、2 路报警输出接口、1 个音频输入接口、1个音频输出接口、1 个 USB3.0 接口； </w:t>
            </w:r>
          </w:p>
          <w:p>
            <w:pPr>
              <w:rPr>
                <w:rFonts w:hint="eastAsia" w:eastAsia="仿宋" w:cs="宋体"/>
                <w:szCs w:val="21"/>
                <w:lang w:eastAsia="zh-CN"/>
              </w:rPr>
            </w:pPr>
            <w:r>
              <w:rPr>
                <w:rFonts w:hint="eastAsia" w:cs="宋体"/>
                <w:szCs w:val="21"/>
              </w:rPr>
              <w:t xml:space="preserve">支持对通行车辆的信息（记录和图片）存储； </w:t>
            </w:r>
          </w:p>
          <w:p>
            <w:pPr>
              <w:rPr>
                <w:rFonts w:hint="eastAsia" w:eastAsia="仿宋" w:cs="宋体"/>
                <w:szCs w:val="21"/>
                <w:lang w:eastAsia="zh-CN"/>
              </w:rPr>
            </w:pPr>
            <w:r>
              <w:rPr>
                <w:rFonts w:hint="eastAsia" w:cs="宋体"/>
                <w:szCs w:val="21"/>
              </w:rPr>
              <w:t xml:space="preserve">支持录像存储功能； </w:t>
            </w:r>
          </w:p>
          <w:p>
            <w:pPr>
              <w:rPr>
                <w:rFonts w:hint="eastAsia" w:eastAsia="仿宋" w:cs="宋体"/>
                <w:szCs w:val="21"/>
                <w:lang w:eastAsia="zh-CN"/>
              </w:rPr>
            </w:pPr>
            <w:r>
              <w:rPr>
                <w:rFonts w:hint="eastAsia" w:cs="宋体"/>
                <w:szCs w:val="21"/>
              </w:rPr>
              <w:t xml:space="preserve">可配置多种字符叠加、图片合成模式； </w:t>
            </w:r>
          </w:p>
          <w:p>
            <w:pPr>
              <w:rPr>
                <w:rFonts w:hint="eastAsia" w:eastAsia="仿宋" w:cs="宋体"/>
                <w:szCs w:val="21"/>
                <w:lang w:eastAsia="zh-CN"/>
              </w:rPr>
            </w:pPr>
            <w:r>
              <w:rPr>
                <w:rFonts w:hint="eastAsia" w:cs="宋体"/>
                <w:szCs w:val="21"/>
              </w:rPr>
              <w:t xml:space="preserve">支持区间测速功能； </w:t>
            </w:r>
          </w:p>
          <w:p>
            <w:pPr>
              <w:rPr>
                <w:rFonts w:hint="eastAsia" w:eastAsia="仿宋" w:cs="宋体"/>
                <w:szCs w:val="21"/>
                <w:lang w:eastAsia="zh-CN"/>
              </w:rPr>
            </w:pPr>
            <w:r>
              <w:rPr>
                <w:rFonts w:hint="eastAsia" w:cs="宋体"/>
                <w:szCs w:val="21"/>
              </w:rPr>
              <w:t>尺寸：370mm（宽）×273mm（深）×102.5mm（高）</w:t>
            </w:r>
          </w:p>
          <w:p>
            <w:pPr>
              <w:rPr>
                <w:rFonts w:cs="宋体"/>
                <w:szCs w:val="21"/>
              </w:rPr>
            </w:pPr>
            <w:r>
              <w:rPr>
                <w:rFonts w:hint="eastAsia" w:cs="宋体"/>
                <w:szCs w:val="21"/>
              </w:rPr>
              <w:t xml:space="preserve">可配置增加 GPS 校时模块；                                                                                                                                                                                                                                                                                                                                                                                                                                                                                                                                                                                                                                                                     </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4</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路面情报发布系统</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4.1</w:t>
            </w:r>
          </w:p>
        </w:tc>
        <w:tc>
          <w:tcPr>
            <w:tcW w:w="960" w:type="pct"/>
            <w:gridSpan w:val="2"/>
            <w:shd w:val="clear" w:color="auto" w:fill="FFFFFF" w:themeFill="background1"/>
            <w:vAlign w:val="center"/>
          </w:tcPr>
          <w:p>
            <w:pPr>
              <w:jc w:val="center"/>
              <w:rPr>
                <w:rFonts w:cs="宋体"/>
                <w:szCs w:val="21"/>
              </w:rPr>
            </w:pPr>
            <w:r>
              <w:rPr>
                <w:rFonts w:hint="eastAsia" w:cs="宋体"/>
                <w:szCs w:val="21"/>
              </w:rPr>
              <w:t>F式情报板</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1、尺寸：3.2m×1.6m（F 型）；</w:t>
            </w:r>
          </w:p>
          <w:p>
            <w:pPr>
              <w:rPr>
                <w:rFonts w:hint="eastAsia" w:eastAsia="仿宋" w:cs="宋体"/>
                <w:szCs w:val="21"/>
                <w:lang w:eastAsia="zh-CN"/>
              </w:rPr>
            </w:pPr>
            <w:r>
              <w:rPr>
                <w:rFonts w:hint="eastAsia" w:cs="宋体"/>
                <w:szCs w:val="21"/>
              </w:rPr>
              <w:t>2、LED 像素点间距：10mm；</w:t>
            </w:r>
          </w:p>
          <w:p>
            <w:pPr>
              <w:rPr>
                <w:rFonts w:hint="eastAsia" w:eastAsia="仿宋" w:cs="宋体"/>
                <w:szCs w:val="21"/>
                <w:lang w:eastAsia="zh-CN"/>
              </w:rPr>
            </w:pPr>
            <w:r>
              <w:rPr>
                <w:rFonts w:hint="eastAsia" w:cs="宋体"/>
                <w:szCs w:val="21"/>
              </w:rPr>
              <w:t>3、LED 配比：双基色；LED 视认角：≥30°；</w:t>
            </w:r>
          </w:p>
          <w:p>
            <w:pPr>
              <w:rPr>
                <w:rFonts w:hint="eastAsia" w:eastAsia="仿宋" w:cs="宋体"/>
                <w:szCs w:val="21"/>
                <w:lang w:eastAsia="zh-CN"/>
              </w:rPr>
            </w:pPr>
            <w:r>
              <w:rPr>
                <w:rFonts w:hint="eastAsia" w:cs="宋体"/>
                <w:szCs w:val="21"/>
              </w:rPr>
              <w:t>4、显示亮度：≥5000cd/m2；LED 平均寿命为≥10000 小时；</w:t>
            </w:r>
          </w:p>
          <w:p>
            <w:pPr>
              <w:rPr>
                <w:rFonts w:hint="eastAsia" w:eastAsia="仿宋" w:cs="宋体"/>
                <w:szCs w:val="21"/>
                <w:lang w:eastAsia="zh-CN"/>
              </w:rPr>
            </w:pPr>
            <w:r>
              <w:rPr>
                <w:rFonts w:hint="eastAsia" w:cs="宋体"/>
                <w:szCs w:val="21"/>
              </w:rPr>
              <w:t>5、失控率：≤1‰；</w:t>
            </w:r>
          </w:p>
          <w:p>
            <w:pPr>
              <w:rPr>
                <w:rFonts w:cs="宋体"/>
                <w:szCs w:val="21"/>
              </w:rPr>
            </w:pPr>
            <w:r>
              <w:rPr>
                <w:rFonts w:hint="eastAsia" w:cs="宋体"/>
                <w:szCs w:val="21"/>
              </w:rPr>
              <w:t>6、含异步控制卡。</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4.2</w:t>
            </w:r>
          </w:p>
        </w:tc>
        <w:tc>
          <w:tcPr>
            <w:tcW w:w="960" w:type="pct"/>
            <w:gridSpan w:val="2"/>
            <w:shd w:val="clear" w:color="auto" w:fill="FFFFFF" w:themeFill="background1"/>
            <w:vAlign w:val="center"/>
          </w:tcPr>
          <w:p>
            <w:pPr>
              <w:jc w:val="center"/>
              <w:rPr>
                <w:rFonts w:cs="宋体"/>
                <w:szCs w:val="21"/>
              </w:rPr>
            </w:pPr>
            <w:r>
              <w:rPr>
                <w:rFonts w:hint="eastAsia" w:cs="宋体"/>
                <w:szCs w:val="21"/>
              </w:rPr>
              <w:t>F型杆件</w:t>
            </w:r>
          </w:p>
        </w:tc>
        <w:tc>
          <w:tcPr>
            <w:tcW w:w="2588" w:type="pct"/>
            <w:shd w:val="clear" w:color="auto" w:fill="FFFFFF" w:themeFill="background1"/>
            <w:vAlign w:val="center"/>
          </w:tcPr>
          <w:p>
            <w:pPr>
              <w:rPr>
                <w:rFonts w:cs="宋体"/>
                <w:szCs w:val="21"/>
              </w:rPr>
            </w:pPr>
            <w:r>
              <w:rPr>
                <w:rFonts w:hint="eastAsia" w:cs="宋体"/>
                <w:szCs w:val="21"/>
              </w:rPr>
              <w:t>F型立杆φ325*8mm，杆架进行热镀锌处理；屏体安装后最下部离地不小于5.5m。</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4.3</w:t>
            </w:r>
          </w:p>
        </w:tc>
        <w:tc>
          <w:tcPr>
            <w:tcW w:w="960" w:type="pct"/>
            <w:gridSpan w:val="2"/>
            <w:shd w:val="clear" w:color="auto" w:fill="FFFFFF" w:themeFill="background1"/>
            <w:vAlign w:val="center"/>
          </w:tcPr>
          <w:p>
            <w:pPr>
              <w:jc w:val="center"/>
              <w:rPr>
                <w:rFonts w:cs="宋体"/>
                <w:szCs w:val="21"/>
              </w:rPr>
            </w:pPr>
            <w:r>
              <w:rPr>
                <w:rFonts w:hint="eastAsia" w:cs="宋体"/>
                <w:szCs w:val="21"/>
              </w:rPr>
              <w:t>F杆基础及接地</w:t>
            </w:r>
          </w:p>
        </w:tc>
        <w:tc>
          <w:tcPr>
            <w:tcW w:w="2588" w:type="pct"/>
            <w:shd w:val="clear" w:color="auto" w:fill="FFFFFF" w:themeFill="background1"/>
            <w:vAlign w:val="center"/>
          </w:tcPr>
          <w:p>
            <w:pPr>
              <w:rPr>
                <w:rFonts w:cs="宋体"/>
                <w:szCs w:val="21"/>
              </w:rPr>
            </w:pPr>
            <w:r>
              <w:rPr>
                <w:rFonts w:hint="eastAsia" w:cs="宋体"/>
                <w:szCs w:val="21"/>
              </w:rPr>
              <w:t>基础尺寸1.8m*1.8m*2m，含预埋法兰地笼、预埋防雷接地，避雷针，基础施工等。</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4.4</w:t>
            </w:r>
          </w:p>
        </w:tc>
        <w:tc>
          <w:tcPr>
            <w:tcW w:w="960" w:type="pct"/>
            <w:gridSpan w:val="2"/>
            <w:shd w:val="clear" w:color="auto" w:fill="FFFFFF" w:themeFill="background1"/>
            <w:vAlign w:val="center"/>
          </w:tcPr>
          <w:p>
            <w:pPr>
              <w:jc w:val="center"/>
              <w:rPr>
                <w:rFonts w:cs="宋体"/>
                <w:szCs w:val="21"/>
              </w:rPr>
            </w:pPr>
            <w:r>
              <w:rPr>
                <w:rFonts w:hint="eastAsia" w:cs="宋体"/>
                <w:szCs w:val="21"/>
              </w:rPr>
              <w:t>户外情报板抱杆机柜</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抱杆机柜，含强电模块，总输入：不小于1*32A/2P,设备：不小于3*16A/1P，防护等级IP55。</w:t>
            </w:r>
          </w:p>
          <w:p>
            <w:pPr>
              <w:rPr>
                <w:rFonts w:hint="eastAsia" w:eastAsia="仿宋" w:cs="宋体"/>
                <w:szCs w:val="21"/>
                <w:lang w:eastAsia="zh-CN"/>
              </w:rPr>
            </w:pPr>
            <w:r>
              <w:rPr>
                <w:rFonts w:hint="eastAsia" w:cs="宋体"/>
                <w:szCs w:val="21"/>
              </w:rPr>
              <w:t>1、输入断电监测和断网故障诊断</w:t>
            </w:r>
          </w:p>
          <w:p>
            <w:pPr>
              <w:rPr>
                <w:rFonts w:hint="eastAsia" w:eastAsia="仿宋" w:cs="宋体"/>
                <w:szCs w:val="21"/>
                <w:lang w:eastAsia="zh-CN"/>
              </w:rPr>
            </w:pPr>
            <w:r>
              <w:rPr>
                <w:rFonts w:hint="eastAsia" w:cs="宋体"/>
                <w:szCs w:val="21"/>
              </w:rPr>
              <w:t>2、机箱门异常开启现场声光报警，并将报警信号上传。箱门支持布防/撤防设定，撤防时间可设定，可与维护光源联动</w:t>
            </w:r>
          </w:p>
          <w:p>
            <w:pPr>
              <w:rPr>
                <w:rFonts w:hint="eastAsia" w:eastAsia="仿宋" w:cs="宋体"/>
                <w:szCs w:val="21"/>
                <w:lang w:eastAsia="zh-CN"/>
              </w:rPr>
            </w:pPr>
            <w:r>
              <w:rPr>
                <w:rFonts w:hint="eastAsia" w:cs="宋体"/>
                <w:szCs w:val="21"/>
              </w:rPr>
              <w:t xml:space="preserve">3、至少3路可控的220VAC 2A接线端子。至少1路12VDC 1.5A供电，均可远程及本地逻辑控制。 </w:t>
            </w:r>
          </w:p>
          <w:p>
            <w:pPr>
              <w:rPr>
                <w:rFonts w:hint="eastAsia" w:eastAsia="仿宋" w:cs="宋体"/>
                <w:szCs w:val="21"/>
                <w:lang w:eastAsia="zh-CN"/>
              </w:rPr>
            </w:pPr>
            <w:r>
              <w:rPr>
                <w:rFonts w:hint="eastAsia" w:cs="宋体"/>
                <w:szCs w:val="21"/>
              </w:rPr>
              <w:t>至少1路12VDC 1A供电端子。远程对1路24VAC与2路12VDC外接适配器输出电源进行控制。</w:t>
            </w:r>
          </w:p>
          <w:p>
            <w:pPr>
              <w:rPr>
                <w:rFonts w:hint="eastAsia" w:eastAsia="仿宋" w:cs="宋体"/>
                <w:szCs w:val="21"/>
                <w:lang w:eastAsia="zh-CN"/>
              </w:rPr>
            </w:pPr>
            <w:r>
              <w:rPr>
                <w:rFonts w:hint="eastAsia" w:cs="宋体"/>
                <w:szCs w:val="21"/>
              </w:rPr>
              <w:t xml:space="preserve">1路RS485接口、1路RS232接口、一路以太网接口   </w:t>
            </w:r>
          </w:p>
          <w:p>
            <w:pPr>
              <w:rPr>
                <w:rFonts w:hint="eastAsia" w:eastAsia="仿宋" w:cs="宋体"/>
                <w:szCs w:val="21"/>
                <w:lang w:eastAsia="zh-CN"/>
              </w:rPr>
            </w:pPr>
            <w:r>
              <w:rPr>
                <w:rFonts w:hint="eastAsia" w:cs="宋体"/>
                <w:szCs w:val="21"/>
              </w:rPr>
              <w:t>4、监测电量参数，包含但不限于AC220v交流电压、各负载电流等数据</w:t>
            </w:r>
          </w:p>
          <w:p>
            <w:pPr>
              <w:rPr>
                <w:rFonts w:hint="eastAsia" w:eastAsia="仿宋" w:cs="宋体"/>
                <w:szCs w:val="21"/>
                <w:lang w:eastAsia="zh-CN"/>
              </w:rPr>
            </w:pPr>
            <w:r>
              <w:rPr>
                <w:rFonts w:hint="eastAsia" w:cs="宋体"/>
                <w:szCs w:val="21"/>
              </w:rPr>
              <w:t>5、软件平台B/S架构设计、可开放数据接口与其他系统对接；支持GIS地图管理；支持通过站点反查迅速地图定位；</w:t>
            </w:r>
          </w:p>
          <w:p>
            <w:pPr>
              <w:rPr>
                <w:rFonts w:hint="eastAsia" w:eastAsia="仿宋" w:cs="宋体"/>
                <w:szCs w:val="21"/>
                <w:lang w:eastAsia="zh-CN"/>
              </w:rPr>
            </w:pPr>
            <w:r>
              <w:rPr>
                <w:rFonts w:hint="eastAsia" w:cs="宋体"/>
                <w:szCs w:val="21"/>
              </w:rPr>
              <w:t>支持主流视频厂家图像预览；支持多种数据类型的报表统计与导出；支持大屏展示功能。</w:t>
            </w:r>
          </w:p>
          <w:p>
            <w:pPr>
              <w:rPr>
                <w:rFonts w:cs="宋体"/>
                <w:szCs w:val="21"/>
              </w:rPr>
            </w:pPr>
            <w:r>
              <w:rPr>
                <w:rFonts w:hint="eastAsia" w:cs="宋体"/>
                <w:szCs w:val="21"/>
              </w:rPr>
              <w:t>6、提供设备厂家公安部检测报告。</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4.5</w:t>
            </w:r>
          </w:p>
        </w:tc>
        <w:tc>
          <w:tcPr>
            <w:tcW w:w="960" w:type="pct"/>
            <w:gridSpan w:val="2"/>
            <w:shd w:val="clear" w:color="auto" w:fill="FFFFFF" w:themeFill="background1"/>
            <w:vAlign w:val="center"/>
          </w:tcPr>
          <w:p>
            <w:pPr>
              <w:jc w:val="center"/>
              <w:rPr>
                <w:rFonts w:cs="宋体"/>
                <w:szCs w:val="21"/>
              </w:rPr>
            </w:pPr>
            <w:r>
              <w:rPr>
                <w:rFonts w:hint="eastAsia" w:cs="宋体"/>
                <w:szCs w:val="21"/>
              </w:rPr>
              <w:t>熔纤盒</w:t>
            </w:r>
          </w:p>
        </w:tc>
        <w:tc>
          <w:tcPr>
            <w:tcW w:w="2588" w:type="pct"/>
            <w:shd w:val="clear" w:color="auto" w:fill="FFFFFF" w:themeFill="background1"/>
            <w:vAlign w:val="center"/>
          </w:tcPr>
          <w:p>
            <w:pPr>
              <w:rPr>
                <w:rFonts w:cs="宋体"/>
                <w:szCs w:val="21"/>
              </w:rPr>
            </w:pPr>
            <w:r>
              <w:rPr>
                <w:rFonts w:hint="eastAsia" w:cs="宋体"/>
                <w:szCs w:val="21"/>
              </w:rPr>
              <w:t>4口光纤熔接盒</w:t>
            </w:r>
          </w:p>
        </w:tc>
        <w:tc>
          <w:tcPr>
            <w:tcW w:w="292" w:type="pct"/>
            <w:shd w:val="clear" w:color="auto" w:fill="FFFFFF" w:themeFill="background1"/>
            <w:vAlign w:val="center"/>
          </w:tcPr>
          <w:p>
            <w:pPr>
              <w:jc w:val="center"/>
              <w:rPr>
                <w:rFonts w:cs="宋体"/>
                <w:szCs w:val="21"/>
              </w:rPr>
            </w:pPr>
            <w:r>
              <w:rPr>
                <w:rFonts w:hint="eastAsia" w:cs="宋体"/>
                <w:szCs w:val="21"/>
              </w:rPr>
              <w:t>个</w:t>
            </w:r>
          </w:p>
        </w:tc>
        <w:tc>
          <w:tcPr>
            <w:tcW w:w="423" w:type="pct"/>
            <w:shd w:val="clear" w:color="auto" w:fill="FFFFFF" w:themeFill="background1"/>
            <w:vAlign w:val="center"/>
          </w:tcPr>
          <w:p>
            <w:pPr>
              <w:jc w:val="center"/>
              <w:rPr>
                <w:rFonts w:cs="宋体"/>
                <w:szCs w:val="21"/>
              </w:rPr>
            </w:pPr>
            <w:r>
              <w:rPr>
                <w:rFonts w:hint="eastAsia" w:cs="宋体"/>
                <w:szCs w:val="21"/>
              </w:rPr>
              <w:t>8</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4.6</w:t>
            </w:r>
          </w:p>
        </w:tc>
        <w:tc>
          <w:tcPr>
            <w:tcW w:w="960" w:type="pct"/>
            <w:gridSpan w:val="2"/>
            <w:shd w:val="clear" w:color="auto" w:fill="FFFFFF" w:themeFill="background1"/>
            <w:vAlign w:val="center"/>
          </w:tcPr>
          <w:p>
            <w:pPr>
              <w:jc w:val="center"/>
              <w:rPr>
                <w:rFonts w:cs="宋体"/>
                <w:szCs w:val="21"/>
              </w:rPr>
            </w:pPr>
            <w:r>
              <w:rPr>
                <w:rFonts w:hint="eastAsia" w:cs="宋体"/>
                <w:szCs w:val="21"/>
              </w:rPr>
              <w:t>光纤收发器</w:t>
            </w:r>
          </w:p>
        </w:tc>
        <w:tc>
          <w:tcPr>
            <w:tcW w:w="2588" w:type="pct"/>
            <w:shd w:val="clear" w:color="auto" w:fill="FFFFFF" w:themeFill="background1"/>
            <w:vAlign w:val="center"/>
          </w:tcPr>
          <w:p>
            <w:pPr>
              <w:rPr>
                <w:rFonts w:cs="宋体"/>
                <w:szCs w:val="21"/>
              </w:rPr>
            </w:pPr>
            <w:r>
              <w:rPr>
                <w:rFonts w:hint="eastAsia" w:cs="宋体"/>
                <w:szCs w:val="21"/>
              </w:rPr>
              <w:t>4电1光，单模，20km级</w:t>
            </w:r>
          </w:p>
        </w:tc>
        <w:tc>
          <w:tcPr>
            <w:tcW w:w="292" w:type="pct"/>
            <w:shd w:val="clear" w:color="auto" w:fill="FFFFFF" w:themeFill="background1"/>
            <w:vAlign w:val="center"/>
          </w:tcPr>
          <w:p>
            <w:pPr>
              <w:jc w:val="center"/>
              <w:rPr>
                <w:rFonts w:cs="宋体"/>
                <w:szCs w:val="21"/>
              </w:rPr>
            </w:pPr>
            <w:r>
              <w:rPr>
                <w:rFonts w:hint="eastAsia" w:cs="宋体"/>
                <w:szCs w:val="21"/>
              </w:rPr>
              <w:t>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5</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路面安全防护设施及标志</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5.1</w:t>
            </w:r>
          </w:p>
        </w:tc>
        <w:tc>
          <w:tcPr>
            <w:tcW w:w="960" w:type="pct"/>
            <w:gridSpan w:val="2"/>
            <w:shd w:val="clear" w:color="auto" w:fill="FFFFFF" w:themeFill="background1"/>
            <w:vAlign w:val="center"/>
          </w:tcPr>
          <w:p>
            <w:pPr>
              <w:jc w:val="center"/>
              <w:rPr>
                <w:rFonts w:cs="宋体"/>
                <w:szCs w:val="21"/>
              </w:rPr>
            </w:pPr>
            <w:r>
              <w:rPr>
                <w:rFonts w:hint="eastAsia" w:cs="宋体"/>
                <w:szCs w:val="21"/>
              </w:rPr>
              <w:t>路面安全防护设施</w:t>
            </w:r>
          </w:p>
        </w:tc>
        <w:tc>
          <w:tcPr>
            <w:tcW w:w="2588" w:type="pct"/>
            <w:shd w:val="clear" w:color="auto" w:fill="FFFFFF" w:themeFill="background1"/>
            <w:vAlign w:val="center"/>
          </w:tcPr>
          <w:p>
            <w:pPr>
              <w:rPr>
                <w:rFonts w:cs="宋体"/>
                <w:szCs w:val="21"/>
              </w:rPr>
            </w:pPr>
            <w:r>
              <w:rPr>
                <w:rFonts w:hint="eastAsia" w:cs="宋体"/>
                <w:szCs w:val="21"/>
              </w:rPr>
              <w:t>隔离护栏。称重区域板块外增设隔离护栏（</w:t>
            </w:r>
            <w:r>
              <w:rPr>
                <w:rFonts w:hint="eastAsia" w:cs="宋体"/>
                <w:szCs w:val="21"/>
                <w:lang w:val="en-US" w:eastAsia="zh-CN"/>
              </w:rPr>
              <w:t>涂</w:t>
            </w:r>
            <w:r>
              <w:rPr>
                <w:rFonts w:hint="eastAsia" w:cs="宋体"/>
                <w:szCs w:val="21"/>
              </w:rPr>
              <w:t>反光油漆）</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5.2</w:t>
            </w:r>
          </w:p>
        </w:tc>
        <w:tc>
          <w:tcPr>
            <w:tcW w:w="960" w:type="pct"/>
            <w:gridSpan w:val="2"/>
            <w:shd w:val="clear" w:color="auto" w:fill="FFFFFF" w:themeFill="background1"/>
            <w:vAlign w:val="center"/>
          </w:tcPr>
          <w:p>
            <w:pPr>
              <w:jc w:val="center"/>
              <w:rPr>
                <w:rFonts w:cs="宋体"/>
                <w:szCs w:val="21"/>
              </w:rPr>
            </w:pPr>
            <w:r>
              <w:rPr>
                <w:rFonts w:hint="eastAsia" w:cs="宋体"/>
                <w:szCs w:val="21"/>
              </w:rPr>
              <w:t>道路交通标识线</w:t>
            </w:r>
          </w:p>
        </w:tc>
        <w:tc>
          <w:tcPr>
            <w:tcW w:w="2588" w:type="pct"/>
            <w:shd w:val="clear" w:color="auto" w:fill="FFFFFF" w:themeFill="background1"/>
            <w:vAlign w:val="center"/>
          </w:tcPr>
          <w:p>
            <w:pPr>
              <w:rPr>
                <w:rFonts w:cs="宋体"/>
                <w:szCs w:val="21"/>
              </w:rPr>
            </w:pPr>
            <w:r>
              <w:rPr>
                <w:rFonts w:hint="eastAsia" w:cs="宋体"/>
                <w:szCs w:val="21"/>
              </w:rPr>
              <w:t>称重区域前后标线重新改造实线，满足道路交通标志和标线(GB5768.2-2009)设计规范。</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5.3</w:t>
            </w:r>
          </w:p>
        </w:tc>
        <w:tc>
          <w:tcPr>
            <w:tcW w:w="960" w:type="pct"/>
            <w:gridSpan w:val="2"/>
            <w:shd w:val="clear" w:color="auto" w:fill="FFFFFF" w:themeFill="background1"/>
            <w:vAlign w:val="center"/>
          </w:tcPr>
          <w:p>
            <w:pPr>
              <w:jc w:val="center"/>
              <w:rPr>
                <w:rFonts w:cs="宋体"/>
                <w:szCs w:val="21"/>
              </w:rPr>
            </w:pPr>
            <w:r>
              <w:rPr>
                <w:rFonts w:hint="eastAsia" w:cs="宋体"/>
                <w:szCs w:val="21"/>
              </w:rPr>
              <w:t>超限超载提示标志标牌</w:t>
            </w:r>
          </w:p>
        </w:tc>
        <w:tc>
          <w:tcPr>
            <w:tcW w:w="2588" w:type="pct"/>
            <w:shd w:val="clear" w:color="auto" w:fill="FFFFFF" w:themeFill="background1"/>
            <w:vAlign w:val="center"/>
          </w:tcPr>
          <w:p>
            <w:pPr>
              <w:rPr>
                <w:rFonts w:cs="宋体"/>
                <w:szCs w:val="21"/>
              </w:rPr>
            </w:pPr>
            <w:r>
              <w:rPr>
                <w:rFonts w:hint="eastAsia" w:cs="宋体"/>
                <w:szCs w:val="21"/>
              </w:rPr>
              <w:t>超限超载提示牌（悬臂式），符合国家规范；版面内容：“200m，前方超限检测”； 版面尺寸：3m*1.8m。</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5.4</w:t>
            </w:r>
          </w:p>
        </w:tc>
        <w:tc>
          <w:tcPr>
            <w:tcW w:w="960" w:type="pct"/>
            <w:gridSpan w:val="2"/>
            <w:shd w:val="clear" w:color="auto" w:fill="FFFFFF" w:themeFill="background1"/>
            <w:vAlign w:val="center"/>
          </w:tcPr>
          <w:p>
            <w:pPr>
              <w:jc w:val="center"/>
              <w:rPr>
                <w:rFonts w:cs="宋体"/>
                <w:szCs w:val="21"/>
              </w:rPr>
            </w:pPr>
            <w:r>
              <w:rPr>
                <w:rFonts w:hint="eastAsia" w:cs="宋体"/>
                <w:szCs w:val="21"/>
              </w:rPr>
              <w:t>超限超载提示标志标牌</w:t>
            </w:r>
          </w:p>
        </w:tc>
        <w:tc>
          <w:tcPr>
            <w:tcW w:w="2588" w:type="pct"/>
            <w:shd w:val="clear" w:color="auto" w:fill="FFFFFF" w:themeFill="background1"/>
            <w:vAlign w:val="center"/>
          </w:tcPr>
          <w:p>
            <w:pPr>
              <w:rPr>
                <w:rFonts w:cs="宋体"/>
                <w:szCs w:val="21"/>
              </w:rPr>
            </w:pPr>
            <w:r>
              <w:rPr>
                <w:rFonts w:hint="eastAsia" w:cs="宋体"/>
                <w:szCs w:val="21"/>
              </w:rPr>
              <w:t>超限超载提示牌（悬臂式），符合国家规范；版面内容：前方桥梁 超限车辆 严禁驶入以及桥梁限重标志； 版面尺寸：3m*1.8m。</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8</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5.5</w:t>
            </w:r>
          </w:p>
        </w:tc>
        <w:tc>
          <w:tcPr>
            <w:tcW w:w="960" w:type="pct"/>
            <w:gridSpan w:val="2"/>
            <w:shd w:val="clear" w:color="auto" w:fill="FFFFFF" w:themeFill="background1"/>
            <w:vAlign w:val="center"/>
          </w:tcPr>
          <w:p>
            <w:pPr>
              <w:jc w:val="center"/>
              <w:rPr>
                <w:rFonts w:cs="宋体"/>
                <w:szCs w:val="21"/>
              </w:rPr>
            </w:pPr>
            <w:r>
              <w:rPr>
                <w:rFonts w:hint="eastAsia" w:cs="宋体"/>
                <w:szCs w:val="21"/>
              </w:rPr>
              <w:t>交通标牌杆件及基础</w:t>
            </w:r>
          </w:p>
        </w:tc>
        <w:tc>
          <w:tcPr>
            <w:tcW w:w="2588" w:type="pct"/>
            <w:shd w:val="clear" w:color="auto" w:fill="FFFFFF" w:themeFill="background1"/>
            <w:vAlign w:val="center"/>
          </w:tcPr>
          <w:p>
            <w:pPr>
              <w:rPr>
                <w:rFonts w:cs="宋体"/>
                <w:szCs w:val="21"/>
              </w:rPr>
            </w:pPr>
            <w:r>
              <w:rPr>
                <w:rFonts w:hint="eastAsia" w:cs="宋体"/>
                <w:szCs w:val="21"/>
              </w:rPr>
              <w:t>悬臂式标牌杆件：立柱φ273*6mm，基础：1.6m*1.6m*1.8m，规范制作。</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8</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5.6</w:t>
            </w:r>
          </w:p>
        </w:tc>
        <w:tc>
          <w:tcPr>
            <w:tcW w:w="960" w:type="pct"/>
            <w:gridSpan w:val="2"/>
            <w:shd w:val="clear" w:color="auto" w:fill="FFFFFF" w:themeFill="background1"/>
            <w:vAlign w:val="center"/>
          </w:tcPr>
          <w:p>
            <w:pPr>
              <w:jc w:val="center"/>
              <w:rPr>
                <w:rFonts w:cs="宋体"/>
                <w:szCs w:val="21"/>
              </w:rPr>
            </w:pPr>
            <w:r>
              <w:rPr>
                <w:rFonts w:hint="eastAsia" w:cs="宋体"/>
                <w:szCs w:val="21"/>
              </w:rPr>
              <w:t>安全施工保障措施</w:t>
            </w:r>
          </w:p>
        </w:tc>
        <w:tc>
          <w:tcPr>
            <w:tcW w:w="2588" w:type="pct"/>
            <w:shd w:val="clear" w:color="auto" w:fill="FFFFFF" w:themeFill="background1"/>
            <w:vAlign w:val="center"/>
          </w:tcPr>
          <w:p>
            <w:pPr>
              <w:rPr>
                <w:rFonts w:cs="宋体"/>
                <w:szCs w:val="21"/>
              </w:rPr>
            </w:pPr>
            <w:r>
              <w:rPr>
                <w:rFonts w:hint="eastAsia" w:cs="宋体"/>
                <w:szCs w:val="21"/>
              </w:rPr>
              <w:t>封路设施、设备、人员、安全、环保等文明施工相关费用。</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6</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网络通信及综合管线</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w:t>
            </w:r>
          </w:p>
        </w:tc>
        <w:tc>
          <w:tcPr>
            <w:tcW w:w="960" w:type="pct"/>
            <w:gridSpan w:val="2"/>
            <w:shd w:val="clear" w:color="auto" w:fill="FFFFFF" w:themeFill="background1"/>
            <w:vAlign w:val="center"/>
          </w:tcPr>
          <w:p>
            <w:pPr>
              <w:jc w:val="center"/>
              <w:rPr>
                <w:rFonts w:cs="宋体"/>
                <w:szCs w:val="21"/>
              </w:rPr>
            </w:pPr>
            <w:r>
              <w:rPr>
                <w:rFonts w:hint="eastAsia" w:cs="宋体"/>
                <w:szCs w:val="21"/>
              </w:rPr>
              <w:t>用电初装</w:t>
            </w:r>
          </w:p>
        </w:tc>
        <w:tc>
          <w:tcPr>
            <w:tcW w:w="2588" w:type="pct"/>
            <w:shd w:val="clear" w:color="auto" w:fill="FFFFFF" w:themeFill="background1"/>
            <w:vAlign w:val="center"/>
          </w:tcPr>
          <w:p>
            <w:pPr>
              <w:rPr>
                <w:rFonts w:cs="宋体"/>
                <w:szCs w:val="21"/>
              </w:rPr>
            </w:pPr>
            <w:r>
              <w:rPr>
                <w:rFonts w:hint="eastAsia" w:cs="宋体"/>
                <w:szCs w:val="21"/>
              </w:rPr>
              <w:t>卡点电力接入开户费用，业主协助协调工作。</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6.2</w:t>
            </w:r>
          </w:p>
        </w:tc>
        <w:tc>
          <w:tcPr>
            <w:tcW w:w="960" w:type="pct"/>
            <w:gridSpan w:val="2"/>
            <w:shd w:val="clear" w:color="auto" w:fill="FFFFFF" w:themeFill="background1"/>
            <w:vAlign w:val="center"/>
          </w:tcPr>
          <w:p>
            <w:pPr>
              <w:jc w:val="center"/>
              <w:rPr>
                <w:rFonts w:cs="宋体"/>
                <w:szCs w:val="21"/>
              </w:rPr>
            </w:pPr>
            <w:r>
              <w:rPr>
                <w:rFonts w:hint="eastAsia" w:cs="宋体"/>
                <w:szCs w:val="21"/>
              </w:rPr>
              <w:t>运营商专线接入</w:t>
            </w:r>
          </w:p>
        </w:tc>
        <w:tc>
          <w:tcPr>
            <w:tcW w:w="2588" w:type="pct"/>
            <w:shd w:val="clear" w:color="auto" w:fill="FFFFFF" w:themeFill="background1"/>
            <w:vAlign w:val="center"/>
          </w:tcPr>
          <w:p>
            <w:pPr>
              <w:rPr>
                <w:rFonts w:cs="宋体"/>
                <w:szCs w:val="21"/>
              </w:rPr>
            </w:pPr>
            <w:r>
              <w:rPr>
                <w:rFonts w:hint="eastAsia" w:cs="宋体"/>
                <w:szCs w:val="21"/>
              </w:rPr>
              <w:t>卡点数据上传，</w:t>
            </w:r>
            <w:r>
              <w:rPr>
                <w:rFonts w:hint="eastAsia" w:cs="宋体"/>
                <w:szCs w:val="21"/>
                <w:lang w:val="en-US" w:eastAsia="zh-CN"/>
              </w:rPr>
              <w:t>5</w:t>
            </w:r>
            <w:r>
              <w:rPr>
                <w:rFonts w:hint="eastAsia" w:cs="宋体"/>
                <w:szCs w:val="21"/>
              </w:rPr>
              <w:t>年治超数据专线租赁费用</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6.3</w:t>
            </w:r>
          </w:p>
        </w:tc>
        <w:tc>
          <w:tcPr>
            <w:tcW w:w="960" w:type="pct"/>
            <w:gridSpan w:val="2"/>
            <w:shd w:val="clear" w:color="auto" w:fill="FFFFFF" w:themeFill="background1"/>
            <w:vAlign w:val="center"/>
          </w:tcPr>
          <w:p>
            <w:pPr>
              <w:jc w:val="center"/>
              <w:rPr>
                <w:rFonts w:cs="宋体"/>
                <w:szCs w:val="21"/>
              </w:rPr>
            </w:pPr>
            <w:r>
              <w:rPr>
                <w:rFonts w:hint="eastAsia" w:cs="宋体"/>
                <w:szCs w:val="21"/>
              </w:rPr>
              <w:t>卡点电力引入线</w:t>
            </w:r>
          </w:p>
        </w:tc>
        <w:tc>
          <w:tcPr>
            <w:tcW w:w="2588" w:type="pct"/>
            <w:shd w:val="clear" w:color="auto" w:fill="FFFFFF" w:themeFill="background1"/>
            <w:vAlign w:val="center"/>
          </w:tcPr>
          <w:p>
            <w:pPr>
              <w:rPr>
                <w:rFonts w:cs="宋体"/>
                <w:szCs w:val="21"/>
              </w:rPr>
            </w:pPr>
            <w:r>
              <w:rPr>
                <w:rFonts w:hint="eastAsia" w:cs="宋体"/>
                <w:szCs w:val="21"/>
              </w:rPr>
              <w:t>名称：电力电缆；规格:YJV22-3*16mm2;敷设方式:管内敷设；敷设部位:室外</w:t>
            </w:r>
          </w:p>
        </w:tc>
        <w:tc>
          <w:tcPr>
            <w:tcW w:w="292" w:type="pct"/>
            <w:shd w:val="clear" w:color="auto" w:fill="FFFFFF" w:themeFill="background1"/>
            <w:vAlign w:val="center"/>
          </w:tcPr>
          <w:p>
            <w:pPr>
              <w:jc w:val="center"/>
              <w:rPr>
                <w:rFonts w:hint="eastAsia" w:eastAsia="仿宋" w:cs="宋体"/>
                <w:szCs w:val="21"/>
                <w:lang w:eastAsia="zh-CN"/>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1200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6.4</w:t>
            </w:r>
          </w:p>
        </w:tc>
        <w:tc>
          <w:tcPr>
            <w:tcW w:w="960" w:type="pct"/>
            <w:gridSpan w:val="2"/>
            <w:shd w:val="clear" w:color="auto" w:fill="FFFFFF" w:themeFill="background1"/>
            <w:vAlign w:val="center"/>
          </w:tcPr>
          <w:p>
            <w:pPr>
              <w:jc w:val="center"/>
              <w:rPr>
                <w:rFonts w:cs="宋体"/>
                <w:szCs w:val="21"/>
              </w:rPr>
            </w:pPr>
            <w:r>
              <w:rPr>
                <w:rFonts w:hint="eastAsia" w:cs="宋体"/>
                <w:szCs w:val="21"/>
              </w:rPr>
              <w:t>电力电缆YJV22-3*6mm2</w:t>
            </w:r>
          </w:p>
        </w:tc>
        <w:tc>
          <w:tcPr>
            <w:tcW w:w="2588" w:type="pct"/>
            <w:shd w:val="clear" w:color="auto" w:fill="FFFFFF" w:themeFill="background1"/>
            <w:vAlign w:val="center"/>
          </w:tcPr>
          <w:p>
            <w:pPr>
              <w:rPr>
                <w:rFonts w:cs="宋体"/>
                <w:szCs w:val="21"/>
              </w:rPr>
            </w:pPr>
            <w:r>
              <w:rPr>
                <w:rFonts w:hint="eastAsia" w:cs="宋体"/>
                <w:szCs w:val="21"/>
              </w:rPr>
              <w:t>名称：电力电缆；规格:YJV22-3*6mm2;敷设方式:管内敷设；敷设部位:室外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1040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6.5</w:t>
            </w:r>
          </w:p>
        </w:tc>
        <w:tc>
          <w:tcPr>
            <w:tcW w:w="960" w:type="pct"/>
            <w:gridSpan w:val="2"/>
            <w:shd w:val="clear" w:color="auto" w:fill="FFFFFF" w:themeFill="background1"/>
            <w:vAlign w:val="center"/>
          </w:tcPr>
          <w:p>
            <w:pPr>
              <w:jc w:val="center"/>
              <w:rPr>
                <w:rFonts w:cs="宋体"/>
                <w:szCs w:val="21"/>
              </w:rPr>
            </w:pPr>
            <w:r>
              <w:rPr>
                <w:rFonts w:hint="eastAsia" w:cs="宋体"/>
                <w:szCs w:val="21"/>
              </w:rPr>
              <w:t>电力电缆YJV22-3*4mm2</w:t>
            </w:r>
          </w:p>
        </w:tc>
        <w:tc>
          <w:tcPr>
            <w:tcW w:w="2588" w:type="pct"/>
            <w:shd w:val="clear" w:color="auto" w:fill="FFFFFF" w:themeFill="background1"/>
            <w:vAlign w:val="center"/>
          </w:tcPr>
          <w:p>
            <w:pPr>
              <w:rPr>
                <w:rFonts w:cs="宋体"/>
                <w:szCs w:val="21"/>
              </w:rPr>
            </w:pPr>
            <w:r>
              <w:rPr>
                <w:rFonts w:hint="eastAsia" w:cs="宋体"/>
                <w:szCs w:val="21"/>
              </w:rPr>
              <w:t>名称：电力电缆；规格:YJV22-3*4mm2;敷设方式:管内敷设；敷设部位:室外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920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6.6</w:t>
            </w:r>
          </w:p>
        </w:tc>
        <w:tc>
          <w:tcPr>
            <w:tcW w:w="960" w:type="pct"/>
            <w:gridSpan w:val="2"/>
            <w:shd w:val="clear" w:color="auto" w:fill="FFFFFF" w:themeFill="background1"/>
            <w:vAlign w:val="center"/>
          </w:tcPr>
          <w:p>
            <w:pPr>
              <w:jc w:val="center"/>
              <w:rPr>
                <w:rFonts w:cs="宋体"/>
                <w:szCs w:val="21"/>
              </w:rPr>
            </w:pPr>
            <w:r>
              <w:rPr>
                <w:rFonts w:hint="eastAsia" w:cs="宋体"/>
                <w:szCs w:val="21"/>
              </w:rPr>
              <w:t>电源线RVV-3*6.0mm2</w:t>
            </w:r>
          </w:p>
        </w:tc>
        <w:tc>
          <w:tcPr>
            <w:tcW w:w="2588" w:type="pct"/>
            <w:shd w:val="clear" w:color="auto" w:fill="FFFFFF" w:themeFill="background1"/>
            <w:vAlign w:val="center"/>
          </w:tcPr>
          <w:p>
            <w:pPr>
              <w:rPr>
                <w:rFonts w:cs="宋体"/>
                <w:szCs w:val="21"/>
              </w:rPr>
            </w:pPr>
            <w:r>
              <w:rPr>
                <w:rFonts w:hint="eastAsia" w:cs="宋体"/>
                <w:szCs w:val="21"/>
              </w:rPr>
              <w:t>名称：信号电缆；规格:RVV-3*6.0mm2;敷设方式:管内敷设；敷设部位:室外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40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6.7</w:t>
            </w:r>
          </w:p>
        </w:tc>
        <w:tc>
          <w:tcPr>
            <w:tcW w:w="960" w:type="pct"/>
            <w:gridSpan w:val="2"/>
            <w:shd w:val="clear" w:color="auto" w:fill="FFFFFF" w:themeFill="background1"/>
            <w:vAlign w:val="center"/>
          </w:tcPr>
          <w:p>
            <w:pPr>
              <w:jc w:val="center"/>
              <w:rPr>
                <w:rFonts w:cs="宋体"/>
                <w:szCs w:val="21"/>
              </w:rPr>
            </w:pPr>
            <w:r>
              <w:rPr>
                <w:rFonts w:hint="eastAsia" w:cs="宋体"/>
                <w:szCs w:val="21"/>
              </w:rPr>
              <w:t>电源线RVV-3*1.0mm2</w:t>
            </w:r>
          </w:p>
        </w:tc>
        <w:tc>
          <w:tcPr>
            <w:tcW w:w="2588" w:type="pct"/>
            <w:shd w:val="clear" w:color="auto" w:fill="FFFFFF" w:themeFill="background1"/>
            <w:vAlign w:val="center"/>
          </w:tcPr>
          <w:p>
            <w:pPr>
              <w:rPr>
                <w:rFonts w:cs="宋体"/>
                <w:szCs w:val="21"/>
              </w:rPr>
            </w:pPr>
            <w:r>
              <w:rPr>
                <w:rFonts w:hint="eastAsia" w:cs="宋体"/>
                <w:szCs w:val="21"/>
              </w:rPr>
              <w:t>名称：信号电缆；规格:RVV-3*1.0;敷设方式:管内敷设；敷设部位:室外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2920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6.8</w:t>
            </w:r>
          </w:p>
        </w:tc>
        <w:tc>
          <w:tcPr>
            <w:tcW w:w="960" w:type="pct"/>
            <w:gridSpan w:val="2"/>
            <w:shd w:val="clear" w:color="auto" w:fill="FFFFFF" w:themeFill="background1"/>
            <w:vAlign w:val="center"/>
          </w:tcPr>
          <w:p>
            <w:pPr>
              <w:jc w:val="center"/>
              <w:rPr>
                <w:rFonts w:cs="宋体"/>
                <w:szCs w:val="21"/>
              </w:rPr>
            </w:pPr>
            <w:r>
              <w:rPr>
                <w:rFonts w:hint="eastAsia" w:cs="宋体"/>
                <w:szCs w:val="21"/>
              </w:rPr>
              <w:t>电源线RVV-2*1.0mm2</w:t>
            </w:r>
          </w:p>
        </w:tc>
        <w:tc>
          <w:tcPr>
            <w:tcW w:w="2588" w:type="pct"/>
            <w:shd w:val="clear" w:color="auto" w:fill="FFFFFF" w:themeFill="background1"/>
            <w:vAlign w:val="center"/>
          </w:tcPr>
          <w:p>
            <w:pPr>
              <w:rPr>
                <w:rFonts w:cs="宋体"/>
                <w:szCs w:val="21"/>
              </w:rPr>
            </w:pPr>
            <w:r>
              <w:rPr>
                <w:rFonts w:hint="eastAsia" w:cs="宋体"/>
                <w:szCs w:val="21"/>
              </w:rPr>
              <w:t>名称：信号电缆；规格:RVV-2*1.0mm2;敷设方式:管内敷设；敷设部位</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200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6.9</w:t>
            </w:r>
          </w:p>
        </w:tc>
        <w:tc>
          <w:tcPr>
            <w:tcW w:w="960" w:type="pct"/>
            <w:gridSpan w:val="2"/>
            <w:shd w:val="clear" w:color="auto" w:fill="FFFFFF" w:themeFill="background1"/>
            <w:vAlign w:val="center"/>
          </w:tcPr>
          <w:p>
            <w:pPr>
              <w:jc w:val="center"/>
              <w:rPr>
                <w:rFonts w:cs="宋体"/>
                <w:szCs w:val="21"/>
              </w:rPr>
            </w:pPr>
            <w:r>
              <w:rPr>
                <w:rFonts w:hint="eastAsia" w:cs="宋体"/>
                <w:szCs w:val="21"/>
              </w:rPr>
              <w:t>信号线RVVP-2*1.0mm2</w:t>
            </w:r>
          </w:p>
        </w:tc>
        <w:tc>
          <w:tcPr>
            <w:tcW w:w="2588" w:type="pct"/>
            <w:shd w:val="clear" w:color="auto" w:fill="FFFFFF" w:themeFill="background1"/>
            <w:vAlign w:val="center"/>
          </w:tcPr>
          <w:p>
            <w:pPr>
              <w:rPr>
                <w:rFonts w:cs="宋体"/>
                <w:szCs w:val="21"/>
              </w:rPr>
            </w:pPr>
            <w:r>
              <w:rPr>
                <w:rFonts w:hint="eastAsia" w:cs="宋体"/>
                <w:szCs w:val="21"/>
              </w:rPr>
              <w:t>名称：信号电缆；规格:RVVP-2*1.0mm2;敷设方式:管内敷设；敷设部位:室外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3000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6.10</w:t>
            </w:r>
          </w:p>
        </w:tc>
        <w:tc>
          <w:tcPr>
            <w:tcW w:w="960" w:type="pct"/>
            <w:gridSpan w:val="2"/>
            <w:shd w:val="clear" w:color="auto" w:fill="FFFFFF" w:themeFill="background1"/>
            <w:vAlign w:val="center"/>
          </w:tcPr>
          <w:p>
            <w:pPr>
              <w:jc w:val="center"/>
              <w:rPr>
                <w:rFonts w:cs="宋体"/>
                <w:szCs w:val="21"/>
              </w:rPr>
            </w:pPr>
            <w:r>
              <w:rPr>
                <w:rFonts w:hint="eastAsia" w:cs="宋体"/>
                <w:szCs w:val="21"/>
              </w:rPr>
              <w:t>信号线RVVP-4*1.5mm2</w:t>
            </w:r>
          </w:p>
        </w:tc>
        <w:tc>
          <w:tcPr>
            <w:tcW w:w="2588" w:type="pct"/>
            <w:shd w:val="clear" w:color="auto" w:fill="FFFFFF" w:themeFill="background1"/>
            <w:vAlign w:val="center"/>
          </w:tcPr>
          <w:p>
            <w:pPr>
              <w:rPr>
                <w:rFonts w:cs="宋体"/>
                <w:szCs w:val="21"/>
              </w:rPr>
            </w:pPr>
            <w:r>
              <w:rPr>
                <w:rFonts w:hint="eastAsia" w:cs="宋体"/>
                <w:szCs w:val="21"/>
              </w:rPr>
              <w:t>名称：信号电缆；规格:RVVP-4*1.5mm2;敷设方式:管内敷设；敷设部位:室外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200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6.11</w:t>
            </w:r>
          </w:p>
        </w:tc>
        <w:tc>
          <w:tcPr>
            <w:tcW w:w="960" w:type="pct"/>
            <w:gridSpan w:val="2"/>
            <w:shd w:val="clear" w:color="auto" w:fill="FFFFFF" w:themeFill="background1"/>
            <w:vAlign w:val="center"/>
          </w:tcPr>
          <w:p>
            <w:pPr>
              <w:jc w:val="center"/>
              <w:rPr>
                <w:rFonts w:cs="宋体"/>
                <w:szCs w:val="21"/>
              </w:rPr>
            </w:pPr>
            <w:r>
              <w:rPr>
                <w:rFonts w:hint="eastAsia" w:cs="宋体"/>
                <w:szCs w:val="21"/>
              </w:rPr>
              <w:t>4芯双屏蔽软电缆</w:t>
            </w:r>
          </w:p>
        </w:tc>
        <w:tc>
          <w:tcPr>
            <w:tcW w:w="2588" w:type="pct"/>
            <w:shd w:val="clear" w:color="auto" w:fill="FFFFFF" w:themeFill="background1"/>
            <w:vAlign w:val="center"/>
          </w:tcPr>
          <w:p>
            <w:pPr>
              <w:rPr>
                <w:rFonts w:cs="宋体"/>
                <w:szCs w:val="21"/>
              </w:rPr>
            </w:pPr>
            <w:r>
              <w:rPr>
                <w:rFonts w:hint="eastAsia" w:cs="宋体"/>
                <w:szCs w:val="21"/>
              </w:rPr>
              <w:t>名称：信号电缆；规格:4芯双屏蔽软电缆;敷设方式:管内敷设；敷设部位:室外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720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6.12</w:t>
            </w:r>
          </w:p>
        </w:tc>
        <w:tc>
          <w:tcPr>
            <w:tcW w:w="960" w:type="pct"/>
            <w:gridSpan w:val="2"/>
            <w:shd w:val="clear" w:color="auto" w:fill="FFFFFF" w:themeFill="background1"/>
            <w:vAlign w:val="center"/>
          </w:tcPr>
          <w:p>
            <w:pPr>
              <w:jc w:val="center"/>
              <w:rPr>
                <w:rFonts w:cs="宋体"/>
                <w:szCs w:val="21"/>
              </w:rPr>
            </w:pPr>
            <w:r>
              <w:rPr>
                <w:rFonts w:hint="eastAsia" w:cs="宋体"/>
                <w:szCs w:val="21"/>
              </w:rPr>
              <w:t>线缆保护PE管φ50（含施工）</w:t>
            </w:r>
          </w:p>
        </w:tc>
        <w:tc>
          <w:tcPr>
            <w:tcW w:w="2588" w:type="pct"/>
            <w:shd w:val="clear" w:color="auto" w:fill="FFFFFF" w:themeFill="background1"/>
            <w:vAlign w:val="center"/>
          </w:tcPr>
          <w:p>
            <w:pPr>
              <w:rPr>
                <w:rFonts w:cs="宋体"/>
                <w:szCs w:val="21"/>
              </w:rPr>
            </w:pPr>
            <w:r>
              <w:rPr>
                <w:rFonts w:hint="eastAsia" w:cs="宋体"/>
                <w:szCs w:val="21"/>
              </w:rPr>
              <w:t>名称：电缆保护管；材质:PE管；规格φ50;配置形式及部位:室外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2400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6.13</w:t>
            </w:r>
          </w:p>
        </w:tc>
        <w:tc>
          <w:tcPr>
            <w:tcW w:w="960" w:type="pct"/>
            <w:gridSpan w:val="2"/>
            <w:shd w:val="clear" w:color="auto" w:fill="FFFFFF" w:themeFill="background1"/>
            <w:vAlign w:val="center"/>
          </w:tcPr>
          <w:p>
            <w:pPr>
              <w:jc w:val="center"/>
              <w:rPr>
                <w:rFonts w:cs="宋体"/>
                <w:szCs w:val="21"/>
              </w:rPr>
            </w:pPr>
            <w:r>
              <w:rPr>
                <w:rFonts w:hint="eastAsia" w:cs="宋体"/>
                <w:szCs w:val="21"/>
              </w:rPr>
              <w:t>线缆保护钢管φ100（含施工）</w:t>
            </w:r>
          </w:p>
        </w:tc>
        <w:tc>
          <w:tcPr>
            <w:tcW w:w="2588" w:type="pct"/>
            <w:shd w:val="clear" w:color="auto" w:fill="FFFFFF" w:themeFill="background1"/>
            <w:vAlign w:val="center"/>
          </w:tcPr>
          <w:p>
            <w:pPr>
              <w:rPr>
                <w:rFonts w:cs="宋体"/>
                <w:szCs w:val="21"/>
              </w:rPr>
            </w:pPr>
            <w:r>
              <w:rPr>
                <w:rFonts w:hint="eastAsia" w:cs="宋体"/>
                <w:szCs w:val="21"/>
              </w:rPr>
              <w:t>名称：电缆过路钢管；材质:钢管；规格φ100;配置形式及部位:室外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80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6.14</w:t>
            </w:r>
          </w:p>
        </w:tc>
        <w:tc>
          <w:tcPr>
            <w:tcW w:w="960" w:type="pct"/>
            <w:gridSpan w:val="2"/>
            <w:shd w:val="clear" w:color="auto" w:fill="FFFFFF" w:themeFill="background1"/>
            <w:vAlign w:val="center"/>
          </w:tcPr>
          <w:p>
            <w:pPr>
              <w:jc w:val="center"/>
              <w:rPr>
                <w:rFonts w:cs="宋体"/>
                <w:szCs w:val="21"/>
              </w:rPr>
            </w:pPr>
            <w:r>
              <w:rPr>
                <w:rFonts w:hint="eastAsia" w:cs="宋体"/>
                <w:szCs w:val="21"/>
              </w:rPr>
              <w:t>室外单模光缆（4芯）</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1、配线形式:管内穿线；</w:t>
            </w:r>
          </w:p>
          <w:p>
            <w:pPr>
              <w:rPr>
                <w:rFonts w:hint="eastAsia" w:eastAsia="仿宋" w:cs="宋体"/>
                <w:szCs w:val="21"/>
                <w:lang w:eastAsia="zh-CN"/>
              </w:rPr>
            </w:pPr>
            <w:r>
              <w:rPr>
                <w:rFonts w:hint="eastAsia" w:cs="宋体"/>
                <w:szCs w:val="21"/>
              </w:rPr>
              <w:t>2、导线型号、材质、规格:室外单模光缆 4芯；</w:t>
            </w:r>
          </w:p>
          <w:p>
            <w:pPr>
              <w:rPr>
                <w:rFonts w:cs="宋体"/>
                <w:szCs w:val="21"/>
              </w:rPr>
            </w:pPr>
            <w:r>
              <w:rPr>
                <w:rFonts w:hint="eastAsia" w:cs="宋体"/>
                <w:szCs w:val="21"/>
              </w:rPr>
              <w:t>3、敷设部位:室外</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1000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6.15</w:t>
            </w:r>
          </w:p>
        </w:tc>
        <w:tc>
          <w:tcPr>
            <w:tcW w:w="960" w:type="pct"/>
            <w:gridSpan w:val="2"/>
            <w:shd w:val="clear" w:color="auto" w:fill="FFFFFF" w:themeFill="background1"/>
            <w:vAlign w:val="center"/>
          </w:tcPr>
          <w:p>
            <w:pPr>
              <w:jc w:val="center"/>
              <w:rPr>
                <w:rFonts w:cs="宋体"/>
                <w:szCs w:val="21"/>
              </w:rPr>
            </w:pPr>
            <w:r>
              <w:rPr>
                <w:rFonts w:hint="eastAsia" w:cs="宋体"/>
                <w:szCs w:val="21"/>
              </w:rPr>
              <w:t>室外网线</w:t>
            </w:r>
          </w:p>
        </w:tc>
        <w:tc>
          <w:tcPr>
            <w:tcW w:w="2588" w:type="pct"/>
            <w:shd w:val="clear" w:color="auto" w:fill="FFFFFF" w:themeFill="background1"/>
            <w:vAlign w:val="center"/>
          </w:tcPr>
          <w:p>
            <w:pPr>
              <w:rPr>
                <w:rFonts w:cs="宋体"/>
                <w:szCs w:val="21"/>
              </w:rPr>
            </w:pPr>
            <w:r>
              <w:rPr>
                <w:rFonts w:hint="eastAsia" w:cs="宋体"/>
                <w:szCs w:val="21"/>
              </w:rPr>
              <w:t>室外六类防水网线</w:t>
            </w:r>
          </w:p>
        </w:tc>
        <w:tc>
          <w:tcPr>
            <w:tcW w:w="292" w:type="pct"/>
            <w:shd w:val="clear" w:color="auto" w:fill="FFFFFF" w:themeFill="background1"/>
            <w:vAlign w:val="center"/>
          </w:tcPr>
          <w:p>
            <w:pPr>
              <w:jc w:val="center"/>
              <w:rPr>
                <w:rFonts w:cs="宋体"/>
                <w:szCs w:val="21"/>
              </w:rPr>
            </w:pPr>
            <w:r>
              <w:rPr>
                <w:rFonts w:hint="eastAsia" w:cs="宋体"/>
                <w:szCs w:val="21"/>
                <w:lang w:val="en-US" w:eastAsia="zh-CN"/>
              </w:rPr>
              <w:t>米</w:t>
            </w:r>
          </w:p>
        </w:tc>
        <w:tc>
          <w:tcPr>
            <w:tcW w:w="423" w:type="pct"/>
            <w:shd w:val="clear" w:color="auto" w:fill="FFFFFF" w:themeFill="background1"/>
            <w:vAlign w:val="center"/>
          </w:tcPr>
          <w:p>
            <w:pPr>
              <w:jc w:val="center"/>
              <w:rPr>
                <w:rFonts w:cs="宋体"/>
                <w:szCs w:val="21"/>
              </w:rPr>
            </w:pPr>
            <w:r>
              <w:rPr>
                <w:rFonts w:hint="eastAsia" w:cs="宋体"/>
                <w:szCs w:val="21"/>
              </w:rPr>
              <w:t>2440</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6.16</w:t>
            </w:r>
          </w:p>
        </w:tc>
        <w:tc>
          <w:tcPr>
            <w:tcW w:w="960" w:type="pct"/>
            <w:gridSpan w:val="2"/>
            <w:shd w:val="clear" w:color="auto" w:fill="FFFFFF" w:themeFill="background1"/>
            <w:vAlign w:val="center"/>
          </w:tcPr>
          <w:p>
            <w:pPr>
              <w:jc w:val="center"/>
              <w:rPr>
                <w:rFonts w:cs="宋体"/>
                <w:szCs w:val="21"/>
              </w:rPr>
            </w:pPr>
            <w:r>
              <w:rPr>
                <w:rFonts w:hint="eastAsia" w:cs="宋体"/>
                <w:szCs w:val="21"/>
              </w:rPr>
              <w:t>接地装置</w:t>
            </w:r>
          </w:p>
        </w:tc>
        <w:tc>
          <w:tcPr>
            <w:tcW w:w="2588" w:type="pct"/>
            <w:shd w:val="clear" w:color="auto" w:fill="FFFFFF" w:themeFill="background1"/>
            <w:vAlign w:val="center"/>
          </w:tcPr>
          <w:p>
            <w:pPr>
              <w:rPr>
                <w:rFonts w:cs="宋体"/>
                <w:szCs w:val="21"/>
              </w:rPr>
            </w:pPr>
            <w:r>
              <w:rPr>
                <w:rFonts w:hint="eastAsia" w:cs="宋体"/>
                <w:szCs w:val="21"/>
              </w:rPr>
              <w:t>接地铜排3*30，接地引下装置，静电释放网线BVR-6mm</w:t>
            </w:r>
            <w:r>
              <w:rPr>
                <w:rFonts w:hint="eastAsia" w:ascii="宋体" w:hAnsi="宋体" w:cs="宋体"/>
                <w:szCs w:val="21"/>
              </w:rPr>
              <w:t>²</w:t>
            </w:r>
            <w:r>
              <w:rPr>
                <w:rFonts w:hint="eastAsia" w:cs="仿宋"/>
                <w:szCs w:val="21"/>
              </w:rPr>
              <w:t>，</w:t>
            </w:r>
            <w:r>
              <w:rPr>
                <w:rFonts w:hint="eastAsia" w:cs="宋体"/>
                <w:szCs w:val="21"/>
              </w:rPr>
              <w:t>BVR-16mm</w:t>
            </w:r>
            <w:r>
              <w:rPr>
                <w:rFonts w:hint="eastAsia" w:ascii="宋体" w:hAnsi="宋体" w:cs="宋体"/>
                <w:szCs w:val="21"/>
              </w:rPr>
              <w:t>²</w:t>
            </w:r>
            <w:r>
              <w:rPr>
                <w:rFonts w:hint="eastAsia" w:cs="仿宋"/>
                <w:szCs w:val="21"/>
              </w:rPr>
              <w:t>等</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6.17</w:t>
            </w:r>
          </w:p>
        </w:tc>
        <w:tc>
          <w:tcPr>
            <w:tcW w:w="960" w:type="pct"/>
            <w:gridSpan w:val="2"/>
            <w:shd w:val="clear" w:color="auto" w:fill="FFFFFF" w:themeFill="background1"/>
            <w:vAlign w:val="center"/>
          </w:tcPr>
          <w:p>
            <w:pPr>
              <w:jc w:val="center"/>
              <w:rPr>
                <w:rFonts w:cs="宋体"/>
                <w:szCs w:val="21"/>
              </w:rPr>
            </w:pPr>
            <w:r>
              <w:rPr>
                <w:rFonts w:hint="eastAsia" w:cs="宋体"/>
                <w:szCs w:val="21"/>
              </w:rPr>
              <w:t>破路及修复</w:t>
            </w:r>
          </w:p>
        </w:tc>
        <w:tc>
          <w:tcPr>
            <w:tcW w:w="2588" w:type="pct"/>
            <w:shd w:val="clear" w:color="auto" w:fill="FFFFFF" w:themeFill="background1"/>
            <w:vAlign w:val="center"/>
          </w:tcPr>
          <w:p>
            <w:pPr>
              <w:rPr>
                <w:rFonts w:cs="宋体"/>
                <w:szCs w:val="21"/>
              </w:rPr>
            </w:pPr>
            <w:r>
              <w:rPr>
                <w:rFonts w:hint="eastAsia" w:cs="宋体"/>
                <w:szCs w:val="21"/>
              </w:rPr>
              <w:t>传输供电施工时沥青或混凝土，人行道路面开挖和修复</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6.18</w:t>
            </w:r>
          </w:p>
        </w:tc>
        <w:tc>
          <w:tcPr>
            <w:tcW w:w="960" w:type="pct"/>
            <w:gridSpan w:val="2"/>
            <w:shd w:val="clear" w:color="auto" w:fill="FFFFFF" w:themeFill="background1"/>
            <w:vAlign w:val="center"/>
          </w:tcPr>
          <w:p>
            <w:pPr>
              <w:jc w:val="center"/>
              <w:rPr>
                <w:rFonts w:cs="宋体"/>
                <w:szCs w:val="21"/>
              </w:rPr>
            </w:pPr>
            <w:r>
              <w:rPr>
                <w:rFonts w:hint="eastAsia" w:cs="宋体"/>
                <w:szCs w:val="21"/>
              </w:rPr>
              <w:t>手孔井</w:t>
            </w:r>
          </w:p>
        </w:tc>
        <w:tc>
          <w:tcPr>
            <w:tcW w:w="2588" w:type="pct"/>
            <w:shd w:val="clear" w:color="auto" w:fill="FFFFFF" w:themeFill="background1"/>
            <w:vAlign w:val="center"/>
          </w:tcPr>
          <w:p>
            <w:pPr>
              <w:rPr>
                <w:rFonts w:cs="宋体"/>
                <w:szCs w:val="21"/>
              </w:rPr>
            </w:pPr>
            <w:r>
              <w:rPr>
                <w:rFonts w:hint="eastAsia" w:cs="宋体"/>
                <w:szCs w:val="21"/>
              </w:rPr>
              <w:t>手孔井500*500*700mm、井盖</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32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6.19</w:t>
            </w:r>
          </w:p>
        </w:tc>
        <w:tc>
          <w:tcPr>
            <w:tcW w:w="960" w:type="pct"/>
            <w:gridSpan w:val="2"/>
            <w:shd w:val="clear" w:color="auto" w:fill="FFFFFF" w:themeFill="background1"/>
            <w:vAlign w:val="center"/>
          </w:tcPr>
          <w:p>
            <w:pPr>
              <w:jc w:val="center"/>
              <w:rPr>
                <w:rFonts w:cs="宋体"/>
                <w:szCs w:val="21"/>
              </w:rPr>
            </w:pPr>
            <w:r>
              <w:rPr>
                <w:rFonts w:hint="eastAsia" w:cs="宋体"/>
                <w:szCs w:val="21"/>
              </w:rPr>
              <w:t>线路辅材</w:t>
            </w:r>
          </w:p>
        </w:tc>
        <w:tc>
          <w:tcPr>
            <w:tcW w:w="2588" w:type="pct"/>
            <w:shd w:val="clear" w:color="auto" w:fill="FFFFFF" w:themeFill="background1"/>
            <w:vAlign w:val="center"/>
          </w:tcPr>
          <w:p>
            <w:pPr>
              <w:rPr>
                <w:rFonts w:cs="宋体"/>
                <w:szCs w:val="21"/>
              </w:rPr>
            </w:pPr>
            <w:r>
              <w:rPr>
                <w:rFonts w:hint="eastAsia" w:cs="宋体"/>
                <w:szCs w:val="21"/>
              </w:rPr>
              <w:t>网络防雷、尾纤、水晶头等</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7</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计量及检定</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jc w:val="cente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7.1</w:t>
            </w:r>
          </w:p>
        </w:tc>
        <w:tc>
          <w:tcPr>
            <w:tcW w:w="960" w:type="pct"/>
            <w:gridSpan w:val="2"/>
            <w:shd w:val="clear" w:color="auto" w:fill="FFFFFF" w:themeFill="background1"/>
            <w:vAlign w:val="center"/>
          </w:tcPr>
          <w:p>
            <w:pPr>
              <w:jc w:val="center"/>
              <w:rPr>
                <w:rFonts w:cs="宋体"/>
                <w:szCs w:val="21"/>
              </w:rPr>
            </w:pPr>
            <w:r>
              <w:rPr>
                <w:rFonts w:hint="eastAsia" w:cs="宋体"/>
                <w:szCs w:val="21"/>
              </w:rPr>
              <w:t>称重系统标定调试费</w:t>
            </w:r>
          </w:p>
        </w:tc>
        <w:tc>
          <w:tcPr>
            <w:tcW w:w="2588" w:type="pct"/>
            <w:shd w:val="clear" w:color="auto" w:fill="FFFFFF" w:themeFill="background1"/>
            <w:vAlign w:val="center"/>
          </w:tcPr>
          <w:p>
            <w:pPr>
              <w:rPr>
                <w:rFonts w:cs="宋体"/>
                <w:szCs w:val="21"/>
              </w:rPr>
            </w:pPr>
            <w:r>
              <w:rPr>
                <w:rFonts w:hint="eastAsia" w:cs="宋体"/>
                <w:szCs w:val="21"/>
              </w:rPr>
              <w:t>现场标定调试、车辆租用、道路交通管制等</w:t>
            </w:r>
          </w:p>
        </w:tc>
        <w:tc>
          <w:tcPr>
            <w:tcW w:w="292" w:type="pct"/>
            <w:shd w:val="clear" w:color="auto" w:fill="FFFFFF" w:themeFill="background1"/>
            <w:vAlign w:val="center"/>
          </w:tcPr>
          <w:p>
            <w:pPr>
              <w:jc w:val="center"/>
              <w:rPr>
                <w:rFonts w:cs="宋体"/>
                <w:szCs w:val="21"/>
              </w:rPr>
            </w:pPr>
            <w:r>
              <w:rPr>
                <w:rFonts w:hint="eastAsia" w:cs="宋体"/>
                <w:szCs w:val="21"/>
              </w:rPr>
              <w:t>车道</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7.2</w:t>
            </w:r>
          </w:p>
        </w:tc>
        <w:tc>
          <w:tcPr>
            <w:tcW w:w="960" w:type="pct"/>
            <w:gridSpan w:val="2"/>
            <w:shd w:val="clear" w:color="auto" w:fill="FFFFFF" w:themeFill="background1"/>
            <w:vAlign w:val="center"/>
          </w:tcPr>
          <w:p>
            <w:pPr>
              <w:jc w:val="center"/>
              <w:rPr>
                <w:rFonts w:cs="宋体"/>
                <w:szCs w:val="21"/>
              </w:rPr>
            </w:pPr>
            <w:r>
              <w:rPr>
                <w:rFonts w:hint="eastAsia" w:cs="宋体"/>
                <w:szCs w:val="21"/>
              </w:rPr>
              <w:t>计量及检定费用</w:t>
            </w:r>
          </w:p>
        </w:tc>
        <w:tc>
          <w:tcPr>
            <w:tcW w:w="2588" w:type="pct"/>
            <w:shd w:val="clear" w:color="auto" w:fill="FFFFFF" w:themeFill="background1"/>
            <w:vAlign w:val="center"/>
          </w:tcPr>
          <w:p>
            <w:pPr>
              <w:rPr>
                <w:rFonts w:cs="宋体"/>
                <w:szCs w:val="21"/>
              </w:rPr>
            </w:pPr>
            <w:r>
              <w:rPr>
                <w:rFonts w:hint="eastAsia" w:cs="宋体"/>
                <w:szCs w:val="21"/>
              </w:rPr>
              <w:t>计量单位首次计量检定，道路交通管制等</w:t>
            </w:r>
          </w:p>
        </w:tc>
        <w:tc>
          <w:tcPr>
            <w:tcW w:w="292" w:type="pct"/>
            <w:shd w:val="clear" w:color="auto" w:fill="FFFFFF" w:themeFill="background1"/>
            <w:vAlign w:val="center"/>
          </w:tcPr>
          <w:p>
            <w:pPr>
              <w:jc w:val="center"/>
              <w:rPr>
                <w:rFonts w:cs="宋体"/>
                <w:szCs w:val="21"/>
              </w:rPr>
            </w:pPr>
            <w:r>
              <w:rPr>
                <w:rFonts w:hint="eastAsia" w:cs="宋体"/>
                <w:szCs w:val="21"/>
              </w:rPr>
              <w:t>车道</w:t>
            </w:r>
          </w:p>
        </w:tc>
        <w:tc>
          <w:tcPr>
            <w:tcW w:w="423" w:type="pct"/>
            <w:shd w:val="clear" w:color="auto" w:fill="FFFFFF" w:themeFill="background1"/>
            <w:vAlign w:val="center"/>
          </w:tcPr>
          <w:p>
            <w:pPr>
              <w:jc w:val="center"/>
              <w:rPr>
                <w:rFonts w:cs="宋体"/>
                <w:szCs w:val="21"/>
              </w:rPr>
            </w:pPr>
            <w:r>
              <w:rPr>
                <w:rFonts w:hint="eastAsia" w:cs="宋体"/>
                <w:szCs w:val="21"/>
              </w:rPr>
              <w:t>12</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7.3</w:t>
            </w:r>
          </w:p>
        </w:tc>
        <w:tc>
          <w:tcPr>
            <w:tcW w:w="960" w:type="pct"/>
            <w:gridSpan w:val="2"/>
            <w:shd w:val="clear" w:color="auto" w:fill="FFFFFF" w:themeFill="background1"/>
            <w:vAlign w:val="center"/>
          </w:tcPr>
          <w:p>
            <w:pPr>
              <w:jc w:val="center"/>
              <w:rPr>
                <w:rFonts w:cs="宋体"/>
                <w:szCs w:val="21"/>
              </w:rPr>
            </w:pPr>
            <w:r>
              <w:rPr>
                <w:rFonts w:hint="eastAsia" w:cs="宋体"/>
                <w:szCs w:val="21"/>
              </w:rPr>
              <w:t>非现场处罚视频证据链数据接入</w:t>
            </w:r>
          </w:p>
        </w:tc>
        <w:tc>
          <w:tcPr>
            <w:tcW w:w="2588" w:type="pct"/>
            <w:shd w:val="clear" w:color="auto" w:fill="FFFFFF" w:themeFill="background1"/>
            <w:vAlign w:val="center"/>
          </w:tcPr>
          <w:p>
            <w:pPr>
              <w:rPr>
                <w:rFonts w:cs="宋体"/>
                <w:szCs w:val="21"/>
              </w:rPr>
            </w:pPr>
            <w:r>
              <w:rPr>
                <w:rFonts w:hint="eastAsia" w:cs="宋体"/>
                <w:szCs w:val="21"/>
              </w:rPr>
              <w:t>执法平台、治超点接入上级平台</w:t>
            </w:r>
            <w:r>
              <w:rPr>
                <w:rFonts w:hint="eastAsia" w:cs="宋体"/>
                <w:szCs w:val="21"/>
                <w:lang w:eastAsia="zh-CN"/>
              </w:rPr>
              <w:t>（</w:t>
            </w:r>
            <w:r>
              <w:rPr>
                <w:rFonts w:hint="eastAsia" w:cs="宋体"/>
                <w:szCs w:val="21"/>
                <w:lang w:val="en-US" w:eastAsia="zh-CN"/>
              </w:rPr>
              <w:t>市、区平台</w:t>
            </w:r>
            <w:r>
              <w:rPr>
                <w:rFonts w:hint="eastAsia" w:cs="宋体"/>
                <w:szCs w:val="21"/>
                <w:lang w:eastAsia="zh-CN"/>
              </w:rPr>
              <w:t>）</w:t>
            </w:r>
            <w:r>
              <w:rPr>
                <w:rFonts w:hint="eastAsia" w:cs="宋体"/>
                <w:szCs w:val="21"/>
              </w:rPr>
              <w:t>。</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8</w:t>
            </w:r>
          </w:p>
        </w:tc>
        <w:tc>
          <w:tcPr>
            <w:tcW w:w="960" w:type="pct"/>
            <w:gridSpan w:val="2"/>
            <w:shd w:val="clear" w:color="auto" w:fill="FFFFFF" w:themeFill="background1"/>
            <w:noWrap/>
            <w:vAlign w:val="center"/>
          </w:tcPr>
          <w:p>
            <w:pPr>
              <w:jc w:val="center"/>
              <w:rPr>
                <w:rFonts w:cs="宋体"/>
                <w:b/>
                <w:bCs/>
                <w:szCs w:val="21"/>
              </w:rPr>
            </w:pPr>
            <w:r>
              <w:rPr>
                <w:rFonts w:hint="eastAsia" w:cs="宋体"/>
                <w:b/>
                <w:bCs/>
                <w:szCs w:val="21"/>
              </w:rPr>
              <w:t>调试运输费</w:t>
            </w:r>
          </w:p>
        </w:tc>
        <w:tc>
          <w:tcPr>
            <w:tcW w:w="2588" w:type="pct"/>
            <w:shd w:val="clear" w:color="auto" w:fill="FFFFFF" w:themeFill="background1"/>
            <w:vAlign w:val="center"/>
          </w:tcPr>
          <w:p>
            <w:pPr>
              <w:rPr>
                <w:rFonts w:cs="宋体"/>
                <w:b/>
                <w:bCs/>
                <w:szCs w:val="21"/>
              </w:rPr>
            </w:pPr>
            <w:r>
              <w:rPr>
                <w:rFonts w:hint="eastAsia" w:cs="宋体"/>
                <w:b/>
                <w:bCs/>
                <w:szCs w:val="21"/>
              </w:rPr>
              <w:t>　</w:t>
            </w:r>
          </w:p>
        </w:tc>
        <w:tc>
          <w:tcPr>
            <w:tcW w:w="292" w:type="pct"/>
            <w:shd w:val="clear" w:color="auto" w:fill="FFFFFF" w:themeFill="background1"/>
            <w:vAlign w:val="center"/>
          </w:tcPr>
          <w:p>
            <w:pPr>
              <w:rPr>
                <w:rFonts w:cs="宋体"/>
                <w:b/>
                <w:bCs/>
                <w:szCs w:val="21"/>
              </w:rPr>
            </w:pPr>
            <w:r>
              <w:rPr>
                <w:rFonts w:hint="eastAsia" w:cs="宋体"/>
                <w:b/>
                <w:bCs/>
                <w:szCs w:val="21"/>
              </w:rPr>
              <w:t>　</w:t>
            </w:r>
          </w:p>
        </w:tc>
        <w:tc>
          <w:tcPr>
            <w:tcW w:w="423" w:type="pct"/>
            <w:shd w:val="clear" w:color="auto" w:fill="FFFFFF" w:themeFill="background1"/>
            <w:vAlign w:val="center"/>
          </w:tcPr>
          <w:p>
            <w:pPr>
              <w:jc w:val="center"/>
              <w:rPr>
                <w:rFonts w:cs="宋体"/>
                <w:b/>
                <w:bCs/>
                <w:szCs w:val="21"/>
              </w:rPr>
            </w:pPr>
            <w:r>
              <w:rPr>
                <w:rFonts w:hint="eastAsia" w:cs="宋体"/>
                <w:b/>
                <w:bCs/>
                <w:szCs w:val="21"/>
              </w:rPr>
              <w:t>　</w:t>
            </w:r>
          </w:p>
        </w:tc>
        <w:tc>
          <w:tcPr>
            <w:tcW w:w="338" w:type="pct"/>
            <w:shd w:val="clear" w:color="auto" w:fill="FFFFFF" w:themeFill="background1"/>
            <w:vAlign w:val="center"/>
          </w:tcPr>
          <w:p>
            <w:pP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8.1</w:t>
            </w:r>
          </w:p>
        </w:tc>
        <w:tc>
          <w:tcPr>
            <w:tcW w:w="960" w:type="pct"/>
            <w:gridSpan w:val="2"/>
            <w:shd w:val="clear" w:color="auto" w:fill="FFFFFF" w:themeFill="background1"/>
            <w:vAlign w:val="center"/>
          </w:tcPr>
          <w:p>
            <w:pPr>
              <w:jc w:val="center"/>
              <w:rPr>
                <w:rFonts w:cs="宋体"/>
                <w:szCs w:val="21"/>
              </w:rPr>
            </w:pPr>
            <w:r>
              <w:rPr>
                <w:rFonts w:hint="eastAsia" w:cs="宋体"/>
                <w:szCs w:val="21"/>
              </w:rPr>
              <w:t>系统联合调试费</w:t>
            </w:r>
          </w:p>
        </w:tc>
        <w:tc>
          <w:tcPr>
            <w:tcW w:w="2588" w:type="pct"/>
            <w:shd w:val="clear" w:color="auto" w:fill="FFFFFF" w:themeFill="background1"/>
            <w:vAlign w:val="center"/>
          </w:tcPr>
          <w:p>
            <w:pPr>
              <w:rPr>
                <w:rFonts w:cs="宋体"/>
                <w:szCs w:val="21"/>
              </w:rPr>
            </w:pPr>
            <w:r>
              <w:rPr>
                <w:rFonts w:hint="eastAsia" w:cs="宋体"/>
                <w:szCs w:val="21"/>
              </w:rPr>
              <w:t>设备调试费用</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8.</w:t>
            </w:r>
            <w:r>
              <w:rPr>
                <w:rFonts w:hint="eastAsia" w:cs="宋体"/>
                <w:szCs w:val="21"/>
                <w:lang w:val="en-US" w:eastAsia="zh-CN"/>
              </w:rPr>
              <w:t>2</w:t>
            </w:r>
          </w:p>
        </w:tc>
        <w:tc>
          <w:tcPr>
            <w:tcW w:w="960" w:type="pct"/>
            <w:gridSpan w:val="2"/>
            <w:shd w:val="clear" w:color="auto" w:fill="FFFFFF" w:themeFill="background1"/>
            <w:vAlign w:val="center"/>
          </w:tcPr>
          <w:p>
            <w:pPr>
              <w:jc w:val="center"/>
              <w:rPr>
                <w:rFonts w:cs="宋体"/>
                <w:szCs w:val="21"/>
              </w:rPr>
            </w:pPr>
            <w:r>
              <w:rPr>
                <w:rFonts w:hint="eastAsia" w:cs="宋体"/>
                <w:szCs w:val="21"/>
              </w:rPr>
              <w:t>设备运输费</w:t>
            </w:r>
          </w:p>
        </w:tc>
        <w:tc>
          <w:tcPr>
            <w:tcW w:w="2588" w:type="pct"/>
            <w:shd w:val="clear" w:color="auto" w:fill="FFFFFF" w:themeFill="background1"/>
            <w:vAlign w:val="center"/>
          </w:tcPr>
          <w:p>
            <w:pPr>
              <w:rPr>
                <w:rFonts w:cs="宋体"/>
                <w:szCs w:val="21"/>
              </w:rPr>
            </w:pPr>
            <w:r>
              <w:rPr>
                <w:rFonts w:hint="eastAsia" w:cs="宋体"/>
                <w:szCs w:val="21"/>
              </w:rPr>
              <w:t>台面运输及现场小件运输费。</w:t>
            </w:r>
          </w:p>
        </w:tc>
        <w:tc>
          <w:tcPr>
            <w:tcW w:w="292" w:type="pct"/>
            <w:shd w:val="clear" w:color="auto" w:fill="FFFFFF" w:themeFill="background1"/>
            <w:vAlign w:val="center"/>
          </w:tcPr>
          <w:p>
            <w:pPr>
              <w:jc w:val="center"/>
              <w:rPr>
                <w:rFonts w:cs="宋体"/>
                <w:szCs w:val="21"/>
              </w:rPr>
            </w:pPr>
            <w:r>
              <w:rPr>
                <w:rFonts w:hint="eastAsia" w:cs="宋体"/>
                <w:szCs w:val="21"/>
              </w:rPr>
              <w:t>车道</w:t>
            </w:r>
          </w:p>
        </w:tc>
        <w:tc>
          <w:tcPr>
            <w:tcW w:w="423" w:type="pct"/>
            <w:shd w:val="clear" w:color="auto" w:fill="FFFFFF" w:themeFill="background1"/>
            <w:vAlign w:val="center"/>
          </w:tcPr>
          <w:p>
            <w:pPr>
              <w:jc w:val="center"/>
              <w:rPr>
                <w:rFonts w:cs="宋体"/>
                <w:szCs w:val="21"/>
              </w:rPr>
            </w:pPr>
            <w:r>
              <w:rPr>
                <w:rFonts w:hint="eastAsia" w:cs="宋体"/>
                <w:szCs w:val="21"/>
              </w:rPr>
              <w:t>4</w:t>
            </w:r>
          </w:p>
        </w:tc>
        <w:tc>
          <w:tcPr>
            <w:tcW w:w="338" w:type="pct"/>
            <w:shd w:val="clear" w:color="auto" w:fill="FFFFFF" w:themeFill="background1"/>
            <w:vAlign w:val="center"/>
          </w:tcPr>
          <w:p>
            <w:pP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b/>
                <w:bCs/>
                <w:szCs w:val="21"/>
              </w:rPr>
            </w:pPr>
            <w:r>
              <w:rPr>
                <w:rFonts w:hint="eastAsia" w:cs="宋体"/>
                <w:b/>
                <w:bCs/>
                <w:szCs w:val="21"/>
              </w:rPr>
              <w:t>9</w:t>
            </w:r>
          </w:p>
        </w:tc>
        <w:tc>
          <w:tcPr>
            <w:tcW w:w="960" w:type="pct"/>
            <w:gridSpan w:val="2"/>
            <w:shd w:val="clear" w:color="auto" w:fill="FFFFFF" w:themeFill="background1"/>
            <w:vAlign w:val="center"/>
          </w:tcPr>
          <w:p>
            <w:pPr>
              <w:rPr>
                <w:rFonts w:cs="宋体"/>
                <w:b/>
                <w:bCs/>
                <w:szCs w:val="21"/>
              </w:rPr>
            </w:pPr>
            <w:r>
              <w:rPr>
                <w:rFonts w:hint="eastAsia" w:cs="宋体"/>
                <w:b/>
                <w:bCs/>
                <w:szCs w:val="21"/>
              </w:rPr>
              <w:t>平台数据对接及存储</w:t>
            </w:r>
          </w:p>
        </w:tc>
        <w:tc>
          <w:tcPr>
            <w:tcW w:w="2588" w:type="pct"/>
            <w:shd w:val="clear" w:color="auto" w:fill="FFFFFF" w:themeFill="background1"/>
            <w:vAlign w:val="center"/>
          </w:tcPr>
          <w:p>
            <w:pPr>
              <w:jc w:val="center"/>
              <w:rPr>
                <w:rFonts w:cs="宋体"/>
                <w:b/>
                <w:bCs/>
                <w:szCs w:val="21"/>
              </w:rPr>
            </w:pPr>
            <w:r>
              <w:rPr>
                <w:rFonts w:hint="eastAsia" w:cs="宋体"/>
                <w:b/>
                <w:bCs/>
                <w:szCs w:val="21"/>
              </w:rPr>
              <w:t>　</w:t>
            </w:r>
          </w:p>
        </w:tc>
        <w:tc>
          <w:tcPr>
            <w:tcW w:w="292" w:type="pct"/>
            <w:shd w:val="clear" w:color="auto" w:fill="FFFFFF" w:themeFill="background1"/>
            <w:vAlign w:val="center"/>
          </w:tcPr>
          <w:p>
            <w:pPr>
              <w:jc w:val="center"/>
              <w:rPr>
                <w:rFonts w:cs="宋体"/>
                <w:b/>
                <w:bCs/>
                <w:szCs w:val="21"/>
              </w:rPr>
            </w:pPr>
            <w:r>
              <w:rPr>
                <w:rFonts w:hint="eastAsia" w:cs="宋体"/>
                <w:b/>
                <w:bCs/>
                <w:szCs w:val="21"/>
              </w:rPr>
              <w:t>　</w:t>
            </w:r>
          </w:p>
        </w:tc>
        <w:tc>
          <w:tcPr>
            <w:tcW w:w="423" w:type="pct"/>
            <w:shd w:val="clear" w:color="auto" w:fill="FFFFFF" w:themeFill="background1"/>
            <w:vAlign w:val="center"/>
          </w:tcPr>
          <w:p>
            <w:pPr>
              <w:jc w:val="center"/>
              <w:rPr>
                <w:rFonts w:cs="宋体"/>
                <w:b/>
                <w:bCs/>
                <w:szCs w:val="21"/>
              </w:rPr>
            </w:pPr>
            <w:r>
              <w:rPr>
                <w:rFonts w:hint="eastAsia" w:cs="宋体"/>
                <w:b/>
                <w:bCs/>
                <w:szCs w:val="21"/>
              </w:rPr>
              <w:t>　</w:t>
            </w:r>
          </w:p>
        </w:tc>
        <w:tc>
          <w:tcPr>
            <w:tcW w:w="338" w:type="pct"/>
            <w:shd w:val="clear" w:color="auto" w:fill="FFFFFF" w:themeFill="background1"/>
            <w:vAlign w:val="center"/>
          </w:tcPr>
          <w:p>
            <w:pPr>
              <w:jc w:val="center"/>
              <w:rPr>
                <w:rFonts w:cs="宋体"/>
                <w:b/>
                <w:bCs/>
                <w:szCs w:val="21"/>
              </w:rPr>
            </w:pPr>
            <w:r>
              <w:rPr>
                <w:rFonts w:hint="eastAsia" w:cs="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9.1</w:t>
            </w:r>
          </w:p>
        </w:tc>
        <w:tc>
          <w:tcPr>
            <w:tcW w:w="960" w:type="pct"/>
            <w:gridSpan w:val="2"/>
            <w:shd w:val="clear" w:color="auto" w:fill="FFFFFF" w:themeFill="background1"/>
            <w:vAlign w:val="center"/>
          </w:tcPr>
          <w:p>
            <w:pPr>
              <w:jc w:val="center"/>
              <w:rPr>
                <w:rFonts w:cs="宋体"/>
                <w:szCs w:val="21"/>
              </w:rPr>
            </w:pPr>
            <w:r>
              <w:rPr>
                <w:rFonts w:hint="eastAsia" w:cs="宋体"/>
                <w:szCs w:val="21"/>
              </w:rPr>
              <w:t>市政桥梁超限监测与运行管理系统</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 xml:space="preserve">1、站点数据采集与存储：各类站点称重检测数据的实时接入管理，实现超限检测站、非现场检测点、源头检测点、流动治超等检测信息的接收、处理、校验、入库等功能。对于具备取证功能的站点，接入现场采集的图片、视频等证据信息。 </w:t>
            </w:r>
          </w:p>
          <w:p>
            <w:pPr>
              <w:rPr>
                <w:rFonts w:hint="eastAsia" w:eastAsia="仿宋" w:cs="宋体"/>
                <w:szCs w:val="21"/>
                <w:lang w:eastAsia="zh-CN"/>
              </w:rPr>
            </w:pPr>
            <w:r>
              <w:rPr>
                <w:rFonts w:hint="eastAsia" w:cs="宋体"/>
                <w:szCs w:val="21"/>
              </w:rPr>
              <w:t xml:space="preserve">2、超限数据监管：通过汇集全市各类治超站点的称重检测数据、治超案件数据，实现治超机构人员信息、治超各类站点基础信息、称重及视频监控等设施设备基础信息与运行信息、车辆检测信息等统一采集、管理的基础功能，实现对超限超载情况的运行检测和治超业务开展情况的监督。具体包括基础信息管理、检测信息管理、运行监管、治超业务监督、综合统计分析、执法数据存储。 </w:t>
            </w:r>
          </w:p>
          <w:p>
            <w:pPr>
              <w:rPr>
                <w:rFonts w:hint="eastAsia" w:eastAsia="仿宋" w:cs="宋体"/>
                <w:szCs w:val="21"/>
                <w:lang w:eastAsia="zh-CN"/>
              </w:rPr>
            </w:pPr>
            <w:r>
              <w:rPr>
                <w:rFonts w:hint="eastAsia" w:cs="宋体"/>
                <w:szCs w:val="21"/>
              </w:rPr>
              <w:t xml:space="preserve">3、超限数据统计分析：分别对分时车流量、车籍地、及超限率分布进行统计，可自行设定统计的时间范围、区域、站点、车道、方向、车轴数；可手动选择是否过滤小车数据；统计结果以统计图表和统计数据表两种形式展现，可保存统计图表到本地。 </w:t>
            </w:r>
          </w:p>
          <w:p>
            <w:pPr>
              <w:rPr>
                <w:rFonts w:hint="eastAsia" w:eastAsia="仿宋" w:cs="宋体"/>
                <w:szCs w:val="21"/>
                <w:lang w:eastAsia="zh-CN"/>
              </w:rPr>
            </w:pPr>
            <w:r>
              <w:rPr>
                <w:rFonts w:hint="eastAsia" w:cs="宋体"/>
                <w:szCs w:val="21"/>
              </w:rPr>
              <w:t xml:space="preserve">4、超限数据告警提醒：根据设定的超限告警阈值或其他告警规则，对检测到的符合条件的超限车辆进行告警，实时弹出告警车辆信息进行提示，并且可对告警信息进行语音播报等操作。 </w:t>
            </w:r>
          </w:p>
          <w:p>
            <w:pPr>
              <w:rPr>
                <w:rFonts w:cs="宋体"/>
                <w:szCs w:val="21"/>
              </w:rPr>
            </w:pPr>
            <w:r>
              <w:rPr>
                <w:rFonts w:hint="eastAsia" w:cs="宋体"/>
                <w:szCs w:val="21"/>
              </w:rPr>
              <w:t>5、基础数据信息：提供车辆信息、区域信息、机构信息、站点信息、设备信息等基础信息的编辑维护和管理功能。</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w:t>
            </w:r>
          </w:p>
        </w:tc>
        <w:tc>
          <w:tcPr>
            <w:tcW w:w="338" w:type="pct"/>
            <w:shd w:val="clear" w:color="auto" w:fill="FFFFFF" w:themeFill="background1"/>
            <w:noWrap/>
            <w:vAlign w:val="center"/>
          </w:tcPr>
          <w:p>
            <w:pPr>
              <w:jc w:val="cente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9.2</w:t>
            </w:r>
          </w:p>
        </w:tc>
        <w:tc>
          <w:tcPr>
            <w:tcW w:w="960" w:type="pct"/>
            <w:gridSpan w:val="2"/>
            <w:shd w:val="clear" w:color="auto" w:fill="FFFFFF" w:themeFill="background1"/>
            <w:vAlign w:val="center"/>
          </w:tcPr>
          <w:p>
            <w:pPr>
              <w:jc w:val="center"/>
              <w:rPr>
                <w:rFonts w:cs="宋体"/>
                <w:szCs w:val="21"/>
              </w:rPr>
            </w:pPr>
            <w:r>
              <w:rPr>
                <w:rFonts w:hint="eastAsia" w:cs="宋体"/>
                <w:szCs w:val="21"/>
              </w:rPr>
              <w:t>上桥卡口数据展示模块</w:t>
            </w:r>
          </w:p>
        </w:tc>
        <w:tc>
          <w:tcPr>
            <w:tcW w:w="2588" w:type="pct"/>
            <w:shd w:val="clear" w:color="auto" w:fill="FFFFFF" w:themeFill="background1"/>
            <w:vAlign w:val="center"/>
          </w:tcPr>
          <w:p>
            <w:pPr>
              <w:rPr>
                <w:rFonts w:cs="宋体"/>
                <w:szCs w:val="21"/>
              </w:rPr>
            </w:pPr>
            <w:r>
              <w:rPr>
                <w:rFonts w:hint="eastAsia" w:cs="宋体"/>
                <w:szCs w:val="21"/>
              </w:rPr>
              <w:t>车辆上桥照片、小视频数据接入，并与超限车辆数据进行匹配；</w:t>
            </w:r>
          </w:p>
        </w:tc>
        <w:tc>
          <w:tcPr>
            <w:tcW w:w="292" w:type="pct"/>
            <w:shd w:val="clear" w:color="auto" w:fill="FFFFFF" w:themeFill="background1"/>
            <w:vAlign w:val="center"/>
          </w:tcPr>
          <w:p>
            <w:pPr>
              <w:jc w:val="center"/>
              <w:rPr>
                <w:rFonts w:cs="宋体"/>
                <w:szCs w:val="21"/>
              </w:rPr>
            </w:pPr>
            <w:r>
              <w:rPr>
                <w:rFonts w:hint="eastAsia" w:cs="宋体"/>
                <w:szCs w:val="21"/>
              </w:rPr>
              <w:t>项</w:t>
            </w:r>
          </w:p>
        </w:tc>
        <w:tc>
          <w:tcPr>
            <w:tcW w:w="423" w:type="pct"/>
            <w:shd w:val="clear" w:color="auto" w:fill="FFFFFF" w:themeFill="background1"/>
            <w:vAlign w:val="center"/>
          </w:tcPr>
          <w:p>
            <w:pPr>
              <w:jc w:val="center"/>
              <w:rPr>
                <w:rFonts w:cs="宋体"/>
                <w:szCs w:val="21"/>
              </w:rPr>
            </w:pPr>
            <w:r>
              <w:rPr>
                <w:rFonts w:hint="eastAsia" w:cs="宋体"/>
                <w:szCs w:val="21"/>
              </w:rPr>
              <w:t>1</w:t>
            </w:r>
          </w:p>
        </w:tc>
        <w:tc>
          <w:tcPr>
            <w:tcW w:w="338" w:type="pct"/>
            <w:shd w:val="clear" w:color="auto" w:fill="FFFFFF" w:themeFill="background1"/>
            <w:noWrap/>
            <w:vAlign w:val="center"/>
          </w:tcPr>
          <w:p>
            <w:pPr>
              <w:jc w:val="cente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9.3</w:t>
            </w:r>
          </w:p>
        </w:tc>
        <w:tc>
          <w:tcPr>
            <w:tcW w:w="960" w:type="pct"/>
            <w:gridSpan w:val="2"/>
            <w:shd w:val="clear" w:color="auto" w:fill="FFFFFF" w:themeFill="background1"/>
            <w:vAlign w:val="center"/>
          </w:tcPr>
          <w:p>
            <w:pPr>
              <w:jc w:val="center"/>
              <w:rPr>
                <w:rFonts w:cs="宋体"/>
                <w:szCs w:val="21"/>
              </w:rPr>
            </w:pPr>
            <w:r>
              <w:rPr>
                <w:rFonts w:hint="eastAsia" w:cs="宋体"/>
                <w:szCs w:val="21"/>
              </w:rPr>
              <w:t>上级数据平台对接</w:t>
            </w:r>
          </w:p>
        </w:tc>
        <w:tc>
          <w:tcPr>
            <w:tcW w:w="2588" w:type="pct"/>
            <w:shd w:val="clear" w:color="auto" w:fill="FFFFFF" w:themeFill="background1"/>
            <w:vAlign w:val="center"/>
          </w:tcPr>
          <w:p>
            <w:pPr>
              <w:rPr>
                <w:rFonts w:cs="宋体"/>
                <w:szCs w:val="21"/>
              </w:rPr>
            </w:pPr>
            <w:r>
              <w:rPr>
                <w:rFonts w:hint="eastAsia" w:cs="宋体"/>
                <w:szCs w:val="21"/>
              </w:rPr>
              <w:t>对接第三方平台</w:t>
            </w:r>
            <w:r>
              <w:rPr>
                <w:rFonts w:hint="eastAsia" w:cs="宋体"/>
                <w:szCs w:val="21"/>
                <w:lang w:eastAsia="zh-CN"/>
              </w:rPr>
              <w:t>（</w:t>
            </w:r>
            <w:r>
              <w:rPr>
                <w:rFonts w:hint="eastAsia" w:cs="宋体"/>
                <w:szCs w:val="21"/>
                <w:lang w:val="en-US" w:eastAsia="zh-CN"/>
              </w:rPr>
              <w:t>市、区平台</w:t>
            </w:r>
            <w:r>
              <w:rPr>
                <w:rFonts w:hint="eastAsia" w:cs="宋体"/>
                <w:szCs w:val="21"/>
                <w:lang w:eastAsia="zh-CN"/>
              </w:rPr>
              <w:t>）</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w:t>
            </w:r>
          </w:p>
        </w:tc>
        <w:tc>
          <w:tcPr>
            <w:tcW w:w="338" w:type="pct"/>
            <w:shd w:val="clear" w:color="auto" w:fill="FFFFFF" w:themeFill="background1"/>
            <w:noWrap/>
            <w:vAlign w:val="center"/>
          </w:tcPr>
          <w:p>
            <w:pPr>
              <w:jc w:val="cente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9.5</w:t>
            </w:r>
          </w:p>
        </w:tc>
        <w:tc>
          <w:tcPr>
            <w:tcW w:w="960" w:type="pct"/>
            <w:gridSpan w:val="2"/>
            <w:shd w:val="clear" w:color="auto" w:fill="FFFFFF" w:themeFill="background1"/>
            <w:vAlign w:val="center"/>
          </w:tcPr>
          <w:p>
            <w:pPr>
              <w:jc w:val="center"/>
              <w:rPr>
                <w:rFonts w:cs="宋体"/>
                <w:szCs w:val="21"/>
              </w:rPr>
            </w:pPr>
            <w:r>
              <w:rPr>
                <w:rFonts w:hint="eastAsia" w:cs="宋体"/>
                <w:szCs w:val="21"/>
              </w:rPr>
              <w:t>治超数据处理终端</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支持不小于4210R×1/32G DDR4/1.2T 10K</w:t>
            </w:r>
            <w:r>
              <w:rPr>
                <w:rFonts w:hint="eastAsia" w:ascii="宋体" w:hAnsi="宋体" w:cs="宋体"/>
                <w:szCs w:val="21"/>
              </w:rPr>
              <w:t> </w:t>
            </w:r>
            <w:r>
              <w:rPr>
                <w:rFonts w:hint="eastAsia" w:cs="宋体"/>
                <w:szCs w:val="21"/>
              </w:rPr>
              <w:t xml:space="preserve"> SAS×2(RAID_1)/SAS_HBA/1GbE×2/550W(1+1)/2U/16DIMM</w:t>
            </w:r>
          </w:p>
          <w:p>
            <w:pPr>
              <w:rPr>
                <w:rFonts w:hint="eastAsia" w:eastAsia="仿宋" w:cs="宋体"/>
                <w:szCs w:val="21"/>
                <w:lang w:eastAsia="zh-CN"/>
              </w:rPr>
            </w:pPr>
            <w:r>
              <w:rPr>
                <w:rFonts w:hint="eastAsia" w:cs="宋体"/>
                <w:szCs w:val="21"/>
              </w:rPr>
              <w:t>CPU：不小于1颗intel至强系列处理器，核数≥10核，主频≥2.4GHz</w:t>
            </w:r>
          </w:p>
          <w:p>
            <w:pPr>
              <w:rPr>
                <w:rFonts w:hint="eastAsia" w:eastAsia="仿宋" w:cs="宋体"/>
                <w:szCs w:val="21"/>
                <w:lang w:eastAsia="zh-CN"/>
              </w:rPr>
            </w:pPr>
            <w:r>
              <w:rPr>
                <w:rFonts w:hint="eastAsia" w:cs="宋体"/>
                <w:szCs w:val="21"/>
              </w:rPr>
              <w:t>内存：不小于16G*2 DDR4，16根内存插槽，最大支持扩展至2TB内存</w:t>
            </w:r>
          </w:p>
          <w:p>
            <w:pPr>
              <w:rPr>
                <w:rFonts w:hint="eastAsia" w:eastAsia="仿宋" w:cs="宋体"/>
                <w:szCs w:val="21"/>
                <w:lang w:eastAsia="zh-CN"/>
              </w:rPr>
            </w:pPr>
            <w:r>
              <w:rPr>
                <w:rFonts w:hint="eastAsia" w:cs="宋体"/>
                <w:szCs w:val="21"/>
              </w:rPr>
              <w:t>硬盘：不小于2块1.2T 10K 2.5寸 SAS硬盘</w:t>
            </w:r>
          </w:p>
          <w:p>
            <w:pPr>
              <w:rPr>
                <w:rFonts w:hint="eastAsia" w:eastAsia="仿宋" w:cs="宋体"/>
                <w:szCs w:val="21"/>
                <w:lang w:eastAsia="zh-CN"/>
              </w:rPr>
            </w:pPr>
            <w:r>
              <w:rPr>
                <w:rFonts w:hint="eastAsia" w:cs="宋体"/>
                <w:szCs w:val="21"/>
              </w:rPr>
              <w:t>阵列卡：SAS_HBA卡, 支持RAID 0/1/10</w:t>
            </w:r>
          </w:p>
          <w:p>
            <w:pPr>
              <w:rPr>
                <w:rFonts w:hint="eastAsia" w:eastAsia="仿宋" w:cs="宋体"/>
                <w:szCs w:val="21"/>
                <w:lang w:eastAsia="zh-CN"/>
              </w:rPr>
            </w:pPr>
            <w:r>
              <w:rPr>
                <w:rFonts w:hint="eastAsia" w:cs="宋体"/>
                <w:szCs w:val="21"/>
              </w:rPr>
              <w:t>PCIE扩展：最大可支持5个PCIE扩展插槽</w:t>
            </w:r>
          </w:p>
          <w:p>
            <w:pPr>
              <w:rPr>
                <w:rFonts w:hint="eastAsia" w:eastAsia="仿宋" w:cs="宋体"/>
                <w:szCs w:val="21"/>
                <w:lang w:eastAsia="zh-CN"/>
              </w:rPr>
            </w:pPr>
            <w:r>
              <w:rPr>
                <w:rFonts w:hint="eastAsia" w:cs="宋体"/>
                <w:szCs w:val="21"/>
              </w:rPr>
              <w:t>网口：不小于2个千兆电口</w:t>
            </w:r>
          </w:p>
          <w:p>
            <w:pPr>
              <w:rPr>
                <w:rFonts w:hint="eastAsia" w:eastAsia="仿宋" w:cs="宋体"/>
                <w:szCs w:val="21"/>
                <w:lang w:eastAsia="zh-CN"/>
              </w:rPr>
            </w:pPr>
            <w:r>
              <w:rPr>
                <w:rFonts w:hint="eastAsia" w:cs="宋体"/>
                <w:szCs w:val="21"/>
              </w:rPr>
              <w:t>其他接口：不小于1个RJ45管理接口，后置2个USB 3.0接口，前置2个USB2.0接口，1个VGA接口</w:t>
            </w:r>
          </w:p>
          <w:p>
            <w:pPr>
              <w:rPr>
                <w:rFonts w:hint="eastAsia" w:eastAsia="仿宋" w:cs="宋体"/>
                <w:szCs w:val="21"/>
                <w:lang w:eastAsia="zh-CN"/>
              </w:rPr>
            </w:pPr>
            <w:r>
              <w:rPr>
                <w:rFonts w:hint="eastAsia" w:cs="宋体"/>
                <w:szCs w:val="21"/>
              </w:rPr>
              <w:t xml:space="preserve">电源：不小于标配550W（1+1）高效铂金CRPS冗余电源 </w:t>
            </w:r>
          </w:p>
          <w:p>
            <w:pPr>
              <w:rPr>
                <w:rFonts w:hint="eastAsia" w:eastAsia="仿宋" w:cs="宋体"/>
                <w:szCs w:val="21"/>
                <w:lang w:eastAsia="zh-CN"/>
              </w:rPr>
            </w:pPr>
            <w:r>
              <w:rPr>
                <w:rFonts w:hint="eastAsia" w:cs="宋体"/>
                <w:szCs w:val="21"/>
              </w:rPr>
              <w:t>机箱规格：≤87.8mm(高)x 448mm(宽)x729.8mm(深)</w:t>
            </w:r>
          </w:p>
          <w:p>
            <w:pPr>
              <w:rPr>
                <w:rFonts w:cs="宋体"/>
                <w:szCs w:val="21"/>
              </w:rPr>
            </w:pPr>
            <w:r>
              <w:rPr>
                <w:rFonts w:hint="eastAsia" w:cs="宋体"/>
                <w:szCs w:val="21"/>
              </w:rPr>
              <w:t>设备重量：≤26KG（含导轨）</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w:t>
            </w:r>
          </w:p>
        </w:tc>
        <w:tc>
          <w:tcPr>
            <w:tcW w:w="338" w:type="pct"/>
            <w:shd w:val="clear" w:color="auto" w:fill="FFFFFF" w:themeFill="background1"/>
            <w:noWrap/>
            <w:vAlign w:val="center"/>
          </w:tcPr>
          <w:p>
            <w:pPr>
              <w:jc w:val="cente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9.6</w:t>
            </w:r>
          </w:p>
        </w:tc>
        <w:tc>
          <w:tcPr>
            <w:tcW w:w="960" w:type="pct"/>
            <w:gridSpan w:val="2"/>
            <w:shd w:val="clear" w:color="auto" w:fill="FFFFFF" w:themeFill="background1"/>
            <w:vAlign w:val="center"/>
          </w:tcPr>
          <w:p>
            <w:pPr>
              <w:jc w:val="center"/>
              <w:rPr>
                <w:rFonts w:cs="宋体"/>
                <w:szCs w:val="21"/>
              </w:rPr>
            </w:pPr>
            <w:r>
              <w:rPr>
                <w:rFonts w:hint="eastAsia" w:cs="宋体"/>
                <w:szCs w:val="21"/>
              </w:rPr>
              <w:t>磁盘阵列</w:t>
            </w:r>
          </w:p>
        </w:tc>
        <w:tc>
          <w:tcPr>
            <w:tcW w:w="2588" w:type="pct"/>
            <w:shd w:val="clear" w:color="auto" w:fill="FFFFFF" w:themeFill="background1"/>
            <w:vAlign w:val="center"/>
          </w:tcPr>
          <w:p>
            <w:pPr>
              <w:rPr>
                <w:rFonts w:hint="eastAsia" w:eastAsia="仿宋" w:cs="宋体"/>
                <w:szCs w:val="21"/>
                <w:lang w:eastAsia="zh-CN"/>
              </w:rPr>
            </w:pPr>
            <w:r>
              <w:rPr>
                <w:rFonts w:hint="eastAsia" w:cs="宋体"/>
                <w:szCs w:val="21"/>
              </w:rPr>
              <w:t>机架式/4U 24盘位/1024Mbps接入带宽/企业级SATA硬盘/64位多核处理器/4GB缓存（可扩展至64GB））/2个千兆数据网口/1个千兆管理网口/冗余电源/网络协议：RTSP/ONVIF/PSIA/（GB/T28181）</w:t>
            </w:r>
          </w:p>
          <w:p>
            <w:pPr>
              <w:rPr>
                <w:rFonts w:hint="eastAsia" w:eastAsia="仿宋" w:cs="宋体"/>
                <w:szCs w:val="21"/>
                <w:lang w:eastAsia="zh-CN"/>
              </w:rPr>
            </w:pPr>
            <w:r>
              <w:rPr>
                <w:rFonts w:hint="eastAsia" w:cs="宋体"/>
                <w:szCs w:val="21"/>
              </w:rPr>
              <w:t>支持 ONVIF、PSIA、TCP/IP、UDP、SIP、SIP2.0、RTSP、RTP、RTCP、iSCSI、CIFS(SMB)、NFS、FTP、HTTP、AFP、RSYNC、SNMP、IPV4、IPV6、HLS、ehome、ISAPI、S3、OSS等协议</w:t>
            </w:r>
          </w:p>
          <w:p>
            <w:pPr>
              <w:rPr>
                <w:rFonts w:hint="eastAsia" w:eastAsia="仿宋" w:cs="宋体"/>
                <w:szCs w:val="21"/>
                <w:lang w:eastAsia="zh-CN"/>
              </w:rPr>
            </w:pPr>
            <w:r>
              <w:rPr>
                <w:rFonts w:hint="eastAsia" w:cs="宋体"/>
                <w:szCs w:val="21"/>
              </w:rPr>
              <w:t>支持视频矫正功能，可将接入的鱼眼摄像机、双目摄像机和全景自拼接摄像机（鹰眼摄像机）、智能相机（深眸智能摄像机）、热成像摄像机的图像以多画面分割方式显示并进行调整；支持画中画通道视频显示和存储</w:t>
            </w:r>
          </w:p>
          <w:p>
            <w:pPr>
              <w:rPr>
                <w:rFonts w:cs="宋体"/>
                <w:szCs w:val="21"/>
              </w:rPr>
            </w:pPr>
            <w:r>
              <w:rPr>
                <w:rFonts w:hint="eastAsia" w:cs="仿宋"/>
                <w:szCs w:val="21"/>
              </w:rPr>
              <w:t>●</w:t>
            </w:r>
            <w:r>
              <w:rPr>
                <w:rFonts w:hint="eastAsia" w:cs="宋体"/>
                <w:szCs w:val="21"/>
              </w:rPr>
              <w:t>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以公安部检测报告为准）</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w:t>
            </w:r>
          </w:p>
        </w:tc>
        <w:tc>
          <w:tcPr>
            <w:tcW w:w="338" w:type="pct"/>
            <w:shd w:val="clear" w:color="auto" w:fill="FFFFFF" w:themeFill="background1"/>
            <w:noWrap/>
            <w:vAlign w:val="center"/>
          </w:tcPr>
          <w:p>
            <w:pPr>
              <w:jc w:val="center"/>
              <w:rPr>
                <w:rFonts w:cs="宋体"/>
                <w:szCs w:val="21"/>
              </w:rPr>
            </w:pPr>
            <w:r>
              <w:rPr>
                <w:rFonts w:hint="eastAsia"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96" w:type="pct"/>
            <w:shd w:val="clear" w:color="auto" w:fill="FFFFFF" w:themeFill="background1"/>
            <w:vAlign w:val="center"/>
          </w:tcPr>
          <w:p>
            <w:pPr>
              <w:jc w:val="center"/>
              <w:rPr>
                <w:rFonts w:cs="宋体"/>
                <w:szCs w:val="21"/>
              </w:rPr>
            </w:pPr>
            <w:r>
              <w:rPr>
                <w:rFonts w:hint="eastAsia" w:cs="宋体"/>
                <w:szCs w:val="21"/>
              </w:rPr>
              <w:t>9.7</w:t>
            </w:r>
          </w:p>
        </w:tc>
        <w:tc>
          <w:tcPr>
            <w:tcW w:w="960" w:type="pct"/>
            <w:gridSpan w:val="2"/>
            <w:shd w:val="clear" w:color="auto" w:fill="FFFFFF" w:themeFill="background1"/>
            <w:vAlign w:val="center"/>
          </w:tcPr>
          <w:p>
            <w:pPr>
              <w:jc w:val="center"/>
              <w:rPr>
                <w:rFonts w:cs="宋体"/>
                <w:szCs w:val="21"/>
              </w:rPr>
            </w:pPr>
            <w:r>
              <w:rPr>
                <w:rFonts w:hint="eastAsia" w:cs="宋体"/>
                <w:szCs w:val="21"/>
              </w:rPr>
              <w:t>存储硬盘</w:t>
            </w:r>
          </w:p>
        </w:tc>
        <w:tc>
          <w:tcPr>
            <w:tcW w:w="2588" w:type="pct"/>
            <w:shd w:val="clear" w:color="auto" w:fill="FFFFFF" w:themeFill="background1"/>
            <w:vAlign w:val="center"/>
          </w:tcPr>
          <w:p>
            <w:pPr>
              <w:rPr>
                <w:rFonts w:cs="宋体"/>
                <w:szCs w:val="21"/>
              </w:rPr>
            </w:pPr>
            <w:r>
              <w:rPr>
                <w:rFonts w:hint="eastAsia" w:cs="宋体"/>
                <w:szCs w:val="21"/>
              </w:rPr>
              <w:t>8T SAS/SATA硬盘</w:t>
            </w:r>
          </w:p>
        </w:tc>
        <w:tc>
          <w:tcPr>
            <w:tcW w:w="292" w:type="pct"/>
            <w:shd w:val="clear" w:color="auto" w:fill="FFFFFF" w:themeFill="background1"/>
            <w:vAlign w:val="center"/>
          </w:tcPr>
          <w:p>
            <w:pPr>
              <w:jc w:val="center"/>
              <w:rPr>
                <w:rFonts w:cs="宋体"/>
                <w:szCs w:val="21"/>
              </w:rPr>
            </w:pPr>
            <w:r>
              <w:rPr>
                <w:rFonts w:hint="eastAsia" w:cs="宋体"/>
                <w:szCs w:val="21"/>
              </w:rPr>
              <w:t>套</w:t>
            </w:r>
          </w:p>
        </w:tc>
        <w:tc>
          <w:tcPr>
            <w:tcW w:w="423" w:type="pct"/>
            <w:shd w:val="clear" w:color="auto" w:fill="FFFFFF" w:themeFill="background1"/>
            <w:vAlign w:val="center"/>
          </w:tcPr>
          <w:p>
            <w:pPr>
              <w:jc w:val="center"/>
              <w:rPr>
                <w:rFonts w:cs="宋体"/>
                <w:szCs w:val="21"/>
              </w:rPr>
            </w:pPr>
            <w:r>
              <w:rPr>
                <w:rFonts w:hint="eastAsia" w:cs="宋体"/>
                <w:szCs w:val="21"/>
              </w:rPr>
              <w:t>10</w:t>
            </w:r>
          </w:p>
        </w:tc>
        <w:tc>
          <w:tcPr>
            <w:tcW w:w="338" w:type="pct"/>
            <w:shd w:val="clear" w:color="auto" w:fill="FFFFFF" w:themeFill="background1"/>
            <w:noWrap/>
            <w:vAlign w:val="center"/>
          </w:tcPr>
          <w:p>
            <w:pPr>
              <w:jc w:val="center"/>
              <w:rPr>
                <w:rFonts w:cs="宋体"/>
                <w:szCs w:val="21"/>
              </w:rPr>
            </w:pPr>
            <w:r>
              <w:rPr>
                <w:rFonts w:hint="eastAsia" w:cs="宋体"/>
                <w:szCs w:val="21"/>
              </w:rPr>
              <w:t>　</w:t>
            </w:r>
          </w:p>
        </w:tc>
      </w:tr>
    </w:tbl>
    <w:p>
      <w:pPr>
        <w:rPr>
          <w:rFonts w:hint="eastAsia" w:eastAsia="仿宋"/>
          <w:lang w:eastAsia="zh-CN"/>
        </w:rPr>
      </w:pPr>
      <w:r>
        <w:rPr>
          <w:rFonts w:hint="eastAsia"/>
          <w:color w:val="FF0000"/>
          <w:lang w:val="en-US" w:eastAsia="zh-CN"/>
        </w:rPr>
        <w:t>注：</w:t>
      </w:r>
      <w:r>
        <w:rPr>
          <w:rFonts w:hint="eastAsia"/>
          <w:color w:val="FF0000"/>
        </w:rPr>
        <w:t>具体</w:t>
      </w:r>
      <w:r>
        <w:rPr>
          <w:rFonts w:hint="eastAsia"/>
          <w:color w:val="FF0000"/>
          <w:lang w:val="en-US" w:eastAsia="zh-CN"/>
        </w:rPr>
        <w:t>清单</w:t>
      </w:r>
      <w:r>
        <w:rPr>
          <w:rFonts w:hint="eastAsia"/>
          <w:color w:val="FF0000"/>
        </w:rPr>
        <w:t>以专家评审后实际为准</w:t>
      </w:r>
      <w:r>
        <w:rPr>
          <w:rFonts w:hint="eastAsia"/>
          <w:color w:val="FF0000"/>
          <w:lang w:eastAsia="zh-CN"/>
        </w:rPr>
        <w:t>。</w:t>
      </w:r>
    </w:p>
    <w:p>
      <w:pPr>
        <w:pStyle w:val="2"/>
        <w:numPr>
          <w:ilvl w:val="1"/>
          <w:numId w:val="2"/>
        </w:numPr>
        <w:spacing w:before="100" w:after="100" w:line="360" w:lineRule="auto"/>
        <w:ind w:left="-2" w:leftChars="-1"/>
        <w:jc w:val="left"/>
        <w:rPr>
          <w:sz w:val="30"/>
          <w:szCs w:val="30"/>
        </w:rPr>
      </w:pPr>
      <w:r>
        <w:rPr>
          <w:rFonts w:hint="eastAsia"/>
          <w:sz w:val="30"/>
          <w:szCs w:val="30"/>
        </w:rPr>
        <w:t>商务条款</w:t>
      </w:r>
    </w:p>
    <w:p>
      <w:pPr>
        <w:numPr>
          <w:ilvl w:val="0"/>
          <w:numId w:val="4"/>
        </w:numPr>
        <w:spacing w:line="360" w:lineRule="auto"/>
        <w:rPr>
          <w:rFonts w:hint="eastAsia" w:cs="仿宋"/>
        </w:rPr>
      </w:pPr>
      <w:r>
        <w:rPr>
          <w:rFonts w:hint="eastAsia" w:cs="仿宋"/>
        </w:rPr>
        <w:t>清单中所列仅为主要设备的基本要求，供应商须按有关标准及规范对清单进行完善，召开专家评审会并根据专家意见进行修改，完成本次招标设备的供货、运输（含保险、装卸车）、安装、调试与检验、通过有关质量部门检测合格、质保期服务、设备质保期维修等各项工作及费用，并保证设备使用的安全性与可靠性。</w:t>
      </w:r>
    </w:p>
    <w:p>
      <w:pPr>
        <w:numPr>
          <w:ilvl w:val="0"/>
          <w:numId w:val="4"/>
        </w:numPr>
        <w:spacing w:line="360" w:lineRule="auto"/>
        <w:rPr>
          <w:rFonts w:hint="eastAsia" w:cs="仿宋"/>
          <w:b/>
          <w:bCs/>
        </w:rPr>
      </w:pPr>
      <w:r>
        <w:rPr>
          <w:rFonts w:hint="eastAsia" w:cs="仿宋"/>
          <w:b/>
          <w:bCs/>
        </w:rPr>
        <w:t>该项目费用为</w:t>
      </w:r>
      <w:r>
        <w:rPr>
          <w:rFonts w:hint="eastAsia" w:cs="仿宋"/>
          <w:b/>
          <w:bCs/>
          <w:lang w:val="en-US" w:eastAsia="zh-CN"/>
        </w:rPr>
        <w:t>总价包干</w:t>
      </w:r>
      <w:r>
        <w:rPr>
          <w:rFonts w:hint="eastAsia" w:cs="仿宋"/>
          <w:b/>
          <w:bCs/>
        </w:rPr>
        <w:t>，各供应商应认真核算清单以及清单中未涉及但根据供应商</w:t>
      </w:r>
      <w:r>
        <w:rPr>
          <w:rFonts w:hint="eastAsia" w:cs="仿宋"/>
          <w:b/>
          <w:bCs/>
          <w:lang w:val="en-US" w:eastAsia="zh-CN"/>
        </w:rPr>
        <w:t>实地踏勘认为</w:t>
      </w:r>
      <w:r>
        <w:rPr>
          <w:rFonts w:hint="eastAsia" w:cs="仿宋"/>
          <w:b/>
          <w:bCs/>
        </w:rPr>
        <w:t>需安装的设备等所需费用，凡未列入的</w:t>
      </w:r>
      <w:r>
        <w:rPr>
          <w:rFonts w:hint="eastAsia" w:cs="仿宋"/>
          <w:b/>
          <w:bCs/>
          <w:highlight w:val="none"/>
        </w:rPr>
        <w:t>（包含专家会后</w:t>
      </w:r>
      <w:r>
        <w:rPr>
          <w:rFonts w:hint="eastAsia" w:cs="仿宋"/>
          <w:b/>
          <w:bCs/>
          <w:highlight w:val="none"/>
          <w:lang w:val="en-US" w:eastAsia="zh-CN"/>
        </w:rPr>
        <w:t>调整优化</w:t>
      </w:r>
      <w:r>
        <w:rPr>
          <w:rFonts w:hint="eastAsia" w:cs="仿宋"/>
          <w:b/>
          <w:bCs/>
          <w:highlight w:val="none"/>
        </w:rPr>
        <w:t>方案内容）</w:t>
      </w:r>
      <w:r>
        <w:rPr>
          <w:rFonts w:hint="eastAsia" w:cs="仿宋"/>
          <w:b/>
          <w:bCs/>
        </w:rPr>
        <w:t>，将被视为均已包含在投标总价中。采购人不再支付成交价格以外任何费用。</w:t>
      </w:r>
    </w:p>
    <w:p>
      <w:pPr>
        <w:numPr>
          <w:ilvl w:val="0"/>
          <w:numId w:val="4"/>
        </w:numPr>
        <w:spacing w:line="360" w:lineRule="auto"/>
        <w:ind w:firstLine="0" w:firstLineChars="0"/>
        <w:rPr>
          <w:rFonts w:hint="eastAsia" w:cs="仿宋"/>
        </w:rPr>
      </w:pPr>
      <w:r>
        <w:rPr>
          <w:rFonts w:hint="eastAsia" w:cs="仿宋"/>
        </w:rPr>
        <w:t>本项目实施过程中涉及的评审会、论证会、货物验收等所需的相关专家费</w:t>
      </w:r>
      <w:r>
        <w:rPr>
          <w:rFonts w:hint="eastAsia" w:cs="仿宋"/>
          <w:lang w:val="en-US" w:eastAsia="zh-CN"/>
        </w:rPr>
        <w:t>和验收检测费</w:t>
      </w:r>
      <w:r>
        <w:rPr>
          <w:rFonts w:hint="eastAsia" w:cs="仿宋"/>
        </w:rPr>
        <w:t>由中标单位支付，请投标单位在报价中综合考虑。</w:t>
      </w:r>
    </w:p>
    <w:p>
      <w:pPr>
        <w:spacing w:line="360" w:lineRule="auto"/>
        <w:ind w:firstLine="0" w:firstLineChars="0"/>
        <w:rPr>
          <w:rFonts w:cs="宋体"/>
        </w:rPr>
      </w:pPr>
      <w:r>
        <w:rPr>
          <w:rFonts w:hint="eastAsia" w:cs="宋体"/>
        </w:rPr>
        <w:t>（4）参加投标单位必须按照</w:t>
      </w:r>
      <w:r>
        <w:rPr>
          <w:rFonts w:hint="eastAsia" w:cs="宋体"/>
          <w:highlight w:val="none"/>
        </w:rPr>
        <w:t>设备进度计划表</w:t>
      </w:r>
      <w:r>
        <w:rPr>
          <w:rFonts w:hint="eastAsia" w:cs="宋体"/>
        </w:rPr>
        <w:t>（要求包括清单完善、召开专家评审会、设备到货、设备安装、系统调试、项目验收等时间）实施。设备进度计划表由供应商中标7天内提供并由采购人认可。</w:t>
      </w:r>
    </w:p>
    <w:p>
      <w:pPr>
        <w:spacing w:line="360" w:lineRule="auto"/>
        <w:ind w:firstLine="0" w:firstLineChars="0"/>
        <w:rPr>
          <w:rFonts w:cs="宋体"/>
        </w:rPr>
      </w:pPr>
      <w:r>
        <w:rPr>
          <w:rFonts w:hint="eastAsia"/>
          <w:sz w:val="30"/>
          <w:szCs w:val="30"/>
        </w:rPr>
        <w:t>▲</w:t>
      </w:r>
      <w:r>
        <w:rPr>
          <w:rFonts w:hint="eastAsia" w:cs="宋体"/>
        </w:rPr>
        <w:t>（5）交货期：合同签订后100日历天内完成设备供货、安装，调试，验收。</w:t>
      </w:r>
    </w:p>
    <w:p>
      <w:pPr>
        <w:spacing w:line="360" w:lineRule="auto"/>
        <w:ind w:firstLine="0" w:firstLineChars="0"/>
        <w:rPr>
          <w:rFonts w:cs="宋体"/>
        </w:rPr>
      </w:pPr>
      <w:r>
        <w:rPr>
          <w:rFonts w:hint="eastAsia"/>
          <w:sz w:val="30"/>
          <w:szCs w:val="30"/>
        </w:rPr>
        <w:t>▲</w:t>
      </w:r>
      <w:r>
        <w:rPr>
          <w:rFonts w:hint="eastAsia" w:cs="宋体"/>
        </w:rPr>
        <w:t>（6）付款方式：合同签订后支付至合同总金额的40%作为预付款，主要设备到货后支付至合同总金额的60%，验收合格</w:t>
      </w:r>
      <w:r>
        <w:rPr>
          <w:rFonts w:hint="eastAsia" w:cs="宋体"/>
          <w:lang w:val="en-US" w:eastAsia="zh-CN"/>
        </w:rPr>
        <w:t>试用满三个月后</w:t>
      </w:r>
      <w:r>
        <w:rPr>
          <w:rFonts w:hint="eastAsia" w:cs="宋体"/>
        </w:rPr>
        <w:t>支付至合同总金额的</w:t>
      </w:r>
      <w:r>
        <w:rPr>
          <w:rFonts w:hint="eastAsia" w:cs="宋体"/>
          <w:lang w:val="en-US" w:eastAsia="zh-CN"/>
        </w:rPr>
        <w:t>100%</w:t>
      </w:r>
      <w:r>
        <w:rPr>
          <w:rFonts w:hint="eastAsia" w:cs="宋体"/>
        </w:rPr>
        <w:t>。</w:t>
      </w:r>
    </w:p>
    <w:p>
      <w:pPr>
        <w:pStyle w:val="27"/>
        <w:numPr>
          <w:ilvl w:val="-1"/>
          <w:numId w:val="0"/>
        </w:numPr>
        <w:spacing w:line="360" w:lineRule="auto"/>
        <w:ind w:left="0" w:leftChars="0" w:firstLine="0" w:firstLineChars="0"/>
        <w:rPr>
          <w:rFonts w:hint="eastAsia"/>
        </w:rPr>
      </w:pPr>
      <w:r>
        <w:rPr>
          <w:rFonts w:hint="eastAsia"/>
          <w:lang w:eastAsia="zh-CN"/>
        </w:rPr>
        <w:t>（</w:t>
      </w:r>
      <w:r>
        <w:rPr>
          <w:rFonts w:hint="eastAsia"/>
          <w:lang w:val="en-US" w:eastAsia="zh-CN"/>
        </w:rPr>
        <w:t>7</w:t>
      </w:r>
      <w:r>
        <w:rPr>
          <w:rFonts w:hint="eastAsia"/>
          <w:lang w:eastAsia="zh-CN"/>
        </w:rPr>
        <w:t>）</w:t>
      </w:r>
      <w:r>
        <w:rPr>
          <w:rFonts w:hint="eastAsia"/>
        </w:rPr>
        <w:t>施工期间需自行筹备临建场地等，中标单位施工期间水电费自理，需于投标报价内考虑。</w:t>
      </w:r>
    </w:p>
    <w:p>
      <w:pPr>
        <w:pStyle w:val="27"/>
        <w:numPr>
          <w:ilvl w:val="-1"/>
          <w:numId w:val="0"/>
        </w:numPr>
        <w:spacing w:line="360" w:lineRule="auto"/>
        <w:ind w:left="0" w:leftChars="0" w:firstLine="0" w:firstLineChars="0"/>
        <w:rPr>
          <w:rFonts w:hint="eastAsia"/>
          <w:lang w:val="en-US" w:eastAsia="zh-CN"/>
        </w:rPr>
      </w:pPr>
      <w:r>
        <w:rPr>
          <w:rFonts w:hint="eastAsia"/>
          <w:lang w:val="en-US" w:eastAsia="zh-CN"/>
        </w:rPr>
        <w:t>（8）清单中的涉及的线路、线缆、管线为实测长度，如因中标单位实际需要需调整的，充分踏勘现场后综合报价考虑 ，后期不作增加。</w:t>
      </w:r>
    </w:p>
    <w:p>
      <w:pPr>
        <w:pStyle w:val="27"/>
        <w:numPr>
          <w:ilvl w:val="-1"/>
          <w:numId w:val="0"/>
        </w:numPr>
        <w:spacing w:line="360" w:lineRule="auto"/>
        <w:ind w:left="0" w:leftChars="0" w:firstLine="0" w:firstLineChars="0"/>
        <w:rPr>
          <w:rFonts w:hint="eastAsia"/>
          <w:lang w:val="en-US" w:eastAsia="zh-CN"/>
        </w:rPr>
      </w:pPr>
      <w:r>
        <w:rPr>
          <w:rFonts w:hint="eastAsia"/>
          <w:lang w:val="en-US" w:eastAsia="zh-CN"/>
        </w:rPr>
        <w:t>（9）所有用电设备相关附属设施需严格按照国家规定做好接地防雷措施。</w:t>
      </w:r>
    </w:p>
    <w:p>
      <w:pPr>
        <w:pStyle w:val="27"/>
        <w:numPr>
          <w:ilvl w:val="-1"/>
          <w:numId w:val="0"/>
        </w:numPr>
        <w:spacing w:line="360" w:lineRule="auto"/>
        <w:ind w:left="0" w:leftChars="0" w:firstLine="0" w:firstLineChars="0"/>
        <w:rPr>
          <w:rFonts w:hint="eastAsia"/>
          <w:lang w:val="en-US" w:eastAsia="zh-CN"/>
        </w:rPr>
      </w:pPr>
      <w:r>
        <w:rPr>
          <w:rFonts w:hint="eastAsia"/>
          <w:lang w:eastAsia="zh-CN"/>
        </w:rPr>
        <w:t>（</w:t>
      </w:r>
      <w:r>
        <w:rPr>
          <w:rFonts w:hint="eastAsia"/>
          <w:lang w:val="en-US" w:eastAsia="zh-CN"/>
        </w:rPr>
        <w:t>10</w:t>
      </w:r>
      <w:r>
        <w:rPr>
          <w:rFonts w:hint="eastAsia"/>
          <w:lang w:eastAsia="zh-CN"/>
        </w:rPr>
        <w:t>）</w:t>
      </w:r>
      <w:r>
        <w:rPr>
          <w:rFonts w:hint="eastAsia"/>
        </w:rPr>
        <w:t>施工准备及施工期间需中标人自行协调交通，配合业主进行各类审批工作</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textAlignment w:val="auto"/>
        <w:rPr>
          <w:rFonts w:hint="eastAsia" w:ascii="仿宋" w:hAnsi="仿宋" w:cs="宋体"/>
          <w:bCs w:val="0"/>
          <w:sz w:val="24"/>
          <w:szCs w:val="24"/>
          <w:highlight w:val="none"/>
        </w:rPr>
      </w:pPr>
      <w:r>
        <w:rPr>
          <w:rFonts w:hint="eastAsia"/>
          <w:lang w:eastAsia="zh-CN"/>
        </w:rPr>
        <w:t>（</w:t>
      </w:r>
      <w:r>
        <w:rPr>
          <w:rFonts w:hint="eastAsia"/>
          <w:lang w:val="en-US" w:eastAsia="zh-CN"/>
        </w:rPr>
        <w:t>11</w:t>
      </w:r>
      <w:r>
        <w:rPr>
          <w:rFonts w:hint="eastAsia"/>
          <w:lang w:eastAsia="zh-CN"/>
        </w:rPr>
        <w:t>）</w:t>
      </w:r>
      <w:r>
        <w:rPr>
          <w:rFonts w:hint="eastAsia"/>
          <w:color w:val="auto"/>
          <w:highlight w:val="none"/>
          <w:lang w:val="en-US" w:eastAsia="zh-CN"/>
        </w:rPr>
        <w:t>中标方</w:t>
      </w:r>
      <w:r>
        <w:rPr>
          <w:rFonts w:hint="eastAsia" w:ascii="仿宋" w:hAnsi="仿宋"/>
          <w:color w:val="auto"/>
          <w:sz w:val="24"/>
          <w:szCs w:val="24"/>
          <w:highlight w:val="none"/>
        </w:rPr>
        <w:t>应保证所提供的货物或其任何一部分均不会侵犯任何第三方的知识产权</w:t>
      </w:r>
      <w:r>
        <w:rPr>
          <w:rFonts w:hint="eastAsia" w:ascii="仿宋" w:hAnsi="仿宋" w:cs="宋体"/>
          <w:bCs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ind w:left="0" w:leftChars="0" w:firstLine="0" w:firstLineChars="0"/>
        <w:textAlignment w:val="auto"/>
        <w:rPr>
          <w:rFonts w:hint="eastAsia" w:ascii="仿宋" w:hAnsi="仿宋" w:cs="宋体"/>
          <w:sz w:val="24"/>
          <w:szCs w:val="24"/>
          <w:highlight w:val="none"/>
        </w:rPr>
      </w:pPr>
      <w:r>
        <w:rPr>
          <w:rFonts w:hint="eastAsia" w:ascii="仿宋" w:hAnsi="仿宋" w:cs="宋体"/>
          <w:sz w:val="24"/>
          <w:szCs w:val="24"/>
          <w:highlight w:val="none"/>
          <w:lang w:eastAsia="zh-CN"/>
        </w:rPr>
        <w:t>（</w:t>
      </w:r>
      <w:r>
        <w:rPr>
          <w:rFonts w:hint="eastAsia" w:ascii="仿宋" w:hAnsi="仿宋" w:cs="宋体"/>
          <w:sz w:val="24"/>
          <w:szCs w:val="24"/>
          <w:highlight w:val="none"/>
          <w:lang w:val="en-US" w:eastAsia="zh-CN"/>
        </w:rPr>
        <w:t>12</w:t>
      </w:r>
      <w:r>
        <w:rPr>
          <w:rFonts w:hint="eastAsia" w:ascii="仿宋" w:hAnsi="仿宋" w:cs="宋体"/>
          <w:sz w:val="24"/>
          <w:szCs w:val="24"/>
          <w:highlight w:val="none"/>
          <w:lang w:eastAsia="zh-CN"/>
        </w:rPr>
        <w:t>）中标方</w:t>
      </w:r>
      <w:r>
        <w:rPr>
          <w:rFonts w:hint="eastAsia" w:ascii="仿宋" w:hAnsi="仿宋" w:cs="宋体"/>
          <w:sz w:val="24"/>
          <w:szCs w:val="24"/>
          <w:highlight w:val="none"/>
        </w:rPr>
        <w:t>逾期交付货物的，</w:t>
      </w:r>
      <w:r>
        <w:rPr>
          <w:rFonts w:hint="eastAsia" w:ascii="仿宋" w:hAnsi="仿宋" w:cs="宋体"/>
          <w:sz w:val="24"/>
          <w:szCs w:val="24"/>
          <w:highlight w:val="none"/>
          <w:lang w:eastAsia="zh-CN"/>
        </w:rPr>
        <w:t>中标方</w:t>
      </w:r>
      <w:r>
        <w:rPr>
          <w:rFonts w:hint="eastAsia" w:ascii="仿宋" w:hAnsi="仿宋" w:cs="宋体"/>
          <w:sz w:val="24"/>
          <w:szCs w:val="24"/>
          <w:highlight w:val="none"/>
        </w:rPr>
        <w:t>应按逾期交货总额每日千分之六向</w:t>
      </w:r>
      <w:r>
        <w:rPr>
          <w:rFonts w:hint="eastAsia" w:ascii="仿宋" w:hAnsi="仿宋" w:cs="宋体"/>
          <w:sz w:val="24"/>
          <w:szCs w:val="24"/>
          <w:highlight w:val="none"/>
          <w:lang w:eastAsia="zh-CN"/>
        </w:rPr>
        <w:t>采购方</w:t>
      </w:r>
      <w:r>
        <w:rPr>
          <w:rFonts w:hint="eastAsia" w:ascii="仿宋" w:hAnsi="仿宋" w:cs="宋体"/>
          <w:sz w:val="24"/>
          <w:szCs w:val="24"/>
          <w:highlight w:val="none"/>
        </w:rPr>
        <w:t>支付违约金，由</w:t>
      </w:r>
      <w:r>
        <w:rPr>
          <w:rFonts w:hint="eastAsia" w:ascii="仿宋" w:hAnsi="仿宋" w:cs="宋体"/>
          <w:sz w:val="24"/>
          <w:szCs w:val="24"/>
          <w:highlight w:val="none"/>
          <w:lang w:eastAsia="zh-CN"/>
        </w:rPr>
        <w:t>采购方</w:t>
      </w:r>
      <w:r>
        <w:rPr>
          <w:rFonts w:hint="eastAsia" w:ascii="仿宋" w:hAnsi="仿宋" w:cs="宋体"/>
          <w:sz w:val="24"/>
          <w:szCs w:val="24"/>
          <w:highlight w:val="none"/>
        </w:rPr>
        <w:t>从待付货款中扣除。逾期超过约定日期10个工作日不能交货的，</w:t>
      </w:r>
      <w:r>
        <w:rPr>
          <w:rFonts w:hint="eastAsia" w:ascii="仿宋" w:hAnsi="仿宋" w:cs="宋体"/>
          <w:sz w:val="24"/>
          <w:szCs w:val="24"/>
          <w:highlight w:val="none"/>
          <w:lang w:eastAsia="zh-CN"/>
        </w:rPr>
        <w:t>采购方</w:t>
      </w:r>
      <w:r>
        <w:rPr>
          <w:rFonts w:hint="eastAsia" w:ascii="仿宋" w:hAnsi="仿宋" w:cs="宋体"/>
          <w:sz w:val="24"/>
          <w:szCs w:val="24"/>
          <w:highlight w:val="none"/>
        </w:rPr>
        <w:t>可解除本合同。</w:t>
      </w:r>
      <w:r>
        <w:rPr>
          <w:rFonts w:hint="eastAsia" w:ascii="仿宋" w:hAnsi="仿宋" w:cs="宋体"/>
          <w:sz w:val="24"/>
          <w:szCs w:val="24"/>
          <w:highlight w:val="none"/>
          <w:lang w:eastAsia="zh-CN"/>
        </w:rPr>
        <w:t>中标方</w:t>
      </w:r>
      <w:r>
        <w:rPr>
          <w:rFonts w:hint="eastAsia" w:ascii="仿宋" w:hAnsi="仿宋" w:cs="宋体"/>
          <w:sz w:val="24"/>
          <w:szCs w:val="24"/>
          <w:highlight w:val="none"/>
        </w:rPr>
        <w:t>因逾期交货或因其他违约行为导致</w:t>
      </w:r>
      <w:r>
        <w:rPr>
          <w:rFonts w:hint="eastAsia" w:ascii="仿宋" w:hAnsi="仿宋" w:cs="宋体"/>
          <w:sz w:val="24"/>
          <w:szCs w:val="24"/>
          <w:highlight w:val="none"/>
          <w:lang w:eastAsia="zh-CN"/>
        </w:rPr>
        <w:t>采购方</w:t>
      </w:r>
      <w:r>
        <w:rPr>
          <w:rFonts w:hint="eastAsia" w:ascii="仿宋" w:hAnsi="仿宋" w:cs="宋体"/>
          <w:sz w:val="24"/>
          <w:szCs w:val="24"/>
          <w:highlight w:val="none"/>
        </w:rPr>
        <w:t>解除合同的，</w:t>
      </w:r>
      <w:r>
        <w:rPr>
          <w:rFonts w:hint="eastAsia" w:ascii="仿宋" w:hAnsi="仿宋" w:cs="宋体"/>
          <w:sz w:val="24"/>
          <w:szCs w:val="24"/>
          <w:highlight w:val="none"/>
          <w:lang w:eastAsia="zh-CN"/>
        </w:rPr>
        <w:t>中标方</w:t>
      </w:r>
      <w:r>
        <w:rPr>
          <w:rFonts w:hint="eastAsia" w:ascii="仿宋" w:hAnsi="仿宋" w:cs="宋体"/>
          <w:sz w:val="24"/>
          <w:szCs w:val="24"/>
          <w:highlight w:val="none"/>
        </w:rPr>
        <w:t>应向</w:t>
      </w:r>
      <w:r>
        <w:rPr>
          <w:rFonts w:hint="eastAsia" w:ascii="仿宋" w:hAnsi="仿宋" w:cs="宋体"/>
          <w:sz w:val="24"/>
          <w:szCs w:val="24"/>
          <w:highlight w:val="none"/>
          <w:lang w:eastAsia="zh-CN"/>
        </w:rPr>
        <w:t>采购方</w:t>
      </w:r>
      <w:r>
        <w:rPr>
          <w:rFonts w:hint="eastAsia" w:ascii="仿宋" w:hAnsi="仿宋" w:cs="宋体"/>
          <w:sz w:val="24"/>
          <w:szCs w:val="24"/>
          <w:highlight w:val="none"/>
        </w:rPr>
        <w:t>支付合同总值5%的违约金，如造成</w:t>
      </w:r>
      <w:r>
        <w:rPr>
          <w:rFonts w:hint="eastAsia" w:ascii="仿宋" w:hAnsi="仿宋" w:cs="宋体"/>
          <w:sz w:val="24"/>
          <w:szCs w:val="24"/>
          <w:highlight w:val="none"/>
          <w:lang w:eastAsia="zh-CN"/>
        </w:rPr>
        <w:t>采购方</w:t>
      </w:r>
      <w:r>
        <w:rPr>
          <w:rFonts w:hint="eastAsia" w:ascii="仿宋" w:hAnsi="仿宋" w:cs="宋体"/>
          <w:sz w:val="24"/>
          <w:szCs w:val="24"/>
          <w:highlight w:val="none"/>
        </w:rPr>
        <w:t>损失超过违约金的，超出部分由</w:t>
      </w:r>
      <w:r>
        <w:rPr>
          <w:rFonts w:hint="eastAsia" w:ascii="仿宋" w:hAnsi="仿宋" w:cs="宋体"/>
          <w:sz w:val="24"/>
          <w:szCs w:val="24"/>
          <w:highlight w:val="none"/>
          <w:lang w:eastAsia="zh-CN"/>
        </w:rPr>
        <w:t>中标方</w:t>
      </w:r>
      <w:r>
        <w:rPr>
          <w:rFonts w:hint="eastAsia" w:ascii="仿宋" w:hAnsi="仿宋" w:cs="宋体"/>
          <w:sz w:val="24"/>
          <w:szCs w:val="24"/>
          <w:highlight w:val="none"/>
        </w:rPr>
        <w:t>继续承担赔偿责任。</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ind w:left="0" w:leftChars="0" w:firstLine="0" w:firstLineChars="0"/>
        <w:textAlignment w:val="auto"/>
        <w:rPr>
          <w:rFonts w:hint="eastAsia" w:ascii="仿宋" w:hAnsi="仿宋" w:cs="宋体"/>
          <w:sz w:val="24"/>
          <w:szCs w:val="24"/>
          <w:highlight w:val="none"/>
        </w:rPr>
      </w:pPr>
      <w:r>
        <w:rPr>
          <w:rFonts w:hint="eastAsia" w:ascii="仿宋" w:hAnsi="仿宋" w:cs="宋体"/>
          <w:sz w:val="24"/>
          <w:szCs w:val="24"/>
          <w:highlight w:val="none"/>
          <w:lang w:eastAsia="zh-CN"/>
        </w:rPr>
        <w:t>（</w:t>
      </w:r>
      <w:r>
        <w:rPr>
          <w:rFonts w:hint="eastAsia" w:ascii="仿宋" w:hAnsi="仿宋" w:cs="宋体"/>
          <w:sz w:val="24"/>
          <w:szCs w:val="24"/>
          <w:highlight w:val="none"/>
          <w:lang w:val="en-US" w:eastAsia="zh-CN"/>
        </w:rPr>
        <w:t>13</w:t>
      </w:r>
      <w:r>
        <w:rPr>
          <w:rFonts w:hint="eastAsia" w:ascii="仿宋" w:hAnsi="仿宋" w:cs="宋体"/>
          <w:sz w:val="24"/>
          <w:szCs w:val="24"/>
          <w:highlight w:val="none"/>
          <w:lang w:eastAsia="zh-CN"/>
        </w:rPr>
        <w:t>）中标方</w:t>
      </w:r>
      <w:r>
        <w:rPr>
          <w:rFonts w:hint="eastAsia" w:ascii="仿宋" w:hAnsi="仿宋" w:cs="宋体"/>
          <w:sz w:val="24"/>
          <w:szCs w:val="24"/>
          <w:highlight w:val="none"/>
        </w:rPr>
        <w:t>所交的货物品种、型号、规格、技术参数、质量不符合</w:t>
      </w:r>
      <w:r>
        <w:rPr>
          <w:rFonts w:hint="eastAsia" w:ascii="仿宋" w:hAnsi="仿宋" w:cs="宋体"/>
          <w:sz w:val="24"/>
          <w:szCs w:val="24"/>
          <w:highlight w:val="none"/>
          <w:lang w:val="en-US" w:eastAsia="zh-CN"/>
        </w:rPr>
        <w:t>专家评审相关</w:t>
      </w:r>
      <w:r>
        <w:rPr>
          <w:rFonts w:hint="eastAsia" w:ascii="仿宋" w:hAnsi="仿宋" w:cs="宋体"/>
          <w:sz w:val="24"/>
          <w:szCs w:val="24"/>
          <w:highlight w:val="none"/>
        </w:rPr>
        <w:t>规定标准的，</w:t>
      </w:r>
      <w:r>
        <w:rPr>
          <w:rFonts w:hint="eastAsia" w:ascii="仿宋" w:hAnsi="仿宋" w:cs="宋体"/>
          <w:sz w:val="24"/>
          <w:szCs w:val="24"/>
          <w:highlight w:val="none"/>
          <w:lang w:eastAsia="zh-CN"/>
        </w:rPr>
        <w:t>采购方</w:t>
      </w:r>
      <w:r>
        <w:rPr>
          <w:rFonts w:hint="eastAsia" w:ascii="仿宋" w:hAnsi="仿宋" w:cs="宋体"/>
          <w:sz w:val="24"/>
          <w:szCs w:val="24"/>
          <w:highlight w:val="none"/>
        </w:rPr>
        <w:t>有权拒收该货物，</w:t>
      </w:r>
      <w:r>
        <w:rPr>
          <w:rFonts w:hint="eastAsia" w:ascii="仿宋" w:hAnsi="仿宋" w:cs="宋体"/>
          <w:sz w:val="24"/>
          <w:szCs w:val="24"/>
          <w:highlight w:val="none"/>
          <w:lang w:eastAsia="zh-CN"/>
        </w:rPr>
        <w:t>中标方</w:t>
      </w:r>
      <w:r>
        <w:rPr>
          <w:rFonts w:hint="eastAsia" w:ascii="仿宋" w:hAnsi="仿宋" w:cs="宋体"/>
          <w:sz w:val="24"/>
          <w:szCs w:val="24"/>
          <w:highlight w:val="none"/>
        </w:rPr>
        <w:t>愿意更换货物但逾期交货的，按</w:t>
      </w:r>
      <w:r>
        <w:rPr>
          <w:rFonts w:hint="eastAsia" w:ascii="仿宋" w:hAnsi="仿宋" w:cs="宋体"/>
          <w:sz w:val="24"/>
          <w:szCs w:val="24"/>
          <w:highlight w:val="none"/>
          <w:lang w:eastAsia="zh-CN"/>
        </w:rPr>
        <w:t>中标方</w:t>
      </w:r>
      <w:r>
        <w:rPr>
          <w:rFonts w:hint="eastAsia" w:ascii="仿宋" w:hAnsi="仿宋" w:cs="宋体"/>
          <w:sz w:val="24"/>
          <w:szCs w:val="24"/>
          <w:highlight w:val="none"/>
        </w:rPr>
        <w:t>逾期交货处理。</w:t>
      </w:r>
      <w:r>
        <w:rPr>
          <w:rFonts w:hint="eastAsia" w:ascii="仿宋" w:hAnsi="仿宋" w:cs="宋体"/>
          <w:sz w:val="24"/>
          <w:szCs w:val="24"/>
          <w:highlight w:val="none"/>
          <w:lang w:eastAsia="zh-CN"/>
        </w:rPr>
        <w:t>中标方</w:t>
      </w:r>
      <w:r>
        <w:rPr>
          <w:rFonts w:hint="eastAsia" w:ascii="仿宋" w:hAnsi="仿宋" w:cs="宋体"/>
          <w:sz w:val="24"/>
          <w:szCs w:val="24"/>
          <w:highlight w:val="none"/>
        </w:rPr>
        <w:t>拒绝更换货物的，</w:t>
      </w:r>
      <w:r>
        <w:rPr>
          <w:rFonts w:hint="eastAsia" w:ascii="仿宋" w:hAnsi="仿宋" w:cs="宋体"/>
          <w:sz w:val="24"/>
          <w:szCs w:val="24"/>
          <w:highlight w:val="none"/>
          <w:lang w:eastAsia="zh-CN"/>
        </w:rPr>
        <w:t>采购方</w:t>
      </w:r>
      <w:r>
        <w:rPr>
          <w:rFonts w:hint="eastAsia" w:ascii="仿宋" w:hAnsi="仿宋" w:cs="宋体"/>
          <w:sz w:val="24"/>
          <w:szCs w:val="24"/>
          <w:highlight w:val="none"/>
        </w:rPr>
        <w:t>可单方面解除合同。</w:t>
      </w:r>
    </w:p>
    <w:p>
      <w:pPr>
        <w:spacing w:line="360" w:lineRule="auto"/>
        <w:ind w:firstLine="0" w:firstLineChars="0"/>
        <w:rPr>
          <w:rFonts w:hint="eastAsia" w:cstheme="majorBidi"/>
          <w:b w:val="0"/>
          <w:bCs w:val="0"/>
        </w:rPr>
      </w:pPr>
      <w:r>
        <w:rPr>
          <w:rFonts w:hint="eastAsia" w:cs="宋体"/>
          <w:sz w:val="24"/>
          <w:szCs w:val="24"/>
          <w:highlight w:val="none"/>
        </w:rPr>
        <w:t>▲</w:t>
      </w:r>
      <w:r>
        <w:rPr>
          <w:rFonts w:hint="eastAsia" w:cs="宋体"/>
          <w:b w:val="0"/>
          <w:bCs w:val="0"/>
          <w:highlight w:val="none"/>
        </w:rPr>
        <w:t>（</w:t>
      </w:r>
      <w:r>
        <w:rPr>
          <w:rFonts w:hint="eastAsia" w:cs="宋体"/>
          <w:b w:val="0"/>
          <w:bCs w:val="0"/>
          <w:highlight w:val="none"/>
          <w:lang w:val="en-US" w:eastAsia="zh-CN"/>
        </w:rPr>
        <w:t>14</w:t>
      </w:r>
      <w:r>
        <w:rPr>
          <w:rFonts w:hint="eastAsia" w:cs="宋体"/>
          <w:b w:val="0"/>
          <w:bCs w:val="0"/>
          <w:highlight w:val="none"/>
        </w:rPr>
        <w:t>）质保期</w:t>
      </w:r>
      <w:r>
        <w:rPr>
          <w:rFonts w:hint="eastAsia" w:cs="宋体"/>
          <w:b w:val="0"/>
          <w:bCs w:val="0"/>
          <w:highlight w:val="none"/>
          <w:lang w:eastAsia="zh-CN"/>
        </w:rPr>
        <w:t>：</w:t>
      </w:r>
      <w:r>
        <w:rPr>
          <w:rFonts w:hint="eastAsia" w:ascii="仿宋" w:hAnsi="仿宋" w:eastAsia="仿宋" w:cs="宋体"/>
          <w:bCs w:val="0"/>
          <w:color w:val="auto"/>
          <w:sz w:val="24"/>
          <w:highlight w:val="none"/>
        </w:rPr>
        <w:t>质保5年，保修期内由中标方负责保修、包换、或者包退，并承担调换或退货的费用</w:t>
      </w:r>
      <w:r>
        <w:rPr>
          <w:rFonts w:hint="eastAsia" w:ascii="仿宋" w:hAnsi="仿宋" w:eastAsia="仿宋" w:cs="宋体"/>
          <w:b w:val="0"/>
          <w:color w:val="auto"/>
          <w:sz w:val="24"/>
          <w:szCs w:val="24"/>
          <w:highlight w:val="none"/>
          <w:lang w:eastAsia="zh-CN"/>
        </w:rPr>
        <w:t>（</w:t>
      </w:r>
      <w:r>
        <w:rPr>
          <w:rFonts w:hint="eastAsia" w:ascii="仿宋" w:hAnsi="仿宋" w:eastAsia="仿宋" w:cs="宋体"/>
          <w:b w:val="0"/>
          <w:color w:val="auto"/>
          <w:sz w:val="24"/>
          <w:szCs w:val="24"/>
          <w:highlight w:val="none"/>
          <w:lang w:val="en-US" w:eastAsia="zh-CN"/>
        </w:rPr>
        <w:t>含所有设备软、硬件）</w:t>
      </w:r>
      <w:r>
        <w:rPr>
          <w:rFonts w:hint="eastAsia" w:cs="宋体"/>
          <w:b w:val="0"/>
          <w:bCs w:val="0"/>
          <w:highlight w:val="none"/>
        </w:rPr>
        <w:t>，从验收合格之日起计算。</w:t>
      </w:r>
    </w:p>
    <w:p>
      <w:pPr>
        <w:pStyle w:val="2"/>
        <w:numPr>
          <w:ilvl w:val="1"/>
          <w:numId w:val="2"/>
        </w:numPr>
        <w:spacing w:before="100" w:after="100" w:line="360" w:lineRule="auto"/>
        <w:ind w:left="-2" w:leftChars="-1"/>
        <w:jc w:val="left"/>
        <w:rPr>
          <w:sz w:val="30"/>
          <w:szCs w:val="30"/>
        </w:rPr>
      </w:pPr>
      <w:r>
        <w:rPr>
          <w:rFonts w:hint="eastAsia"/>
          <w:sz w:val="30"/>
          <w:szCs w:val="30"/>
        </w:rPr>
        <w:t>安装调试</w:t>
      </w:r>
    </w:p>
    <w:p>
      <w:pPr>
        <w:spacing w:line="360" w:lineRule="auto"/>
        <w:ind w:firstLine="480" w:firstLineChars="200"/>
        <w:rPr>
          <w:rFonts w:cs="宋体"/>
        </w:rPr>
      </w:pPr>
      <w:r>
        <w:rPr>
          <w:rFonts w:hint="eastAsia" w:cs="宋体"/>
        </w:rPr>
        <w:t>1、供应商应派采购人认可的有经验和能力、具有相应资质的技术人员，负责系统设备安装工作，在设备安装期间应充分了解设备安装进度要求，解决安装中出现的技术问题。</w:t>
      </w:r>
    </w:p>
    <w:p>
      <w:pPr>
        <w:spacing w:line="360" w:lineRule="auto"/>
        <w:ind w:firstLine="480" w:firstLineChars="200"/>
        <w:rPr>
          <w:rFonts w:cs="宋体"/>
        </w:rPr>
      </w:pPr>
      <w:r>
        <w:rPr>
          <w:rFonts w:hint="eastAsia" w:cs="宋体"/>
        </w:rPr>
        <w:t>2、本项目为交钥匙工程，验收亦按照此标准进行，供应商负责设备的安装、调试，直至通过有关部门的验收。</w:t>
      </w:r>
    </w:p>
    <w:p>
      <w:pPr>
        <w:spacing w:line="360" w:lineRule="auto"/>
        <w:ind w:firstLine="480" w:firstLineChars="200"/>
        <w:rPr>
          <w:rFonts w:cs="宋体"/>
        </w:rPr>
      </w:pPr>
      <w:r>
        <w:rPr>
          <w:rFonts w:hint="eastAsia" w:cs="宋体"/>
        </w:rPr>
        <w:t>3、调试所需专用工具设施物料由供应商自备、自费运到现场，完工后自费搬走。</w:t>
      </w:r>
    </w:p>
    <w:p>
      <w:pPr>
        <w:spacing w:line="360" w:lineRule="auto"/>
        <w:ind w:firstLine="480" w:firstLineChars="200"/>
        <w:rPr>
          <w:rFonts w:cs="宋体"/>
        </w:rPr>
      </w:pPr>
      <w:r>
        <w:rPr>
          <w:rFonts w:hint="eastAsia" w:cs="宋体"/>
        </w:rPr>
        <w:t>4、安装完成后，进行调试、验收按国家有关规范标准（国家无验收规范标准的按双方合同规定的要求）进行。</w:t>
      </w:r>
    </w:p>
    <w:p>
      <w:pPr>
        <w:spacing w:line="360" w:lineRule="auto"/>
        <w:ind w:firstLine="480" w:firstLineChars="200"/>
        <w:rPr>
          <w:rFonts w:cs="宋体"/>
        </w:rPr>
      </w:pPr>
      <w:r>
        <w:rPr>
          <w:rFonts w:hint="eastAsia" w:cs="宋体"/>
        </w:rPr>
        <w:t>5、设备的拆箱、通电、调试等各项工作由供应商负责，但必须在采购人指定人员的参与下进行。在实际实施前必须先经采购人同意方可进行。调试的原始记录须经各方签字后作为验收的文件之一。</w:t>
      </w:r>
    </w:p>
    <w:p>
      <w:pPr>
        <w:pStyle w:val="2"/>
        <w:numPr>
          <w:ilvl w:val="1"/>
          <w:numId w:val="2"/>
        </w:numPr>
        <w:spacing w:before="100" w:after="100" w:line="360" w:lineRule="auto"/>
        <w:ind w:left="-2" w:leftChars="-1"/>
        <w:jc w:val="left"/>
        <w:rPr>
          <w:sz w:val="30"/>
          <w:szCs w:val="30"/>
        </w:rPr>
      </w:pPr>
      <w:r>
        <w:rPr>
          <w:rFonts w:hint="eastAsia"/>
          <w:sz w:val="30"/>
          <w:szCs w:val="30"/>
        </w:rPr>
        <w:t>售后服务</w:t>
      </w:r>
    </w:p>
    <w:p>
      <w:pPr>
        <w:spacing w:line="360" w:lineRule="auto"/>
        <w:ind w:firstLine="480" w:firstLineChars="200"/>
        <w:rPr>
          <w:rFonts w:cs="宋体"/>
        </w:rPr>
      </w:pPr>
      <w:r>
        <w:rPr>
          <w:rFonts w:hint="eastAsia" w:cs="宋体"/>
        </w:rPr>
        <w:t>1、供应商在领取成交通知书后，与采购人签订合同前，必须向采购人提供生产厂家针对本项目出具的专项售后服务承诺书原件（需注明采购单位名称、项目名称、项目编号）。</w:t>
      </w:r>
    </w:p>
    <w:p>
      <w:pPr>
        <w:spacing w:line="360" w:lineRule="auto"/>
        <w:ind w:firstLine="480" w:firstLineChars="200"/>
        <w:rPr>
          <w:rFonts w:cs="宋体"/>
        </w:rPr>
      </w:pPr>
      <w:r>
        <w:rPr>
          <w:rFonts w:hint="eastAsia" w:cs="宋体"/>
        </w:rPr>
        <w:t>2、供应商必需在采购人指定位置安装调试设备直至采购人认可设备符合技术性能要求为止。</w:t>
      </w:r>
    </w:p>
    <w:p>
      <w:pPr>
        <w:spacing w:line="360" w:lineRule="auto"/>
        <w:ind w:firstLine="480" w:firstLineChars="200"/>
        <w:rPr>
          <w:rFonts w:cs="宋体"/>
        </w:rPr>
      </w:pPr>
      <w:r>
        <w:rPr>
          <w:rFonts w:hint="eastAsia" w:cs="宋体"/>
        </w:rPr>
        <w:t>▲3、技术支持要求：质保期内出现问题，1 小时内响应，</w:t>
      </w:r>
      <w:r>
        <w:rPr>
          <w:rFonts w:hint="eastAsia" w:cs="宋体"/>
          <w:lang w:val="en-US" w:eastAsia="zh-CN"/>
        </w:rPr>
        <w:t>2</w:t>
      </w:r>
      <w:r>
        <w:rPr>
          <w:rFonts w:hint="eastAsia" w:cs="宋体"/>
        </w:rPr>
        <w:t>小时内到达现场，12小时内解决问题。 对于现场解决不了的，24 小时内到达用户现场进行维修，不能维修的，中标人应提供</w:t>
      </w:r>
      <w:r>
        <w:rPr>
          <w:rFonts w:hint="eastAsia" w:cs="宋体"/>
          <w:lang w:val="en-US" w:eastAsia="zh-CN"/>
        </w:rPr>
        <w:t>采购人</w:t>
      </w:r>
      <w:r>
        <w:rPr>
          <w:rFonts w:hint="eastAsia" w:cs="宋体"/>
        </w:rPr>
        <w:t>同型号、同规格的备品、备件或备用器材等补救措施，以保证使用方的正常工作，中标人有其它服务承诺的，一并履行。</w:t>
      </w:r>
      <w:r>
        <w:rPr>
          <w:rFonts w:hint="eastAsia" w:cs="宋体"/>
          <w:b w:val="0"/>
          <w:smallCaps w:val="0"/>
          <w:sz w:val="24"/>
          <w:szCs w:val="24"/>
          <w:lang w:val="en-US" w:eastAsia="zh-CN"/>
        </w:rPr>
        <w:t>在服务质量保证期内，中标人应对出现的质量及安全问题及时负责处理解决并承担一切费用。中标人未能及时在规定时间内作出回应，累计发生2次及以上，采购人有权将中标人纳入采购人招投标失信黑名单，5年内不得参与采购方投资项目；累计发生5次及以上，采购方有权将中标人违约行为上报至区审管办和国家企业信用信息公示系统。</w:t>
      </w:r>
    </w:p>
    <w:p>
      <w:pPr>
        <w:spacing w:line="360" w:lineRule="auto"/>
        <w:ind w:firstLine="480" w:firstLineChars="200"/>
        <w:rPr>
          <w:rFonts w:cs="宋体"/>
        </w:rPr>
      </w:pPr>
      <w:r>
        <w:rPr>
          <w:rFonts w:hint="eastAsia" w:cs="宋体"/>
        </w:rPr>
        <w:t>4、 供应商提供的设备，必须符合招标文件及其投标文件规定的要求，如有不符，采购人可以无条件退货，造成的损失由中标人承担。</w:t>
      </w:r>
    </w:p>
    <w:p>
      <w:pPr>
        <w:spacing w:line="360" w:lineRule="auto"/>
        <w:ind w:firstLine="480" w:firstLineChars="200"/>
        <w:rPr>
          <w:rFonts w:cs="宋体"/>
        </w:rPr>
      </w:pPr>
      <w:r>
        <w:rPr>
          <w:rFonts w:hint="eastAsia" w:cs="宋体"/>
        </w:rPr>
        <w:t>5、质保期</w:t>
      </w:r>
      <w:r>
        <w:rPr>
          <w:rFonts w:hint="eastAsia" w:cs="宋体"/>
          <w:lang w:val="en-US" w:eastAsia="zh-CN"/>
        </w:rPr>
        <w:t>5</w:t>
      </w:r>
      <w:r>
        <w:rPr>
          <w:rFonts w:hint="eastAsia" w:cs="宋体"/>
        </w:rPr>
        <w:t>年，从验收合格之日起计算。</w:t>
      </w:r>
    </w:p>
    <w:p>
      <w:pPr>
        <w:spacing w:line="360" w:lineRule="auto"/>
        <w:ind w:firstLine="480" w:firstLineChars="200"/>
        <w:rPr>
          <w:rFonts w:hint="eastAsia" w:cs="宋体"/>
          <w:b w:val="0"/>
          <w:smallCaps w:val="0"/>
          <w:sz w:val="24"/>
          <w:szCs w:val="24"/>
        </w:rPr>
      </w:pPr>
      <w:r>
        <w:rPr>
          <w:rFonts w:hint="eastAsia" w:cs="宋体"/>
        </w:rPr>
        <w:t>▲6、质量保证期后维修只收材料费；终身维修；终身免费技术咨询：若确认仪器发生故障，有关工程师</w:t>
      </w:r>
      <w:r>
        <w:rPr>
          <w:rFonts w:hint="eastAsia" w:cs="宋体"/>
          <w:highlight w:val="yellow"/>
          <w:lang w:val="en-US" w:eastAsia="zh-CN"/>
        </w:rPr>
        <w:t>48</w:t>
      </w:r>
      <w:r>
        <w:rPr>
          <w:rFonts w:hint="eastAsia" w:cs="宋体"/>
        </w:rPr>
        <w:t>小时内赶到现场维修；若仪器发生问题，及时对问题进行答复，指导。</w:t>
      </w:r>
    </w:p>
    <w:p>
      <w:pPr>
        <w:pStyle w:val="2"/>
      </w:pPr>
    </w:p>
    <w:p>
      <w:pPr>
        <w:spacing w:line="360" w:lineRule="auto"/>
        <w:ind w:firstLine="480" w:firstLineChars="200"/>
        <w:rPr>
          <w:rFonts w:cs="宋体"/>
        </w:rPr>
      </w:pPr>
      <w:r>
        <w:rPr>
          <w:rFonts w:hint="eastAsia" w:cs="宋体"/>
        </w:rPr>
        <w:t>7、零配件供应至设备停产后</w:t>
      </w:r>
      <w:r>
        <w:rPr>
          <w:rFonts w:cs="宋体"/>
        </w:rPr>
        <w:t>3</w:t>
      </w:r>
      <w:r>
        <w:rPr>
          <w:rFonts w:hint="eastAsia" w:cs="宋体"/>
        </w:rPr>
        <w:t>年以上；提供免费操作软件升级；售后服务由原厂家工程师负责；免费安装调试，按技术指标和验收流程进行验收；</w:t>
      </w:r>
    </w:p>
    <w:p>
      <w:pPr>
        <w:pStyle w:val="2"/>
        <w:numPr>
          <w:ilvl w:val="1"/>
          <w:numId w:val="2"/>
        </w:numPr>
        <w:spacing w:before="100" w:after="100" w:line="360" w:lineRule="auto"/>
        <w:ind w:left="-2" w:leftChars="-1"/>
        <w:jc w:val="left"/>
        <w:rPr>
          <w:sz w:val="30"/>
          <w:szCs w:val="30"/>
        </w:rPr>
      </w:pPr>
      <w:r>
        <w:rPr>
          <w:rFonts w:hint="eastAsia"/>
          <w:sz w:val="30"/>
          <w:szCs w:val="30"/>
        </w:rPr>
        <w:t>验收和人员培训</w:t>
      </w:r>
    </w:p>
    <w:p>
      <w:pPr>
        <w:spacing w:line="360" w:lineRule="auto"/>
        <w:ind w:firstLine="480" w:firstLineChars="200"/>
        <w:rPr>
          <w:rFonts w:cs="宋体"/>
        </w:rPr>
      </w:pPr>
      <w:r>
        <w:rPr>
          <w:rFonts w:hint="eastAsia" w:cs="宋体"/>
        </w:rPr>
        <w:t>1、验收：制造商授权的技术人员在最终用户方指定地点开箱、安装、调试，协同用户一起进行验收，直至仪器技术指标经验收合格，出具验收报告，经最终用户同意签字才能正式交付用户使用。</w:t>
      </w:r>
    </w:p>
    <w:p>
      <w:pPr>
        <w:spacing w:line="360" w:lineRule="auto"/>
        <w:ind w:firstLine="480" w:firstLineChars="200"/>
        <w:rPr>
          <w:rFonts w:cs="宋体"/>
        </w:rPr>
      </w:pPr>
      <w:r>
        <w:rPr>
          <w:rFonts w:hint="eastAsia" w:cs="宋体"/>
        </w:rPr>
        <w:t>2、人员培训：供应商提供使用方1-2人的客户现场专业培训，培训内容：仪器原理、构造、操作维护和简单维修，以保证使用方技术人员熟练掌握仪器软硬件的操作。</w:t>
      </w:r>
    </w:p>
    <w:p>
      <w:pPr>
        <w:spacing w:line="360" w:lineRule="auto"/>
        <w:ind w:firstLine="480" w:firstLineChars="200"/>
        <w:rPr>
          <w:rFonts w:cs="宋体"/>
        </w:rPr>
      </w:pPr>
      <w:r>
        <w:rPr>
          <w:rFonts w:hint="eastAsia" w:cs="宋体"/>
        </w:rPr>
        <w:t>3、供应商须在投标文件中提供详细的培训计划，包括培训内容、培训时间等。供应商应自行承担选派专业人员的住宿、就餐和交通等费用。</w:t>
      </w:r>
    </w:p>
    <w:p>
      <w:pPr>
        <w:spacing w:line="360" w:lineRule="auto"/>
        <w:ind w:firstLine="480" w:firstLineChars="200"/>
        <w:rPr>
          <w:rFonts w:cs="宋体"/>
        </w:rPr>
      </w:pPr>
      <w:r>
        <w:rPr>
          <w:rFonts w:hint="eastAsia" w:cs="宋体"/>
        </w:rPr>
        <w:t>4、供应商提供的负责培训的人员应具备同类设备五年以上的经验。</w:t>
      </w:r>
    </w:p>
    <w:p>
      <w:pPr>
        <w:spacing w:line="360" w:lineRule="auto"/>
        <w:ind w:firstLine="480" w:firstLineChars="200"/>
        <w:rPr>
          <w:rFonts w:cs="宋体"/>
        </w:rPr>
      </w:pPr>
      <w:r>
        <w:rPr>
          <w:rFonts w:hint="eastAsia" w:cs="宋体"/>
        </w:rPr>
        <w:t>5、技术培训费用应包含在投标总价中。</w:t>
      </w:r>
    </w:p>
    <w:p>
      <w:pPr>
        <w:spacing w:line="360" w:lineRule="auto"/>
        <w:ind w:firstLine="480" w:firstLineChars="200"/>
        <w:rPr>
          <w:rFonts w:cs="宋体"/>
        </w:rPr>
      </w:pPr>
      <w:r>
        <w:rPr>
          <w:rFonts w:hint="eastAsia" w:cs="宋体"/>
        </w:rPr>
        <w:t>6、技术培训至少应包括下列内容：原理、构成和功能的描述；常见故障的处理或排除；各系统部件（设备）的检查、调整和维护等。</w:t>
      </w:r>
    </w:p>
    <w:p>
      <w:pPr>
        <w:pStyle w:val="27"/>
        <w:spacing w:line="360" w:lineRule="auto"/>
        <w:ind w:firstLine="480" w:firstLineChars="200"/>
        <w:rPr>
          <w:rFonts w:hint="eastAsia"/>
        </w:rPr>
      </w:pPr>
    </w:p>
    <w:p>
      <w:pPr>
        <w:spacing w:line="500" w:lineRule="exact"/>
        <w:rPr>
          <w:rFonts w:cs="仿宋"/>
        </w:rPr>
      </w:pPr>
      <w:r>
        <w:rPr>
          <w:rFonts w:hint="eastAsia" w:cs="仿宋"/>
        </w:rPr>
        <w:t>注：</w:t>
      </w:r>
    </w:p>
    <w:p>
      <w:pPr>
        <w:spacing w:line="500" w:lineRule="exact"/>
        <w:rPr>
          <w:rFonts w:cs="仿宋"/>
        </w:rPr>
      </w:pPr>
      <w:r>
        <w:rPr>
          <w:rFonts w:hint="eastAsia" w:cs="仿宋"/>
        </w:rPr>
        <w:t>1、除标注的参考品牌外，欢迎其它能满足本项目技术需求且性能与所注品牌相当的产品参与。</w:t>
      </w:r>
    </w:p>
    <w:p>
      <w:pPr>
        <w:spacing w:line="500" w:lineRule="exact"/>
        <w:rPr>
          <w:rFonts w:cs="仿宋"/>
        </w:rPr>
      </w:pPr>
      <w:r>
        <w:rPr>
          <w:rFonts w:hint="eastAsia" w:cs="仿宋"/>
        </w:rPr>
        <w:t>2、如有附图，仅作参考。</w:t>
      </w:r>
    </w:p>
    <w:p>
      <w:pPr>
        <w:spacing w:line="500" w:lineRule="exact"/>
        <w:rPr>
          <w:rFonts w:cs="仿宋"/>
        </w:rPr>
      </w:pPr>
      <w:r>
        <w:rPr>
          <w:rFonts w:hint="eastAsia" w:cs="仿宋"/>
        </w:rPr>
        <w:t>3、打▲内容为实质性要求，不允许有负偏离，否则将以涉及无效投标条款作无效投标。</w:t>
      </w:r>
    </w:p>
    <w:p>
      <w:pPr>
        <w:spacing w:line="500" w:lineRule="exact"/>
        <w:rPr>
          <w:rFonts w:cs="仿宋"/>
        </w:rPr>
      </w:pPr>
      <w:r>
        <w:rPr>
          <w:rFonts w:hint="eastAsia" w:cs="仿宋"/>
        </w:rPr>
        <w:t>4、中标人所提供的货物、服务须与投标承诺一致，不得以次充好、偷工减料，若在项目验收中发现有上述情况，将向有关部门举报，根据相关规定进行处理。</w:t>
      </w:r>
    </w:p>
    <w:p/>
    <w:p>
      <w:pPr>
        <w:spacing w:line="276" w:lineRule="auto"/>
      </w:pPr>
      <w:r>
        <w:br w:type="page"/>
      </w:r>
    </w:p>
    <w:p>
      <w:pPr>
        <w:pStyle w:val="3"/>
      </w:pPr>
      <w:r>
        <w:rPr>
          <w:rFonts w:hint="eastAsia"/>
        </w:rPr>
        <w:t>第四部分</w:t>
      </w:r>
      <w:r>
        <w:t xml:space="preserve">   </w:t>
      </w:r>
      <w:bookmarkStart w:id="5" w:name="_Toc184310339"/>
      <w:bookmarkEnd w:id="5"/>
      <w:bookmarkStart w:id="6" w:name="_Toc184308084"/>
      <w:bookmarkEnd w:id="6"/>
      <w:bookmarkStart w:id="7" w:name="_Toc184314411"/>
      <w:bookmarkEnd w:id="7"/>
      <w:bookmarkStart w:id="8" w:name="_Toc184313251"/>
      <w:bookmarkEnd w:id="8"/>
      <w:bookmarkStart w:id="9" w:name="_Toc184308066"/>
      <w:bookmarkEnd w:id="9"/>
      <w:bookmarkStart w:id="10" w:name="_Toc184313288"/>
      <w:bookmarkEnd w:id="10"/>
      <w:bookmarkStart w:id="11" w:name="_Toc184313310"/>
      <w:bookmarkEnd w:id="11"/>
      <w:bookmarkStart w:id="12" w:name="_Toc184314481"/>
      <w:bookmarkEnd w:id="12"/>
      <w:bookmarkStart w:id="13" w:name="_Toc184313297"/>
      <w:bookmarkEnd w:id="13"/>
      <w:bookmarkStart w:id="14" w:name="_Toc184312095"/>
      <w:bookmarkEnd w:id="14"/>
      <w:bookmarkStart w:id="15" w:name="_Toc184310273"/>
      <w:bookmarkEnd w:id="15"/>
      <w:bookmarkStart w:id="16" w:name="_Toc184314453"/>
      <w:bookmarkEnd w:id="16"/>
      <w:bookmarkStart w:id="17" w:name="_Toc184310317"/>
      <w:bookmarkEnd w:id="17"/>
      <w:bookmarkStart w:id="18" w:name="_Toc184312078"/>
      <w:bookmarkEnd w:id="18"/>
      <w:bookmarkStart w:id="19" w:name="_Toc184308102"/>
      <w:bookmarkEnd w:id="19"/>
      <w:bookmarkStart w:id="20" w:name="_Toc184314472"/>
      <w:bookmarkEnd w:id="20"/>
      <w:bookmarkStart w:id="21" w:name="_Toc184313298"/>
      <w:bookmarkEnd w:id="21"/>
      <w:bookmarkStart w:id="22" w:name="_Toc184310287"/>
      <w:bookmarkEnd w:id="22"/>
      <w:bookmarkStart w:id="23" w:name="_Toc184308068"/>
      <w:bookmarkEnd w:id="23"/>
      <w:bookmarkStart w:id="24" w:name="_Toc184310320"/>
      <w:bookmarkEnd w:id="24"/>
      <w:bookmarkStart w:id="25" w:name="_Toc184313285"/>
      <w:bookmarkEnd w:id="25"/>
      <w:bookmarkStart w:id="26" w:name="_Toc184314428"/>
      <w:bookmarkEnd w:id="26"/>
      <w:bookmarkStart w:id="27" w:name="_Toc184312106"/>
      <w:bookmarkEnd w:id="27"/>
      <w:bookmarkStart w:id="28" w:name="_Toc184310280"/>
      <w:bookmarkEnd w:id="28"/>
      <w:bookmarkStart w:id="29" w:name="_Toc184314449"/>
      <w:bookmarkEnd w:id="29"/>
      <w:bookmarkStart w:id="30" w:name="_Toc184313243"/>
      <w:bookmarkEnd w:id="30"/>
      <w:bookmarkStart w:id="31" w:name="_Toc184312094"/>
      <w:bookmarkEnd w:id="31"/>
      <w:bookmarkStart w:id="32" w:name="_Toc184310295"/>
      <w:bookmarkEnd w:id="32"/>
      <w:bookmarkStart w:id="33" w:name="_Toc184312088"/>
      <w:bookmarkEnd w:id="33"/>
      <w:bookmarkStart w:id="34" w:name="_Toc184312108"/>
      <w:bookmarkEnd w:id="34"/>
      <w:bookmarkStart w:id="35" w:name="_Toc184310313"/>
      <w:bookmarkEnd w:id="35"/>
      <w:bookmarkStart w:id="36" w:name="_Toc184312129"/>
      <w:bookmarkEnd w:id="36"/>
      <w:bookmarkStart w:id="37" w:name="_Toc184310274"/>
      <w:bookmarkEnd w:id="37"/>
      <w:bookmarkStart w:id="38" w:name="_Toc184314459"/>
      <w:bookmarkEnd w:id="38"/>
      <w:bookmarkStart w:id="39" w:name="_Toc184308051"/>
      <w:bookmarkEnd w:id="39"/>
      <w:bookmarkStart w:id="40" w:name="_Toc184310288"/>
      <w:bookmarkEnd w:id="40"/>
      <w:bookmarkStart w:id="41" w:name="_Toc184310310"/>
      <w:bookmarkEnd w:id="41"/>
      <w:bookmarkStart w:id="42" w:name="_Toc184313302"/>
      <w:bookmarkEnd w:id="42"/>
      <w:bookmarkStart w:id="43" w:name="_Toc184308052"/>
      <w:bookmarkEnd w:id="43"/>
      <w:bookmarkStart w:id="44" w:name="_Toc184312111"/>
      <w:bookmarkEnd w:id="44"/>
      <w:bookmarkStart w:id="45" w:name="_Toc184308063"/>
      <w:bookmarkEnd w:id="45"/>
      <w:bookmarkStart w:id="46" w:name="_Toc184312102"/>
      <w:bookmarkEnd w:id="46"/>
      <w:bookmarkStart w:id="47" w:name="_Toc184310294"/>
      <w:bookmarkEnd w:id="47"/>
      <w:bookmarkStart w:id="48" w:name="_Toc184312083"/>
      <w:bookmarkEnd w:id="48"/>
      <w:bookmarkStart w:id="49" w:name="_Toc184308047"/>
      <w:bookmarkEnd w:id="49"/>
      <w:bookmarkStart w:id="50" w:name="_Toc184308061"/>
      <w:bookmarkEnd w:id="50"/>
      <w:bookmarkStart w:id="51" w:name="_Toc184314416"/>
      <w:bookmarkEnd w:id="51"/>
      <w:bookmarkStart w:id="52" w:name="_Toc184312099"/>
      <w:bookmarkEnd w:id="52"/>
      <w:bookmarkStart w:id="53" w:name="_Toc184310305"/>
      <w:bookmarkEnd w:id="53"/>
      <w:bookmarkStart w:id="54" w:name="_Toc184312103"/>
      <w:bookmarkEnd w:id="54"/>
      <w:bookmarkStart w:id="55" w:name="_Toc184312107"/>
      <w:bookmarkEnd w:id="55"/>
      <w:bookmarkStart w:id="56" w:name="_Toc184312126"/>
      <w:bookmarkEnd w:id="56"/>
      <w:bookmarkStart w:id="57" w:name="_Toc184308100"/>
      <w:bookmarkEnd w:id="57"/>
      <w:bookmarkStart w:id="58" w:name="_Toc184314463"/>
      <w:bookmarkEnd w:id="58"/>
      <w:bookmarkStart w:id="59" w:name="_Toc184314430"/>
      <w:bookmarkEnd w:id="59"/>
      <w:bookmarkStart w:id="60" w:name="_Toc184312113"/>
      <w:bookmarkEnd w:id="60"/>
      <w:bookmarkStart w:id="61" w:name="_Toc184310314"/>
      <w:bookmarkEnd w:id="61"/>
      <w:bookmarkStart w:id="62" w:name="_Toc184310341"/>
      <w:bookmarkEnd w:id="62"/>
      <w:bookmarkStart w:id="63" w:name="_Toc184310343"/>
      <w:bookmarkEnd w:id="63"/>
      <w:bookmarkStart w:id="64" w:name="_Toc184313238"/>
      <w:bookmarkEnd w:id="64"/>
      <w:bookmarkStart w:id="65" w:name="_Toc184314450"/>
      <w:bookmarkEnd w:id="65"/>
      <w:bookmarkStart w:id="66" w:name="_Toc184308085"/>
      <w:bookmarkEnd w:id="66"/>
      <w:bookmarkStart w:id="67" w:name="_Toc184312109"/>
      <w:bookmarkEnd w:id="67"/>
      <w:bookmarkStart w:id="68" w:name="_Toc184310322"/>
      <w:bookmarkEnd w:id="68"/>
      <w:bookmarkStart w:id="69" w:name="_Toc184308042"/>
      <w:bookmarkEnd w:id="69"/>
      <w:bookmarkStart w:id="70" w:name="_Toc184310277"/>
      <w:bookmarkEnd w:id="70"/>
      <w:bookmarkStart w:id="71" w:name="_Toc184308048"/>
      <w:bookmarkEnd w:id="71"/>
      <w:bookmarkStart w:id="72" w:name="_Toc184314480"/>
      <w:bookmarkEnd w:id="72"/>
      <w:bookmarkStart w:id="73" w:name="_Toc184314456"/>
      <w:bookmarkEnd w:id="73"/>
      <w:bookmarkStart w:id="74" w:name="_Toc184312082"/>
      <w:bookmarkEnd w:id="74"/>
      <w:bookmarkStart w:id="75" w:name="_Toc184308037"/>
      <w:bookmarkEnd w:id="75"/>
      <w:bookmarkStart w:id="76" w:name="_Toc184308082"/>
      <w:bookmarkEnd w:id="76"/>
      <w:bookmarkStart w:id="77" w:name="_Toc184312086"/>
      <w:bookmarkEnd w:id="77"/>
      <w:bookmarkStart w:id="78" w:name="_Toc184308050"/>
      <w:bookmarkEnd w:id="78"/>
      <w:bookmarkStart w:id="79" w:name="_Toc184308087"/>
      <w:bookmarkEnd w:id="79"/>
      <w:bookmarkStart w:id="80" w:name="_Toc184308056"/>
      <w:bookmarkEnd w:id="80"/>
      <w:bookmarkStart w:id="81" w:name="_Toc184313283"/>
      <w:bookmarkEnd w:id="81"/>
      <w:bookmarkStart w:id="82" w:name="_Toc184312072"/>
      <w:bookmarkEnd w:id="82"/>
      <w:bookmarkStart w:id="83" w:name="_Toc184313281"/>
      <w:bookmarkEnd w:id="83"/>
      <w:bookmarkStart w:id="84" w:name="_Toc184313266"/>
      <w:bookmarkEnd w:id="84"/>
      <w:bookmarkStart w:id="85" w:name="_Toc184314422"/>
      <w:bookmarkEnd w:id="85"/>
      <w:bookmarkStart w:id="86" w:name="_Toc184314419"/>
      <w:bookmarkEnd w:id="86"/>
      <w:bookmarkStart w:id="87" w:name="_Toc184310318"/>
      <w:bookmarkEnd w:id="87"/>
      <w:bookmarkStart w:id="88" w:name="_Toc184308070"/>
      <w:bookmarkEnd w:id="88"/>
      <w:bookmarkStart w:id="89" w:name="_Toc184308083"/>
      <w:bookmarkEnd w:id="89"/>
      <w:bookmarkStart w:id="90" w:name="_Toc184308103"/>
      <w:bookmarkEnd w:id="90"/>
      <w:bookmarkStart w:id="91" w:name="_Toc184308095"/>
      <w:bookmarkEnd w:id="91"/>
      <w:bookmarkStart w:id="92" w:name="_Toc184314410"/>
      <w:bookmarkEnd w:id="92"/>
      <w:bookmarkStart w:id="93" w:name="_Toc184314429"/>
      <w:bookmarkEnd w:id="93"/>
      <w:bookmarkStart w:id="94" w:name="_Toc184308043"/>
      <w:bookmarkEnd w:id="94"/>
      <w:bookmarkStart w:id="95" w:name="_Toc184314418"/>
      <w:bookmarkEnd w:id="95"/>
      <w:bookmarkStart w:id="96" w:name="_Toc184313261"/>
      <w:bookmarkEnd w:id="96"/>
      <w:bookmarkStart w:id="97" w:name="_Toc184313264"/>
      <w:bookmarkEnd w:id="97"/>
      <w:bookmarkStart w:id="98" w:name="_Toc184308059"/>
      <w:bookmarkEnd w:id="98"/>
      <w:bookmarkStart w:id="99" w:name="_Toc184312079"/>
      <w:bookmarkEnd w:id="99"/>
      <w:bookmarkStart w:id="100" w:name="_Toc184313292"/>
      <w:bookmarkEnd w:id="100"/>
      <w:bookmarkStart w:id="101" w:name="_Toc184312089"/>
      <w:bookmarkEnd w:id="101"/>
      <w:bookmarkStart w:id="102" w:name="_Toc184313270"/>
      <w:bookmarkEnd w:id="102"/>
      <w:bookmarkStart w:id="103" w:name="_Toc184310306"/>
      <w:bookmarkEnd w:id="103"/>
      <w:bookmarkStart w:id="104" w:name="_Toc184314457"/>
      <w:bookmarkEnd w:id="104"/>
      <w:bookmarkStart w:id="105" w:name="_Toc184308098"/>
      <w:bookmarkEnd w:id="105"/>
      <w:bookmarkStart w:id="106" w:name="_Toc184308060"/>
      <w:bookmarkEnd w:id="106"/>
      <w:bookmarkStart w:id="107" w:name="_Toc184314479"/>
      <w:bookmarkEnd w:id="107"/>
      <w:bookmarkStart w:id="108" w:name="_Toc184314431"/>
      <w:bookmarkEnd w:id="108"/>
      <w:bookmarkStart w:id="109" w:name="_Toc184314451"/>
      <w:bookmarkEnd w:id="109"/>
      <w:bookmarkStart w:id="110" w:name="_Toc184310324"/>
      <w:bookmarkEnd w:id="110"/>
      <w:bookmarkStart w:id="111" w:name="_Toc184308097"/>
      <w:bookmarkEnd w:id="111"/>
      <w:bookmarkStart w:id="112" w:name="_Toc184310321"/>
      <w:bookmarkEnd w:id="112"/>
      <w:bookmarkStart w:id="113" w:name="_Toc184308058"/>
      <w:bookmarkEnd w:id="113"/>
      <w:bookmarkStart w:id="114" w:name="_Toc184314466"/>
      <w:bookmarkEnd w:id="114"/>
      <w:bookmarkStart w:id="115" w:name="_Toc184310275"/>
      <w:bookmarkEnd w:id="115"/>
      <w:bookmarkStart w:id="116" w:name="_Toc184308101"/>
      <w:bookmarkEnd w:id="116"/>
      <w:bookmarkStart w:id="117" w:name="_Toc184314454"/>
      <w:bookmarkEnd w:id="117"/>
      <w:bookmarkStart w:id="118" w:name="_Toc184310319"/>
      <w:bookmarkEnd w:id="118"/>
      <w:bookmarkStart w:id="119" w:name="_Toc184308106"/>
      <w:bookmarkEnd w:id="119"/>
      <w:bookmarkStart w:id="120" w:name="_Toc184312118"/>
      <w:bookmarkEnd w:id="120"/>
      <w:bookmarkStart w:id="121" w:name="_Toc184310302"/>
      <w:bookmarkEnd w:id="121"/>
      <w:bookmarkStart w:id="122" w:name="_Toc184313248"/>
      <w:bookmarkEnd w:id="122"/>
      <w:bookmarkStart w:id="123" w:name="_Toc184313252"/>
      <w:bookmarkEnd w:id="123"/>
      <w:bookmarkStart w:id="124" w:name="_Toc184310344"/>
      <w:bookmarkEnd w:id="124"/>
      <w:bookmarkStart w:id="125" w:name="_Toc184313256"/>
      <w:bookmarkEnd w:id="125"/>
      <w:bookmarkStart w:id="126" w:name="_Toc184312110"/>
      <w:bookmarkEnd w:id="126"/>
      <w:bookmarkStart w:id="127" w:name="_Toc184313242"/>
      <w:bookmarkEnd w:id="127"/>
      <w:bookmarkStart w:id="128" w:name="_Toc184313275"/>
      <w:bookmarkEnd w:id="128"/>
      <w:bookmarkStart w:id="129" w:name="_Toc184312115"/>
      <w:bookmarkEnd w:id="129"/>
      <w:bookmarkStart w:id="130" w:name="_Toc184310303"/>
      <w:bookmarkEnd w:id="130"/>
      <w:bookmarkStart w:id="131" w:name="_Toc184310332"/>
      <w:bookmarkEnd w:id="131"/>
      <w:bookmarkStart w:id="132" w:name="_Toc184314469"/>
      <w:bookmarkEnd w:id="132"/>
      <w:bookmarkStart w:id="133" w:name="_Toc184312123"/>
      <w:bookmarkEnd w:id="133"/>
      <w:bookmarkStart w:id="134" w:name="_Toc184312132"/>
      <w:bookmarkEnd w:id="134"/>
      <w:bookmarkStart w:id="135" w:name="_Toc184310304"/>
      <w:bookmarkEnd w:id="135"/>
      <w:bookmarkStart w:id="136" w:name="_Toc184313294"/>
      <w:bookmarkEnd w:id="136"/>
      <w:bookmarkStart w:id="137" w:name="_Toc184313289"/>
      <w:bookmarkEnd w:id="137"/>
      <w:bookmarkStart w:id="138" w:name="_Toc184308107"/>
      <w:bookmarkEnd w:id="138"/>
      <w:bookmarkStart w:id="139" w:name="_Toc184312105"/>
      <w:bookmarkEnd w:id="139"/>
      <w:bookmarkStart w:id="140" w:name="_Toc184310281"/>
      <w:bookmarkEnd w:id="140"/>
      <w:bookmarkStart w:id="141" w:name="_Toc184312101"/>
      <w:bookmarkEnd w:id="141"/>
      <w:bookmarkStart w:id="142" w:name="_Toc184310298"/>
      <w:bookmarkEnd w:id="142"/>
      <w:bookmarkStart w:id="143" w:name="_Toc184312098"/>
      <w:bookmarkEnd w:id="143"/>
      <w:bookmarkStart w:id="144" w:name="_Toc184310276"/>
      <w:bookmarkEnd w:id="144"/>
      <w:bookmarkStart w:id="145" w:name="_Toc184313280"/>
      <w:bookmarkEnd w:id="145"/>
      <w:bookmarkStart w:id="146" w:name="_Toc184308080"/>
      <w:bookmarkEnd w:id="146"/>
      <w:bookmarkStart w:id="147" w:name="_Toc184308053"/>
      <w:bookmarkEnd w:id="147"/>
      <w:bookmarkStart w:id="148" w:name="_Toc184314424"/>
      <w:bookmarkEnd w:id="148"/>
      <w:bookmarkStart w:id="149" w:name="_Toc184312122"/>
      <w:bookmarkEnd w:id="149"/>
      <w:bookmarkStart w:id="150" w:name="_Toc184312077"/>
      <w:bookmarkEnd w:id="150"/>
      <w:bookmarkStart w:id="151" w:name="_Toc184310282"/>
      <w:bookmarkEnd w:id="151"/>
      <w:bookmarkStart w:id="152" w:name="_Toc184313309"/>
      <w:bookmarkEnd w:id="152"/>
      <w:bookmarkStart w:id="153" w:name="_Toc184310342"/>
      <w:bookmarkEnd w:id="153"/>
      <w:bookmarkStart w:id="154" w:name="_Toc184308036"/>
      <w:bookmarkEnd w:id="154"/>
      <w:bookmarkStart w:id="155" w:name="_Toc184312114"/>
      <w:bookmarkEnd w:id="155"/>
      <w:bookmarkStart w:id="156" w:name="_Toc184314461"/>
      <w:bookmarkEnd w:id="156"/>
      <w:bookmarkStart w:id="157" w:name="_Toc184312120"/>
      <w:bookmarkEnd w:id="157"/>
      <w:bookmarkStart w:id="158" w:name="_Toc184308073"/>
      <w:bookmarkEnd w:id="158"/>
      <w:bookmarkStart w:id="159" w:name="_Toc184312080"/>
      <w:bookmarkEnd w:id="159"/>
      <w:bookmarkStart w:id="160" w:name="_Toc184308075"/>
      <w:bookmarkEnd w:id="160"/>
      <w:bookmarkStart w:id="161" w:name="_Toc184313271"/>
      <w:bookmarkEnd w:id="161"/>
      <w:bookmarkStart w:id="162" w:name="_Toc184308094"/>
      <w:bookmarkEnd w:id="162"/>
      <w:bookmarkStart w:id="163" w:name="_Toc184314482"/>
      <w:bookmarkEnd w:id="163"/>
      <w:bookmarkStart w:id="164" w:name="_Toc184310290"/>
      <w:bookmarkEnd w:id="164"/>
      <w:bookmarkStart w:id="165" w:name="_Toc184313296"/>
      <w:bookmarkEnd w:id="165"/>
      <w:bookmarkStart w:id="166" w:name="_Toc184313291"/>
      <w:bookmarkEnd w:id="166"/>
      <w:bookmarkStart w:id="167" w:name="_Toc184314434"/>
      <w:bookmarkEnd w:id="167"/>
      <w:bookmarkStart w:id="168" w:name="_Toc184308057"/>
      <w:bookmarkEnd w:id="168"/>
      <w:bookmarkStart w:id="169" w:name="_Toc184308081"/>
      <w:bookmarkEnd w:id="169"/>
      <w:bookmarkStart w:id="170" w:name="_Toc184312127"/>
      <w:bookmarkEnd w:id="170"/>
      <w:bookmarkStart w:id="171" w:name="_Toc184314464"/>
      <w:bookmarkEnd w:id="171"/>
      <w:bookmarkStart w:id="172" w:name="_Toc184310300"/>
      <w:bookmarkEnd w:id="172"/>
      <w:bookmarkStart w:id="173" w:name="_Toc184308074"/>
      <w:bookmarkEnd w:id="173"/>
      <w:bookmarkStart w:id="174" w:name="_Toc184312131"/>
      <w:bookmarkEnd w:id="174"/>
      <w:bookmarkStart w:id="175" w:name="_Toc184312068"/>
      <w:bookmarkEnd w:id="175"/>
      <w:bookmarkStart w:id="176" w:name="_Toc184312133"/>
      <w:bookmarkEnd w:id="176"/>
      <w:bookmarkStart w:id="177" w:name="_Toc184308099"/>
      <w:bookmarkEnd w:id="177"/>
      <w:bookmarkStart w:id="178" w:name="_Toc184314438"/>
      <w:bookmarkEnd w:id="178"/>
      <w:bookmarkStart w:id="179" w:name="_Toc184313258"/>
      <w:bookmarkEnd w:id="179"/>
      <w:bookmarkStart w:id="180" w:name="_Toc184312071"/>
      <w:bookmarkEnd w:id="180"/>
      <w:bookmarkStart w:id="181" w:name="_Toc184312097"/>
      <w:bookmarkEnd w:id="181"/>
      <w:bookmarkStart w:id="182" w:name="_Toc184308046"/>
      <w:bookmarkEnd w:id="182"/>
      <w:bookmarkStart w:id="183" w:name="_Toc184312081"/>
      <w:bookmarkEnd w:id="183"/>
      <w:bookmarkStart w:id="184" w:name="_Toc184314436"/>
      <w:bookmarkEnd w:id="184"/>
      <w:bookmarkStart w:id="185" w:name="_Toc184312069"/>
      <w:bookmarkEnd w:id="185"/>
      <w:bookmarkStart w:id="186" w:name="_Toc184312084"/>
      <w:bookmarkEnd w:id="186"/>
      <w:bookmarkStart w:id="187" w:name="_Toc184313246"/>
      <w:bookmarkEnd w:id="187"/>
      <w:bookmarkStart w:id="188" w:name="_Toc184310337"/>
      <w:bookmarkEnd w:id="188"/>
      <w:bookmarkStart w:id="189" w:name="_Toc184314448"/>
      <w:bookmarkEnd w:id="189"/>
      <w:bookmarkStart w:id="190" w:name="_Toc184313300"/>
      <w:bookmarkEnd w:id="190"/>
      <w:bookmarkStart w:id="191" w:name="_Toc184312128"/>
      <w:bookmarkEnd w:id="191"/>
      <w:bookmarkStart w:id="192" w:name="_Toc184312112"/>
      <w:bookmarkEnd w:id="192"/>
      <w:bookmarkStart w:id="193" w:name="_Toc184310293"/>
      <w:bookmarkEnd w:id="193"/>
      <w:bookmarkStart w:id="194" w:name="_Toc184310326"/>
      <w:bookmarkEnd w:id="194"/>
      <w:bookmarkStart w:id="195" w:name="_Toc184310316"/>
      <w:bookmarkEnd w:id="195"/>
      <w:bookmarkStart w:id="196" w:name="_Toc184310340"/>
      <w:bookmarkEnd w:id="196"/>
      <w:bookmarkStart w:id="197" w:name="_Toc184308076"/>
      <w:bookmarkEnd w:id="197"/>
      <w:bookmarkStart w:id="198" w:name="_Toc184310307"/>
      <w:bookmarkEnd w:id="198"/>
      <w:bookmarkStart w:id="199" w:name="_Toc184312067"/>
      <w:bookmarkEnd w:id="199"/>
      <w:bookmarkStart w:id="200" w:name="_Toc184314413"/>
      <w:bookmarkEnd w:id="200"/>
      <w:bookmarkStart w:id="201" w:name="_Toc184308049"/>
      <w:bookmarkEnd w:id="201"/>
      <w:bookmarkStart w:id="202" w:name="_Toc184308077"/>
      <w:bookmarkEnd w:id="202"/>
      <w:bookmarkStart w:id="203" w:name="_Toc184313299"/>
      <w:bookmarkEnd w:id="203"/>
      <w:bookmarkStart w:id="204" w:name="_Toc184314444"/>
      <w:bookmarkEnd w:id="204"/>
      <w:bookmarkStart w:id="205" w:name="_Toc184313250"/>
      <w:bookmarkEnd w:id="205"/>
      <w:bookmarkStart w:id="206" w:name="_Toc184314475"/>
      <w:bookmarkEnd w:id="206"/>
      <w:bookmarkStart w:id="207" w:name="_Toc184313247"/>
      <w:bookmarkEnd w:id="207"/>
      <w:bookmarkStart w:id="208" w:name="_Toc184310272"/>
      <w:bookmarkEnd w:id="208"/>
      <w:bookmarkStart w:id="209" w:name="_Toc184314471"/>
      <w:bookmarkEnd w:id="209"/>
      <w:bookmarkStart w:id="210" w:name="_Toc184313240"/>
      <w:bookmarkEnd w:id="210"/>
      <w:bookmarkStart w:id="211" w:name="_Toc184313267"/>
      <w:bookmarkEnd w:id="211"/>
      <w:bookmarkStart w:id="212" w:name="_Toc184313307"/>
      <w:bookmarkEnd w:id="212"/>
      <w:bookmarkStart w:id="213" w:name="_Toc184312130"/>
      <w:bookmarkEnd w:id="213"/>
      <w:bookmarkStart w:id="214" w:name="_Toc184314455"/>
      <w:bookmarkEnd w:id="214"/>
      <w:bookmarkStart w:id="215" w:name="_Toc184312093"/>
      <w:bookmarkEnd w:id="215"/>
      <w:bookmarkStart w:id="216" w:name="_Toc184314470"/>
      <w:bookmarkEnd w:id="216"/>
      <w:bookmarkStart w:id="217" w:name="_Toc184310308"/>
      <w:bookmarkEnd w:id="217"/>
      <w:bookmarkStart w:id="218" w:name="_Toc184313245"/>
      <w:bookmarkEnd w:id="218"/>
      <w:bookmarkStart w:id="219" w:name="_Toc184312139"/>
      <w:bookmarkEnd w:id="219"/>
      <w:bookmarkStart w:id="220" w:name="_Toc184310331"/>
      <w:bookmarkEnd w:id="220"/>
      <w:bookmarkStart w:id="221" w:name="_Toc184312117"/>
      <w:bookmarkEnd w:id="221"/>
      <w:bookmarkStart w:id="222" w:name="_Toc184313304"/>
      <w:bookmarkEnd w:id="222"/>
      <w:bookmarkStart w:id="223" w:name="_Toc184313268"/>
      <w:bookmarkEnd w:id="223"/>
      <w:bookmarkStart w:id="224" w:name="_Toc184313278"/>
      <w:bookmarkEnd w:id="224"/>
      <w:bookmarkStart w:id="225" w:name="_Toc184308064"/>
      <w:bookmarkEnd w:id="225"/>
      <w:bookmarkStart w:id="226" w:name="_Toc184308040"/>
      <w:bookmarkEnd w:id="226"/>
      <w:bookmarkStart w:id="227" w:name="_Toc184310327"/>
      <w:bookmarkEnd w:id="227"/>
      <w:bookmarkStart w:id="228" w:name="_Toc184312119"/>
      <w:bookmarkEnd w:id="228"/>
      <w:bookmarkStart w:id="229" w:name="_Toc184314415"/>
      <w:bookmarkEnd w:id="229"/>
      <w:bookmarkStart w:id="230" w:name="_Toc184308088"/>
      <w:bookmarkEnd w:id="230"/>
      <w:bookmarkStart w:id="231" w:name="_Toc184314417"/>
      <w:bookmarkEnd w:id="231"/>
      <w:bookmarkStart w:id="232" w:name="_Toc184310286"/>
      <w:bookmarkEnd w:id="232"/>
      <w:bookmarkStart w:id="233" w:name="_Toc184310312"/>
      <w:bookmarkEnd w:id="233"/>
      <w:bookmarkStart w:id="234" w:name="_Toc184312075"/>
      <w:bookmarkEnd w:id="234"/>
      <w:bookmarkStart w:id="235" w:name="_Toc184312074"/>
      <w:bookmarkEnd w:id="235"/>
      <w:bookmarkStart w:id="236" w:name="_Toc184312116"/>
      <w:bookmarkEnd w:id="236"/>
      <w:bookmarkStart w:id="237" w:name="_Toc184314412"/>
      <w:bookmarkEnd w:id="237"/>
      <w:bookmarkStart w:id="238" w:name="_Toc184314435"/>
      <w:bookmarkEnd w:id="238"/>
      <w:bookmarkStart w:id="239" w:name="_Toc184310333"/>
      <w:bookmarkEnd w:id="239"/>
      <w:bookmarkStart w:id="240" w:name="_Toc184313279"/>
      <w:bookmarkEnd w:id="240"/>
      <w:bookmarkStart w:id="241" w:name="_Toc184314443"/>
      <w:bookmarkEnd w:id="241"/>
      <w:bookmarkStart w:id="242" w:name="_Toc184308108"/>
      <w:bookmarkEnd w:id="242"/>
      <w:bookmarkStart w:id="243" w:name="_Toc184308045"/>
      <w:bookmarkEnd w:id="243"/>
      <w:bookmarkStart w:id="244" w:name="_Toc184310291"/>
      <w:bookmarkEnd w:id="244"/>
      <w:bookmarkStart w:id="245" w:name="_Toc184313282"/>
      <w:bookmarkEnd w:id="245"/>
      <w:bookmarkStart w:id="246" w:name="_Toc184313286"/>
      <w:bookmarkEnd w:id="246"/>
      <w:bookmarkStart w:id="247" w:name="_Toc184313295"/>
      <w:bookmarkEnd w:id="247"/>
      <w:bookmarkStart w:id="248" w:name="_Toc184308092"/>
      <w:bookmarkEnd w:id="248"/>
      <w:bookmarkStart w:id="249" w:name="_Toc184314421"/>
      <w:bookmarkEnd w:id="249"/>
      <w:bookmarkStart w:id="250" w:name="_Toc184312134"/>
      <w:bookmarkEnd w:id="250"/>
      <w:bookmarkStart w:id="251" w:name="_Toc184310285"/>
      <w:bookmarkEnd w:id="251"/>
      <w:bookmarkStart w:id="252" w:name="_Toc184314465"/>
      <w:bookmarkEnd w:id="252"/>
      <w:bookmarkStart w:id="253" w:name="_Toc184310297"/>
      <w:bookmarkEnd w:id="253"/>
      <w:bookmarkStart w:id="254" w:name="_Toc184313284"/>
      <w:bookmarkEnd w:id="254"/>
      <w:bookmarkStart w:id="255" w:name="_Toc184310278"/>
      <w:bookmarkEnd w:id="255"/>
      <w:bookmarkStart w:id="256" w:name="_Toc184314425"/>
      <w:bookmarkEnd w:id="256"/>
      <w:bookmarkStart w:id="257" w:name="_Toc184312090"/>
      <w:bookmarkEnd w:id="257"/>
      <w:bookmarkStart w:id="258" w:name="_Toc184308065"/>
      <w:bookmarkEnd w:id="258"/>
      <w:bookmarkStart w:id="259" w:name="_Toc184313255"/>
      <w:bookmarkEnd w:id="259"/>
      <w:bookmarkStart w:id="260" w:name="_Toc184310299"/>
      <w:bookmarkEnd w:id="260"/>
      <w:bookmarkStart w:id="261" w:name="_Toc184313272"/>
      <w:bookmarkEnd w:id="261"/>
      <w:bookmarkStart w:id="262" w:name="_Toc184313263"/>
      <w:bookmarkEnd w:id="262"/>
      <w:bookmarkStart w:id="263" w:name="_Toc184312096"/>
      <w:bookmarkEnd w:id="263"/>
      <w:bookmarkStart w:id="264" w:name="_Toc184308044"/>
      <w:bookmarkEnd w:id="264"/>
      <w:bookmarkStart w:id="265" w:name="_Toc184308096"/>
      <w:bookmarkEnd w:id="265"/>
      <w:bookmarkStart w:id="266" w:name="_Toc184310335"/>
      <w:bookmarkEnd w:id="266"/>
      <w:bookmarkStart w:id="267" w:name="_Toc184310292"/>
      <w:bookmarkEnd w:id="267"/>
      <w:bookmarkStart w:id="268" w:name="_Toc184313306"/>
      <w:bookmarkEnd w:id="268"/>
      <w:bookmarkStart w:id="269" w:name="_Toc184313254"/>
      <w:bookmarkEnd w:id="269"/>
      <w:bookmarkStart w:id="270" w:name="_Toc184314437"/>
      <w:bookmarkEnd w:id="270"/>
      <w:bookmarkStart w:id="271" w:name="_Toc184310301"/>
      <w:bookmarkEnd w:id="271"/>
      <w:bookmarkStart w:id="272" w:name="_Toc184310323"/>
      <w:bookmarkEnd w:id="272"/>
      <w:bookmarkStart w:id="273" w:name="_Toc184313274"/>
      <w:bookmarkEnd w:id="273"/>
      <w:bookmarkStart w:id="274" w:name="_Toc184313259"/>
      <w:bookmarkEnd w:id="274"/>
      <w:bookmarkStart w:id="275" w:name="_Toc184312135"/>
      <w:bookmarkEnd w:id="275"/>
      <w:bookmarkStart w:id="276" w:name="_Toc184312136"/>
      <w:bookmarkEnd w:id="276"/>
      <w:bookmarkStart w:id="277" w:name="_Toc184310336"/>
      <w:bookmarkEnd w:id="277"/>
      <w:bookmarkStart w:id="278" w:name="_Toc184314473"/>
      <w:bookmarkEnd w:id="278"/>
      <w:bookmarkStart w:id="279" w:name="_Toc184313249"/>
      <w:bookmarkEnd w:id="279"/>
      <w:bookmarkStart w:id="280" w:name="_Toc184312087"/>
      <w:bookmarkEnd w:id="280"/>
      <w:bookmarkStart w:id="281" w:name="_Toc184308054"/>
      <w:bookmarkEnd w:id="281"/>
      <w:bookmarkStart w:id="282" w:name="_Toc184314426"/>
      <w:bookmarkEnd w:id="282"/>
      <w:bookmarkStart w:id="283" w:name="_Toc184308055"/>
      <w:bookmarkEnd w:id="283"/>
      <w:bookmarkStart w:id="284" w:name="_Toc184308089"/>
      <w:bookmarkEnd w:id="284"/>
      <w:bookmarkStart w:id="285" w:name="_Toc184313301"/>
      <w:bookmarkEnd w:id="285"/>
      <w:bookmarkStart w:id="286" w:name="_Toc184312137"/>
      <w:bookmarkEnd w:id="286"/>
      <w:bookmarkStart w:id="287" w:name="_Toc184314432"/>
      <w:bookmarkEnd w:id="287"/>
      <w:bookmarkStart w:id="288" w:name="_Toc184314440"/>
      <w:bookmarkEnd w:id="288"/>
      <w:bookmarkStart w:id="289" w:name="_Toc184314445"/>
      <w:bookmarkEnd w:id="289"/>
      <w:bookmarkStart w:id="290" w:name="_Toc184308078"/>
      <w:bookmarkEnd w:id="290"/>
      <w:bookmarkStart w:id="291" w:name="_Toc184313303"/>
      <w:bookmarkEnd w:id="291"/>
      <w:bookmarkStart w:id="292" w:name="_Toc184310311"/>
      <w:bookmarkEnd w:id="292"/>
      <w:bookmarkStart w:id="293" w:name="_Toc184310329"/>
      <w:bookmarkEnd w:id="293"/>
      <w:bookmarkStart w:id="294" w:name="_Toc184314423"/>
      <w:bookmarkEnd w:id="294"/>
      <w:bookmarkStart w:id="295" w:name="_Toc184313293"/>
      <w:bookmarkEnd w:id="295"/>
      <w:bookmarkStart w:id="296" w:name="_Toc184314458"/>
      <w:bookmarkEnd w:id="296"/>
      <w:bookmarkStart w:id="297" w:name="_Toc184313276"/>
      <w:bookmarkEnd w:id="297"/>
      <w:bookmarkStart w:id="298" w:name="_Toc184308072"/>
      <w:bookmarkEnd w:id="298"/>
      <w:bookmarkStart w:id="299" w:name="_Toc184313305"/>
      <w:bookmarkEnd w:id="299"/>
      <w:bookmarkStart w:id="300" w:name="_Toc184313262"/>
      <w:bookmarkEnd w:id="300"/>
      <w:bookmarkStart w:id="301" w:name="_Toc184310289"/>
      <w:bookmarkEnd w:id="301"/>
      <w:bookmarkStart w:id="302" w:name="_Toc184312092"/>
      <w:bookmarkEnd w:id="302"/>
      <w:bookmarkStart w:id="303" w:name="_Toc184313241"/>
      <w:bookmarkEnd w:id="303"/>
      <w:bookmarkStart w:id="304" w:name="_Toc184314468"/>
      <w:bookmarkEnd w:id="304"/>
      <w:bookmarkStart w:id="305" w:name="_Toc184312091"/>
      <w:bookmarkEnd w:id="305"/>
      <w:bookmarkStart w:id="306" w:name="_Toc184313260"/>
      <w:bookmarkEnd w:id="306"/>
      <w:bookmarkStart w:id="307" w:name="_Toc184308093"/>
      <w:bookmarkEnd w:id="307"/>
      <w:bookmarkStart w:id="308" w:name="_Toc184310328"/>
      <w:bookmarkEnd w:id="308"/>
      <w:bookmarkStart w:id="309" w:name="_Toc184312100"/>
      <w:bookmarkEnd w:id="309"/>
      <w:bookmarkStart w:id="310" w:name="_Toc184313287"/>
      <w:bookmarkEnd w:id="310"/>
      <w:bookmarkStart w:id="311" w:name="_Toc184308079"/>
      <w:bookmarkEnd w:id="311"/>
      <w:bookmarkStart w:id="312" w:name="_Toc184314420"/>
      <w:bookmarkEnd w:id="312"/>
      <w:bookmarkStart w:id="313" w:name="_Toc184308041"/>
      <w:bookmarkEnd w:id="313"/>
      <w:bookmarkStart w:id="314" w:name="_Toc184314477"/>
      <w:bookmarkEnd w:id="314"/>
      <w:bookmarkStart w:id="315" w:name="_Toc184310296"/>
      <w:bookmarkEnd w:id="315"/>
      <w:bookmarkStart w:id="316" w:name="_Toc184308104"/>
      <w:bookmarkEnd w:id="316"/>
      <w:bookmarkStart w:id="317" w:name="_Toc184310283"/>
      <w:bookmarkEnd w:id="317"/>
      <w:bookmarkStart w:id="318" w:name="_Toc184310315"/>
      <w:bookmarkEnd w:id="318"/>
      <w:bookmarkStart w:id="319" w:name="_Toc184314474"/>
      <w:bookmarkEnd w:id="319"/>
      <w:bookmarkStart w:id="320" w:name="_Toc184312073"/>
      <w:bookmarkEnd w:id="320"/>
      <w:bookmarkStart w:id="321" w:name="_Toc184310284"/>
      <w:bookmarkEnd w:id="321"/>
      <w:bookmarkStart w:id="322" w:name="_Toc184308069"/>
      <w:bookmarkEnd w:id="322"/>
      <w:bookmarkStart w:id="323" w:name="_Toc184308039"/>
      <w:bookmarkEnd w:id="323"/>
      <w:bookmarkStart w:id="324" w:name="_Toc184314414"/>
      <w:bookmarkEnd w:id="324"/>
      <w:bookmarkStart w:id="325" w:name="_Toc184313277"/>
      <w:bookmarkEnd w:id="325"/>
      <w:bookmarkStart w:id="326" w:name="_Toc184312104"/>
      <w:bookmarkEnd w:id="326"/>
      <w:bookmarkStart w:id="327" w:name="_Toc184314462"/>
      <w:bookmarkEnd w:id="327"/>
      <w:bookmarkStart w:id="328" w:name="_Toc184312138"/>
      <w:bookmarkEnd w:id="328"/>
      <w:bookmarkStart w:id="329" w:name="_Toc184310309"/>
      <w:bookmarkEnd w:id="329"/>
      <w:bookmarkStart w:id="330" w:name="_Toc184312070"/>
      <w:bookmarkEnd w:id="330"/>
      <w:bookmarkStart w:id="331" w:name="_Toc184308067"/>
      <w:bookmarkEnd w:id="331"/>
      <w:bookmarkStart w:id="332" w:name="_Toc184313290"/>
      <w:bookmarkEnd w:id="332"/>
      <w:bookmarkStart w:id="333" w:name="_Toc184312085"/>
      <w:bookmarkEnd w:id="333"/>
      <w:bookmarkStart w:id="334" w:name="_Toc184314447"/>
      <w:bookmarkEnd w:id="334"/>
      <w:bookmarkStart w:id="335" w:name="_Toc184313253"/>
      <w:bookmarkEnd w:id="335"/>
      <w:bookmarkStart w:id="336" w:name="_Toc184313265"/>
      <w:bookmarkEnd w:id="336"/>
      <w:bookmarkStart w:id="337" w:name="_Toc184314460"/>
      <w:bookmarkEnd w:id="337"/>
      <w:bookmarkStart w:id="338" w:name="_Toc184310334"/>
      <w:bookmarkEnd w:id="338"/>
      <w:bookmarkStart w:id="339" w:name="_Toc184314442"/>
      <w:bookmarkEnd w:id="339"/>
      <w:bookmarkStart w:id="340" w:name="_Toc184310330"/>
      <w:bookmarkEnd w:id="340"/>
      <w:bookmarkStart w:id="341" w:name="_Toc184313308"/>
      <w:bookmarkEnd w:id="341"/>
      <w:bookmarkStart w:id="342" w:name="_Toc184314467"/>
      <w:bookmarkEnd w:id="342"/>
      <w:bookmarkStart w:id="343" w:name="_Toc184314433"/>
      <w:bookmarkEnd w:id="343"/>
      <w:bookmarkStart w:id="344" w:name="_Toc184313239"/>
      <w:bookmarkEnd w:id="344"/>
      <w:bookmarkStart w:id="345" w:name="_Toc184314427"/>
      <w:bookmarkEnd w:id="345"/>
      <w:bookmarkStart w:id="346" w:name="_Toc184308090"/>
      <w:bookmarkEnd w:id="346"/>
      <w:bookmarkStart w:id="347" w:name="_Toc184314446"/>
      <w:bookmarkEnd w:id="347"/>
      <w:bookmarkStart w:id="348" w:name="_Toc184310279"/>
      <w:bookmarkEnd w:id="348"/>
      <w:bookmarkStart w:id="349" w:name="_Toc184312124"/>
      <w:bookmarkEnd w:id="349"/>
      <w:bookmarkStart w:id="350" w:name="_Toc184314478"/>
      <w:bookmarkEnd w:id="350"/>
      <w:bookmarkStart w:id="351" w:name="_Toc184310325"/>
      <w:bookmarkEnd w:id="351"/>
      <w:bookmarkStart w:id="352" w:name="_Toc184308105"/>
      <w:bookmarkEnd w:id="352"/>
      <w:bookmarkStart w:id="353" w:name="_Toc184310338"/>
      <w:bookmarkEnd w:id="353"/>
      <w:bookmarkStart w:id="354" w:name="_Toc184314441"/>
      <w:bookmarkEnd w:id="354"/>
      <w:bookmarkStart w:id="355" w:name="_Toc184308086"/>
      <w:bookmarkEnd w:id="355"/>
      <w:bookmarkStart w:id="356" w:name="_Toc184312121"/>
      <w:bookmarkEnd w:id="356"/>
      <w:bookmarkStart w:id="357" w:name="_Toc184314439"/>
      <w:bookmarkEnd w:id="357"/>
      <w:bookmarkStart w:id="358" w:name="_Toc184308071"/>
      <w:bookmarkEnd w:id="358"/>
      <w:bookmarkStart w:id="359" w:name="_Toc184313244"/>
      <w:bookmarkEnd w:id="359"/>
      <w:bookmarkStart w:id="360" w:name="_Toc184312125"/>
      <w:bookmarkEnd w:id="360"/>
      <w:bookmarkStart w:id="361" w:name="_Toc184313257"/>
      <w:bookmarkEnd w:id="361"/>
      <w:bookmarkStart w:id="362" w:name="_Toc184314452"/>
      <w:bookmarkEnd w:id="362"/>
      <w:bookmarkStart w:id="363" w:name="_Toc184308038"/>
      <w:bookmarkEnd w:id="363"/>
      <w:bookmarkStart w:id="364" w:name="_Toc184308062"/>
      <w:bookmarkEnd w:id="364"/>
      <w:bookmarkStart w:id="365" w:name="_Toc184314476"/>
      <w:bookmarkEnd w:id="365"/>
      <w:bookmarkStart w:id="366" w:name="_Toc184312076"/>
      <w:bookmarkEnd w:id="366"/>
      <w:bookmarkStart w:id="367" w:name="_Toc184308091"/>
      <w:bookmarkEnd w:id="367"/>
      <w:bookmarkStart w:id="368" w:name="_Toc184313269"/>
      <w:bookmarkEnd w:id="368"/>
      <w:bookmarkStart w:id="369" w:name="_Toc184313273"/>
      <w:bookmarkEnd w:id="369"/>
      <w:r>
        <w:rPr>
          <w:rFonts w:hint="eastAsia"/>
        </w:rPr>
        <w:t>评标办法</w:t>
      </w:r>
    </w:p>
    <w:p>
      <w:pPr>
        <w:pStyle w:val="2"/>
        <w:ind w:left="480"/>
      </w:pPr>
      <w:r>
        <w:rPr>
          <w:rFonts w:hint="eastAsia"/>
        </w:rPr>
        <w:t>评标办法前附表</w:t>
      </w:r>
    </w:p>
    <w:p>
      <w:pPr>
        <w:rPr>
          <w:b/>
        </w:rPr>
      </w:pPr>
      <w:r>
        <w:rPr>
          <w:rFonts w:hint="eastAsia"/>
          <w:b/>
        </w:rPr>
        <w:t>商务技术分（70分）</w:t>
      </w:r>
    </w:p>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397"/>
        <w:gridCol w:w="5123"/>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pPr>
          </w:p>
        </w:tc>
        <w:tc>
          <w:tcPr>
            <w:tcW w:w="553" w:type="dxa"/>
            <w:vAlign w:val="center"/>
          </w:tcPr>
          <w:p>
            <w:pPr>
              <w:spacing w:after="0"/>
              <w:jc w:val="center"/>
            </w:pPr>
            <w:r>
              <w:rPr>
                <w:rFonts w:hint="eastAsia"/>
              </w:rPr>
              <w:t>序号</w:t>
            </w:r>
          </w:p>
        </w:tc>
        <w:tc>
          <w:tcPr>
            <w:tcW w:w="6520" w:type="dxa"/>
            <w:gridSpan w:val="2"/>
            <w:vAlign w:val="center"/>
          </w:tcPr>
          <w:p>
            <w:pPr>
              <w:spacing w:after="0"/>
              <w:jc w:val="center"/>
            </w:pPr>
            <w:r>
              <w:rPr>
                <w:rFonts w:hint="eastAsia"/>
              </w:rPr>
              <w:t>评分内容和标准</w:t>
            </w:r>
          </w:p>
        </w:tc>
        <w:tc>
          <w:tcPr>
            <w:tcW w:w="709" w:type="dxa"/>
            <w:vAlign w:val="center"/>
          </w:tcPr>
          <w:p>
            <w:pPr>
              <w:spacing w:after="0"/>
              <w:jc w:val="center"/>
            </w:pPr>
            <w:r>
              <w:rPr>
                <w:rFonts w:hint="eastAsia"/>
              </w:rPr>
              <w:t>分值区间</w:t>
            </w:r>
          </w:p>
        </w:tc>
        <w:tc>
          <w:tcPr>
            <w:tcW w:w="850" w:type="dxa"/>
            <w:vAlign w:val="center"/>
          </w:tcPr>
          <w:p>
            <w:pPr>
              <w:spacing w:after="0"/>
              <w:jc w:val="center"/>
            </w:pPr>
            <w:r>
              <w:rPr>
                <w:rFonts w:hint="eastAsia"/>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spacing w:after="0"/>
            </w:pPr>
            <w:r>
              <w:rPr>
                <w:rFonts w:hint="eastAsia"/>
              </w:rPr>
              <w:t>商务资信分</w:t>
            </w: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投标人资质</w:t>
            </w:r>
          </w:p>
        </w:tc>
        <w:tc>
          <w:tcPr>
            <w:tcW w:w="5123" w:type="dxa"/>
          </w:tcPr>
          <w:p>
            <w:pPr>
              <w:spacing w:after="0"/>
            </w:pPr>
            <w:r>
              <w:rPr>
                <w:rFonts w:hint="eastAsia"/>
              </w:rPr>
              <w:t>1.投标人具有电子与智能化工程专业承包壹级资质证书的，得2分；具有电子与智能化工程专业承包贰级资质证书的，得1分。</w:t>
            </w:r>
          </w:p>
          <w:p>
            <w:pPr>
              <w:spacing w:after="0"/>
            </w:pPr>
            <w:r>
              <w:rPr>
                <w:rFonts w:hint="eastAsia"/>
              </w:rPr>
              <w:t>2.投标人具有公路交通工程（公路机电工程）专业承包资质的，得2分。</w:t>
            </w:r>
          </w:p>
          <w:p>
            <w:pPr>
              <w:spacing w:after="0"/>
            </w:pPr>
            <w:r>
              <w:rPr>
                <w:rFonts w:hint="eastAsia"/>
              </w:rPr>
              <w:t>（注：投标文件内须提供有效证书复印件并加盖投标人单位公章或投标专用章）</w:t>
            </w:r>
          </w:p>
        </w:tc>
        <w:tc>
          <w:tcPr>
            <w:tcW w:w="709" w:type="dxa"/>
            <w:vAlign w:val="center"/>
          </w:tcPr>
          <w:p>
            <w:pPr>
              <w:spacing w:after="0"/>
              <w:ind w:left="194" w:hanging="194" w:hangingChars="81"/>
            </w:pPr>
            <w:r>
              <w:rPr>
                <w:rFonts w:hint="eastAsia"/>
              </w:rPr>
              <w:t>4分</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投标人优势</w:t>
            </w:r>
          </w:p>
          <w:p>
            <w:pPr>
              <w:spacing w:after="0"/>
            </w:pPr>
          </w:p>
        </w:tc>
        <w:tc>
          <w:tcPr>
            <w:tcW w:w="5123" w:type="dxa"/>
          </w:tcPr>
          <w:p>
            <w:pPr>
              <w:spacing w:after="0"/>
            </w:pPr>
            <w:r>
              <w:rPr>
                <w:rFonts w:hint="eastAsia"/>
              </w:rPr>
              <w:t>投标人具有安全技术防范行业等级壹级（设计、施工、维护）资质证书的，得1分；具有安全技术防范行业等级贰级（设计、施工、维护）资质证书的，得0.5分。</w:t>
            </w:r>
          </w:p>
          <w:p>
            <w:pPr>
              <w:spacing w:after="0"/>
            </w:pPr>
            <w:r>
              <w:rPr>
                <w:rFonts w:hint="eastAsia"/>
              </w:rPr>
              <w:t>（注：投标文件内须提供有效证书复印件并加盖投标人单位公章或投标专用章。）</w:t>
            </w:r>
          </w:p>
        </w:tc>
        <w:tc>
          <w:tcPr>
            <w:tcW w:w="709" w:type="dxa"/>
            <w:vAlign w:val="center"/>
          </w:tcPr>
          <w:p>
            <w:pPr>
              <w:spacing w:after="0"/>
            </w:pPr>
            <w:r>
              <w:rPr>
                <w:rFonts w:hint="eastAsia"/>
              </w:rPr>
              <w:t>1分</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投标人优势</w:t>
            </w:r>
          </w:p>
          <w:p>
            <w:pPr>
              <w:spacing w:after="0"/>
            </w:pPr>
          </w:p>
        </w:tc>
        <w:tc>
          <w:tcPr>
            <w:tcW w:w="5123" w:type="dxa"/>
          </w:tcPr>
          <w:p>
            <w:pPr>
              <w:spacing w:after="0"/>
            </w:pPr>
            <w:r>
              <w:rPr>
                <w:rFonts w:hint="eastAsia"/>
              </w:rPr>
              <w:t>投标人具有信息安全管理体系、售后服务认证证书（五星级或以上）、知识产权管理体系、企业诚信管理体系认证证书，证书覆盖范围需至少含智能化、电子称重系统及智能交通系统，提供证书扫描件且证书覆盖范围符合要求的每个证书得1分，最高得4分。</w:t>
            </w:r>
          </w:p>
          <w:p>
            <w:pPr>
              <w:spacing w:after="0"/>
            </w:pPr>
            <w:r>
              <w:rPr>
                <w:rFonts w:hint="eastAsia"/>
              </w:rPr>
              <w:t>（注：投标文件内须提供有效证书复印件并加盖投标人单位公章或投标专用章。）</w:t>
            </w:r>
          </w:p>
        </w:tc>
        <w:tc>
          <w:tcPr>
            <w:tcW w:w="709" w:type="dxa"/>
            <w:vAlign w:val="center"/>
          </w:tcPr>
          <w:p>
            <w:pPr>
              <w:spacing w:after="0"/>
            </w:pPr>
            <w:r>
              <w:rPr>
                <w:rFonts w:hint="eastAsia"/>
              </w:rPr>
              <w:t>4分</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投标人优势</w:t>
            </w:r>
          </w:p>
          <w:p>
            <w:pPr>
              <w:spacing w:after="0"/>
            </w:pPr>
          </w:p>
        </w:tc>
        <w:tc>
          <w:tcPr>
            <w:tcW w:w="5123" w:type="dxa"/>
          </w:tcPr>
          <w:p>
            <w:pPr>
              <w:spacing w:after="0"/>
            </w:pPr>
            <w:r>
              <w:rPr>
                <w:rFonts w:hint="eastAsia"/>
              </w:rPr>
              <w:t>所投称重设备制造商具有ITSS信息技术服务运行维护标准符合性证书的得2分。</w:t>
            </w:r>
          </w:p>
          <w:p>
            <w:pPr>
              <w:spacing w:after="0"/>
            </w:pPr>
            <w:r>
              <w:rPr>
                <w:rFonts w:hint="eastAsia"/>
              </w:rPr>
              <w:t>所投抱杆机柜制造商具有QC080000管理体系认证证书、国家高新技术企业等资质证书的每个证书得0.5分，最高得1分。</w:t>
            </w:r>
          </w:p>
          <w:p>
            <w:pPr>
              <w:spacing w:after="0"/>
            </w:pPr>
            <w:r>
              <w:rPr>
                <w:rFonts w:hint="eastAsia"/>
              </w:rPr>
              <w:t>（注：投标文件内须提供有效证书复印件并加盖投标人单位公章或投标专用章。）</w:t>
            </w:r>
          </w:p>
        </w:tc>
        <w:tc>
          <w:tcPr>
            <w:tcW w:w="709" w:type="dxa"/>
            <w:vAlign w:val="center"/>
          </w:tcPr>
          <w:p>
            <w:pPr>
              <w:spacing w:after="0"/>
            </w:pPr>
            <w:r>
              <w:rPr>
                <w:rFonts w:hint="eastAsia"/>
              </w:rPr>
              <w:t>3分</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业绩</w:t>
            </w:r>
          </w:p>
        </w:tc>
        <w:tc>
          <w:tcPr>
            <w:tcW w:w="5123" w:type="dxa"/>
          </w:tcPr>
          <w:p>
            <w:pPr>
              <w:spacing w:after="0"/>
            </w:pPr>
            <w:r>
              <w:rPr>
                <w:rFonts w:hint="eastAsia"/>
              </w:rPr>
              <w:t>投标人提供2019年1月1日至今类似本项目案例，每提供1个得1分，本项最高得3分。（须提供中标通知书、合同原件扫描件，合同内容需至少包含称重平板、监控及杆件，否则不得分）。</w:t>
            </w:r>
          </w:p>
          <w:p>
            <w:pPr>
              <w:spacing w:after="0"/>
            </w:pPr>
            <w:r>
              <w:rPr>
                <w:rFonts w:hint="eastAsia"/>
              </w:rPr>
              <w:t>（注：投标文件内须提供证明材料复印件并加盖投标人单位公章或投标专用章，否则不计分。）</w:t>
            </w:r>
          </w:p>
        </w:tc>
        <w:tc>
          <w:tcPr>
            <w:tcW w:w="709" w:type="dxa"/>
            <w:vAlign w:val="center"/>
          </w:tcPr>
          <w:p>
            <w:pPr>
              <w:spacing w:after="0"/>
            </w:pPr>
            <w:r>
              <w:rPr>
                <w:rFonts w:hint="eastAsia"/>
              </w:rPr>
              <w:t>3分</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spacing w:after="0"/>
            </w:pPr>
            <w:r>
              <w:rPr>
                <w:rFonts w:hint="eastAsia"/>
              </w:rPr>
              <w:t>技术服务分</w:t>
            </w: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技术指标响应性</w:t>
            </w:r>
          </w:p>
        </w:tc>
        <w:tc>
          <w:tcPr>
            <w:tcW w:w="5123" w:type="dxa"/>
          </w:tcPr>
          <w:p>
            <w:pPr>
              <w:spacing w:after="0"/>
            </w:pPr>
            <w:r>
              <w:rPr>
                <w:rFonts w:hint="eastAsia"/>
              </w:rPr>
              <w:t>加“●”的技术参数</w:t>
            </w:r>
            <w:r>
              <w:rPr>
                <w:rFonts w:hint="eastAsia"/>
                <w:lang w:val="en-US" w:eastAsia="zh-CN"/>
              </w:rPr>
              <w:t>符合招标文件要求每条得1分</w:t>
            </w:r>
            <w:r>
              <w:rPr>
                <w:rFonts w:hint="eastAsia"/>
                <w:lang w:eastAsia="zh-CN"/>
              </w:rPr>
              <w:t>，</w:t>
            </w:r>
            <w:r>
              <w:rPr>
                <w:rFonts w:hint="eastAsia"/>
                <w:lang w:val="en-US" w:eastAsia="zh-CN"/>
              </w:rPr>
              <w:t>最多15分</w:t>
            </w:r>
            <w:r>
              <w:rPr>
                <w:rFonts w:hint="eastAsia"/>
              </w:rPr>
              <w:t>。</w:t>
            </w:r>
          </w:p>
          <w:p>
            <w:pPr>
              <w:spacing w:after="0"/>
            </w:pPr>
            <w:r>
              <w:rPr>
                <w:rFonts w:hint="eastAsia"/>
              </w:rPr>
              <w:t>注：加“●”的技术参数需提供相应的证书或证明材料复印件，不提供不得分。</w:t>
            </w:r>
          </w:p>
        </w:tc>
        <w:tc>
          <w:tcPr>
            <w:tcW w:w="709" w:type="dxa"/>
            <w:vAlign w:val="center"/>
          </w:tcPr>
          <w:p>
            <w:pPr>
              <w:spacing w:after="0"/>
            </w:pPr>
            <w:r>
              <w:rPr>
                <w:rFonts w:hint="eastAsia"/>
              </w:rPr>
              <w:t>15分</w:t>
            </w:r>
          </w:p>
        </w:tc>
        <w:tc>
          <w:tcPr>
            <w:tcW w:w="850" w:type="dxa"/>
            <w:vAlign w:val="center"/>
          </w:tcPr>
          <w:p>
            <w:pPr>
              <w:spacing w:after="0"/>
              <w:rPr>
                <w:rFonts w:hint="eastAsia" w:eastAsia="仿宋"/>
                <w:lang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知识产权</w:t>
            </w:r>
          </w:p>
        </w:tc>
        <w:tc>
          <w:tcPr>
            <w:tcW w:w="5123" w:type="dxa"/>
          </w:tcPr>
          <w:p>
            <w:pPr>
              <w:spacing w:after="0"/>
            </w:pPr>
            <w:r>
              <w:rPr>
                <w:rFonts w:hint="eastAsia"/>
              </w:rPr>
              <w:t>为确保称重系统能快速、高质、高效地投入应用，称重系统平台必须成熟可靠，且不侵犯第三方知识产权。</w:t>
            </w:r>
          </w:p>
          <w:p>
            <w:pPr>
              <w:spacing w:after="0"/>
            </w:pPr>
            <w:r>
              <w:rPr>
                <w:rFonts w:hint="eastAsia"/>
              </w:rPr>
              <w:t>需提供①公路智慧治超大数据采集分析类、②公路治超处理违章办理平台类、③公路车辆类型判别自动检测类、④公路治超静态精检采集类、⑤公路车辆动态行驶数据自动采集类、⑥公路车辆类型判别自动识别类、⑦公路治超监管信息查询系统类、⑧车辆治超处罚监控检索应用平台类、⑨公路交通道路视频监控监管管理系统类、⑩公路治超称重算法类系统软件功能模块。每提供一个得0.5分，本项最高得5分。</w:t>
            </w:r>
          </w:p>
          <w:p>
            <w:pPr>
              <w:spacing w:after="0"/>
            </w:pPr>
            <w:r>
              <w:rPr>
                <w:rFonts w:hint="eastAsia"/>
              </w:rPr>
              <w:t>需提供包含上述文字描述的著作权证书原件扫描件，证书文字未提供或文字不符的不得分</w:t>
            </w:r>
            <w:r>
              <w:rPr>
                <w:rFonts w:hint="eastAsia"/>
                <w:lang w:eastAsia="zh-CN"/>
              </w:rPr>
              <w:t>。</w:t>
            </w:r>
          </w:p>
        </w:tc>
        <w:tc>
          <w:tcPr>
            <w:tcW w:w="709" w:type="dxa"/>
            <w:vAlign w:val="center"/>
          </w:tcPr>
          <w:p>
            <w:pPr>
              <w:jc w:val="center"/>
              <w:rPr>
                <w:rFonts w:cs="仿宋"/>
              </w:rPr>
            </w:pPr>
            <w:r>
              <w:rPr>
                <w:rFonts w:hint="eastAsia" w:cs="仿宋"/>
                <w:lang w:bidi="ar"/>
              </w:rPr>
              <w:t>5分</w:t>
            </w:r>
          </w:p>
        </w:tc>
        <w:tc>
          <w:tcPr>
            <w:tcW w:w="850" w:type="dxa"/>
            <w:vAlign w:val="center"/>
          </w:tcPr>
          <w:p>
            <w:pPr>
              <w:jc w:val="center"/>
              <w:rPr>
                <w:rFonts w:cs="仿宋"/>
              </w:rPr>
            </w:pPr>
            <w:r>
              <w:rPr>
                <w:rFonts w:hint="eastAsia" w:cs="仿宋"/>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rPr>
              <w:t>检测报告</w:t>
            </w:r>
          </w:p>
        </w:tc>
        <w:tc>
          <w:tcPr>
            <w:tcW w:w="5123" w:type="dxa"/>
          </w:tcPr>
          <w:p>
            <w:pPr>
              <w:spacing w:after="0"/>
            </w:pPr>
            <w:r>
              <w:rPr>
                <w:rFonts w:hint="eastAsia"/>
              </w:rPr>
              <w:t>投标人所选用的称重设备对多项异常行驶行为均能进行检测，同一份检测报告对</w:t>
            </w:r>
            <w:r>
              <w:rPr>
                <w:rFonts w:hint="eastAsia"/>
                <w:lang w:val="en-US" w:eastAsia="zh-CN"/>
              </w:rPr>
              <w:t>26</w:t>
            </w:r>
            <w:r>
              <w:rPr>
                <w:rFonts w:hint="eastAsia"/>
              </w:rPr>
              <w:t>种以上异常行驶行为进行检测的，得5分；对</w:t>
            </w:r>
            <w:r>
              <w:rPr>
                <w:rFonts w:hint="eastAsia"/>
                <w:lang w:val="en-US" w:eastAsia="zh-CN"/>
              </w:rPr>
              <w:t>21</w:t>
            </w:r>
            <w:r>
              <w:rPr>
                <w:rFonts w:hint="eastAsia"/>
              </w:rPr>
              <w:t>-</w:t>
            </w:r>
            <w:r>
              <w:rPr>
                <w:rFonts w:hint="eastAsia"/>
                <w:lang w:val="en-US" w:eastAsia="zh-CN"/>
              </w:rPr>
              <w:t>25</w:t>
            </w:r>
            <w:r>
              <w:rPr>
                <w:rFonts w:hint="eastAsia"/>
              </w:rPr>
              <w:t>种异常行驶行为进行检测的，得3分；对</w:t>
            </w:r>
            <w:r>
              <w:rPr>
                <w:rFonts w:hint="eastAsia"/>
                <w:lang w:val="en-US" w:eastAsia="zh-CN"/>
              </w:rPr>
              <w:t>16</w:t>
            </w:r>
            <w:r>
              <w:rPr>
                <w:rFonts w:hint="eastAsia"/>
              </w:rPr>
              <w:t>-</w:t>
            </w:r>
            <w:r>
              <w:rPr>
                <w:rFonts w:hint="eastAsia"/>
                <w:lang w:val="en-US" w:eastAsia="zh-CN"/>
              </w:rPr>
              <w:t>20</w:t>
            </w:r>
            <w:r>
              <w:rPr>
                <w:rFonts w:hint="eastAsia"/>
              </w:rPr>
              <w:t>种异常行驶行为进行检测的，得1分。</w:t>
            </w:r>
          </w:p>
          <w:p>
            <w:pPr>
              <w:spacing w:after="0"/>
            </w:pPr>
            <w:r>
              <w:rPr>
                <w:rFonts w:hint="eastAsia"/>
              </w:rPr>
              <w:t>提供计量院出具的检测报告复印件作为证明，称量结果满足现行国标或检定规程要求的5级准确度等级（最大误差不得超过±2.5%）。</w:t>
            </w:r>
          </w:p>
        </w:tc>
        <w:tc>
          <w:tcPr>
            <w:tcW w:w="709" w:type="dxa"/>
            <w:vAlign w:val="center"/>
          </w:tcPr>
          <w:p>
            <w:pPr>
              <w:jc w:val="center"/>
              <w:rPr>
                <w:rFonts w:cs="仿宋"/>
              </w:rPr>
            </w:pPr>
            <w:r>
              <w:rPr>
                <w:rFonts w:hint="eastAsia" w:cs="仿宋"/>
                <w:lang w:bidi="ar"/>
              </w:rPr>
              <w:t>5分</w:t>
            </w:r>
          </w:p>
        </w:tc>
        <w:tc>
          <w:tcPr>
            <w:tcW w:w="850" w:type="dxa"/>
            <w:vAlign w:val="center"/>
          </w:tcPr>
          <w:p>
            <w:pPr>
              <w:jc w:val="center"/>
              <w:rPr>
                <w:rFonts w:cs="仿宋"/>
              </w:rPr>
            </w:pPr>
            <w:r>
              <w:rPr>
                <w:rFonts w:hint="eastAsia" w:cs="仿宋"/>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行驶行为</w:t>
            </w:r>
          </w:p>
        </w:tc>
        <w:tc>
          <w:tcPr>
            <w:tcW w:w="5123" w:type="dxa"/>
          </w:tcPr>
          <w:p>
            <w:pPr>
              <w:spacing w:after="0"/>
            </w:pPr>
            <w:r>
              <w:rPr>
                <w:rFonts w:hint="eastAsia" w:cs="仿宋"/>
              </w:rPr>
              <w:t>根据投标人提供的称重设备具有动态平板秤称重区域汽车S型行驶行为、汽车跨车道行驶行为、汽车断续行驶行为检测方法，提供具有国家知识产权局出具的佐证材料扫描件，每提供一个得</w:t>
            </w:r>
            <w:r>
              <w:rPr>
                <w:rFonts w:hint="eastAsia" w:cs="仿宋"/>
                <w:lang w:val="en-US" w:eastAsia="zh-CN"/>
              </w:rPr>
              <w:t>2</w:t>
            </w:r>
            <w:r>
              <w:rPr>
                <w:rFonts w:hint="eastAsia" w:cs="仿宋"/>
              </w:rPr>
              <w:t>分，本项最高得</w:t>
            </w:r>
            <w:r>
              <w:rPr>
                <w:rFonts w:hint="eastAsia" w:cs="仿宋"/>
                <w:lang w:val="en-US" w:eastAsia="zh-CN"/>
              </w:rPr>
              <w:t>6</w:t>
            </w:r>
            <w:r>
              <w:rPr>
                <w:rFonts w:hint="eastAsia" w:cs="仿宋"/>
              </w:rPr>
              <w:t>分。</w:t>
            </w:r>
          </w:p>
        </w:tc>
        <w:tc>
          <w:tcPr>
            <w:tcW w:w="709" w:type="dxa"/>
            <w:vAlign w:val="center"/>
          </w:tcPr>
          <w:p>
            <w:pPr>
              <w:spacing w:after="0"/>
            </w:pPr>
            <w:r>
              <w:rPr>
                <w:rFonts w:hint="eastAsia"/>
                <w:lang w:val="en-US" w:eastAsia="zh-CN"/>
              </w:rPr>
              <w:t>6</w:t>
            </w:r>
            <w:r>
              <w:rPr>
                <w:rFonts w:hint="eastAsia"/>
              </w:rPr>
              <w:t>分</w:t>
            </w:r>
          </w:p>
        </w:tc>
        <w:tc>
          <w:tcPr>
            <w:tcW w:w="850" w:type="dxa"/>
            <w:vAlign w:val="center"/>
          </w:tcPr>
          <w:p>
            <w:pPr>
              <w:spacing w:after="0"/>
            </w:pPr>
            <w:r>
              <w:rPr>
                <w:rFonts w:hint="eastAsia" w:cs="仿宋"/>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技术实现方案</w:t>
            </w:r>
          </w:p>
        </w:tc>
        <w:tc>
          <w:tcPr>
            <w:tcW w:w="5123" w:type="dxa"/>
            <w:vAlign w:val="center"/>
          </w:tcPr>
          <w:p>
            <w:pPr>
              <w:spacing w:after="0"/>
              <w:rPr>
                <w:rFonts w:cs="仿宋"/>
              </w:rPr>
            </w:pPr>
            <w:r>
              <w:rPr>
                <w:rFonts w:hint="eastAsia" w:cs="仿宋"/>
              </w:rPr>
              <w:t>根据投标人提供的技术实现方案和说明进行评分，包括：技术方案、设计图纸（包含但不限于设备布局图、系统构架图、杆件大样图等）、设备选型、产品性能参数及说明等方案，根据方案的科学性、合理性、规范性和可操作性等。完全满足采购需求的得4-6分，基本满足采购需求的得2-3分，部分不满足的得1分，不满足不得分。</w:t>
            </w:r>
          </w:p>
        </w:tc>
        <w:tc>
          <w:tcPr>
            <w:tcW w:w="709" w:type="dxa"/>
            <w:vAlign w:val="center"/>
          </w:tcPr>
          <w:p>
            <w:pPr>
              <w:jc w:val="center"/>
              <w:rPr>
                <w:rFonts w:cs="仿宋"/>
              </w:rPr>
            </w:pPr>
            <w:r>
              <w:rPr>
                <w:rFonts w:hint="eastAsia" w:cs="仿宋"/>
                <w:lang w:bidi="ar"/>
              </w:rPr>
              <w:t>6分</w:t>
            </w:r>
          </w:p>
        </w:tc>
        <w:tc>
          <w:tcPr>
            <w:tcW w:w="850" w:type="dxa"/>
            <w:vAlign w:val="center"/>
          </w:tcPr>
          <w:p>
            <w:pPr>
              <w:jc w:val="center"/>
              <w:rPr>
                <w:rFonts w:cs="仿宋"/>
              </w:rPr>
            </w:pPr>
            <w:r>
              <w:rPr>
                <w:rFonts w:hint="eastAsia" w:cs="仿宋"/>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组织实施方案</w:t>
            </w:r>
          </w:p>
        </w:tc>
        <w:tc>
          <w:tcPr>
            <w:tcW w:w="5123" w:type="dxa"/>
            <w:vAlign w:val="center"/>
          </w:tcPr>
          <w:p>
            <w:pPr>
              <w:spacing w:after="0"/>
              <w:rPr>
                <w:rFonts w:cs="仿宋"/>
              </w:rPr>
            </w:pPr>
            <w:r>
              <w:rPr>
                <w:rFonts w:hint="eastAsia" w:cs="仿宋"/>
              </w:rPr>
              <w:t>根据投标人提供的组织实施方案和说明进行评分，包括：施工总体部署、施工准备计划方案、施工及调试技术方案、确保施工质量方案、工序流程、确保文明施工组织方案、确保安全施工组织方案及确保按时完工的保障措施等因素，根据方案的科学性、合理性、规范性和可操作性等，完全满足采购需求的得4-5分，基本满足采购需求的得2-3分，部分不满足的得1分，不满足不得分。</w:t>
            </w:r>
          </w:p>
        </w:tc>
        <w:tc>
          <w:tcPr>
            <w:tcW w:w="709" w:type="dxa"/>
            <w:vAlign w:val="center"/>
          </w:tcPr>
          <w:p>
            <w:pPr>
              <w:jc w:val="center"/>
              <w:rPr>
                <w:rFonts w:cs="仿宋"/>
              </w:rPr>
            </w:pPr>
            <w:r>
              <w:rPr>
                <w:rFonts w:hint="eastAsia" w:cs="仿宋"/>
                <w:lang w:bidi="ar"/>
              </w:rPr>
              <w:t>5分</w:t>
            </w:r>
          </w:p>
        </w:tc>
        <w:tc>
          <w:tcPr>
            <w:tcW w:w="850" w:type="dxa"/>
            <w:vAlign w:val="center"/>
          </w:tcPr>
          <w:p>
            <w:pPr>
              <w:jc w:val="center"/>
              <w:rPr>
                <w:rFonts w:cs="仿宋"/>
              </w:rPr>
            </w:pPr>
            <w:r>
              <w:rPr>
                <w:rFonts w:hint="eastAsia" w:cs="仿宋"/>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人员配备</w:t>
            </w:r>
          </w:p>
        </w:tc>
        <w:tc>
          <w:tcPr>
            <w:tcW w:w="5123" w:type="dxa"/>
            <w:vAlign w:val="center"/>
          </w:tcPr>
          <w:p>
            <w:pPr>
              <w:spacing w:after="0"/>
              <w:rPr>
                <w:rFonts w:cs="仿宋"/>
              </w:rPr>
            </w:pPr>
            <w:r>
              <w:rPr>
                <w:rFonts w:hint="eastAsia" w:cs="仿宋"/>
              </w:rPr>
              <w:t>投标人人员配备：</w:t>
            </w:r>
          </w:p>
          <w:p>
            <w:pPr>
              <w:spacing w:after="0"/>
              <w:rPr>
                <w:rFonts w:cs="仿宋"/>
              </w:rPr>
            </w:pPr>
            <w:r>
              <w:rPr>
                <w:rFonts w:hint="eastAsia" w:cs="仿宋"/>
              </w:rPr>
              <w:t>项目组人员中同时具有机电一级建造师、高级工程师（机电专业或智能化专业）证书的，每人得1分，本项最高得2分。</w:t>
            </w:r>
          </w:p>
          <w:p>
            <w:pPr>
              <w:spacing w:after="0"/>
              <w:rPr>
                <w:rFonts w:cs="仿宋"/>
              </w:rPr>
            </w:pPr>
            <w:r>
              <w:rPr>
                <w:rFonts w:hint="eastAsia" w:cs="仿宋"/>
              </w:rPr>
              <w:t>在满足上述条件的基础上具有系统集成项目管理工程师证书的，得1分。本项最高得1分。</w:t>
            </w:r>
          </w:p>
          <w:p>
            <w:pPr>
              <w:spacing w:after="0"/>
              <w:rPr>
                <w:rFonts w:cs="仿宋"/>
              </w:rPr>
            </w:pPr>
            <w:r>
              <w:rPr>
                <w:rFonts w:hint="eastAsia" w:cs="仿宋"/>
              </w:rPr>
              <w:t>（投标文件中需提供上述相应人员的证书及近3个月本单位连续缴纳社保证明材料（社保缴纳证明须有社保部门盖章）</w:t>
            </w:r>
          </w:p>
        </w:tc>
        <w:tc>
          <w:tcPr>
            <w:tcW w:w="709" w:type="dxa"/>
            <w:vAlign w:val="center"/>
          </w:tcPr>
          <w:p>
            <w:pPr>
              <w:jc w:val="center"/>
              <w:rPr>
                <w:rFonts w:cs="仿宋"/>
                <w:lang w:bidi="ar"/>
              </w:rPr>
            </w:pPr>
            <w:r>
              <w:rPr>
                <w:rFonts w:hint="eastAsia" w:cs="仿宋"/>
                <w:lang w:bidi="ar"/>
              </w:rPr>
              <w:t>3分</w:t>
            </w:r>
          </w:p>
        </w:tc>
        <w:tc>
          <w:tcPr>
            <w:tcW w:w="850" w:type="dxa"/>
            <w:vAlign w:val="center"/>
          </w:tcPr>
          <w:p>
            <w:pPr>
              <w:jc w:val="center"/>
              <w:rPr>
                <w:rFonts w:cs="仿宋"/>
                <w:lang w:bidi="ar"/>
              </w:rPr>
            </w:pPr>
            <w:r>
              <w:rPr>
                <w:rFonts w:hint="eastAsia" w:cs="仿宋"/>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检测点位</w:t>
            </w:r>
          </w:p>
        </w:tc>
        <w:tc>
          <w:tcPr>
            <w:tcW w:w="5123" w:type="dxa"/>
            <w:vAlign w:val="center"/>
          </w:tcPr>
          <w:p>
            <w:pPr>
              <w:rPr>
                <w:rFonts w:cs="仿宋"/>
              </w:rPr>
            </w:pPr>
            <w:r>
              <w:rPr>
                <w:rFonts w:hint="eastAsia" w:cs="仿宋"/>
              </w:rPr>
              <w:t>根据投标人针对本项目安装检测点位的现场勘踏情况，对实施重点及难点进行分析，并提供符合实际的建设方案等进行打分</w:t>
            </w:r>
          </w:p>
        </w:tc>
        <w:tc>
          <w:tcPr>
            <w:tcW w:w="709" w:type="dxa"/>
            <w:vAlign w:val="center"/>
          </w:tcPr>
          <w:p>
            <w:pPr>
              <w:jc w:val="center"/>
              <w:rPr>
                <w:rFonts w:cs="仿宋"/>
                <w:lang w:bidi="ar"/>
              </w:rPr>
            </w:pPr>
            <w:r>
              <w:rPr>
                <w:rFonts w:hint="eastAsia" w:cs="仿宋"/>
                <w:lang w:val="en-US" w:eastAsia="zh-CN" w:bidi="ar"/>
              </w:rPr>
              <w:t>2</w:t>
            </w:r>
            <w:r>
              <w:rPr>
                <w:rFonts w:hint="eastAsia" w:cs="仿宋"/>
                <w:lang w:bidi="ar"/>
              </w:rPr>
              <w:t>分</w:t>
            </w:r>
          </w:p>
        </w:tc>
        <w:tc>
          <w:tcPr>
            <w:tcW w:w="850" w:type="dxa"/>
            <w:vAlign w:val="center"/>
          </w:tcPr>
          <w:p>
            <w:pPr>
              <w:jc w:val="center"/>
              <w:rPr>
                <w:rFonts w:cs="仿宋"/>
                <w:lang w:bidi="ar"/>
              </w:rPr>
            </w:pPr>
            <w:r>
              <w:rPr>
                <w:rFonts w:hint="eastAsia" w:cs="仿宋"/>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服务承诺</w:t>
            </w:r>
          </w:p>
        </w:tc>
        <w:tc>
          <w:tcPr>
            <w:tcW w:w="5123" w:type="dxa"/>
            <w:vAlign w:val="center"/>
          </w:tcPr>
          <w:p>
            <w:pPr>
              <w:rPr>
                <w:rFonts w:cs="仿宋"/>
              </w:rPr>
            </w:pPr>
            <w:r>
              <w:rPr>
                <w:rFonts w:hint="eastAsia" w:cs="仿宋"/>
              </w:rPr>
              <w:t>根据投标人提供的服务承诺的范围和完善程度（包括服务承诺，保修部件范围，保修、服务标准，人员配备，故障响应修复时间方式及保障措施）等进行打分</w:t>
            </w:r>
          </w:p>
        </w:tc>
        <w:tc>
          <w:tcPr>
            <w:tcW w:w="709" w:type="dxa"/>
            <w:vAlign w:val="center"/>
          </w:tcPr>
          <w:p>
            <w:pPr>
              <w:jc w:val="center"/>
              <w:rPr>
                <w:rFonts w:cs="仿宋"/>
                <w:lang w:bidi="ar"/>
              </w:rPr>
            </w:pPr>
            <w:r>
              <w:rPr>
                <w:rFonts w:hint="eastAsia" w:cs="仿宋"/>
                <w:lang w:val="en-US" w:eastAsia="zh-CN" w:bidi="ar"/>
              </w:rPr>
              <w:t>4</w:t>
            </w:r>
            <w:r>
              <w:rPr>
                <w:rFonts w:hint="eastAsia" w:cs="仿宋"/>
                <w:lang w:bidi="ar"/>
              </w:rPr>
              <w:t>分</w:t>
            </w:r>
          </w:p>
        </w:tc>
        <w:tc>
          <w:tcPr>
            <w:tcW w:w="850" w:type="dxa"/>
            <w:vAlign w:val="center"/>
          </w:tcPr>
          <w:p>
            <w:pPr>
              <w:jc w:val="center"/>
              <w:rPr>
                <w:rFonts w:cs="仿宋"/>
                <w:lang w:bidi="ar"/>
              </w:rPr>
            </w:pPr>
            <w:r>
              <w:rPr>
                <w:rFonts w:hint="eastAsia" w:cs="仿宋"/>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培训计划</w:t>
            </w:r>
          </w:p>
        </w:tc>
        <w:tc>
          <w:tcPr>
            <w:tcW w:w="5123" w:type="dxa"/>
            <w:vAlign w:val="center"/>
          </w:tcPr>
          <w:p>
            <w:pPr>
              <w:rPr>
                <w:rFonts w:cs="仿宋"/>
              </w:rPr>
            </w:pPr>
            <w:r>
              <w:rPr>
                <w:rFonts w:hint="eastAsia" w:cs="仿宋"/>
              </w:rPr>
              <w:t>根据投标人提供的培训计划及培训方案的完备性和合理性打分</w:t>
            </w:r>
          </w:p>
        </w:tc>
        <w:tc>
          <w:tcPr>
            <w:tcW w:w="709" w:type="dxa"/>
            <w:vAlign w:val="center"/>
          </w:tcPr>
          <w:p>
            <w:pPr>
              <w:jc w:val="center"/>
              <w:rPr>
                <w:rFonts w:cs="仿宋"/>
                <w:lang w:bidi="ar"/>
              </w:rPr>
            </w:pPr>
            <w:r>
              <w:rPr>
                <w:rFonts w:hint="eastAsia" w:cs="仿宋"/>
                <w:lang w:val="en-US" w:eastAsia="zh-CN" w:bidi="ar"/>
              </w:rPr>
              <w:t>2</w:t>
            </w:r>
            <w:r>
              <w:rPr>
                <w:rFonts w:hint="eastAsia" w:cs="仿宋"/>
                <w:lang w:bidi="ar"/>
              </w:rPr>
              <w:t>分</w:t>
            </w:r>
          </w:p>
        </w:tc>
        <w:tc>
          <w:tcPr>
            <w:tcW w:w="850" w:type="dxa"/>
            <w:vAlign w:val="center"/>
          </w:tcPr>
          <w:p>
            <w:pPr>
              <w:jc w:val="center"/>
              <w:rPr>
                <w:rFonts w:cs="仿宋"/>
                <w:lang w:bidi="ar"/>
              </w:rPr>
            </w:pPr>
            <w:r>
              <w:rPr>
                <w:rFonts w:hint="eastAsia" w:cs="仿宋"/>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7"/>
              <w:spacing w:after="0"/>
              <w:ind w:left="420"/>
            </w:pPr>
          </w:p>
        </w:tc>
        <w:tc>
          <w:tcPr>
            <w:tcW w:w="553" w:type="dxa"/>
            <w:vAlign w:val="center"/>
          </w:tcPr>
          <w:p>
            <w:pPr>
              <w:pStyle w:val="27"/>
              <w:numPr>
                <w:ilvl w:val="0"/>
                <w:numId w:val="5"/>
              </w:numPr>
              <w:spacing w:after="0"/>
              <w:jc w:val="center"/>
            </w:pPr>
          </w:p>
        </w:tc>
        <w:tc>
          <w:tcPr>
            <w:tcW w:w="1397" w:type="dxa"/>
            <w:vAlign w:val="center"/>
          </w:tcPr>
          <w:p>
            <w:pPr>
              <w:spacing w:after="0"/>
            </w:pPr>
            <w:r>
              <w:rPr>
                <w:rFonts w:hint="eastAsia" w:cs="仿宋"/>
              </w:rPr>
              <w:t>合理化建议</w:t>
            </w:r>
          </w:p>
        </w:tc>
        <w:tc>
          <w:tcPr>
            <w:tcW w:w="5123" w:type="dxa"/>
            <w:vAlign w:val="center"/>
          </w:tcPr>
          <w:p>
            <w:pPr>
              <w:rPr>
                <w:rFonts w:cs="仿宋"/>
              </w:rPr>
            </w:pPr>
            <w:r>
              <w:rPr>
                <w:rFonts w:hint="eastAsia" w:cs="仿宋"/>
              </w:rPr>
              <w:t>根据投标人提供的合理化建议，解决方案的可行性情况进行打分</w:t>
            </w:r>
          </w:p>
        </w:tc>
        <w:tc>
          <w:tcPr>
            <w:tcW w:w="709" w:type="dxa"/>
            <w:vAlign w:val="center"/>
          </w:tcPr>
          <w:p>
            <w:pPr>
              <w:jc w:val="center"/>
              <w:rPr>
                <w:rFonts w:cs="仿宋"/>
                <w:lang w:bidi="ar"/>
              </w:rPr>
            </w:pPr>
            <w:r>
              <w:rPr>
                <w:rFonts w:hint="eastAsia" w:cs="仿宋"/>
                <w:lang w:bidi="ar"/>
              </w:rPr>
              <w:t>2分</w:t>
            </w:r>
          </w:p>
        </w:tc>
        <w:tc>
          <w:tcPr>
            <w:tcW w:w="850" w:type="dxa"/>
            <w:vAlign w:val="center"/>
          </w:tcPr>
          <w:p>
            <w:pPr>
              <w:jc w:val="center"/>
              <w:rPr>
                <w:rFonts w:cs="仿宋"/>
                <w:lang w:bidi="ar"/>
              </w:rPr>
            </w:pPr>
            <w:r>
              <w:rPr>
                <w:rFonts w:hint="eastAsia" w:cs="仿宋"/>
                <w:lang w:bidi="ar"/>
              </w:rPr>
              <w:t>主观分</w:t>
            </w:r>
          </w:p>
        </w:tc>
      </w:tr>
    </w:tbl>
    <w:p>
      <w:pPr>
        <w:spacing w:line="360" w:lineRule="auto"/>
        <w:rPr>
          <w:rFonts w:cs="仿宋_GB2312"/>
          <w:b/>
        </w:rPr>
      </w:pPr>
      <w:r>
        <w:rPr>
          <w:rFonts w:hint="eastAsia" w:cs="仿宋_GB2312"/>
          <w:b/>
        </w:rPr>
        <w:t>价格分（30分）</w:t>
      </w:r>
    </w:p>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spacing w:after="0"/>
            </w:pPr>
            <w:r>
              <w:rPr>
                <w:rFonts w:hint="eastAsia" w:cs="仿宋_GB2312"/>
              </w:rPr>
              <w:t>价格分</w:t>
            </w:r>
          </w:p>
        </w:tc>
        <w:tc>
          <w:tcPr>
            <w:tcW w:w="553" w:type="dxa"/>
            <w:vAlign w:val="center"/>
          </w:tcPr>
          <w:p>
            <w:pPr>
              <w:pStyle w:val="27"/>
              <w:numPr>
                <w:ilvl w:val="0"/>
                <w:numId w:val="5"/>
              </w:numPr>
              <w:spacing w:after="0"/>
              <w:jc w:val="center"/>
            </w:pPr>
          </w:p>
        </w:tc>
        <w:tc>
          <w:tcPr>
            <w:tcW w:w="2126" w:type="dxa"/>
            <w:vAlign w:val="center"/>
          </w:tcPr>
          <w:p>
            <w:pPr>
              <w:spacing w:after="0"/>
            </w:pPr>
            <w:r>
              <w:rPr>
                <w:rFonts w:hint="eastAsia" w:cs="仿宋_GB2312"/>
              </w:rPr>
              <w:t>价格权值</w:t>
            </w:r>
          </w:p>
        </w:tc>
        <w:tc>
          <w:tcPr>
            <w:tcW w:w="4394" w:type="dxa"/>
          </w:tcPr>
          <w:p>
            <w:pPr>
              <w:spacing w:after="0" w:line="360" w:lineRule="auto"/>
              <w:rPr>
                <w:rFonts w:cs="仿宋_GB2312"/>
              </w:rPr>
            </w:pPr>
            <w:r>
              <w:rPr>
                <w:rFonts w:hint="eastAsia" w:cs="仿宋_GB2312"/>
              </w:rPr>
              <w:t>最低有效投标价格为评标基准价</w:t>
            </w:r>
          </w:p>
          <w:p>
            <w:pPr>
              <w:spacing w:after="0" w:line="360" w:lineRule="auto"/>
              <w:rPr>
                <w:rFonts w:cs="仿宋_GB2312"/>
              </w:rPr>
            </w:pPr>
            <w:r>
              <w:rPr>
                <w:rFonts w:hint="eastAsia" w:cs="仿宋_GB2312"/>
              </w:rPr>
              <w:t>投标报价得分</w:t>
            </w:r>
            <w:r>
              <w:rPr>
                <w:rFonts w:cs="仿宋_GB2312"/>
              </w:rPr>
              <w:t>=(</w:t>
            </w:r>
            <w:r>
              <w:rPr>
                <w:rFonts w:hint="eastAsia" w:cs="仿宋_GB2312"/>
              </w:rPr>
              <w:t>评标基准价／投标报价</w:t>
            </w:r>
            <w:r>
              <w:rPr>
                <w:rFonts w:cs="仿宋_GB2312"/>
              </w:rPr>
              <w:t>)</w:t>
            </w:r>
            <w:r>
              <w:rPr>
                <w:rFonts w:hint="eastAsia" w:cs="仿宋_GB2312"/>
              </w:rPr>
              <w:t>×价格权值×</w:t>
            </w:r>
            <w:r>
              <w:rPr>
                <w:rFonts w:cs="仿宋_GB2312"/>
              </w:rPr>
              <w:t xml:space="preserve">100 </w:t>
            </w:r>
          </w:p>
          <w:p>
            <w:pPr>
              <w:spacing w:after="0"/>
            </w:pPr>
            <w:r>
              <w:rPr>
                <w:rFonts w:hint="eastAsia" w:cs="仿宋_GB2312"/>
              </w:rPr>
              <w:t>（计算得分保留小数点后</w:t>
            </w:r>
            <w:r>
              <w:rPr>
                <w:rFonts w:cs="仿宋_GB2312"/>
              </w:rPr>
              <w:t>2</w:t>
            </w:r>
            <w:r>
              <w:rPr>
                <w:rFonts w:hint="eastAsia" w:cs="仿宋_GB2312"/>
              </w:rPr>
              <w:t>位）</w:t>
            </w:r>
          </w:p>
        </w:tc>
        <w:tc>
          <w:tcPr>
            <w:tcW w:w="709" w:type="dxa"/>
            <w:vAlign w:val="center"/>
          </w:tcPr>
          <w:p>
            <w:pPr>
              <w:spacing w:after="0"/>
            </w:pPr>
            <w:r>
              <w:rPr>
                <w:rFonts w:hint="eastAsia"/>
              </w:rPr>
              <w:t>30</w:t>
            </w:r>
          </w:p>
        </w:tc>
        <w:tc>
          <w:tcPr>
            <w:tcW w:w="850" w:type="dxa"/>
            <w:vAlign w:val="center"/>
          </w:tcPr>
          <w:p>
            <w:pPr>
              <w:spacing w:after="0"/>
            </w:pPr>
          </w:p>
        </w:tc>
      </w:tr>
    </w:tbl>
    <w:p>
      <w:pPr>
        <w:spacing w:line="360" w:lineRule="auto"/>
        <w:rPr>
          <w:rFonts w:cs="仿宋_GB2312"/>
        </w:rPr>
      </w:pPr>
      <w:r>
        <w:rPr>
          <w:rFonts w:hint="eastAsia" w:cs="仿宋_GB2312"/>
          <w:b/>
        </w:rPr>
        <w:t>备注：</w:t>
      </w:r>
      <w:r>
        <w:rPr>
          <w:rFonts w:hint="eastAsia" w:cs="仿宋_GB2312"/>
        </w:rPr>
        <w:t>1、评分条款中涉及的业绩、荣誉、人员、社保等分公司均有效。</w:t>
      </w:r>
    </w:p>
    <w:p>
      <w:pPr>
        <w:spacing w:line="360" w:lineRule="auto"/>
        <w:rPr>
          <w:rFonts w:cs="仿宋_GB2312"/>
        </w:rPr>
      </w:pPr>
      <w:r>
        <w:rPr>
          <w:rFonts w:hint="eastAsia" w:cs="仿宋_GB2312"/>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rPr>
      </w:pPr>
      <w:r>
        <w:rPr>
          <w:rFonts w:hint="eastAsia" w:cs="仿宋_GB2312"/>
        </w:rPr>
        <w:t>3、投标人编制投标文件（商务技术文件部分）时，建议按此目录（序号和内容）提供评标标准相应的商务技术资料。</w:t>
      </w:r>
      <w:r>
        <w:rPr>
          <w:rFonts w:cs="仿宋_GB2312"/>
        </w:rPr>
        <w:t> </w:t>
      </w:r>
    </w:p>
    <w:p/>
    <w:p>
      <w:r>
        <w:rPr>
          <w:rFonts w:hint="eastAsia"/>
        </w:rPr>
        <w:br w:type="page"/>
      </w:r>
    </w:p>
    <w:p>
      <w:pPr>
        <w:pStyle w:val="2"/>
        <w:ind w:left="480"/>
      </w:pPr>
      <w:r>
        <w:rPr>
          <w:rFonts w:hint="eastAsia"/>
        </w:rPr>
        <w:t>一、评标方法</w:t>
      </w:r>
    </w:p>
    <w:p>
      <w:pPr>
        <w:spacing w:line="360" w:lineRule="auto"/>
        <w:ind w:firstLine="472" w:firstLineChars="196"/>
        <w:rPr>
          <w:rFonts w:ascii="仿宋_GB2312" w:eastAsia="仿宋_GB2312" w:cs="Arial"/>
        </w:rPr>
      </w:pPr>
      <w:r>
        <w:rPr>
          <w:rStyle w:val="32"/>
        </w:rPr>
        <w:t>1.</w:t>
      </w:r>
      <w:r>
        <w:rPr>
          <w:rStyle w:val="32"/>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2"/>
        <w:ind w:left="480"/>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2"/>
        </w:rPr>
        <w:t xml:space="preserve">2. </w:t>
      </w:r>
      <w:r>
        <w:rPr>
          <w:rStyle w:val="32"/>
          <w:rFonts w:hint="eastAsia"/>
        </w:rPr>
        <w:t>评标标准：</w:t>
      </w:r>
      <w:r>
        <w:rPr>
          <w:rFonts w:hint="eastAsia" w:ascii="仿宋_GB2312" w:eastAsia="仿宋_GB2312" w:cs="Arial"/>
        </w:rPr>
        <w:t>见评标办法前附表。</w:t>
      </w:r>
    </w:p>
    <w:p>
      <w:pPr>
        <w:pStyle w:val="2"/>
        <w:ind w:left="480"/>
      </w:pPr>
      <w:r>
        <w:rPr>
          <w:rFonts w:hint="eastAsia"/>
        </w:rPr>
        <w:t>三、评标程序</w:t>
      </w:r>
    </w:p>
    <w:p>
      <w:pPr>
        <w:spacing w:line="360" w:lineRule="auto"/>
        <w:ind w:firstLine="472" w:firstLineChars="196"/>
        <w:rPr>
          <w:rFonts w:ascii="仿宋_GB2312" w:eastAsia="仿宋_GB2312" w:cs="Arial"/>
        </w:rPr>
      </w:pPr>
      <w:r>
        <w:rPr>
          <w:rStyle w:val="32"/>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2"/>
        </w:rPr>
        <w:t xml:space="preserve">3.2 </w:t>
      </w:r>
      <w:r>
        <w:rPr>
          <w:rStyle w:val="32"/>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2"/>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4"/>
      </w:pPr>
      <w:r>
        <w:tab/>
      </w:r>
      <w:r>
        <w:t>3.4报价评审。</w:t>
      </w:r>
    </w:p>
    <w:p>
      <w:pPr>
        <w:pStyle w:val="55"/>
      </w:pPr>
      <w:r>
        <w:t>3.4.1投标文件报价出现前后不一致的，按照下列规定修正：</w:t>
      </w:r>
    </w:p>
    <w:p>
      <w:pPr>
        <w:pStyle w:val="55"/>
      </w:pPr>
      <w:r>
        <w:t>3.4.1.1投标文件中开标一览表(报价表)内容与投标文件中相应内容不一致的，以开标一览表(报价表)为准;</w:t>
      </w:r>
    </w:p>
    <w:p>
      <w:pPr>
        <w:pStyle w:val="55"/>
      </w:pPr>
      <w:r>
        <w:t>3.4.1.2大写金额和小写金额不一致的，以大写金额为准;</w:t>
      </w:r>
    </w:p>
    <w:p>
      <w:pPr>
        <w:pStyle w:val="55"/>
      </w:pPr>
      <w:r>
        <w:t>3.4.1.3单价金额小数点或者百分比有明显错位的，以开标一览表的总价为准，并修改单价;</w:t>
      </w:r>
    </w:p>
    <w:p>
      <w:pPr>
        <w:pStyle w:val="55"/>
      </w:pPr>
      <w:r>
        <w:t>3.4.1.4总价金额与按单价汇总金额不一致的，以单价金额计算结果为准。</w:t>
      </w:r>
    </w:p>
    <w:p>
      <w:pPr>
        <w:pStyle w:val="55"/>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5"/>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5"/>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2"/>
        </w:rPr>
        <w:t>3.5</w:t>
      </w:r>
      <w:r>
        <w:rPr>
          <w:rStyle w:val="32"/>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2"/>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2"/>
        <w:ind w:left="480"/>
      </w:pPr>
      <w:r>
        <w:rPr>
          <w:rFonts w:hint="eastAsia"/>
        </w:rPr>
        <w:t>四、评标中的其他事项</w:t>
      </w:r>
    </w:p>
    <w:p>
      <w:pPr>
        <w:pStyle w:val="55"/>
      </w:pPr>
      <w:r>
        <w:rPr>
          <w:rStyle w:val="32"/>
        </w:rPr>
        <w:t>4.1</w:t>
      </w:r>
      <w:r>
        <w:rPr>
          <w:rStyle w:val="32"/>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3"/>
        <w:spacing w:line="360" w:lineRule="auto"/>
        <w:ind w:left="1021" w:leftChars="226" w:hanging="479" w:firstLineChars="0"/>
        <w:rPr>
          <w:rFonts w:ascii="仿宋_GB2312" w:hAnsi="仿宋" w:eastAsia="仿宋_GB2312" w:cs="仿宋_GB2312"/>
          <w:szCs w:val="21"/>
        </w:rPr>
      </w:pPr>
      <w:r>
        <w:rPr>
          <w:rStyle w:val="32"/>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3"/>
        <w:snapToGrid w:val="0"/>
        <w:spacing w:line="360" w:lineRule="auto"/>
        <w:ind w:firstLine="472" w:firstLineChars="196"/>
        <w:rPr>
          <w:rFonts w:ascii="仿宋_GB2312" w:hAnsi="仿宋" w:eastAsia="仿宋_GB2312" w:cs="仿宋_GB2312"/>
        </w:rPr>
      </w:pPr>
      <w:r>
        <w:rPr>
          <w:rStyle w:val="32"/>
        </w:rPr>
        <w:t>5.废标。</w:t>
      </w:r>
      <w:r>
        <w:rPr>
          <w:rFonts w:hint="eastAsia" w:ascii="仿宋_GB2312" w:hAnsi="仿宋" w:eastAsia="仿宋_GB2312" w:cs="仿宋_GB2312"/>
        </w:rPr>
        <w:t>根据《中华人民共和国政府采购法》第三十六条之规定，在采购中，出现下列情形之一的，应予废标：</w:t>
      </w:r>
    </w:p>
    <w:p>
      <w:pPr>
        <w:pStyle w:val="1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3"/>
        <w:snapToGrid w:val="0"/>
        <w:spacing w:line="360" w:lineRule="auto"/>
        <w:ind w:firstLine="590" w:firstLineChars="245"/>
        <w:rPr>
          <w:rFonts w:ascii="仿宋_GB2312" w:hAnsi="仿宋" w:eastAsia="仿宋_GB2312" w:cs="仿宋_GB2312"/>
        </w:rPr>
      </w:pPr>
      <w:r>
        <w:rPr>
          <w:rStyle w:val="32"/>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3"/>
        <w:snapToGrid w:val="0"/>
        <w:spacing w:line="360" w:lineRule="auto"/>
        <w:ind w:firstLine="590" w:firstLineChars="245"/>
        <w:rPr>
          <w:rFonts w:ascii="仿宋_GB2312" w:hAnsi="仿宋" w:eastAsia="仿宋_GB2312" w:cs="仿宋_GB2312"/>
        </w:rPr>
      </w:pPr>
      <w:r>
        <w:rPr>
          <w:rStyle w:val="32"/>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2"/>
        <w:ind w:left="480"/>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3"/>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66"/>
        <w:ind w:left="480"/>
        <w:jc w:val="center"/>
        <w:rPr>
          <w:rFonts w:ascii="仿宋" w:hAnsi="仿宋" w:eastAsia="仿宋"/>
          <w:szCs w:val="24"/>
        </w:rPr>
      </w:pPr>
    </w:p>
    <w:p>
      <w:pPr>
        <w:pStyle w:val="2"/>
        <w:ind w:left="480"/>
      </w:pPr>
      <w:r>
        <w:rPr>
          <w:rFonts w:hint="eastAsia"/>
        </w:rPr>
        <w:t>第一部分</w:t>
      </w:r>
      <w:r>
        <w:t xml:space="preserve"> </w:t>
      </w:r>
      <w:r>
        <w:rPr>
          <w:rFonts w:hint="eastAsia"/>
        </w:rPr>
        <w:t>合同书</w:t>
      </w:r>
    </w:p>
    <w:p>
      <w:pPr>
        <w:pStyle w:val="66"/>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5"/>
        <w:spacing w:before="120" w:line="22" w:lineRule="atLeast"/>
        <w:rPr>
          <w:rFonts w:ascii="仿宋" w:hAnsi="仿宋" w:eastAsia="仿宋"/>
          <w:szCs w:val="24"/>
        </w:rPr>
      </w:pPr>
    </w:p>
    <w:p>
      <w:pPr>
        <w:pStyle w:val="65"/>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4"/>
      </w:pPr>
      <w:bookmarkStart w:id="370" w:name="_Toc3029"/>
      <w:bookmarkStart w:id="371" w:name="_Toc2232"/>
      <w:bookmarkStart w:id="372" w:name="_Toc24059"/>
      <w:r>
        <w:t xml:space="preserve">1.1 </w:t>
      </w:r>
      <w:r>
        <w:rPr>
          <w:rFonts w:hint="eastAsia"/>
        </w:rPr>
        <w:t>合同组成部分</w:t>
      </w:r>
      <w:bookmarkEnd w:id="370"/>
      <w:bookmarkEnd w:id="371"/>
      <w:bookmarkEnd w:id="372"/>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4"/>
      </w:pPr>
      <w:bookmarkStart w:id="373" w:name="_Toc27126"/>
      <w:bookmarkStart w:id="374" w:name="_Toc24300"/>
      <w:bookmarkStart w:id="375" w:name="_Toc21295"/>
      <w:r>
        <w:t xml:space="preserve">1.2 </w:t>
      </w:r>
      <w:r>
        <w:rPr>
          <w:rFonts w:hint="eastAsia"/>
        </w:rPr>
        <w:t>货物</w:t>
      </w:r>
      <w:bookmarkEnd w:id="373"/>
      <w:bookmarkEnd w:id="374"/>
      <w:bookmarkEnd w:id="375"/>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4"/>
      </w:pPr>
      <w:bookmarkStart w:id="376" w:name="_Toc21631"/>
      <w:bookmarkStart w:id="377" w:name="_Toc21551"/>
      <w:bookmarkStart w:id="378" w:name="_Toc23292"/>
      <w:r>
        <w:t xml:space="preserve">1.3 </w:t>
      </w:r>
      <w:r>
        <w:rPr>
          <w:rFonts w:hint="eastAsia"/>
        </w:rPr>
        <w:t>价款</w:t>
      </w:r>
      <w:bookmarkEnd w:id="376"/>
      <w:bookmarkEnd w:id="377"/>
      <w:bookmarkEnd w:id="378"/>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rPr>
            </w:pPr>
          </w:p>
        </w:tc>
      </w:tr>
    </w:tbl>
    <w:p>
      <w:pPr>
        <w:pStyle w:val="4"/>
      </w:pPr>
      <w:bookmarkStart w:id="379" w:name="_Toc10340"/>
      <w:bookmarkStart w:id="380" w:name="_Toc1814"/>
      <w:bookmarkStart w:id="381" w:name="_Toc22618"/>
      <w:r>
        <w:t xml:space="preserve">1.4 </w:t>
      </w:r>
      <w:r>
        <w:rPr>
          <w:rFonts w:hint="eastAsia"/>
        </w:rPr>
        <w:t>付款</w:t>
      </w:r>
      <w:bookmarkEnd w:id="379"/>
      <w:bookmarkEnd w:id="380"/>
      <w:bookmarkEnd w:id="381"/>
      <w:r>
        <w:rPr>
          <w:rFonts w:hint="eastAsia"/>
        </w:rPr>
        <w:t>方式、时间和条件</w:t>
      </w:r>
    </w:p>
    <w:p>
      <w:pPr>
        <w:pStyle w:val="6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4"/>
      </w:pPr>
      <w:bookmarkStart w:id="382" w:name="_Toc19304"/>
      <w:bookmarkStart w:id="383" w:name="_Toc2846"/>
      <w:bookmarkStart w:id="384" w:name="_Toc32071"/>
      <w:r>
        <w:t xml:space="preserve">1.5 </w:t>
      </w:r>
      <w:r>
        <w:rPr>
          <w:rFonts w:hint="eastAsia"/>
        </w:rPr>
        <w:t>货物交付期限、地点和方式</w:t>
      </w:r>
      <w:bookmarkEnd w:id="382"/>
      <w:bookmarkEnd w:id="383"/>
      <w:bookmarkEnd w:id="384"/>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4"/>
      </w:pPr>
      <w:bookmarkStart w:id="385" w:name="_Toc21423"/>
      <w:bookmarkStart w:id="386" w:name="_Toc27250"/>
      <w:bookmarkStart w:id="387" w:name="_Toc19554"/>
      <w:r>
        <w:t xml:space="preserve">1.6 </w:t>
      </w:r>
      <w:r>
        <w:rPr>
          <w:rFonts w:hint="eastAsia"/>
        </w:rPr>
        <w:t>违约责任</w:t>
      </w:r>
      <w:bookmarkEnd w:id="385"/>
      <w:bookmarkEnd w:id="386"/>
      <w:bookmarkEnd w:id="387"/>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4"/>
      </w:pPr>
      <w:bookmarkStart w:id="388" w:name="_Toc28375"/>
      <w:bookmarkStart w:id="389" w:name="_Toc15583"/>
      <w:bookmarkStart w:id="390" w:name="_Toc16021"/>
      <w:r>
        <w:t xml:space="preserve">1.7 </w:t>
      </w:r>
      <w:r>
        <w:rPr>
          <w:rFonts w:hint="eastAsia"/>
        </w:rPr>
        <w:t>合同争议的解决</w:t>
      </w:r>
      <w:bookmarkEnd w:id="388"/>
      <w:bookmarkEnd w:id="389"/>
      <w:bookmarkEnd w:id="390"/>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4"/>
      </w:pPr>
      <w:bookmarkStart w:id="391" w:name="_Toc11173"/>
      <w:bookmarkStart w:id="392" w:name="_Toc15322"/>
      <w:bookmarkStart w:id="393" w:name="_Toc7245"/>
      <w:r>
        <w:t xml:space="preserve">1.8 </w:t>
      </w:r>
      <w:r>
        <w:rPr>
          <w:rFonts w:hint="eastAsia"/>
        </w:rPr>
        <w:t>合同生效</w:t>
      </w:r>
      <w:bookmarkEnd w:id="391"/>
      <w:bookmarkEnd w:id="392"/>
      <w:bookmarkEnd w:id="393"/>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4" w:name="_Toc331685783"/>
    </w:p>
    <w:p>
      <w:pPr>
        <w:pStyle w:val="2"/>
        <w:ind w:left="480"/>
      </w:pPr>
      <w:r>
        <w:rPr>
          <w:rFonts w:hint="eastAsia"/>
        </w:rPr>
        <w:t>第二部分</w:t>
      </w:r>
      <w:r>
        <w:t xml:space="preserve"> </w:t>
      </w:r>
      <w:r>
        <w:rPr>
          <w:rFonts w:hint="eastAsia"/>
        </w:rPr>
        <w:t>合同一般条款</w:t>
      </w:r>
      <w:bookmarkEnd w:id="394"/>
    </w:p>
    <w:p>
      <w:pPr>
        <w:pStyle w:val="4"/>
      </w:pPr>
      <w:bookmarkStart w:id="395" w:name="_Ref467379205"/>
      <w:bookmarkStart w:id="396" w:name="_Ref467379109"/>
      <w:bookmarkStart w:id="397" w:name="_Ref467379094"/>
      <w:bookmarkStart w:id="398" w:name="_Toc279701240"/>
      <w:bookmarkStart w:id="399" w:name="_Ref467379195"/>
      <w:bookmarkStart w:id="400" w:name="_Ref467379101"/>
      <w:bookmarkStart w:id="401" w:name="_Ref467379214"/>
      <w:bookmarkStart w:id="402" w:name="_Toc28763"/>
      <w:bookmarkStart w:id="403" w:name="_Ref467378404"/>
      <w:bookmarkStart w:id="404" w:name="_Toc16917"/>
      <w:bookmarkStart w:id="405" w:name="_Toc19614"/>
      <w:bookmarkStart w:id="406" w:name="_Ref467379225"/>
      <w:bookmarkStart w:id="407" w:name="_Ref467378463"/>
      <w:bookmarkStart w:id="408" w:name="_Toc259093669"/>
      <w:bookmarkStart w:id="409" w:name="_Toc487900349"/>
      <w:bookmarkStart w:id="410" w:name="_Ref467378499"/>
      <w:r>
        <w:t xml:space="preserve">2.1 </w:t>
      </w:r>
      <w:r>
        <w:rPr>
          <w:rFonts w:hint="eastAsia"/>
        </w:rPr>
        <w:t>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11" w:name="_Ref467378840"/>
      <w:r>
        <w:t xml:space="preserve">2.1.4 </w:t>
      </w:r>
      <w:r>
        <w:rPr>
          <w:rFonts w:hint="eastAsia"/>
        </w:rPr>
        <w:t>“甲方”系指与中标供应商签署合同的采购人</w:t>
      </w:r>
      <w:bookmarkEnd w:id="411"/>
      <w:r>
        <w:rPr>
          <w:rFonts w:hint="eastAsia"/>
        </w:rPr>
        <w:t>；采购人委托采购代理机构代表其与乙方签订合同的，采购人的授权委托书作为合同附件。</w:t>
      </w:r>
    </w:p>
    <w:p>
      <w:pPr>
        <w:spacing w:line="560" w:lineRule="exact"/>
        <w:ind w:firstLine="480" w:firstLineChars="200"/>
      </w:pPr>
      <w:bookmarkStart w:id="412" w:name="_Ref467379400"/>
      <w:r>
        <w:t xml:space="preserve">2.1.5 </w:t>
      </w:r>
      <w:r>
        <w:rPr>
          <w:rFonts w:hint="eastAsia"/>
        </w:rPr>
        <w:t>“乙方”系指根据合同约定交付货物的中标供应商</w:t>
      </w:r>
      <w:bookmarkEnd w:id="412"/>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3" w:name="_Ref467379436"/>
      <w:r>
        <w:t xml:space="preserve">2.1.6 </w:t>
      </w:r>
      <w:r>
        <w:rPr>
          <w:rFonts w:hint="eastAsia"/>
        </w:rPr>
        <w:t>“现场”系指合同约定货物将要运至或者安装的地点。</w:t>
      </w:r>
      <w:bookmarkEnd w:id="413"/>
    </w:p>
    <w:p>
      <w:pPr>
        <w:pStyle w:val="4"/>
      </w:pPr>
      <w:bookmarkStart w:id="414" w:name="_Toc259093670"/>
      <w:bookmarkStart w:id="415" w:name="_Toc32504"/>
      <w:bookmarkStart w:id="416" w:name="_Toc279701241"/>
      <w:bookmarkStart w:id="417" w:name="_Toc13336"/>
      <w:bookmarkStart w:id="418" w:name="_Toc487900350"/>
      <w:bookmarkStart w:id="419" w:name="_Toc27635"/>
      <w:r>
        <w:t xml:space="preserve">2.2 </w:t>
      </w:r>
      <w:r>
        <w:rPr>
          <w:rFonts w:hint="eastAsia"/>
        </w:rPr>
        <w:t>技术规范</w:t>
      </w:r>
      <w:bookmarkEnd w:id="414"/>
      <w:bookmarkEnd w:id="415"/>
      <w:bookmarkEnd w:id="416"/>
      <w:bookmarkEnd w:id="417"/>
      <w:bookmarkEnd w:id="418"/>
      <w:bookmarkEnd w:id="419"/>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4"/>
      </w:pPr>
      <w:bookmarkStart w:id="420" w:name="_Toc9829"/>
      <w:bookmarkStart w:id="421" w:name="_Toc31634"/>
      <w:bookmarkStart w:id="422" w:name="_Toc279701242"/>
      <w:bookmarkStart w:id="423" w:name="_Toc259093671"/>
      <w:bookmarkStart w:id="424" w:name="_Toc487900351"/>
      <w:bookmarkStart w:id="425" w:name="_Toc27853"/>
      <w:r>
        <w:t xml:space="preserve">2.3 </w:t>
      </w:r>
      <w:r>
        <w:rPr>
          <w:rFonts w:hint="eastAsia"/>
        </w:rPr>
        <w:t>知识产权</w:t>
      </w:r>
      <w:bookmarkEnd w:id="420"/>
      <w:bookmarkEnd w:id="421"/>
      <w:bookmarkEnd w:id="422"/>
      <w:bookmarkEnd w:id="423"/>
      <w:bookmarkEnd w:id="424"/>
      <w:bookmarkEnd w:id="425"/>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4"/>
      </w:pPr>
      <w:bookmarkStart w:id="426" w:name="_Toc11932"/>
      <w:bookmarkStart w:id="427" w:name="_Toc4194"/>
      <w:bookmarkStart w:id="428" w:name="_Toc29149"/>
      <w:r>
        <w:t xml:space="preserve">2.4 </w:t>
      </w:r>
      <w:r>
        <w:rPr>
          <w:rFonts w:hint="eastAsia"/>
        </w:rPr>
        <w:t>包装和装运</w:t>
      </w:r>
      <w:bookmarkEnd w:id="426"/>
      <w:bookmarkEnd w:id="427"/>
      <w:bookmarkEnd w:id="428"/>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4"/>
      </w:pPr>
      <w:bookmarkStart w:id="429" w:name="_Ref467378591"/>
      <w:bookmarkStart w:id="430" w:name="_Ref467379536"/>
      <w:bookmarkStart w:id="431" w:name="_Ref467379542"/>
      <w:bookmarkStart w:id="432" w:name="_Toc487900354"/>
      <w:bookmarkStart w:id="433" w:name="_Toc259093674"/>
      <w:bookmarkStart w:id="434" w:name="_Ref467378541"/>
      <w:bookmarkStart w:id="435" w:name="_Ref467379527"/>
      <w:bookmarkStart w:id="436" w:name="_Toc279701245"/>
      <w:bookmarkStart w:id="437" w:name="_Toc30272"/>
      <w:bookmarkStart w:id="438" w:name="_Toc19074"/>
      <w:bookmarkStart w:id="439" w:name="_Toc26182"/>
      <w:r>
        <w:t>2.</w:t>
      </w:r>
      <w:bookmarkEnd w:id="429"/>
      <w:bookmarkEnd w:id="430"/>
      <w:bookmarkEnd w:id="431"/>
      <w:bookmarkEnd w:id="432"/>
      <w:bookmarkEnd w:id="433"/>
      <w:bookmarkEnd w:id="434"/>
      <w:bookmarkEnd w:id="435"/>
      <w:bookmarkEnd w:id="436"/>
      <w:r>
        <w:t xml:space="preserve">5 </w:t>
      </w:r>
      <w:r>
        <w:rPr>
          <w:rFonts w:hint="eastAsia"/>
        </w:rPr>
        <w:t>履约检查和问题反馈</w:t>
      </w:r>
      <w:bookmarkEnd w:id="437"/>
      <w:bookmarkEnd w:id="438"/>
      <w:bookmarkEnd w:id="439"/>
    </w:p>
    <w:p>
      <w:pPr>
        <w:spacing w:line="560" w:lineRule="exact"/>
        <w:ind w:firstLine="480" w:firstLineChars="200"/>
      </w:pPr>
      <w:bookmarkStart w:id="440" w:name="_Ref467379657"/>
      <w:r>
        <w:t>2.5.1</w:t>
      </w:r>
      <w:bookmarkEnd w:id="440"/>
      <w:bookmarkStart w:id="441" w:name="_Toc186431854"/>
      <w:bookmarkStart w:id="442" w:name="_Ref467379807"/>
      <w:bookmarkStart w:id="443" w:name="_Toc259093676"/>
      <w:bookmarkStart w:id="444" w:name="_Toc487900357"/>
      <w:bookmarkStart w:id="445" w:name="_Ref467379793"/>
      <w:bookmarkStart w:id="446" w:name="_Toc27970124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41"/>
      <w:bookmarkStart w:id="447" w:name="_Toc186431855"/>
      <w:r>
        <w:rPr>
          <w:rFonts w:hint="eastAsia"/>
        </w:rPr>
        <w:t>。</w:t>
      </w:r>
    </w:p>
    <w:bookmarkEnd w:id="442"/>
    <w:bookmarkEnd w:id="443"/>
    <w:bookmarkEnd w:id="444"/>
    <w:bookmarkEnd w:id="445"/>
    <w:bookmarkEnd w:id="446"/>
    <w:bookmarkEnd w:id="447"/>
    <w:p>
      <w:pPr>
        <w:pStyle w:val="4"/>
      </w:pPr>
      <w:bookmarkStart w:id="448" w:name="_Ref467379852"/>
      <w:bookmarkStart w:id="449" w:name="_Toc487900358"/>
      <w:bookmarkStart w:id="450" w:name="_Toc279701248"/>
      <w:bookmarkStart w:id="451" w:name="_Ref467379863"/>
      <w:bookmarkStart w:id="452" w:name="_Toc259093677"/>
      <w:bookmarkStart w:id="453" w:name="_Ref467379923"/>
      <w:bookmarkStart w:id="454" w:name="_Toc16110"/>
      <w:bookmarkStart w:id="455" w:name="_Toc3225"/>
      <w:bookmarkStart w:id="456" w:name="_Toc774"/>
      <w:r>
        <w:t xml:space="preserve">2.6 </w:t>
      </w:r>
      <w:r>
        <w:rPr>
          <w:rFonts w:hint="eastAsia"/>
        </w:rPr>
        <w:t>技术资料</w:t>
      </w:r>
      <w:bookmarkEnd w:id="448"/>
      <w:bookmarkEnd w:id="449"/>
      <w:bookmarkEnd w:id="450"/>
      <w:bookmarkEnd w:id="451"/>
      <w:bookmarkEnd w:id="452"/>
      <w:bookmarkEnd w:id="453"/>
      <w:r>
        <w:rPr>
          <w:rFonts w:hint="eastAsia"/>
        </w:rPr>
        <w:t>和保密义务</w:t>
      </w:r>
      <w:bookmarkEnd w:id="454"/>
      <w:bookmarkEnd w:id="455"/>
      <w:bookmarkEnd w:id="456"/>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pPr>
      <w:bookmarkStart w:id="457" w:name="_Toc7860"/>
      <w:r>
        <w:t xml:space="preserve">2.7 </w:t>
      </w:r>
      <w:r>
        <w:rPr>
          <w:rFonts w:hint="eastAsia"/>
        </w:rPr>
        <w:t>质量保证</w:t>
      </w:r>
      <w:bookmarkEnd w:id="457"/>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4"/>
      </w:pPr>
      <w:bookmarkStart w:id="458" w:name="_Toc17244"/>
      <w:bookmarkStart w:id="459" w:name="_Toc279701252"/>
      <w:bookmarkStart w:id="460" w:name="_Toc487900362"/>
      <w:bookmarkStart w:id="461" w:name="_Toc259093681"/>
      <w:r>
        <w:t xml:space="preserve">2.8 </w:t>
      </w:r>
      <w:r>
        <w:rPr>
          <w:rFonts w:hint="eastAsia"/>
        </w:rPr>
        <w:t>货物的风险负担</w:t>
      </w:r>
      <w:bookmarkEnd w:id="458"/>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4"/>
      </w:pPr>
      <w:bookmarkStart w:id="462" w:name="_Toc14055"/>
      <w:r>
        <w:t xml:space="preserve">2.9 </w:t>
      </w:r>
      <w:r>
        <w:rPr>
          <w:rFonts w:hint="eastAsia"/>
        </w:rPr>
        <w:t>延迟交货</w:t>
      </w:r>
      <w:bookmarkEnd w:id="459"/>
      <w:bookmarkEnd w:id="460"/>
      <w:bookmarkEnd w:id="461"/>
      <w:bookmarkEnd w:id="462"/>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pPr>
      <w:bookmarkStart w:id="463" w:name="_Toc7502"/>
      <w:bookmarkStart w:id="464" w:name="_Toc279701254"/>
      <w:bookmarkStart w:id="465" w:name="_Ref467378121"/>
      <w:bookmarkStart w:id="466" w:name="_Toc487900364"/>
      <w:bookmarkStart w:id="467" w:name="_Toc259093683"/>
      <w:r>
        <w:t xml:space="preserve">2.10 </w:t>
      </w:r>
      <w:r>
        <w:rPr>
          <w:rFonts w:hint="eastAsia"/>
        </w:rPr>
        <w:t>合同变更</w:t>
      </w:r>
      <w:bookmarkEnd w:id="463"/>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8" w:name="_Toc487900369"/>
      <w:bookmarkStart w:id="469" w:name="_Toc259093688"/>
      <w:bookmarkStart w:id="470" w:name="_Toc279701259"/>
    </w:p>
    <w:p>
      <w:pPr>
        <w:pStyle w:val="4"/>
      </w:pPr>
      <w:bookmarkStart w:id="471" w:name="_Toc10366"/>
      <w:bookmarkStart w:id="472" w:name="_Toc22955"/>
      <w:bookmarkStart w:id="473" w:name="_Toc15237"/>
      <w:r>
        <w:t xml:space="preserve">2.11 </w:t>
      </w:r>
      <w:r>
        <w:rPr>
          <w:rFonts w:hint="eastAsia"/>
        </w:rPr>
        <w:t>合同转让</w:t>
      </w:r>
      <w:bookmarkEnd w:id="468"/>
      <w:bookmarkEnd w:id="469"/>
      <w:bookmarkEnd w:id="470"/>
      <w:r>
        <w:rPr>
          <w:rFonts w:hint="eastAsia"/>
        </w:rPr>
        <w:t>和分包</w:t>
      </w:r>
      <w:bookmarkEnd w:id="471"/>
      <w:bookmarkEnd w:id="472"/>
      <w:bookmarkEnd w:id="473"/>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4"/>
      </w:pPr>
      <w:bookmarkStart w:id="474" w:name="_Toc16508"/>
      <w:bookmarkStart w:id="475" w:name="_Toc13566"/>
      <w:bookmarkStart w:id="476" w:name="_Toc14066"/>
      <w:r>
        <w:t xml:space="preserve">2.12 </w:t>
      </w:r>
      <w:r>
        <w:rPr>
          <w:rFonts w:hint="eastAsia"/>
        </w:rPr>
        <w:t>不可抗力</w:t>
      </w:r>
      <w:bookmarkEnd w:id="474"/>
      <w:bookmarkEnd w:id="475"/>
      <w:bookmarkEnd w:id="476"/>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4"/>
      </w:pPr>
      <w:bookmarkStart w:id="477" w:name="_Toc30676"/>
      <w:bookmarkStart w:id="478" w:name="_Toc279701255"/>
      <w:bookmarkStart w:id="479" w:name="_Toc259093684"/>
      <w:bookmarkStart w:id="480" w:name="_Toc689"/>
      <w:bookmarkStart w:id="481" w:name="_Toc6969"/>
      <w:bookmarkStart w:id="482" w:name="_Toc487900365"/>
      <w:r>
        <w:t xml:space="preserve">2.13 </w:t>
      </w:r>
      <w:r>
        <w:rPr>
          <w:rFonts w:hint="eastAsia"/>
        </w:rPr>
        <w:t>税费</w:t>
      </w:r>
      <w:bookmarkEnd w:id="477"/>
      <w:bookmarkEnd w:id="478"/>
      <w:bookmarkEnd w:id="479"/>
      <w:bookmarkEnd w:id="480"/>
      <w:bookmarkEnd w:id="481"/>
      <w:bookmarkEnd w:id="482"/>
    </w:p>
    <w:p>
      <w:pPr>
        <w:spacing w:line="560" w:lineRule="exact"/>
        <w:ind w:firstLine="480" w:firstLineChars="200"/>
      </w:pPr>
      <w:r>
        <w:rPr>
          <w:rFonts w:hint="eastAsia"/>
        </w:rPr>
        <w:t>与合同有关的一切税费，均按照中华人民共和国法律的相关规定。</w:t>
      </w:r>
    </w:p>
    <w:p>
      <w:pPr>
        <w:pStyle w:val="4"/>
      </w:pPr>
      <w:bookmarkStart w:id="483" w:name="_Toc7102"/>
      <w:bookmarkStart w:id="484" w:name="_Toc16959"/>
      <w:bookmarkStart w:id="485" w:name="_Toc279701258"/>
      <w:bookmarkStart w:id="486" w:name="_Toc259093687"/>
      <w:bookmarkStart w:id="487" w:name="_Toc8298"/>
      <w:bookmarkStart w:id="488" w:name="_Toc487900368"/>
      <w:r>
        <w:t>2.14乙方破产</w:t>
      </w:r>
      <w:bookmarkEnd w:id="483"/>
      <w:bookmarkEnd w:id="484"/>
      <w:bookmarkEnd w:id="485"/>
      <w:bookmarkEnd w:id="486"/>
      <w:bookmarkEnd w:id="487"/>
      <w:bookmarkEnd w:id="488"/>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pPr>
      <w:bookmarkStart w:id="489" w:name="_Toc6134"/>
      <w:bookmarkStart w:id="490" w:name="_Toc29333"/>
      <w:bookmarkStart w:id="491" w:name="_Toc15387"/>
      <w:r>
        <w:t xml:space="preserve">2.15 </w:t>
      </w:r>
      <w:r>
        <w:rPr>
          <w:rFonts w:hint="eastAsia"/>
        </w:rPr>
        <w:t>合同中止、终止</w:t>
      </w:r>
      <w:bookmarkEnd w:id="489"/>
      <w:bookmarkEnd w:id="490"/>
      <w:bookmarkEnd w:id="491"/>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4"/>
      </w:pPr>
      <w:bookmarkStart w:id="492" w:name="_Toc1125"/>
      <w:bookmarkStart w:id="493" w:name="_Toc6596"/>
      <w:bookmarkStart w:id="494" w:name="_Toc14563"/>
      <w:r>
        <w:t>2.16检验和验收</w:t>
      </w:r>
      <w:bookmarkEnd w:id="492"/>
      <w:bookmarkEnd w:id="493"/>
      <w:bookmarkEnd w:id="494"/>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4"/>
    <w:bookmarkEnd w:id="465"/>
    <w:bookmarkEnd w:id="466"/>
    <w:bookmarkEnd w:id="467"/>
    <w:p>
      <w:pPr>
        <w:pStyle w:val="4"/>
      </w:pPr>
      <w:bookmarkStart w:id="495" w:name="_Toc279701261"/>
      <w:bookmarkStart w:id="496" w:name="_Toc259093690"/>
      <w:bookmarkStart w:id="497" w:name="_Toc487900371"/>
      <w:bookmarkStart w:id="498" w:name="_Toc19604"/>
      <w:bookmarkStart w:id="499" w:name="_Toc25182"/>
      <w:bookmarkStart w:id="500" w:name="_Toc11284"/>
      <w:r>
        <w:t xml:space="preserve">2.17 </w:t>
      </w:r>
      <w:r>
        <w:rPr>
          <w:rFonts w:hint="eastAsia"/>
        </w:rPr>
        <w:t>通知</w:t>
      </w:r>
      <w:bookmarkEnd w:id="495"/>
      <w:bookmarkEnd w:id="496"/>
      <w:bookmarkEnd w:id="497"/>
      <w:r>
        <w:rPr>
          <w:rFonts w:hint="eastAsia"/>
        </w:rPr>
        <w:t>和送达</w:t>
      </w:r>
      <w:bookmarkEnd w:id="498"/>
      <w:bookmarkEnd w:id="499"/>
      <w:bookmarkEnd w:id="500"/>
    </w:p>
    <w:p>
      <w:pPr>
        <w:spacing w:line="560" w:lineRule="exact"/>
        <w:ind w:firstLine="480" w:firstLineChars="200"/>
      </w:pPr>
      <w:bookmarkStart w:id="501" w:name="_Toc6698"/>
      <w:bookmarkStart w:id="502" w:name="_Toc3135"/>
      <w:bookmarkStart w:id="503" w:name="_Toc487900372"/>
      <w:bookmarkStart w:id="504" w:name="_Toc279701262"/>
      <w:bookmarkStart w:id="505" w:name="_Toc259093691"/>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501"/>
      <w:bookmarkEnd w:id="502"/>
    </w:p>
    <w:p>
      <w:pPr>
        <w:spacing w:line="560" w:lineRule="exact"/>
        <w:ind w:firstLine="480" w:firstLineChars="200"/>
      </w:pPr>
      <w:bookmarkStart w:id="506" w:name="_Toc23128"/>
      <w:bookmarkStart w:id="507"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6"/>
      <w:bookmarkEnd w:id="507"/>
    </w:p>
    <w:p>
      <w:pPr>
        <w:pStyle w:val="4"/>
      </w:pPr>
      <w:bookmarkStart w:id="508" w:name="_Toc30599"/>
      <w:bookmarkStart w:id="509" w:name="_Toc18540"/>
      <w:bookmarkStart w:id="510" w:name="_Toc4355"/>
      <w:r>
        <w:t xml:space="preserve">2.18 </w:t>
      </w:r>
      <w:r>
        <w:rPr>
          <w:rFonts w:hint="eastAsia"/>
        </w:rPr>
        <w:t>计量单位</w:t>
      </w:r>
      <w:bookmarkEnd w:id="503"/>
      <w:bookmarkEnd w:id="504"/>
      <w:bookmarkEnd w:id="505"/>
      <w:bookmarkEnd w:id="508"/>
      <w:bookmarkEnd w:id="509"/>
      <w:bookmarkEnd w:id="510"/>
    </w:p>
    <w:p>
      <w:pPr>
        <w:spacing w:line="560" w:lineRule="exact"/>
        <w:ind w:firstLine="480" w:firstLineChars="200"/>
      </w:pPr>
      <w:r>
        <w:rPr>
          <w:rFonts w:hint="eastAsia"/>
        </w:rPr>
        <w:t>除技术规范中另有规定外</w:t>
      </w:r>
      <w:r>
        <w:t>,合同的计量单位均使用国家法定计量单位。</w:t>
      </w:r>
    </w:p>
    <w:p>
      <w:pPr>
        <w:pStyle w:val="4"/>
      </w:pPr>
      <w:bookmarkStart w:id="511" w:name="_Toc18567"/>
      <w:bookmarkStart w:id="512" w:name="_Toc10330"/>
      <w:bookmarkStart w:id="513" w:name="_Toc259093692"/>
      <w:bookmarkStart w:id="514" w:name="_Toc487900373"/>
      <w:bookmarkStart w:id="515" w:name="_Toc12773"/>
      <w:bookmarkStart w:id="516" w:name="_Toc279701263"/>
      <w:r>
        <w:t xml:space="preserve">2.19 </w:t>
      </w:r>
      <w:r>
        <w:rPr>
          <w:rFonts w:hint="eastAsia"/>
        </w:rPr>
        <w:t>合同使用的文字和适用的法律</w:t>
      </w:r>
      <w:bookmarkEnd w:id="511"/>
      <w:bookmarkEnd w:id="512"/>
      <w:bookmarkEnd w:id="513"/>
      <w:bookmarkEnd w:id="514"/>
      <w:bookmarkEnd w:id="515"/>
      <w:bookmarkEnd w:id="516"/>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4"/>
      </w:pPr>
      <w:bookmarkStart w:id="517" w:name="_Toc279701264"/>
      <w:bookmarkStart w:id="518" w:name="_Toc12004"/>
      <w:bookmarkStart w:id="519" w:name="_Toc16673"/>
      <w:bookmarkStart w:id="520" w:name="_Toc3148"/>
      <w:bookmarkStart w:id="521" w:name="_Toc259093693"/>
      <w:bookmarkStart w:id="522" w:name="_Toc487900374"/>
      <w:r>
        <w:t xml:space="preserve">2.20 </w:t>
      </w:r>
      <w:r>
        <w:rPr>
          <w:rFonts w:hint="eastAsia"/>
        </w:rPr>
        <w:t>履约保证金</w:t>
      </w:r>
      <w:bookmarkEnd w:id="517"/>
      <w:bookmarkEnd w:id="518"/>
      <w:bookmarkEnd w:id="519"/>
      <w:bookmarkEnd w:id="520"/>
      <w:bookmarkEnd w:id="521"/>
    </w:p>
    <w:p>
      <w:pPr>
        <w:pStyle w:val="6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4"/>
      </w:pPr>
      <w:r>
        <w:t>2.2</w:t>
      </w:r>
      <w:r>
        <w:rPr>
          <w:rFonts w:hint="eastAsia"/>
        </w:rPr>
        <w:t>1</w:t>
      </w:r>
      <w:r>
        <w:t>对于因甲方原因导致变更、中止或者终止政府采购合同的，甲方应当依照合同约定对供应商受到的损失予以赔偿或者补偿。</w:t>
      </w:r>
    </w:p>
    <w:bookmarkEnd w:id="522"/>
    <w:p>
      <w:pPr>
        <w:pStyle w:val="4"/>
      </w:pPr>
      <w:bookmarkStart w:id="523" w:name="_Toc6885"/>
      <w:bookmarkStart w:id="524" w:name="_Toc14001"/>
      <w:bookmarkStart w:id="525" w:name="_Toc19890"/>
      <w:r>
        <w:t>2.2</w:t>
      </w:r>
      <w:r>
        <w:rPr>
          <w:rFonts w:hint="eastAsia"/>
        </w:rPr>
        <w:t>2合同份数</w:t>
      </w:r>
      <w:bookmarkEnd w:id="523"/>
      <w:bookmarkEnd w:id="524"/>
      <w:bookmarkEnd w:id="525"/>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2"/>
        <w:ind w:left="480"/>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2"/>
        <w:ind w:left="480"/>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2"/>
        <w:ind w:left="480"/>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2"/>
        <w:ind w:left="480"/>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2"/>
        <w:ind w:left="480"/>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2"/>
        <w:ind w:left="480"/>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2"/>
        <w:ind w:left="480"/>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r>
        <w:rPr>
          <w:rFonts w:hint="eastAsia"/>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2"/>
        <w:ind w:left="480"/>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6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6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2"/>
        <w:ind w:left="480"/>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2"/>
        <w:ind w:left="480"/>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2"/>
        <w:ind w:left="480"/>
      </w:pPr>
      <w:r>
        <w:br w:type="page"/>
      </w:r>
      <w:r>
        <w:rPr>
          <w:rFonts w:hint="eastAsia"/>
        </w:rPr>
        <w:t>五、符合性审查资料</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2"/>
        <w:ind w:left="480"/>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2"/>
        <w:ind w:left="480"/>
      </w:pPr>
      <w:r>
        <w:rPr>
          <w:rFonts w:hint="eastAsia"/>
        </w:rPr>
        <w:t>七、投标标的清单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2"/>
        <w:ind w:left="480"/>
      </w:pPr>
      <w:r>
        <w:rPr>
          <w:rFonts w:hint="eastAsia"/>
        </w:rPr>
        <w:t>八、商务技术偏离表</w:t>
      </w:r>
    </w:p>
    <w:tbl>
      <w:tblPr>
        <w:tblStyle w:val="22"/>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2"/>
        <w:ind w:left="480"/>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2"/>
        <w:ind w:left="480"/>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2"/>
        <w:ind w:left="480"/>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r>
        <w:rPr>
          <w:lang w:val="zh-CN"/>
        </w:rPr>
        <w:t>2、有关本项目实施所涉及的一切费用均计入报价。</w:t>
      </w:r>
      <w:r>
        <w:rPr>
          <w:rFonts w:hint="eastAsia"/>
          <w:b/>
          <w:lang w:val="zh-CN"/>
        </w:rPr>
        <w:t>采购人将以合同形式有偿取得货物或服务，不接受投标人给予的赠品、回扣或者与采购无关的其他商品、服务</w:t>
      </w:r>
      <w:r>
        <w:rPr>
          <w:rFonts w:hint="eastAsia"/>
          <w:lang w:val="zh-CN"/>
        </w:rPr>
        <w:t>，</w:t>
      </w:r>
      <w:r>
        <w:rPr>
          <w:rFonts w:hint="eastAsia"/>
          <w:b/>
          <w:lang w:val="zh-CN"/>
        </w:rPr>
        <w:t>不得出现“</w:t>
      </w:r>
      <w:r>
        <w:rPr>
          <w:b/>
          <w:lang w:val="zh-CN"/>
        </w:rPr>
        <w:t>0元”“免费赠送”等形式的无偿报价</w:t>
      </w:r>
      <w:r>
        <w:rPr>
          <w:rFonts w:hint="eastAsia"/>
          <w:b/>
          <w:lang w:val="zh-CN"/>
        </w:rPr>
        <w:t>，</w:t>
      </w:r>
      <w:r>
        <w:rPr>
          <w:rFonts w:hint="eastAsia"/>
          <w:b/>
        </w:rPr>
        <w:t>否则视为投标文件含有采购人不能接受的附加条件的，投标无效</w:t>
      </w:r>
      <w:r>
        <w:rPr>
          <w:rFonts w:hint="eastAsia"/>
          <w:b/>
          <w:lang w:val="zh-CN"/>
        </w:rPr>
        <w:t>；采购内容未包含在《开标一览表（报价表）》名称栏中，投标人不能作出合理解释的，</w:t>
      </w:r>
      <w:r>
        <w:rPr>
          <w:rFonts w:hint="eastAsia"/>
          <w:b/>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2"/>
        <w:ind w:left="480"/>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2"/>
        <w:ind w:left="480"/>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6" w:name="_Toc465665161"/>
      <w:r>
        <w:rPr>
          <w:rFonts w:hint="eastAsia"/>
        </w:rPr>
        <w:t>附件</w:t>
      </w:r>
      <w:bookmarkEnd w:id="526"/>
    </w:p>
    <w:p>
      <w:pPr>
        <w:pStyle w:val="2"/>
        <w:ind w:left="480"/>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7" w:name="OLE_LINK14"/>
      <w:bookmarkStart w:id="528" w:name="OLE_LINK13"/>
      <w:r>
        <w:rPr>
          <w:rFonts w:hint="eastAsia" w:ascii="仿宋_GB2312" w:eastAsia="仿宋_GB2312"/>
          <w:b/>
          <w:spacing w:val="6"/>
          <w:sz w:val="32"/>
          <w:szCs w:val="32"/>
        </w:rPr>
        <w:t>残疾人福利性单位声明函</w:t>
      </w:r>
    </w:p>
    <w:bookmarkEnd w:id="527"/>
    <w:bookmarkEnd w:id="528"/>
    <w:p>
      <w:pPr>
        <w:spacing w:line="360" w:lineRule="auto"/>
        <w:rPr>
          <w:rFonts w:ascii="仿宋_GB2312" w:eastAsia="仿宋_GB2312"/>
          <w:b/>
          <w:spacing w:val="6"/>
          <w:sz w:val="30"/>
          <w:szCs w:val="30"/>
        </w:rPr>
      </w:pPr>
    </w:p>
    <w:p>
      <w:pPr>
        <w:pStyle w:val="55"/>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5"/>
      </w:pPr>
      <w:r>
        <w:rPr>
          <w:rFonts w:hint="eastAsia"/>
        </w:rPr>
        <w:t>本单位对上述声明的真实性负责。如有虚假，将依法承担相应责任。</w:t>
      </w:r>
    </w:p>
    <w:p>
      <w:pPr>
        <w:pStyle w:val="55"/>
      </w:pPr>
    </w:p>
    <w:p>
      <w:pPr>
        <w:pStyle w:val="55"/>
      </w:pPr>
    </w:p>
    <w:p>
      <w:pPr>
        <w:pStyle w:val="55"/>
        <w:jc w:val="right"/>
      </w:pPr>
      <w:r>
        <w:rPr>
          <w:rFonts w:hint="eastAsia"/>
        </w:rPr>
        <w:t>投标人名称（电子签名）：</w:t>
      </w:r>
    </w:p>
    <w:p>
      <w:pPr>
        <w:pStyle w:val="55"/>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2"/>
        <w:ind w:left="480"/>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5"/>
      </w:pPr>
      <w:r>
        <w:rPr>
          <w:rFonts w:hint="eastAsia"/>
        </w:rPr>
        <w:t>一、质疑供应商基本信息</w:t>
      </w:r>
    </w:p>
    <w:p>
      <w:pPr>
        <w:pStyle w:val="55"/>
        <w:rPr>
          <w:u w:val="dotted"/>
        </w:rPr>
      </w:pPr>
      <w:r>
        <w:rPr>
          <w:rFonts w:hint="eastAsia"/>
        </w:rPr>
        <w:t>质疑供应商：</w:t>
      </w:r>
      <w:r>
        <w:rPr>
          <w:u w:val="dotted"/>
        </w:rPr>
        <w:t xml:space="preserve">                                        </w:t>
      </w:r>
    </w:p>
    <w:p>
      <w:pPr>
        <w:pStyle w:val="55"/>
      </w:pPr>
      <w:r>
        <w:rPr>
          <w:rFonts w:hint="eastAsia"/>
        </w:rPr>
        <w:t>地址：</w:t>
      </w:r>
      <w:r>
        <w:rPr>
          <w:u w:val="dotted"/>
        </w:rPr>
        <w:t xml:space="preserve">                          </w:t>
      </w:r>
      <w:r>
        <w:rPr>
          <w:rFonts w:hint="eastAsia"/>
        </w:rPr>
        <w:t>邮编：</w:t>
      </w:r>
      <w:r>
        <w:rPr>
          <w:u w:val="dotted"/>
        </w:rPr>
        <w:t xml:space="preserve">                                                   </w:t>
      </w:r>
    </w:p>
    <w:p>
      <w:pPr>
        <w:pStyle w:val="55"/>
      </w:pPr>
      <w:r>
        <w:rPr>
          <w:rFonts w:hint="eastAsia"/>
        </w:rPr>
        <w:t>联系人：</w:t>
      </w:r>
      <w:r>
        <w:rPr>
          <w:u w:val="dotted"/>
        </w:rPr>
        <w:t xml:space="preserve">                      </w:t>
      </w:r>
      <w:r>
        <w:rPr>
          <w:rFonts w:hint="eastAsia"/>
        </w:rPr>
        <w:t>联系电话：</w:t>
      </w:r>
      <w:r>
        <w:rPr>
          <w:u w:val="dotted"/>
        </w:rPr>
        <w:t xml:space="preserve">                              </w:t>
      </w:r>
    </w:p>
    <w:p>
      <w:pPr>
        <w:pStyle w:val="55"/>
        <w:rPr>
          <w:u w:val="dotted"/>
        </w:rPr>
      </w:pPr>
      <w:r>
        <w:rPr>
          <w:rFonts w:hint="eastAsia"/>
        </w:rPr>
        <w:t>授权代表：</w:t>
      </w:r>
      <w:r>
        <w:rPr>
          <w:u w:val="dotted"/>
        </w:rPr>
        <w:t xml:space="preserve">                                          </w:t>
      </w:r>
    </w:p>
    <w:p>
      <w:pPr>
        <w:pStyle w:val="55"/>
      </w:pPr>
      <w:r>
        <w:rPr>
          <w:rFonts w:hint="eastAsia"/>
        </w:rPr>
        <w:t>联系电话：</w:t>
      </w:r>
      <w:r>
        <w:rPr>
          <w:u w:val="dotted"/>
        </w:rPr>
        <w:t xml:space="preserve">                                           </w:t>
      </w:r>
      <w:r>
        <w:t xml:space="preserve"> </w:t>
      </w:r>
    </w:p>
    <w:p>
      <w:pPr>
        <w:pStyle w:val="55"/>
      </w:pPr>
      <w:r>
        <w:rPr>
          <w:rFonts w:hint="eastAsia"/>
        </w:rPr>
        <w:t>地址：</w:t>
      </w:r>
      <w:r>
        <w:t xml:space="preserve"> </w:t>
      </w:r>
      <w:r>
        <w:rPr>
          <w:u w:val="dotted"/>
        </w:rPr>
        <w:t xml:space="preserve">                        </w:t>
      </w:r>
      <w:r>
        <w:rPr>
          <w:rFonts w:hint="eastAsia"/>
        </w:rPr>
        <w:t>邮编：</w:t>
      </w:r>
      <w:r>
        <w:rPr>
          <w:u w:val="dotted"/>
        </w:rPr>
        <w:t xml:space="preserve">                                                </w:t>
      </w:r>
    </w:p>
    <w:p>
      <w:pPr>
        <w:pStyle w:val="55"/>
      </w:pPr>
      <w:r>
        <w:rPr>
          <w:rFonts w:hint="eastAsia"/>
        </w:rPr>
        <w:t>二、质疑项目基本情况</w:t>
      </w:r>
    </w:p>
    <w:p>
      <w:pPr>
        <w:pStyle w:val="55"/>
      </w:pPr>
      <w:r>
        <w:rPr>
          <w:rFonts w:hint="eastAsia"/>
        </w:rPr>
        <w:t>质疑项目的名称：</w:t>
      </w:r>
      <w:r>
        <w:rPr>
          <w:u w:val="dotted"/>
        </w:rPr>
        <w:t xml:space="preserve">                                      </w:t>
      </w:r>
    </w:p>
    <w:p>
      <w:pPr>
        <w:pStyle w:val="55"/>
      </w:pPr>
      <w:r>
        <w:rPr>
          <w:rFonts w:hint="eastAsia"/>
        </w:rPr>
        <w:t>质疑项目的编号：</w:t>
      </w:r>
      <w:r>
        <w:rPr>
          <w:u w:val="dotted"/>
        </w:rPr>
        <w:t xml:space="preserve">               </w:t>
      </w:r>
      <w:r>
        <w:rPr>
          <w:rFonts w:hint="eastAsia"/>
        </w:rPr>
        <w:t>包号：</w:t>
      </w:r>
      <w:r>
        <w:rPr>
          <w:u w:val="dotted"/>
        </w:rPr>
        <w:t xml:space="preserve">                 </w:t>
      </w:r>
    </w:p>
    <w:p>
      <w:pPr>
        <w:pStyle w:val="55"/>
        <w:rPr>
          <w:u w:val="dotted"/>
        </w:rPr>
      </w:pPr>
      <w:r>
        <w:rPr>
          <w:rFonts w:hint="eastAsia"/>
        </w:rPr>
        <w:t>采购人名称：</w:t>
      </w:r>
      <w:r>
        <w:rPr>
          <w:u w:val="dotted"/>
        </w:rPr>
        <w:t xml:space="preserve">                                         </w:t>
      </w:r>
    </w:p>
    <w:p>
      <w:pPr>
        <w:pStyle w:val="55"/>
      </w:pPr>
      <w:r>
        <w:rPr>
          <w:rFonts w:hint="eastAsia"/>
        </w:rPr>
        <w:t>采购文件获取日期：</w:t>
      </w:r>
      <w:r>
        <w:rPr>
          <w:u w:val="dotted"/>
        </w:rPr>
        <w:t xml:space="preserve">                                           </w:t>
      </w:r>
    </w:p>
    <w:p>
      <w:pPr>
        <w:pStyle w:val="55"/>
      </w:pPr>
      <w:r>
        <w:rPr>
          <w:rFonts w:hint="eastAsia"/>
        </w:rPr>
        <w:t>三、质疑事项具体内容</w:t>
      </w:r>
    </w:p>
    <w:p>
      <w:pPr>
        <w:pStyle w:val="55"/>
        <w:rPr>
          <w:u w:val="dotted"/>
        </w:rPr>
      </w:pPr>
      <w:r>
        <w:rPr>
          <w:rFonts w:hint="eastAsia"/>
        </w:rPr>
        <w:t>质疑事项</w:t>
      </w:r>
      <w:r>
        <w:t>1：</w:t>
      </w:r>
      <w:r>
        <w:rPr>
          <w:u w:val="dotted"/>
        </w:rPr>
        <w:t xml:space="preserve">                                         </w:t>
      </w:r>
    </w:p>
    <w:p>
      <w:pPr>
        <w:pStyle w:val="55"/>
        <w:rPr>
          <w:u w:val="dotted"/>
        </w:rPr>
      </w:pPr>
      <w:r>
        <w:rPr>
          <w:rFonts w:hint="eastAsia"/>
        </w:rPr>
        <w:t>事实依据：</w:t>
      </w:r>
      <w:r>
        <w:rPr>
          <w:u w:val="dotted"/>
        </w:rPr>
        <w:t xml:space="preserve">                                          </w:t>
      </w:r>
    </w:p>
    <w:p>
      <w:pPr>
        <w:pStyle w:val="55"/>
      </w:pPr>
      <w:r>
        <w:rPr>
          <w:u w:val="dotted"/>
        </w:rPr>
        <w:t xml:space="preserve">                                                       </w:t>
      </w:r>
    </w:p>
    <w:p>
      <w:pPr>
        <w:pStyle w:val="55"/>
        <w:rPr>
          <w:u w:val="dotted"/>
        </w:rPr>
      </w:pPr>
      <w:r>
        <w:rPr>
          <w:rFonts w:hint="eastAsia"/>
        </w:rPr>
        <w:t>法律依据：</w:t>
      </w:r>
      <w:r>
        <w:rPr>
          <w:u w:val="dotted"/>
        </w:rPr>
        <w:t xml:space="preserve">                                          </w:t>
      </w:r>
    </w:p>
    <w:p>
      <w:pPr>
        <w:pStyle w:val="55"/>
        <w:rPr>
          <w:u w:val="dotted"/>
        </w:rPr>
      </w:pPr>
      <w:r>
        <w:rPr>
          <w:u w:val="dotted"/>
        </w:rPr>
        <w:t xml:space="preserve">                                                     </w:t>
      </w:r>
    </w:p>
    <w:p>
      <w:pPr>
        <w:pStyle w:val="55"/>
        <w:rPr>
          <w:u w:val="dotted"/>
        </w:rPr>
      </w:pPr>
      <w:r>
        <w:rPr>
          <w:rFonts w:hint="eastAsia"/>
        </w:rPr>
        <w:t>质疑事项</w:t>
      </w:r>
      <w:r>
        <w:t>2</w:t>
      </w:r>
    </w:p>
    <w:p>
      <w:pPr>
        <w:pStyle w:val="55"/>
      </w:pPr>
      <w:r>
        <w:rPr>
          <w:rFonts w:hint="eastAsia"/>
        </w:rPr>
        <w:t>……</w:t>
      </w:r>
    </w:p>
    <w:p>
      <w:pPr>
        <w:pStyle w:val="55"/>
      </w:pPr>
      <w:r>
        <w:rPr>
          <w:rFonts w:hint="eastAsia"/>
        </w:rPr>
        <w:t>四、与质疑事项相关的质疑请求</w:t>
      </w:r>
    </w:p>
    <w:p>
      <w:pPr>
        <w:pStyle w:val="55"/>
        <w:rPr>
          <w:u w:val="dotted"/>
        </w:rPr>
      </w:pPr>
      <w:r>
        <w:rPr>
          <w:rFonts w:hint="eastAsia"/>
        </w:rPr>
        <w:t>请求：</w:t>
      </w:r>
      <w:r>
        <w:rPr>
          <w:u w:val="dotted"/>
        </w:rPr>
        <w:t xml:space="preserve">                                               </w:t>
      </w:r>
    </w:p>
    <w:p>
      <w:pPr>
        <w:pStyle w:val="55"/>
      </w:pPr>
      <w:r>
        <w:rPr>
          <w:rFonts w:hint="eastAsia"/>
        </w:rPr>
        <w:t>签字</w:t>
      </w:r>
      <w:r>
        <w:t xml:space="preserve">(签章)：                   公章：                      </w:t>
      </w:r>
    </w:p>
    <w:p>
      <w:pPr>
        <w:pStyle w:val="55"/>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5"/>
      </w:pPr>
      <w:r>
        <w:t>1.供应商提出质疑时，应提交质疑函和必要的证明材料。</w:t>
      </w:r>
    </w:p>
    <w:p>
      <w:pPr>
        <w:pStyle w:val="55"/>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5"/>
      </w:pPr>
      <w:r>
        <w:t>3.质疑供应商若对项目的某一分包进行质疑，质疑函中应列明具体分包号。</w:t>
      </w:r>
    </w:p>
    <w:p>
      <w:pPr>
        <w:pStyle w:val="55"/>
      </w:pPr>
      <w:r>
        <w:t>4.质疑函的质疑事项应具体、明确，并有必要的事实依据和法律依据。</w:t>
      </w:r>
    </w:p>
    <w:p>
      <w:pPr>
        <w:pStyle w:val="55"/>
      </w:pPr>
      <w:r>
        <w:t>5.质疑函的质疑请求应与质疑事项相关。</w:t>
      </w:r>
    </w:p>
    <w:p>
      <w:pPr>
        <w:pStyle w:val="55"/>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2"/>
        <w:ind w:left="480"/>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2"/>
        <w:ind w:left="480"/>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2"/>
        <w:ind w:left="480"/>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rPr>
      </w:pPr>
      <w:r>
        <w:rPr>
          <w:rFonts w:hint="eastAsia" w:ascii="仿宋_GB2312" w:eastAsia="仿宋_GB2312" w:cs="仿宋_GB2312"/>
        </w:rPr>
        <w:t>注：1、填写要求：①“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rPr>
      </w:pPr>
      <w:r>
        <w:rPr>
          <w:rFonts w:hint="eastAsia" w:ascii="仿宋_GB2312" w:eastAsia="仿宋_GB2312" w:cs="仿宋_GB2312"/>
        </w:rPr>
        <w:t>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2"/>
        <w:ind w:left="480"/>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hint="eastAsia" w:cs="仿宋_GB2312"/>
        </w:rPr>
        <w:t>XXX（单位名称或采购机构名称）</w:t>
      </w:r>
      <w:r>
        <w:rPr>
          <w:rFonts w:hint="eastAsia" w:cs="仿宋"/>
          <w:lang w:val="zh-CN"/>
        </w:rPr>
        <w:t>：</w:t>
      </w:r>
    </w:p>
    <w:p>
      <w:pPr>
        <w:snapToGrid w:val="0"/>
        <w:spacing w:line="360" w:lineRule="auto"/>
        <w:ind w:left="290" w:leftChars="121" w:firstLine="48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pPr>
        <w:snapToGrid w:val="0"/>
        <w:spacing w:line="360" w:lineRule="auto"/>
        <w:ind w:left="290" w:leftChars="121" w:firstLine="48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pPr>
        <w:snapToGrid w:val="0"/>
        <w:spacing w:line="360" w:lineRule="auto"/>
        <w:rPr>
          <w:rFonts w:cs="仿宋"/>
          <w:lang w:val="zh-CN"/>
        </w:rPr>
      </w:pPr>
      <w:r>
        <w:rPr>
          <w:rFonts w:hint="eastAsia" w:cs="仿宋"/>
          <w:lang w:val="zh-CN"/>
        </w:rPr>
        <w:t xml:space="preserve">  </w:t>
      </w: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r>
        <w:rPr>
          <w:rFonts w:hint="eastAsia" w:cs="仿宋"/>
          <w:lang w:val="zh-CN"/>
        </w:rPr>
        <w:t xml:space="preserve">                                                  </w:t>
      </w:r>
    </w:p>
    <w:p>
      <w:pPr>
        <w:snapToGrid w:val="0"/>
        <w:spacing w:line="360" w:lineRule="auto"/>
        <w:ind w:right="240"/>
        <w:jc w:val="right"/>
        <w:rPr>
          <w:rFonts w:cs="仿宋"/>
          <w:lang w:val="zh-CN"/>
        </w:rPr>
      </w:pPr>
      <w:r>
        <w:rPr>
          <w:rFonts w:hint="eastAsia" w:cs="仿宋"/>
          <w:lang w:val="zh-CN"/>
        </w:rPr>
        <w:t>签发日期：  年  月   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4"/>
      </w:pBdr>
      <w:jc w:val="right"/>
    </w:pPr>
    <w:r>
      <w:t></w:t>
    </w:r>
    <w:r>
      <w:rPr>
        <w:rFonts w:hint="eastAsia"/>
      </w:rPr>
      <w:t xml:space="preserve">             </w:t>
    </w:r>
    <w:r>
      <w:t>杭州市政府采购公开招标文件</w:t>
    </w:r>
  </w:p>
  <w:p>
    <w:pPr>
      <w:pStyle w:val="20"/>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7C5025"/>
    <w:multiLevelType w:val="singleLevel"/>
    <w:tmpl w:val="3D7C5025"/>
    <w:lvl w:ilvl="0" w:tentative="0">
      <w:start w:val="1"/>
      <w:numFmt w:val="decimal"/>
      <w:lvlText w:val="%1."/>
      <w:lvlJc w:val="left"/>
      <w:pPr>
        <w:tabs>
          <w:tab w:val="left" w:pos="312"/>
        </w:tabs>
      </w:pPr>
    </w:lvl>
  </w:abstractNum>
  <w:abstractNum w:abstractNumId="3">
    <w:nsid w:val="70A2DC45"/>
    <w:multiLevelType w:val="singleLevel"/>
    <w:tmpl w:val="70A2DC45"/>
    <w:lvl w:ilvl="0" w:tentative="0">
      <w:start w:val="1"/>
      <w:numFmt w:val="decimal"/>
      <w:suff w:val="nothing"/>
      <w:lvlText w:val="（%1）"/>
      <w:lvlJc w:val="left"/>
    </w:lvl>
  </w:abstractNum>
  <w:abstractNum w:abstractNumId="4">
    <w:nsid w:val="77070B5F"/>
    <w:multiLevelType w:val="multilevel"/>
    <w:tmpl w:val="77070B5F"/>
    <w:lvl w:ilvl="0" w:tentative="0">
      <w:start w:val="1"/>
      <w:numFmt w:val="decimal"/>
      <w:suff w:val="space"/>
      <w:lvlText w:val="第%1章"/>
      <w:lvlJc w:val="left"/>
      <w:pPr>
        <w:ind w:left="0" w:firstLine="0"/>
      </w:pPr>
      <w:rPr>
        <w:rFonts w:hint="eastAsia" w:ascii="仿宋_GB2312" w:eastAsia="仿宋_GB2312"/>
        <w:b/>
        <w:bCs w:val="0"/>
        <w:i w:val="0"/>
        <w:iCs w:val="0"/>
        <w:caps w:val="0"/>
        <w:smallCaps w:val="0"/>
        <w:strike w:val="0"/>
        <w:dstrike w:val="0"/>
        <w:vanish w:val="0"/>
        <w:spacing w:val="0"/>
        <w:position w:val="0"/>
        <w:sz w:val="32"/>
        <w:szCs w:val="32"/>
        <w:u w:val="none"/>
        <w:vertAlign w:val="baseline"/>
        <w:lang w:val="en-US"/>
      </w:rPr>
    </w:lvl>
    <w:lvl w:ilvl="1" w:tentative="0">
      <w:start w:val="1"/>
      <w:numFmt w:val="decimal"/>
      <w:suff w:val="space"/>
      <w:lvlText w:val="%1.%2"/>
      <w:lvlJc w:val="left"/>
      <w:pPr>
        <w:ind w:left="710" w:firstLine="0"/>
      </w:pPr>
      <w:rPr>
        <w:rFonts w:hint="eastAsia" w:ascii="仿宋_GB2312" w:hAnsi="Cambria" w:eastAsia="仿宋_GB2312"/>
        <w:b/>
        <w:i w:val="0"/>
        <w:sz w:val="30"/>
        <w:szCs w:val="30"/>
      </w:rPr>
    </w:lvl>
    <w:lvl w:ilvl="2" w:tentative="0">
      <w:start w:val="1"/>
      <w:numFmt w:val="decimal"/>
      <w:suff w:val="space"/>
      <w:lvlText w:val="%1.%2.%3"/>
      <w:lvlJc w:val="left"/>
      <w:pPr>
        <w:ind w:left="709" w:firstLine="0"/>
      </w:pPr>
      <w:rPr>
        <w:rFonts w:hint="eastAsia" w:ascii="仿宋_GB2312" w:hAnsi="Cambria" w:eastAsia="仿宋_GB2312"/>
        <w:b/>
        <w:i w:val="0"/>
        <w:sz w:val="28"/>
        <w:szCs w:val="28"/>
      </w:rPr>
    </w:lvl>
    <w:lvl w:ilvl="3" w:tentative="0">
      <w:start w:val="1"/>
      <w:numFmt w:val="decimal"/>
      <w:suff w:val="space"/>
      <w:lvlText w:val="%1.%2.%3.%4"/>
      <w:lvlJc w:val="left"/>
      <w:pPr>
        <w:ind w:left="71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0" w:firstLine="0"/>
      </w:pPr>
      <w:rPr>
        <w:rFonts w:hint="default" w:ascii="Cambria" w:hAnsi="Cambria" w:eastAsia="宋体"/>
        <w:b/>
        <w:i w:val="0"/>
        <w:sz w:val="28"/>
      </w:rPr>
    </w:lvl>
    <w:lvl w:ilvl="5" w:tentative="0">
      <w:start w:val="1"/>
      <w:numFmt w:val="decimal"/>
      <w:suff w:val="space"/>
      <w:lvlText w:val="%1.%2.%3.%4.%5.%6"/>
      <w:lvlJc w:val="left"/>
      <w:pPr>
        <w:ind w:left="0" w:firstLine="0"/>
      </w:pPr>
      <w:rPr>
        <w:rFonts w:hint="default" w:ascii="Cambria" w:hAnsi="Cambria" w:eastAsia="宋体"/>
        <w:b/>
        <w:i w:val="0"/>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WQ1ZjdhYzg0ZmYwYzY0MjYyMGU4MzNlOTkzMjIifQ=="/>
  </w:docVars>
  <w:rsids>
    <w:rsidRoot w:val="004A31C0"/>
    <w:rsid w:val="00040E44"/>
    <w:rsid w:val="000506FE"/>
    <w:rsid w:val="00052F13"/>
    <w:rsid w:val="00062A5D"/>
    <w:rsid w:val="00083EEE"/>
    <w:rsid w:val="000A014A"/>
    <w:rsid w:val="000C67BA"/>
    <w:rsid w:val="000D12B1"/>
    <w:rsid w:val="000E75F8"/>
    <w:rsid w:val="00106784"/>
    <w:rsid w:val="001375DB"/>
    <w:rsid w:val="001448FA"/>
    <w:rsid w:val="001478DA"/>
    <w:rsid w:val="00173428"/>
    <w:rsid w:val="001A3CF6"/>
    <w:rsid w:val="00240685"/>
    <w:rsid w:val="0024401D"/>
    <w:rsid w:val="002534A7"/>
    <w:rsid w:val="00285222"/>
    <w:rsid w:val="002E02E0"/>
    <w:rsid w:val="003169BC"/>
    <w:rsid w:val="003421BE"/>
    <w:rsid w:val="0035778E"/>
    <w:rsid w:val="00380ED1"/>
    <w:rsid w:val="00381B1D"/>
    <w:rsid w:val="003A3435"/>
    <w:rsid w:val="003E2487"/>
    <w:rsid w:val="004105E2"/>
    <w:rsid w:val="00424619"/>
    <w:rsid w:val="00424A1D"/>
    <w:rsid w:val="0042509B"/>
    <w:rsid w:val="00462F9D"/>
    <w:rsid w:val="004A31C0"/>
    <w:rsid w:val="00501CA3"/>
    <w:rsid w:val="00527D6E"/>
    <w:rsid w:val="00581054"/>
    <w:rsid w:val="005A325A"/>
    <w:rsid w:val="005A3BF2"/>
    <w:rsid w:val="0060320D"/>
    <w:rsid w:val="00636E41"/>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A5E26"/>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87572"/>
    <w:rsid w:val="00CA5372"/>
    <w:rsid w:val="00CB3DBC"/>
    <w:rsid w:val="00CF35F3"/>
    <w:rsid w:val="00D03E3B"/>
    <w:rsid w:val="00D056CF"/>
    <w:rsid w:val="00D3147A"/>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1C2A"/>
    <w:rsid w:val="00F66F6C"/>
    <w:rsid w:val="00F82240"/>
    <w:rsid w:val="00F872C5"/>
    <w:rsid w:val="00F906B9"/>
    <w:rsid w:val="00FD5896"/>
    <w:rsid w:val="030732A7"/>
    <w:rsid w:val="1066547F"/>
    <w:rsid w:val="13550F10"/>
    <w:rsid w:val="14565758"/>
    <w:rsid w:val="16594892"/>
    <w:rsid w:val="183B4F91"/>
    <w:rsid w:val="1C6E39C8"/>
    <w:rsid w:val="1E171E3D"/>
    <w:rsid w:val="21D70261"/>
    <w:rsid w:val="2AE67B3B"/>
    <w:rsid w:val="2DB2017D"/>
    <w:rsid w:val="2FF27AF2"/>
    <w:rsid w:val="328F5F4B"/>
    <w:rsid w:val="34967B08"/>
    <w:rsid w:val="36720EF3"/>
    <w:rsid w:val="3EA854F1"/>
    <w:rsid w:val="40531008"/>
    <w:rsid w:val="48353FC6"/>
    <w:rsid w:val="4AAF1929"/>
    <w:rsid w:val="4B3C553D"/>
    <w:rsid w:val="4C075DB9"/>
    <w:rsid w:val="4F773414"/>
    <w:rsid w:val="51167000"/>
    <w:rsid w:val="56CD65B7"/>
    <w:rsid w:val="616C0CF6"/>
    <w:rsid w:val="639257BA"/>
    <w:rsid w:val="63A13A48"/>
    <w:rsid w:val="650869CE"/>
    <w:rsid w:val="6E300FEA"/>
    <w:rsid w:val="6E497E6F"/>
    <w:rsid w:val="77531109"/>
    <w:rsid w:val="7A093216"/>
    <w:rsid w:val="7CE9143B"/>
    <w:rsid w:val="7EB7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0"/>
    <w:qFormat/>
    <w:uiPriority w:val="9"/>
    <w:pPr>
      <w:spacing w:before="480" w:after="0"/>
      <w:contextualSpacing/>
      <w:jc w:val="center"/>
      <w:outlineLvl w:val="0"/>
    </w:pPr>
    <w:rPr>
      <w:rFonts w:ascii="仿宋_GB2312" w:eastAsia="仿宋_GB2312"/>
      <w:b/>
      <w:smallCaps/>
      <w:spacing w:val="5"/>
      <w:sz w:val="36"/>
      <w:szCs w:val="36"/>
    </w:rPr>
  </w:style>
  <w:style w:type="paragraph" w:styleId="2">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2"/>
    <w:unhideWhenUsed/>
    <w:qFormat/>
    <w:uiPriority w:val="9"/>
    <w:pPr>
      <w:outlineLvl w:val="2"/>
    </w:pPr>
    <w:rPr>
      <w:b/>
    </w:rPr>
  </w:style>
  <w:style w:type="paragraph" w:styleId="5">
    <w:name w:val="heading 4"/>
    <w:basedOn w:val="1"/>
    <w:next w:val="1"/>
    <w:link w:val="33"/>
    <w:unhideWhenUsed/>
    <w:qFormat/>
    <w:uiPriority w:val="9"/>
    <w:pPr>
      <w:spacing w:after="0" w:line="271" w:lineRule="auto"/>
      <w:outlineLvl w:val="3"/>
    </w:pPr>
    <w:rPr>
      <w:b/>
      <w:bCs/>
      <w:spacing w:val="5"/>
    </w:rPr>
  </w:style>
  <w:style w:type="paragraph" w:styleId="6">
    <w:name w:val="heading 5"/>
    <w:basedOn w:val="1"/>
    <w:next w:val="1"/>
    <w:link w:val="34"/>
    <w:unhideWhenUsed/>
    <w:qFormat/>
    <w:uiPriority w:val="9"/>
    <w:pPr>
      <w:spacing w:after="0" w:line="271" w:lineRule="auto"/>
      <w:outlineLvl w:val="4"/>
    </w:pPr>
    <w:rPr>
      <w:i/>
      <w:iCs/>
    </w:rPr>
  </w:style>
  <w:style w:type="paragraph" w:styleId="7">
    <w:name w:val="heading 6"/>
    <w:basedOn w:val="1"/>
    <w:next w:val="1"/>
    <w:link w:val="35"/>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6"/>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7"/>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8"/>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Indent"/>
    <w:basedOn w:val="1"/>
    <w:link w:val="5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4">
    <w:name w:val="Plain Text"/>
    <w:basedOn w:val="1"/>
    <w:link w:val="57"/>
    <w:qFormat/>
    <w:uiPriority w:val="0"/>
    <w:pPr>
      <w:widowControl w:val="0"/>
      <w:adjustRightInd w:val="0"/>
      <w:spacing w:after="0"/>
      <w:jc w:val="both"/>
    </w:pPr>
    <w:rPr>
      <w:rFonts w:ascii="宋体" w:hAnsi="Courier New" w:eastAsia="宋体" w:cs="Arial"/>
      <w:snapToGrid w:val="0"/>
      <w:kern w:val="2"/>
      <w:sz w:val="21"/>
      <w:szCs w:val="21"/>
    </w:rPr>
  </w:style>
  <w:style w:type="paragraph" w:styleId="15">
    <w:name w:val="Balloon Text"/>
    <w:basedOn w:val="1"/>
    <w:link w:val="71"/>
    <w:semiHidden/>
    <w:unhideWhenUsed/>
    <w:qFormat/>
    <w:uiPriority w:val="99"/>
    <w:pPr>
      <w:spacing w:after="0"/>
    </w:pPr>
    <w:rPr>
      <w:sz w:val="18"/>
      <w:szCs w:val="18"/>
    </w:rPr>
  </w:style>
  <w:style w:type="paragraph" w:styleId="16">
    <w:name w:val="footer"/>
    <w:basedOn w:val="1"/>
    <w:link w:val="29"/>
    <w:unhideWhenUsed/>
    <w:qFormat/>
    <w:uiPriority w:val="99"/>
    <w:pPr>
      <w:tabs>
        <w:tab w:val="center" w:pos="4153"/>
        <w:tab w:val="right" w:pos="8306"/>
      </w:tabs>
      <w:snapToGrid w:val="0"/>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0"/>
    <w:qFormat/>
    <w:uiPriority w:val="11"/>
    <w:rPr>
      <w:i/>
      <w:iCs/>
      <w:smallCaps/>
      <w:spacing w:val="10"/>
      <w:sz w:val="28"/>
      <w:szCs w:val="28"/>
    </w:rPr>
  </w:style>
  <w:style w:type="paragraph" w:styleId="19">
    <w:name w:val="toc 2"/>
    <w:basedOn w:val="1"/>
    <w:next w:val="1"/>
    <w:semiHidden/>
    <w:unhideWhenUsed/>
    <w:qFormat/>
    <w:uiPriority w:val="39"/>
    <w:pPr>
      <w:ind w:left="420" w:leftChars="200"/>
    </w:pPr>
  </w:style>
  <w:style w:type="paragraph" w:styleId="20">
    <w:name w:val="Title"/>
    <w:basedOn w:val="1"/>
    <w:next w:val="1"/>
    <w:link w:val="39"/>
    <w:qFormat/>
    <w:uiPriority w:val="10"/>
    <w:pPr>
      <w:spacing w:after="300"/>
      <w:contextualSpacing/>
    </w:pPr>
    <w:rPr>
      <w:smallCaps/>
      <w:sz w:val="52"/>
      <w:szCs w:val="5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Emphasis"/>
    <w:qFormat/>
    <w:uiPriority w:val="20"/>
    <w:rPr>
      <w:b/>
      <w:bCs/>
      <w:i/>
      <w:iCs/>
      <w:spacing w:val="10"/>
    </w:rPr>
  </w:style>
  <w:style w:type="character" w:styleId="26">
    <w:name w:val="Hyperlink"/>
    <w:qFormat/>
    <w:uiPriority w:val="99"/>
    <w:rPr>
      <w:rFonts w:ascii="Arial" w:hAnsi="Arial" w:eastAsia="黑体" w:cs="Arial"/>
      <w:snapToGrid w:val="0"/>
      <w:color w:val="000000"/>
      <w:kern w:val="0"/>
      <w:sz w:val="18"/>
      <w:szCs w:val="18"/>
      <w:u w:val="none"/>
    </w:rPr>
  </w:style>
  <w:style w:type="paragraph" w:styleId="27">
    <w:name w:val="List Paragraph"/>
    <w:basedOn w:val="1"/>
    <w:qFormat/>
    <w:uiPriority w:val="34"/>
    <w:pPr>
      <w:ind w:left="720"/>
      <w:contextualSpacing/>
    </w:pPr>
  </w:style>
  <w:style w:type="character" w:customStyle="1" w:styleId="28">
    <w:name w:val="页眉 字符"/>
    <w:basedOn w:val="23"/>
    <w:link w:val="17"/>
    <w:qFormat/>
    <w:uiPriority w:val="99"/>
    <w:rPr>
      <w:sz w:val="18"/>
      <w:szCs w:val="18"/>
    </w:rPr>
  </w:style>
  <w:style w:type="character" w:customStyle="1" w:styleId="29">
    <w:name w:val="页脚 字符"/>
    <w:basedOn w:val="23"/>
    <w:link w:val="16"/>
    <w:qFormat/>
    <w:uiPriority w:val="99"/>
    <w:rPr>
      <w:sz w:val="18"/>
      <w:szCs w:val="18"/>
    </w:rPr>
  </w:style>
  <w:style w:type="character" w:customStyle="1" w:styleId="30">
    <w:name w:val="标题 1 字符"/>
    <w:basedOn w:val="23"/>
    <w:link w:val="3"/>
    <w:qFormat/>
    <w:uiPriority w:val="9"/>
    <w:rPr>
      <w:rFonts w:ascii="仿宋_GB2312" w:hAnsi="仿宋" w:eastAsia="仿宋_GB2312"/>
      <w:b/>
      <w:smallCaps/>
      <w:spacing w:val="5"/>
      <w:sz w:val="36"/>
      <w:szCs w:val="36"/>
    </w:rPr>
  </w:style>
  <w:style w:type="character" w:customStyle="1" w:styleId="31">
    <w:name w:val="标题 2 字符"/>
    <w:basedOn w:val="23"/>
    <w:link w:val="2"/>
    <w:qFormat/>
    <w:uiPriority w:val="9"/>
    <w:rPr>
      <w:rFonts w:ascii="仿宋" w:hAnsi="仿宋" w:eastAsia="仿宋"/>
      <w:b/>
      <w:smallCaps/>
      <w:sz w:val="28"/>
      <w:szCs w:val="28"/>
    </w:rPr>
  </w:style>
  <w:style w:type="character" w:customStyle="1" w:styleId="32">
    <w:name w:val="标题 3 字符"/>
    <w:basedOn w:val="23"/>
    <w:link w:val="4"/>
    <w:qFormat/>
    <w:uiPriority w:val="9"/>
    <w:rPr>
      <w:rFonts w:ascii="仿宋" w:hAnsi="仿宋" w:eastAsia="仿宋"/>
      <w:b/>
      <w:sz w:val="24"/>
      <w:szCs w:val="24"/>
    </w:rPr>
  </w:style>
  <w:style w:type="character" w:customStyle="1" w:styleId="33">
    <w:name w:val="标题 4 字符"/>
    <w:basedOn w:val="23"/>
    <w:link w:val="5"/>
    <w:qFormat/>
    <w:uiPriority w:val="9"/>
    <w:rPr>
      <w:b/>
      <w:bCs/>
      <w:spacing w:val="5"/>
      <w:sz w:val="24"/>
      <w:szCs w:val="24"/>
    </w:rPr>
  </w:style>
  <w:style w:type="character" w:customStyle="1" w:styleId="34">
    <w:name w:val="标题 5 字符"/>
    <w:basedOn w:val="23"/>
    <w:link w:val="6"/>
    <w:qFormat/>
    <w:uiPriority w:val="9"/>
    <w:rPr>
      <w:i/>
      <w:iCs/>
      <w:sz w:val="24"/>
      <w:szCs w:val="24"/>
    </w:rPr>
  </w:style>
  <w:style w:type="character" w:customStyle="1" w:styleId="35">
    <w:name w:val="标题 6 字符"/>
    <w:basedOn w:val="23"/>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6">
    <w:name w:val="标题 7 字符"/>
    <w:basedOn w:val="23"/>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7">
    <w:name w:val="标题 8 字符"/>
    <w:basedOn w:val="23"/>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8">
    <w:name w:val="标题 9 字符"/>
    <w:basedOn w:val="23"/>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9">
    <w:name w:val="标题 字符"/>
    <w:basedOn w:val="23"/>
    <w:link w:val="20"/>
    <w:qFormat/>
    <w:uiPriority w:val="10"/>
    <w:rPr>
      <w:smallCaps/>
      <w:sz w:val="52"/>
      <w:szCs w:val="52"/>
    </w:rPr>
  </w:style>
  <w:style w:type="character" w:customStyle="1" w:styleId="40">
    <w:name w:val="副标题 字符"/>
    <w:basedOn w:val="23"/>
    <w:link w:val="18"/>
    <w:qFormat/>
    <w:uiPriority w:val="11"/>
    <w:rPr>
      <w:i/>
      <w:iCs/>
      <w:smallCaps/>
      <w:spacing w:val="10"/>
      <w:sz w:val="28"/>
      <w:szCs w:val="28"/>
    </w:rPr>
  </w:style>
  <w:style w:type="paragraph" w:styleId="41">
    <w:name w:val="No Spacing"/>
    <w:basedOn w:val="1"/>
    <w:link w:val="52"/>
    <w:qFormat/>
    <w:uiPriority w:val="1"/>
    <w:pPr>
      <w:spacing w:after="0"/>
    </w:pPr>
  </w:style>
  <w:style w:type="paragraph" w:styleId="42">
    <w:name w:val="Quote"/>
    <w:basedOn w:val="1"/>
    <w:next w:val="1"/>
    <w:link w:val="43"/>
    <w:qFormat/>
    <w:uiPriority w:val="29"/>
    <w:rPr>
      <w:i/>
      <w:iCs/>
    </w:rPr>
  </w:style>
  <w:style w:type="character" w:customStyle="1" w:styleId="43">
    <w:name w:val="引用 字符"/>
    <w:basedOn w:val="23"/>
    <w:link w:val="42"/>
    <w:qFormat/>
    <w:uiPriority w:val="29"/>
    <w:rPr>
      <w:i/>
      <w:iCs/>
    </w:rPr>
  </w:style>
  <w:style w:type="paragraph" w:styleId="44">
    <w:name w:val="Intense Quote"/>
    <w:basedOn w:val="1"/>
    <w:next w:val="1"/>
    <w:link w:val="4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5">
    <w:name w:val="明显引用 字符"/>
    <w:basedOn w:val="23"/>
    <w:link w:val="44"/>
    <w:qFormat/>
    <w:uiPriority w:val="30"/>
    <w:rPr>
      <w:i/>
      <w:iCs/>
    </w:rPr>
  </w:style>
  <w:style w:type="character" w:customStyle="1" w:styleId="46">
    <w:name w:val="不明显强调1"/>
    <w:qFormat/>
    <w:uiPriority w:val="19"/>
    <w:rPr>
      <w:i/>
      <w:iCs/>
    </w:rPr>
  </w:style>
  <w:style w:type="character" w:customStyle="1" w:styleId="47">
    <w:name w:val="明显强调1"/>
    <w:qFormat/>
    <w:uiPriority w:val="21"/>
    <w:rPr>
      <w:b/>
      <w:bCs/>
      <w:i/>
      <w:iCs/>
    </w:rPr>
  </w:style>
  <w:style w:type="character" w:customStyle="1" w:styleId="48">
    <w:name w:val="不明显参考1"/>
    <w:basedOn w:val="23"/>
    <w:qFormat/>
    <w:uiPriority w:val="31"/>
    <w:rPr>
      <w:smallCaps/>
    </w:rPr>
  </w:style>
  <w:style w:type="character" w:customStyle="1" w:styleId="49">
    <w:name w:val="明显参考1"/>
    <w:qFormat/>
    <w:uiPriority w:val="32"/>
    <w:rPr>
      <w:b/>
      <w:bCs/>
      <w:smallCaps/>
    </w:rPr>
  </w:style>
  <w:style w:type="character" w:customStyle="1" w:styleId="50">
    <w:name w:val="书籍标题1"/>
    <w:basedOn w:val="23"/>
    <w:qFormat/>
    <w:uiPriority w:val="33"/>
    <w:rPr>
      <w:i/>
      <w:iCs/>
      <w:smallCaps/>
      <w:spacing w:val="5"/>
    </w:rPr>
  </w:style>
  <w:style w:type="paragraph" w:customStyle="1" w:styleId="51">
    <w:name w:val="TOC 标题1"/>
    <w:basedOn w:val="3"/>
    <w:next w:val="1"/>
    <w:semiHidden/>
    <w:unhideWhenUsed/>
    <w:qFormat/>
    <w:uiPriority w:val="39"/>
    <w:pPr>
      <w:outlineLvl w:val="9"/>
    </w:pPr>
    <w:rPr>
      <w:lang w:bidi="en-US"/>
    </w:rPr>
  </w:style>
  <w:style w:type="character" w:customStyle="1" w:styleId="52">
    <w:name w:val="无间隔 字符"/>
    <w:basedOn w:val="23"/>
    <w:link w:val="41"/>
    <w:qFormat/>
    <w:uiPriority w:val="1"/>
  </w:style>
  <w:style w:type="paragraph" w:customStyle="1" w:styleId="53">
    <w:name w:val="Personal Name"/>
    <w:basedOn w:val="20"/>
    <w:qFormat/>
    <w:uiPriority w:val="0"/>
    <w:rPr>
      <w:b/>
      <w:caps/>
      <w:color w:val="000000"/>
      <w:sz w:val="28"/>
      <w:szCs w:val="28"/>
    </w:rPr>
  </w:style>
  <w:style w:type="character" w:customStyle="1" w:styleId="54">
    <w:name w:val="正文2 Char Char"/>
    <w:link w:val="55"/>
    <w:qFormat/>
    <w:uiPriority w:val="0"/>
    <w:rPr>
      <w:rFonts w:ascii="仿宋" w:hAnsi="仿宋" w:eastAsia="仿宋"/>
      <w:sz w:val="24"/>
      <w:szCs w:val="24"/>
    </w:rPr>
  </w:style>
  <w:style w:type="paragraph" w:customStyle="1" w:styleId="55">
    <w:name w:val="正文2"/>
    <w:basedOn w:val="1"/>
    <w:link w:val="54"/>
    <w:qFormat/>
    <w:uiPriority w:val="0"/>
    <w:pPr>
      <w:spacing w:line="360" w:lineRule="auto"/>
    </w:pPr>
  </w:style>
  <w:style w:type="character" w:customStyle="1" w:styleId="56">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57">
    <w:name w:val="纯文本 字符"/>
    <w:basedOn w:val="23"/>
    <w:link w:val="14"/>
    <w:qFormat/>
    <w:uiPriority w:val="0"/>
    <w:rPr>
      <w:rFonts w:ascii="宋体" w:hAnsi="Courier New" w:eastAsia="宋体" w:cs="Arial"/>
      <w:snapToGrid w:val="0"/>
      <w:kern w:val="2"/>
      <w:sz w:val="21"/>
      <w:szCs w:val="21"/>
    </w:rPr>
  </w:style>
  <w:style w:type="character" w:customStyle="1" w:styleId="58">
    <w:name w:val="正文文本缩进 Char"/>
    <w:basedOn w:val="23"/>
    <w:semiHidden/>
    <w:qFormat/>
    <w:uiPriority w:val="99"/>
    <w:rPr>
      <w:rFonts w:ascii="仿宋" w:hAnsi="仿宋" w:eastAsia="仿宋"/>
      <w:sz w:val="24"/>
      <w:szCs w:val="24"/>
    </w:rPr>
  </w:style>
  <w:style w:type="character" w:customStyle="1" w:styleId="59">
    <w:name w:val="正文文本缩进 字符"/>
    <w:link w:val="13"/>
    <w:qFormat/>
    <w:uiPriority w:val="0"/>
    <w:rPr>
      <w:rFonts w:ascii="宋体" w:hAnsi="宋体" w:eastAsia="宋体" w:cs="Times New Roman"/>
      <w:kern w:val="2"/>
      <w:sz w:val="24"/>
      <w:szCs w:val="24"/>
    </w:rPr>
  </w:style>
  <w:style w:type="character" w:customStyle="1" w:styleId="60">
    <w:name w:val="标题 Char2"/>
    <w:qFormat/>
    <w:uiPriority w:val="10"/>
    <w:rPr>
      <w:b/>
      <w:sz w:val="24"/>
      <w:lang w:val="en-GB"/>
    </w:rPr>
  </w:style>
  <w:style w:type="character" w:customStyle="1" w:styleId="61">
    <w:name w:val="纯文本 Char1"/>
    <w:link w:val="62"/>
    <w:qFormat/>
    <w:uiPriority w:val="0"/>
    <w:rPr>
      <w:rFonts w:ascii="宋体" w:hAnsi="Courier New"/>
    </w:rPr>
  </w:style>
  <w:style w:type="paragraph" w:customStyle="1" w:styleId="62">
    <w:name w:val="纯文本1"/>
    <w:basedOn w:val="1"/>
    <w:link w:val="61"/>
    <w:qFormat/>
    <w:uiPriority w:val="0"/>
    <w:pPr>
      <w:widowControl w:val="0"/>
      <w:spacing w:after="0"/>
      <w:jc w:val="both"/>
    </w:pPr>
    <w:rPr>
      <w:rFonts w:ascii="宋体" w:hAnsi="Courier New" w:eastAsiaTheme="majorEastAsia"/>
      <w:sz w:val="22"/>
      <w:szCs w:val="22"/>
    </w:rPr>
  </w:style>
  <w:style w:type="character" w:customStyle="1" w:styleId="63">
    <w:name w:val="页脚 Char2"/>
    <w:qFormat/>
    <w:locked/>
    <w:uiPriority w:val="99"/>
    <w:rPr>
      <w:kern w:val="2"/>
      <w:sz w:val="18"/>
      <w:szCs w:val="18"/>
    </w:rPr>
  </w:style>
  <w:style w:type="character" w:customStyle="1" w:styleId="64">
    <w:name w:val="页眉 Char2"/>
    <w:qFormat/>
    <w:uiPriority w:val="99"/>
    <w:rPr>
      <w:kern w:val="2"/>
      <w:sz w:val="18"/>
      <w:szCs w:val="18"/>
    </w:rPr>
  </w:style>
  <w:style w:type="paragraph" w:customStyle="1" w:styleId="6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6">
    <w:name w:val="正文缩进1"/>
    <w:basedOn w:val="1"/>
    <w:next w:val="13"/>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7">
    <w:name w:val="text-tag"/>
    <w:basedOn w:val="1"/>
    <w:semiHidden/>
    <w:qFormat/>
    <w:uiPriority w:val="99"/>
    <w:pPr>
      <w:spacing w:before="100" w:beforeAutospacing="1" w:after="100" w:afterAutospacing="1"/>
    </w:pPr>
    <w:rPr>
      <w:rFonts w:ascii="宋体" w:hAnsi="宋体" w:eastAsia="宋体" w:cs="宋体"/>
    </w:rPr>
  </w:style>
  <w:style w:type="character" w:customStyle="1" w:styleId="68">
    <w:name w:val="纯文本 Char_0"/>
    <w:link w:val="69"/>
    <w:qFormat/>
    <w:uiPriority w:val="0"/>
    <w:rPr>
      <w:rFonts w:ascii="宋体" w:hAnsi="Courier New"/>
      <w:kern w:val="2"/>
      <w:sz w:val="21"/>
      <w:szCs w:val="21"/>
    </w:rPr>
  </w:style>
  <w:style w:type="paragraph" w:customStyle="1" w:styleId="69">
    <w:name w:val="纯文本_0_0"/>
    <w:basedOn w:val="1"/>
    <w:link w:val="68"/>
    <w:qFormat/>
    <w:uiPriority w:val="0"/>
    <w:pPr>
      <w:widowControl w:val="0"/>
      <w:spacing w:after="0"/>
      <w:jc w:val="both"/>
    </w:pPr>
    <w:rPr>
      <w:rFonts w:ascii="宋体" w:hAnsi="Courier New" w:eastAsiaTheme="majorEastAsia"/>
      <w:kern w:val="2"/>
      <w:sz w:val="21"/>
      <w:szCs w:val="21"/>
    </w:rPr>
  </w:style>
  <w:style w:type="paragraph" w:customStyle="1" w:styleId="7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1">
    <w:name w:val="批注框文本 字符"/>
    <w:basedOn w:val="23"/>
    <w:link w:val="15"/>
    <w:semiHidden/>
    <w:qFormat/>
    <w:uiPriority w:val="99"/>
    <w:rPr>
      <w:rFonts w:ascii="仿宋" w:hAnsi="仿宋" w:eastAsia="仿宋"/>
      <w:sz w:val="18"/>
      <w:szCs w:val="18"/>
    </w:rPr>
  </w:style>
  <w:style w:type="paragraph" w:customStyle="1" w:styleId="72">
    <w:name w:val="Revision"/>
    <w:hidden/>
    <w:semiHidden/>
    <w:qFormat/>
    <w:uiPriority w:val="99"/>
    <w:rPr>
      <w:rFonts w:ascii="仿宋" w:hAnsi="仿宋" w:eastAsia="仿宋" w:cstheme="majorBid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Template>
  <Pages>104</Pages>
  <Words>47573</Words>
  <Characters>51821</Characters>
  <Lines>449</Lines>
  <Paragraphs>126</Paragraphs>
  <TotalTime>27</TotalTime>
  <ScaleCrop>false</ScaleCrop>
  <LinksUpToDate>false</LinksUpToDate>
  <CharactersWithSpaces>58430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三月七</cp:lastModifiedBy>
  <cp:lastPrinted>2022-08-25T00:32:00Z</cp:lastPrinted>
  <dcterms:modified xsi:type="dcterms:W3CDTF">2022-09-08T08:38:17Z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E3E1C25A2C26463C9739BCE9FE48B345</vt:lpwstr>
  </property>
</Properties>
</file>