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rFonts w:hint="eastAsia"/>
          <w:b/>
          <w:bCs/>
          <w:sz w:val="40"/>
        </w:rPr>
      </w:pPr>
      <w:r>
        <w:rPr>
          <w:rFonts w:hint="eastAsia"/>
          <w:b/>
          <w:bCs/>
          <w:sz w:val="40"/>
        </w:rPr>
        <w:t>城厢街道安全生产、消防安全第三方隐患排查</w:t>
      </w:r>
    </w:p>
    <w:p>
      <w:pPr>
        <w:jc w:val="center"/>
        <w:rPr>
          <w:sz w:val="40"/>
        </w:rPr>
      </w:pPr>
      <w:r>
        <w:rPr>
          <w:rFonts w:hint="eastAsia"/>
          <w:b/>
          <w:bCs/>
          <w:sz w:val="40"/>
        </w:rPr>
        <w:t>政府采购项目</w:t>
      </w:r>
    </w:p>
    <w:p>
      <w:pPr>
        <w:jc w:val="center"/>
        <w:rPr>
          <w:sz w:val="40"/>
        </w:rPr>
      </w:pPr>
      <w:r>
        <w:rPr>
          <w:rFonts w:hint="eastAsia"/>
          <w:sz w:val="40"/>
        </w:rPr>
        <w:t>招标文件</w:t>
      </w:r>
    </w:p>
    <w:p>
      <w:pPr>
        <w:jc w:val="center"/>
        <w:rPr>
          <w:sz w:val="40"/>
        </w:rPr>
      </w:pPr>
      <w:r>
        <w:rPr>
          <w:sz w:val="40"/>
        </w:rPr>
        <w:t>（电子招投标）</w:t>
      </w:r>
    </w:p>
    <w:p>
      <w:pPr>
        <w:jc w:val="center"/>
        <w:rPr>
          <w:rFonts w:hint="default" w:eastAsia="仿宋"/>
          <w:sz w:val="36"/>
          <w:lang w:val="en-US" w:eastAsia="zh-CN"/>
        </w:rPr>
      </w:pPr>
      <w:r>
        <w:rPr>
          <w:rFonts w:hint="eastAsia"/>
          <w:sz w:val="36"/>
        </w:rPr>
        <w:t>编号</w:t>
      </w:r>
      <w:r>
        <w:rPr>
          <w:sz w:val="36"/>
        </w:rPr>
        <w:t>:</w:t>
      </w:r>
      <w:r>
        <w:rPr>
          <w:rFonts w:hint="eastAsia"/>
          <w:lang w:val="en-US" w:eastAsia="zh-CN"/>
        </w:rPr>
        <w:t xml:space="preserve"> CXJD-GYGK-2022234</w:t>
      </w:r>
    </w:p>
    <w:p>
      <w:pPr>
        <w:jc w:val="center"/>
        <w:rPr>
          <w:sz w:val="36"/>
        </w:rPr>
      </w:pPr>
    </w:p>
    <w:p>
      <w:pPr>
        <w:jc w:val="center"/>
        <w:rPr>
          <w:sz w:val="36"/>
        </w:rPr>
      </w:pPr>
    </w:p>
    <w:p>
      <w:pPr>
        <w:jc w:val="center"/>
        <w:rPr>
          <w:sz w:val="36"/>
        </w:rPr>
      </w:pPr>
    </w:p>
    <w:p>
      <w:pPr>
        <w:jc w:val="center"/>
        <w:rPr>
          <w:rFonts w:hint="eastAsia" w:eastAsia="仿宋"/>
          <w:sz w:val="36"/>
          <w:lang w:val="en-US" w:eastAsia="zh-CN"/>
        </w:rPr>
      </w:pPr>
    </w:p>
    <w:p/>
    <w:p>
      <w:pPr>
        <w:jc w:val="center"/>
      </w:pPr>
    </w:p>
    <w:p>
      <w:pPr>
        <w:jc w:val="center"/>
        <w:rPr>
          <w:sz w:val="36"/>
        </w:rPr>
      </w:pPr>
      <w:r>
        <w:rPr>
          <w:rFonts w:hint="eastAsia"/>
          <w:sz w:val="36"/>
        </w:rPr>
        <w:t>杭州市萧山区人民政府城厢街道办事处</w:t>
      </w:r>
    </w:p>
    <w:p>
      <w:pPr>
        <w:jc w:val="center"/>
        <w:rPr>
          <w:rFonts w:hint="eastAsia"/>
          <w:sz w:val="36"/>
        </w:rPr>
      </w:pPr>
      <w:r>
        <w:rPr>
          <w:rFonts w:hint="eastAsia"/>
          <w:sz w:val="36"/>
        </w:rPr>
        <w:t>浙江华域高宇项目管理有限公司</w:t>
      </w:r>
    </w:p>
    <w:p>
      <w:pPr>
        <w:jc w:val="center"/>
        <w:rPr>
          <w:sz w:val="36"/>
        </w:rPr>
      </w:pPr>
      <w:r>
        <w:rPr>
          <w:rFonts w:hint="eastAsia"/>
          <w:sz w:val="36"/>
          <w:lang w:val="en-US" w:eastAsia="zh-CN"/>
        </w:rPr>
        <w:t>2022</w:t>
      </w:r>
      <w:r>
        <w:rPr>
          <w:rFonts w:hint="eastAsia"/>
          <w:sz w:val="36"/>
        </w:rPr>
        <w:t>年</w:t>
      </w:r>
      <w:r>
        <w:rPr>
          <w:rFonts w:hint="eastAsia"/>
          <w:sz w:val="36"/>
          <w:lang w:val="en-US" w:eastAsia="zh-CN"/>
        </w:rPr>
        <w:t>07</w:t>
      </w:r>
      <w:r>
        <w:rPr>
          <w:rFonts w:hint="eastAsia"/>
          <w:sz w:val="36"/>
        </w:rPr>
        <w:t>月</w:t>
      </w:r>
      <w:r>
        <w:rPr>
          <w:rFonts w:hint="eastAsia"/>
          <w:sz w:val="36"/>
          <w:lang w:val="en-US" w:eastAsia="zh-CN"/>
        </w:rPr>
        <w:t>20</w:t>
      </w:r>
      <w:r>
        <w:rPr>
          <w:rFonts w:hint="eastAsia"/>
          <w:sz w:val="36"/>
        </w:rPr>
        <w:t>日</w:t>
      </w:r>
    </w:p>
    <w:p>
      <w:pPr>
        <w:jc w:val="center"/>
      </w:pPr>
      <w:r>
        <w:rPr>
          <w:rFonts w:hint="eastAsia"/>
        </w:rPr>
        <w:t>本招标文件为2022年7月1日稿，请各位投标人详细阅读各项条款</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3"/>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3"/>
      </w:pPr>
      <w:r>
        <w:rPr>
          <w:rFonts w:hint="eastAsia"/>
        </w:rPr>
        <w:t>第一部分</w:t>
      </w:r>
      <w:r>
        <w:t xml:space="preserve"> </w:t>
      </w:r>
      <w:r>
        <w:rPr>
          <w:rFonts w:hint="eastAsia"/>
        </w:rPr>
        <w:t>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rPr>
                <w:u w:val="single"/>
              </w:rPr>
            </w:pPr>
            <w:r>
              <w:rPr>
                <w:rFonts w:hint="eastAsia" w:cs="仿宋_GB2312"/>
                <w:u w:val="single"/>
              </w:rPr>
              <w:t>（城厢街道安全生产、消防安全第三方隐患排查政府采购项目）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Style w:val="27"/>
                <w:rFonts w:ascii="仿宋_GB2312" w:eastAsia="仿宋_GB2312" w:cs="Times New Roman"/>
                <w:kern w:val="2"/>
              </w:rPr>
              <w:t>https://www.zcygov.cn/）获取（下载）招标文件，并于</w:t>
            </w:r>
            <w:r>
              <w:rPr>
                <w:rFonts w:hint="eastAsia"/>
                <w:u w:val="single"/>
              </w:rPr>
              <w:t>202</w:t>
            </w:r>
            <w:r>
              <w:rPr>
                <w:rFonts w:hint="eastAsia"/>
                <w:u w:val="single"/>
                <w:lang w:val="en-US" w:eastAsia="zh-CN"/>
              </w:rPr>
              <w:t>2</w:t>
            </w:r>
            <w:r>
              <w:rPr>
                <w:u w:val="single"/>
              </w:rPr>
              <w:t>年</w:t>
            </w:r>
            <w:r>
              <w:rPr>
                <w:rFonts w:hint="eastAsia"/>
                <w:u w:val="single"/>
                <w:lang w:val="en-US" w:eastAsia="zh-CN"/>
              </w:rPr>
              <w:t>8</w:t>
            </w:r>
            <w:r>
              <w:rPr>
                <w:rFonts w:hint="eastAsia"/>
                <w:u w:val="single"/>
              </w:rPr>
              <w:t>月</w:t>
            </w:r>
            <w:r>
              <w:rPr>
                <w:rFonts w:hint="eastAsia"/>
                <w:u w:val="single"/>
                <w:lang w:val="en-US" w:eastAsia="zh-CN"/>
              </w:rPr>
              <w:t>10</w:t>
            </w:r>
            <w:r>
              <w:rPr>
                <w:rFonts w:hint="eastAsia"/>
                <w:u w:val="single"/>
              </w:rPr>
              <w:t>日</w:t>
            </w:r>
            <w:r>
              <w:rPr>
                <w:rFonts w:hint="eastAsia"/>
                <w:u w:val="single"/>
                <w:lang w:val="en-US" w:eastAsia="zh-CN"/>
              </w:rPr>
              <w:t>9</w:t>
            </w:r>
            <w:r>
              <w:rPr>
                <w:rFonts w:hint="eastAsia"/>
                <w:u w:val="single"/>
              </w:rPr>
              <w:t>点</w:t>
            </w:r>
            <w:r>
              <w:rPr>
                <w:rFonts w:hint="eastAsia"/>
                <w:u w:val="single"/>
                <w:lang w:val="en-US" w:eastAsia="zh-CN"/>
              </w:rPr>
              <w:t>30</w:t>
            </w:r>
            <w:r>
              <w:rPr>
                <w:rFonts w:hint="eastAsia"/>
                <w:u w:val="single"/>
              </w:rPr>
              <w:t>分</w:t>
            </w:r>
            <w:r>
              <w:rPr>
                <w:rFonts w:hint="eastAsia"/>
                <w:bCs/>
                <w:u w:val="single"/>
              </w:rPr>
              <w:t>00秒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r>
        <w:rPr>
          <w:rFonts w:hint="eastAsia"/>
        </w:rPr>
        <w:t>项目编号：CXJD-GYGK-2022234</w:t>
      </w:r>
    </w:p>
    <w:p>
      <w:r>
        <w:t>项目名称：</w:t>
      </w:r>
      <w:r>
        <w:rPr>
          <w:rFonts w:hint="eastAsia"/>
        </w:rPr>
        <w:t>城厢街道安全生产、消防安全第三方隐患排查政府采购项目</w:t>
      </w:r>
    </w:p>
    <w:p>
      <w:r>
        <w:t>预算金额（元）：</w:t>
      </w:r>
      <w:r>
        <w:rPr>
          <w:rFonts w:hint="eastAsia"/>
          <w:lang w:val="en-US" w:eastAsia="zh-CN"/>
        </w:rPr>
        <w:t>500000.00</w:t>
      </w:r>
      <w:r>
        <w:t xml:space="preserve"> </w:t>
      </w:r>
      <w:r>
        <w:rPr>
          <w:rFonts w:hint="eastAsia"/>
        </w:rPr>
        <w:t xml:space="preserve"> </w:t>
      </w:r>
    </w:p>
    <w:p>
      <w:r>
        <w:rPr>
          <w:rFonts w:hint="eastAsia"/>
        </w:rPr>
        <w:t>最高限价（元）：</w:t>
      </w:r>
      <w:r>
        <w:rPr>
          <w:rFonts w:hint="eastAsia"/>
          <w:lang w:val="en-US" w:eastAsia="zh-CN"/>
        </w:rPr>
        <w:t>500000.00</w:t>
      </w:r>
      <w:r>
        <w:rPr>
          <w:rFonts w:hint="eastAsia"/>
        </w:rPr>
        <w:t xml:space="preserve"> </w:t>
      </w:r>
    </w:p>
    <w:p>
      <w:pPr>
        <w:rPr>
          <w:rFonts w:hint="eastAsia"/>
        </w:rPr>
      </w:pPr>
      <w:r>
        <w:rPr>
          <w:rFonts w:hint="eastAsia"/>
        </w:rPr>
        <w:t>采购需求：城厢街道安全生产、消防安全第三方隐患排查政府采购项目</w:t>
      </w:r>
    </w:p>
    <w:p>
      <w:r>
        <w:rPr>
          <w:rFonts w:hint="eastAsia"/>
        </w:rPr>
        <w:t>主要内容： 安全生产、消防安全第三方隐患排查</w:t>
      </w:r>
      <w:r>
        <w:t>。</w:t>
      </w:r>
      <w:r>
        <w:rPr>
          <w:rFonts w:hint="eastAsia"/>
        </w:rPr>
        <w:t>详见招标文件第三部分采购需求。</w:t>
      </w:r>
    </w:p>
    <w:p>
      <w:r>
        <w:rPr>
          <w:rFonts w:hint="eastAsia"/>
        </w:rPr>
        <w:t>合同履约期限：</w:t>
      </w:r>
    </w:p>
    <w:p>
      <w:r>
        <w:rPr>
          <w:rFonts w:hint="eastAsia"/>
        </w:rPr>
        <w:t>本项目接受联合体投标：（√）是；（ ）否</w:t>
      </w:r>
      <w:r>
        <w:t xml:space="preserve"> </w:t>
      </w:r>
      <w:r>
        <w:rPr>
          <w:rFonts w:hint="eastAsia"/>
        </w:rPr>
        <w:t>。</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 ）无；</w:t>
      </w:r>
    </w:p>
    <w:p>
      <w:r>
        <w:rPr>
          <w:rFonts w:hint="eastAsia"/>
        </w:rPr>
        <w:t>（√）专门面向中小企业</w:t>
      </w:r>
    </w:p>
    <w:p>
      <w:r>
        <w:rPr>
          <w:rFonts w:hint="eastAsia"/>
        </w:rPr>
        <w:t>（ ）货物全部由符合政策要求的中小企业制造，提供中小企业声明函；</w:t>
      </w:r>
    </w:p>
    <w:p>
      <w:r>
        <w:rPr>
          <w:rFonts w:hint="eastAsia"/>
        </w:rPr>
        <w:t>（ ）货物全部由符合政策要求的小微企业制造，提供中小企业声明函；</w:t>
      </w:r>
    </w:p>
    <w:p>
      <w:r>
        <w:rPr>
          <w:rFonts w:hint="eastAsia"/>
        </w:rPr>
        <w:t>（ ）服务全部由符合政策要求的中小企业承接，提供中小企业声明函；</w:t>
      </w:r>
    </w:p>
    <w:p>
      <w:r>
        <w:rPr>
          <w:rFonts w:hint="eastAsia"/>
        </w:rPr>
        <w:t>（ ）服务全部由符合政策要求的小微企业承接，提供中小企业声明函；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/至</w:t>
      </w:r>
      <w:r>
        <w:rPr>
          <w:rFonts w:hint="eastAsia"/>
        </w:rPr>
        <w:t>202</w:t>
      </w:r>
      <w:r>
        <w:rPr>
          <w:rFonts w:hint="eastAsia"/>
          <w:lang w:val="en-US" w:eastAsia="zh-CN"/>
        </w:rPr>
        <w:t>2</w:t>
      </w:r>
      <w:r>
        <w:t>年</w:t>
      </w:r>
      <w:r>
        <w:rPr>
          <w:rFonts w:hint="eastAsia"/>
          <w:lang w:val="en-US" w:eastAsia="zh-CN"/>
        </w:rPr>
        <w:t>8</w:t>
      </w:r>
      <w:r>
        <w:t>月</w:t>
      </w:r>
      <w:r>
        <w:rPr>
          <w:rFonts w:hint="eastAsia"/>
          <w:lang w:val="en-US" w:eastAsia="zh-CN"/>
        </w:rPr>
        <w:t>10</w:t>
      </w:r>
      <w:r>
        <w:t>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w:t>
      </w:r>
      <w:r>
        <w:rPr>
          <w:rFonts w:hint="eastAsia"/>
        </w:rPr>
        <w:t>202</w:t>
      </w:r>
      <w:r>
        <w:rPr>
          <w:rFonts w:hint="eastAsia"/>
          <w:lang w:val="en-US" w:eastAsia="zh-CN"/>
        </w:rPr>
        <w:t>2</w:t>
      </w:r>
      <w:r>
        <w:t>年</w:t>
      </w:r>
      <w:r>
        <w:rPr>
          <w:rFonts w:hint="eastAsia"/>
          <w:lang w:val="en-US" w:eastAsia="zh-CN"/>
        </w:rPr>
        <w:t>8</w:t>
      </w:r>
      <w:r>
        <w:rPr>
          <w:rFonts w:hint="eastAsia"/>
        </w:rPr>
        <w:t>月</w:t>
      </w:r>
      <w:r>
        <w:rPr>
          <w:rFonts w:hint="eastAsia"/>
          <w:lang w:val="en-US" w:eastAsia="zh-CN"/>
        </w:rPr>
        <w:t>10</w:t>
      </w:r>
      <w:r>
        <w:rPr>
          <w:rFonts w:hint="eastAsia"/>
        </w:rPr>
        <w:t>日</w:t>
      </w:r>
      <w:r>
        <w:rPr>
          <w:rFonts w:hint="eastAsia"/>
          <w:lang w:val="en-US" w:eastAsia="zh-CN"/>
        </w:rPr>
        <w:t>9</w:t>
      </w:r>
      <w:r>
        <w:rPr>
          <w:rFonts w:hint="eastAsia"/>
        </w:rPr>
        <w:t>点</w:t>
      </w:r>
      <w:r>
        <w:rPr>
          <w:rFonts w:hint="eastAsia"/>
          <w:lang w:val="en-US" w:eastAsia="zh-CN"/>
        </w:rPr>
        <w:t>30</w:t>
      </w:r>
      <w:r>
        <w:rPr>
          <w:rFonts w:hint="eastAsia"/>
        </w:rPr>
        <w:t>分 （北京时间）</w:t>
      </w:r>
    </w:p>
    <w:p>
      <w:r>
        <w:rPr>
          <w:rFonts w:hint="eastAsia"/>
        </w:rPr>
        <w:t>投标地点（网址）：政采云平台（</w:t>
      </w:r>
      <w:r>
        <w:t xml:space="preserve">https://www.zcygov.cn/） </w:t>
      </w:r>
    </w:p>
    <w:p>
      <w:r>
        <w:rPr>
          <w:rFonts w:hint="eastAsia"/>
        </w:rPr>
        <w:t>开标时间：202</w:t>
      </w:r>
      <w:r>
        <w:rPr>
          <w:rFonts w:hint="eastAsia"/>
          <w:lang w:val="en-US" w:eastAsia="zh-CN"/>
        </w:rPr>
        <w:t>2</w:t>
      </w:r>
      <w:r>
        <w:t>年</w:t>
      </w:r>
      <w:r>
        <w:rPr>
          <w:rFonts w:hint="eastAsia"/>
          <w:lang w:val="en-US" w:eastAsia="zh-CN"/>
        </w:rPr>
        <w:t>8</w:t>
      </w:r>
      <w:r>
        <w:rPr>
          <w:rFonts w:hint="eastAsia"/>
        </w:rPr>
        <w:t>月</w:t>
      </w:r>
      <w:r>
        <w:rPr>
          <w:rFonts w:hint="eastAsia"/>
          <w:lang w:val="en-US" w:eastAsia="zh-CN"/>
        </w:rPr>
        <w:t>10</w:t>
      </w:r>
      <w:r>
        <w:rPr>
          <w:rFonts w:hint="eastAsia"/>
        </w:rPr>
        <w:t>日</w:t>
      </w:r>
      <w:r>
        <w:rPr>
          <w:rFonts w:hint="eastAsia"/>
          <w:lang w:val="en-US" w:eastAsia="zh-CN"/>
        </w:rPr>
        <w:t>9</w:t>
      </w:r>
      <w:r>
        <w:rPr>
          <w:rFonts w:hint="eastAsia"/>
        </w:rPr>
        <w:t>点</w:t>
      </w:r>
      <w:r>
        <w:rPr>
          <w:rFonts w:hint="eastAsia"/>
          <w:lang w:val="en-US" w:eastAsia="zh-CN"/>
        </w:rPr>
        <w:t>30</w:t>
      </w:r>
      <w:r>
        <w:rPr>
          <w:rFonts w:hint="eastAsia"/>
        </w:rPr>
        <w:t xml:space="preserve">分 </w:t>
      </w:r>
    </w:p>
    <w:p>
      <w:r>
        <w:rPr>
          <w:rFonts w:hint="eastAsia"/>
        </w:rPr>
        <w:t>开标地点（网址）：</w:t>
      </w:r>
      <w:r>
        <w:t>政</w:t>
      </w:r>
      <w:r>
        <w:rPr>
          <w:rFonts w:hint="eastAsia"/>
        </w:rPr>
        <w:t>采云平台（</w:t>
      </w:r>
      <w:r>
        <w:t>https://www.zcygov.cn/）</w:t>
      </w:r>
      <w:r>
        <w:rPr>
          <w:rFonts w:hint="eastAsia"/>
          <w:lang w:val="en-US" w:eastAsia="zh-CN"/>
        </w:rPr>
        <w:t xml:space="preserve">  </w:t>
      </w:r>
    </w:p>
    <w:p>
      <w:pPr>
        <w:rPr>
          <w:b/>
        </w:rPr>
      </w:pPr>
      <w:r>
        <w:rPr>
          <w:rFonts w:hint="eastAsia"/>
          <w:b/>
        </w:rPr>
        <w:t>五、公告期限</w:t>
      </w:r>
      <w:r>
        <w:rPr>
          <w:b/>
        </w:rPr>
        <w:t xml:space="preserve"> </w:t>
      </w:r>
    </w:p>
    <w:p>
      <w:r>
        <w:rPr>
          <w:rFonts w:hint="eastAsia"/>
        </w:rPr>
        <w:t>自本公告发布之日起</w:t>
      </w:r>
      <w:r>
        <w:t>5个工作日。</w:t>
      </w:r>
    </w:p>
    <w:p>
      <w:pPr>
        <w:rPr>
          <w:b/>
        </w:rPr>
      </w:pPr>
      <w:r>
        <w:rPr>
          <w:rFonts w:hint="eastAsia"/>
          <w:b/>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七、对本次采购提出询问、质疑、投诉，请按以下方式联系</w:t>
      </w:r>
    </w:p>
    <w:p>
      <w:r>
        <w:rPr>
          <w:rFonts w:hint="eastAsia"/>
        </w:rPr>
        <w:t>1</w:t>
      </w:r>
      <w:r>
        <w:t>.</w:t>
      </w:r>
      <w:r>
        <w:rPr>
          <w:rFonts w:hint="eastAsia"/>
        </w:rPr>
        <w:t>采购人信息</w:t>
      </w:r>
    </w:p>
    <w:p>
      <w:r>
        <w:rPr>
          <w:rFonts w:hint="eastAsia"/>
        </w:rPr>
        <w:t>名 称：杭州市萧山区人民政府城厢街道办事处</w:t>
      </w:r>
    </w:p>
    <w:p>
      <w:r>
        <w:rPr>
          <w:rFonts w:hint="eastAsia"/>
        </w:rPr>
        <w:t>地址：杭州市萧山区文化路181号</w:t>
      </w:r>
    </w:p>
    <w:p>
      <w:pPr>
        <w:rPr>
          <w:rFonts w:hint="eastAsia"/>
          <w:lang w:val="en-US" w:eastAsia="zh-CN"/>
        </w:rPr>
      </w:pPr>
      <w:r>
        <w:t>传真</w:t>
      </w:r>
      <w:r>
        <w:rPr>
          <w:rFonts w:hint="eastAsia"/>
        </w:rPr>
        <w:t>：</w:t>
      </w:r>
      <w:r>
        <w:rPr>
          <w:rFonts w:hint="eastAsia"/>
          <w:lang w:val="en-US" w:eastAsia="zh-CN"/>
        </w:rPr>
        <w:t>/</w:t>
      </w:r>
    </w:p>
    <w:p>
      <w:bookmarkStart w:id="526" w:name="_GoBack"/>
      <w:bookmarkEnd w:id="526"/>
      <w:r>
        <w:t>项目联系人</w:t>
      </w:r>
      <w:r>
        <w:rPr>
          <w:rFonts w:hint="eastAsia"/>
        </w:rPr>
        <w:t>（询问）：李江</w:t>
      </w:r>
    </w:p>
    <w:p>
      <w:pPr>
        <w:rPr>
          <w:rFonts w:hint="eastAsia"/>
        </w:rPr>
      </w:pPr>
      <w:r>
        <w:t>项目联系方式</w:t>
      </w:r>
      <w:r>
        <w:rPr>
          <w:rFonts w:hint="eastAsia"/>
        </w:rPr>
        <w:t xml:space="preserve">（询问）：0571-82659035   </w:t>
      </w:r>
      <w:r>
        <w:rPr>
          <w:rFonts w:hint="eastAsia"/>
        </w:rPr>
        <w:fldChar w:fldCharType="begin"/>
      </w:r>
      <w:r>
        <w:rPr>
          <w:rFonts w:hint="eastAsia"/>
        </w:rPr>
        <w:instrText xml:space="preserve"> HYPERLINK "mailto:16035264@qq.com（邮箱）" </w:instrText>
      </w:r>
      <w:r>
        <w:rPr>
          <w:rFonts w:hint="eastAsia"/>
        </w:rPr>
        <w:fldChar w:fldCharType="separate"/>
      </w:r>
      <w:r>
        <w:rPr>
          <w:rFonts w:hint="eastAsia"/>
        </w:rPr>
        <w:t>1603526</w:t>
      </w:r>
      <w:r>
        <w:rPr>
          <w:rFonts w:hint="eastAsia"/>
          <w:lang w:val="en-US" w:eastAsia="zh-CN"/>
        </w:rPr>
        <w:t>3</w:t>
      </w:r>
      <w:r>
        <w:rPr>
          <w:rFonts w:hint="eastAsia"/>
        </w:rPr>
        <w:t>@qq.com（邮箱）</w:t>
      </w:r>
      <w:r>
        <w:rPr>
          <w:rFonts w:hint="eastAsia"/>
        </w:rPr>
        <w:fldChar w:fldCharType="end"/>
      </w:r>
    </w:p>
    <w:p>
      <w:r>
        <w:rPr>
          <w:rFonts w:hint="eastAsia"/>
        </w:rPr>
        <w:t>质疑联系人：郭琛琛</w:t>
      </w:r>
    </w:p>
    <w:p>
      <w:r>
        <w:t>质疑联系方式</w:t>
      </w:r>
      <w:r>
        <w:rPr>
          <w:rFonts w:hint="eastAsia"/>
        </w:rPr>
        <w:t>：</w:t>
      </w:r>
      <w:bookmarkStart w:id="0" w:name="_Toc28359086"/>
      <w:bookmarkStart w:id="1" w:name="_Toc28359009"/>
      <w:r>
        <w:rPr>
          <w:rFonts w:hint="eastAsia"/>
        </w:rPr>
        <w:t>0571-83736979</w:t>
      </w:r>
    </w:p>
    <w:p>
      <w:r>
        <w:rPr>
          <w:rFonts w:hint="eastAsia"/>
        </w:rPr>
        <w:t>2</w:t>
      </w:r>
      <w:r>
        <w:t>.</w:t>
      </w:r>
      <w:r>
        <w:rPr>
          <w:rFonts w:hint="eastAsia"/>
        </w:rPr>
        <w:t>采购代理机构信息</w:t>
      </w:r>
      <w:bookmarkEnd w:id="0"/>
      <w:bookmarkEnd w:id="1"/>
    </w:p>
    <w:p>
      <w:r>
        <w:rPr>
          <w:rFonts w:hint="eastAsia"/>
        </w:rPr>
        <w:t>名 称：浙江华域高宇项目管理有限公司</w:t>
      </w:r>
    </w:p>
    <w:p>
      <w:r>
        <w:rPr>
          <w:rFonts w:hint="eastAsia"/>
        </w:rPr>
        <w:t>地址：萧山区北干街道金城路560号心意广场2幢1101室</w:t>
      </w:r>
    </w:p>
    <w:p>
      <w:pPr>
        <w:rPr>
          <w:rFonts w:hint="eastAsia"/>
        </w:rPr>
      </w:pPr>
      <w:r>
        <w:t>传真</w:t>
      </w:r>
      <w:r>
        <w:rPr>
          <w:rFonts w:hint="eastAsia"/>
        </w:rPr>
        <w:t>：0571-22866657</w:t>
      </w:r>
    </w:p>
    <w:p>
      <w:r>
        <w:t>项目联系人</w:t>
      </w:r>
      <w:r>
        <w:rPr>
          <w:rFonts w:hint="eastAsia"/>
        </w:rPr>
        <w:t>（询问）：陈超</w:t>
      </w:r>
    </w:p>
    <w:p>
      <w:r>
        <w:t>项目联系方式</w:t>
      </w:r>
      <w:r>
        <w:rPr>
          <w:rFonts w:hint="eastAsia"/>
        </w:rPr>
        <w:t>（询问）：0571-22816663/13738195695</w:t>
      </w:r>
    </w:p>
    <w:p>
      <w:r>
        <w:rPr>
          <w:rFonts w:hint="eastAsia"/>
        </w:rPr>
        <w:t>质疑联系人：高天宇</w:t>
      </w:r>
    </w:p>
    <w:p>
      <w:r>
        <w:t>质疑联系方式</w:t>
      </w:r>
      <w:r>
        <w:rPr>
          <w:rFonts w:hint="eastAsia"/>
        </w:rPr>
        <w:t>：0571-22816663</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真：0571-</w:t>
      </w:r>
      <w:r>
        <w:rPr>
          <w:rFonts w:hint="eastAsia"/>
        </w:rPr>
        <w:t>82756122</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3"/>
      </w:pPr>
      <w:r>
        <w:rPr>
          <w:rFonts w:hint="eastAsia"/>
        </w:rPr>
        <w:t>第二部分</w:t>
      </w:r>
      <w:r>
        <w:t xml:space="preserve"> 投标人须知</w:t>
      </w:r>
    </w:p>
    <w:p>
      <w:pPr>
        <w:pStyle w:val="4"/>
      </w:pPr>
      <w:r>
        <w:rPr>
          <w:rFonts w:hint="eastAsia"/>
        </w:rPr>
        <w:t>前附表</w:t>
      </w:r>
    </w:p>
    <w:tbl>
      <w:tblPr>
        <w:tblStyle w:val="23"/>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   )A货物类，单一产品或核心产品为：</w:t>
            </w:r>
            <w:r>
              <w:rPr>
                <w:rFonts w:hint="eastAsia" w:cs="仿宋"/>
                <w:sz w:val="22"/>
                <w:u w:val="single"/>
              </w:rPr>
              <w:t xml:space="preserve">    </w:t>
            </w:r>
            <w:r>
              <w:rPr>
                <w:rFonts w:hint="eastAsia" w:cs="仿宋"/>
                <w:sz w:val="22"/>
              </w:rPr>
              <w:t>。</w:t>
            </w:r>
          </w:p>
          <w:p>
            <w:pPr>
              <w:spacing w:after="0"/>
            </w:pPr>
            <w:r>
              <w:rPr>
                <w:rFonts w:hint="eastAsia" w:cs="仿宋"/>
                <w:sz w:val="22"/>
              </w:rPr>
              <w:t xml:space="preserve">( </w:t>
            </w:r>
            <w:r>
              <w:rPr>
                <w:rFonts w:hint="eastAsia" w:ascii="仿宋_GB2312" w:eastAsia="仿宋_GB2312"/>
                <w:b/>
                <w:sz w:val="22"/>
              </w:rPr>
              <w:t>√</w:t>
            </w:r>
            <w:r>
              <w:rPr>
                <w:rFonts w:hint="eastAsia" w:cs="仿宋"/>
                <w:sz w:val="22"/>
              </w:rPr>
              <w:t xml:space="preserve">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pPr>
            <w:r>
              <w:rPr>
                <w:rFonts w:hint="eastAsia" w:cs="仿宋"/>
                <w:b/>
                <w:sz w:val="22"/>
              </w:rPr>
              <w:t>采购标的对应的中小企业划分标准所属行业</w:t>
            </w:r>
          </w:p>
        </w:tc>
        <w:tc>
          <w:tcPr>
            <w:tcW w:w="3867" w:type="pct"/>
            <w:vAlign w:val="center"/>
          </w:tcPr>
          <w:p>
            <w:pPr>
              <w:spacing w:after="0"/>
              <w:rPr>
                <w:rFonts w:cs="仿宋"/>
                <w:sz w:val="22"/>
              </w:rPr>
            </w:pPr>
            <w:r>
              <w:rPr>
                <w:rFonts w:hint="eastAsia" w:cs="仿宋"/>
                <w:sz w:val="22"/>
              </w:rPr>
              <w:t>（1）标的：城厢街道安全生产、消防安全第三方隐患排查政府采购项目，属于</w:t>
            </w:r>
            <w:r>
              <w:rPr>
                <w:rFonts w:hint="eastAsia" w:cs="仿宋"/>
                <w:sz w:val="22"/>
                <w:lang w:val="en-US" w:eastAsia="zh-CN"/>
              </w:rPr>
              <w:t>其他未列明</w:t>
            </w:r>
            <w:r>
              <w:rPr>
                <w:rFonts w:hint="eastAsia" w:cs="仿宋"/>
                <w:sz w:val="22"/>
              </w:rPr>
              <w:t>行业；……</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w:t>
            </w:r>
            <w:r>
              <w:rPr>
                <w:rFonts w:hint="eastAsia" w:ascii="仿宋_GB2312" w:eastAsia="仿宋_GB2312"/>
                <w:b/>
                <w:sz w:val="22"/>
              </w:rPr>
              <w:t>√</w:t>
            </w:r>
            <w:r>
              <w:rPr>
                <w:rFonts w:hint="eastAsia" w:cs="仿宋"/>
                <w:sz w:val="22"/>
              </w:rPr>
              <w:t>)</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pPr>
            <w:r>
              <w:rPr>
                <w:rFonts w:hint="eastAsia" w:cs="仿宋"/>
                <w:b/>
                <w:sz w:val="22"/>
              </w:rPr>
              <w:t>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 ）</w:t>
            </w:r>
            <w:r>
              <w:rPr>
                <w:rFonts w:hint="eastAsia" w:ascii="仿宋_GB2312" w:eastAsia="仿宋_GB2312" w:cs="Arial"/>
                <w:sz w:val="22"/>
              </w:rPr>
              <w:t>A</w:t>
            </w:r>
            <w:r>
              <w:rPr>
                <w:rFonts w:hint="eastAsia" w:ascii="仿宋_GB2312" w:eastAsia="仿宋_GB2312"/>
                <w:sz w:val="22"/>
              </w:rPr>
              <w:t>同意将非主体、非关键性的</w:t>
            </w:r>
            <w:r>
              <w:rPr>
                <w:rFonts w:hint="eastAsia" w:ascii="仿宋_GB2312" w:eastAsia="仿宋_GB2312"/>
                <w:sz w:val="22"/>
                <w:u w:val="single"/>
              </w:rPr>
              <w:t xml:space="preserve">             </w:t>
            </w:r>
            <w:r>
              <w:rPr>
                <w:rFonts w:hint="eastAsia" w:ascii="仿宋_GB2312" w:eastAsia="仿宋_GB2312"/>
                <w:sz w:val="22"/>
              </w:rPr>
              <w:t>工作分包。</w:t>
            </w:r>
          </w:p>
          <w:p>
            <w:pPr>
              <w:spacing w:after="0"/>
            </w:pPr>
            <w:r>
              <w:rPr>
                <w:rFonts w:hint="eastAsia" w:ascii="仿宋_GB2312" w:eastAsia="仿宋_GB2312"/>
                <w:b/>
                <w:sz w:val="22"/>
              </w:rPr>
              <w:t>（√）</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5</w:t>
            </w:r>
          </w:p>
        </w:tc>
        <w:tc>
          <w:tcPr>
            <w:tcW w:w="822" w:type="pct"/>
            <w:vAlign w:val="center"/>
          </w:tcPr>
          <w:p>
            <w:pPr>
              <w:spacing w:after="0"/>
            </w:pPr>
            <w:r>
              <w:rPr>
                <w:rFonts w:hint="eastAsia" w:cs="仿宋"/>
                <w:b/>
                <w:sz w:val="22"/>
              </w:rPr>
              <w:t>开标前答疑会或现场考察</w:t>
            </w:r>
          </w:p>
        </w:tc>
        <w:tc>
          <w:tcPr>
            <w:tcW w:w="3867" w:type="pct"/>
            <w:vAlign w:val="center"/>
          </w:tcPr>
          <w:p>
            <w:pPr>
              <w:spacing w:after="0" w:line="360" w:lineRule="auto"/>
              <w:rPr>
                <w:rFonts w:ascii="仿宋_GB2312" w:eastAsia="仿宋_GB2312"/>
                <w:sz w:val="22"/>
              </w:rPr>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不组织。</w:t>
            </w:r>
          </w:p>
          <w:p>
            <w:pPr>
              <w:spacing w:after="0" w:line="360" w:lineRule="auto"/>
              <w:rPr>
                <w:rFonts w:ascii="仿宋_GB2312" w:eastAsia="仿宋_GB2312"/>
                <w:sz w:val="22"/>
              </w:rPr>
            </w:pPr>
            <w:r>
              <w:rPr>
                <w:rFonts w:hint="eastAsia" w:ascii="仿宋_GB2312" w:eastAsia="仿宋_GB2312"/>
                <w:b/>
                <w:sz w:val="22"/>
              </w:rPr>
              <w:t xml:space="preserve">（ </w:t>
            </w:r>
            <w:r>
              <w:rPr>
                <w:rFonts w:ascii="仿宋_GB2312" w:eastAsia="仿宋_GB2312"/>
                <w:b/>
                <w:sz w:val="22"/>
              </w:rPr>
              <w:t xml:space="preserve"> </w:t>
            </w:r>
            <w:r>
              <w:rPr>
                <w:rFonts w:hint="eastAsia" w:ascii="仿宋_GB2312" w:eastAsia="仿宋_GB2312"/>
                <w:b/>
                <w:sz w:val="22"/>
              </w:rPr>
              <w:t>）</w:t>
            </w:r>
            <w:r>
              <w:rPr>
                <w:rFonts w:hint="eastAsia" w:ascii="仿宋_GB2312" w:eastAsia="仿宋_GB2312"/>
                <w:sz w:val="22"/>
              </w:rPr>
              <w:t>B组织，时间：</w:t>
            </w:r>
            <w:r>
              <w:rPr>
                <w:rFonts w:hint="eastAsia" w:ascii="仿宋_GB2312" w:eastAsia="仿宋_GB2312"/>
                <w:sz w:val="22"/>
                <w:u w:val="single"/>
              </w:rPr>
              <w:t xml:space="preserve">      </w:t>
            </w:r>
            <w:r>
              <w:rPr>
                <w:rFonts w:hint="eastAsia" w:ascii="仿宋_GB2312" w:eastAsia="仿宋_GB2312"/>
                <w:sz w:val="22"/>
              </w:rPr>
              <w:t>,地点：</w:t>
            </w:r>
            <w:r>
              <w:rPr>
                <w:rFonts w:hint="eastAsia" w:ascii="仿宋_GB2312" w:eastAsia="仿宋_GB2312"/>
                <w:sz w:val="22"/>
                <w:u w:val="single"/>
              </w:rPr>
              <w:t xml:space="preserve">      </w:t>
            </w:r>
            <w:r>
              <w:rPr>
                <w:rFonts w:hint="eastAsia" w:ascii="仿宋_GB2312" w:eastAsia="仿宋_GB2312"/>
                <w:sz w:val="22"/>
              </w:rPr>
              <w:t>，</w:t>
            </w:r>
          </w:p>
          <w:p>
            <w:pPr>
              <w:spacing w:after="0"/>
            </w:pPr>
            <w:r>
              <w:rPr>
                <w:rFonts w:hint="eastAsia" w:ascii="仿宋_GB2312" w:eastAsia="仿宋_GB2312"/>
                <w:sz w:val="22"/>
              </w:rPr>
              <w:t>联系人：</w:t>
            </w:r>
            <w:r>
              <w:rPr>
                <w:rFonts w:hint="eastAsia" w:ascii="仿宋_GB2312" w:eastAsia="仿宋_GB2312"/>
                <w:sz w:val="22"/>
                <w:u w:val="single"/>
              </w:rPr>
              <w:t xml:space="preserve">      </w:t>
            </w:r>
            <w:r>
              <w:rPr>
                <w:rFonts w:hint="eastAsia" w:ascii="仿宋_GB2312" w:eastAsia="仿宋_GB2312"/>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pPr>
            <w:r>
              <w:rPr>
                <w:rFonts w:hint="eastAsia" w:cs="仿宋"/>
                <w:b/>
                <w:sz w:val="22"/>
              </w:rPr>
              <w:t>样品提供</w:t>
            </w:r>
          </w:p>
        </w:tc>
        <w:tc>
          <w:tcPr>
            <w:tcW w:w="3867" w:type="pct"/>
            <w:vAlign w:val="center"/>
          </w:tcPr>
          <w:p>
            <w:pPr>
              <w:spacing w:after="0" w:line="360" w:lineRule="auto"/>
              <w:rPr>
                <w:bCs/>
                <w:sz w:val="22"/>
              </w:rPr>
            </w:pPr>
            <w:r>
              <w:rPr>
                <w:rFonts w:hint="eastAsia"/>
                <w:bCs/>
                <w:sz w:val="22"/>
              </w:rPr>
              <w:t>（√）A不要求提供。</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pPr>
            <w:r>
              <w:rPr>
                <w:rFonts w:hint="eastAsia" w:cs="仿宋"/>
                <w:b/>
                <w:sz w:val="22"/>
              </w:rPr>
              <w:t>方案讲解演示</w:t>
            </w:r>
          </w:p>
        </w:tc>
        <w:tc>
          <w:tcPr>
            <w:tcW w:w="3867" w:type="pct"/>
            <w:vAlign w:val="center"/>
          </w:tcPr>
          <w:p>
            <w:pPr>
              <w:spacing w:after="0" w:line="360" w:lineRule="auto"/>
              <w:rPr>
                <w:bCs/>
                <w:sz w:val="22"/>
              </w:rPr>
            </w:pPr>
            <w:r>
              <w:rPr>
                <w:rFonts w:hint="eastAsia"/>
                <w:bCs/>
                <w:sz w:val="22"/>
              </w:rPr>
              <w:t>（√）A不要求。</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pPr>
            <w:r>
              <w:rPr>
                <w:rFonts w:hint="eastAsia" w:cs="仿宋"/>
                <w:b/>
                <w:sz w:val="22"/>
              </w:rPr>
              <w:t>节能产品、环境标志产品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7"/>
                <w:rFonts w:ascii="仿宋" w:hAnsi="仿宋" w:eastAsia="仿宋" w:cstheme="majorBidi"/>
                <w:snapToGrid/>
                <w:sz w:val="22"/>
                <w:szCs w:val="24"/>
              </w:rPr>
              <w:t>http://www.xiaoshan.gov.cn/art/2018/12/20/art_1229293109_1559514.html</w:t>
            </w:r>
            <w:r>
              <w:rPr>
                <w:rStyle w:val="27"/>
                <w:rFonts w:ascii="仿宋" w:hAnsi="仿宋" w:eastAsia="仿宋" w:cstheme="majorBidi"/>
                <w:snapToGrid/>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pPr>
            <w:r>
              <w:rPr>
                <w:rFonts w:hint="eastAsia" w:cs="仿宋"/>
                <w:b/>
                <w:sz w:val="22"/>
              </w:rPr>
              <w:t>备份投标文件</w:t>
            </w:r>
          </w:p>
        </w:tc>
        <w:tc>
          <w:tcPr>
            <w:tcW w:w="3867" w:type="pct"/>
            <w:vAlign w:val="center"/>
          </w:tcPr>
          <w:p>
            <w:pPr>
              <w:spacing w:after="0"/>
            </w:pPr>
            <w:r>
              <w:rPr>
                <w:rFonts w:hint="eastAsia" w:ascii="仿宋" w:hAnsi="仿宋" w:eastAsia="仿宋" w:cs="仿宋"/>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rPr>
                <w:color w:val="auto"/>
                <w:highlight w:val="none"/>
              </w:rPr>
            </w:pPr>
            <w:r>
              <w:rPr>
                <w:rFonts w:hint="eastAsia"/>
                <w:b/>
                <w:color w:val="auto"/>
                <w:sz w:val="22"/>
                <w:highlight w:val="none"/>
              </w:rPr>
              <w:t>采购机构代理费用</w:t>
            </w:r>
          </w:p>
        </w:tc>
        <w:tc>
          <w:tcPr>
            <w:tcW w:w="3867" w:type="pct"/>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本项目的代理费由成交人支付。 </w:t>
            </w:r>
          </w:p>
          <w:p>
            <w:pPr>
              <w:spacing w:after="0"/>
              <w:rPr>
                <w:color w:val="auto"/>
                <w:highlight w:val="none"/>
              </w:rPr>
            </w:pPr>
            <w:r>
              <w:rPr>
                <w:rFonts w:hint="eastAsia" w:ascii="仿宋" w:hAnsi="仿宋" w:eastAsia="仿宋" w:cs="仿宋"/>
                <w:color w:val="auto"/>
                <w:sz w:val="24"/>
                <w:highlight w:val="none"/>
                <w:lang w:val="en-US" w:eastAsia="zh-CN"/>
              </w:rPr>
              <w:t>计费标准：以中标金额为计费基准，按《计价格［2002］1980 号》规定的收费标准计取</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rPr>
                <w:color w:val="auto"/>
              </w:rPr>
            </w:pPr>
            <w:r>
              <w:rPr>
                <w:rFonts w:hint="eastAsia" w:cs="仿宋"/>
                <w:b/>
                <w:color w:val="auto"/>
                <w:sz w:val="22"/>
              </w:rPr>
              <w:t>履约保证金</w:t>
            </w:r>
          </w:p>
        </w:tc>
        <w:tc>
          <w:tcPr>
            <w:tcW w:w="3867" w:type="pct"/>
            <w:vAlign w:val="center"/>
          </w:tcPr>
          <w:p>
            <w:pPr>
              <w:pStyle w:val="15"/>
              <w:spacing w:line="360" w:lineRule="auto"/>
              <w:ind w:hanging="4"/>
              <w:rPr>
                <w:rFonts w:ascii="仿宋" w:hAnsi="仿宋" w:eastAsia="仿宋"/>
                <w:color w:val="auto"/>
                <w:sz w:val="22"/>
              </w:rPr>
            </w:pPr>
            <w:r>
              <w:rPr>
                <w:rFonts w:hint="eastAsia" w:ascii="仿宋" w:hAnsi="仿宋" w:eastAsia="仿宋"/>
                <w:color w:val="auto"/>
                <w:sz w:val="22"/>
              </w:rPr>
              <w:t>履约保证金：收取</w:t>
            </w:r>
            <w:r>
              <w:rPr>
                <w:rFonts w:hint="eastAsia" w:ascii="仿宋" w:hAnsi="仿宋" w:eastAsia="仿宋"/>
                <w:color w:val="auto"/>
                <w:sz w:val="22"/>
                <w:lang w:val="en-US" w:eastAsia="zh-CN"/>
              </w:rPr>
              <w:t>1</w:t>
            </w:r>
            <w:r>
              <w:rPr>
                <w:rFonts w:hint="eastAsia" w:ascii="仿宋" w:hAnsi="仿宋" w:eastAsia="仿宋"/>
                <w:color w:val="auto"/>
                <w:sz w:val="22"/>
              </w:rPr>
              <w:t>%，合同签订后支付，履约完成后无息退还。</w:t>
            </w:r>
          </w:p>
          <w:p>
            <w:pPr>
              <w:spacing w:after="0"/>
              <w:rPr>
                <w:color w:val="auto"/>
              </w:rPr>
            </w:pPr>
            <w:r>
              <w:rPr>
                <w:rFonts w:hint="eastAsia" w:cs="仿宋_GB2312"/>
                <w:color w:val="auto"/>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rPr>
                <w:color w:val="auto"/>
              </w:rPr>
            </w:pPr>
            <w:r>
              <w:rPr>
                <w:rFonts w:hint="eastAsia" w:cs="仿宋"/>
                <w:b/>
                <w:color w:val="auto"/>
                <w:sz w:val="22"/>
              </w:rPr>
              <w:t>资格审查和信用信息审查</w:t>
            </w:r>
          </w:p>
        </w:tc>
        <w:tc>
          <w:tcPr>
            <w:tcW w:w="3867" w:type="pct"/>
            <w:vAlign w:val="center"/>
          </w:tcPr>
          <w:p>
            <w:pPr>
              <w:spacing w:after="0"/>
              <w:rPr>
                <w:color w:val="auto"/>
              </w:rPr>
            </w:pPr>
            <w:r>
              <w:rPr>
                <w:rFonts w:hint="eastAsia" w:cs="仿宋_GB2312"/>
                <w:color w:val="auto"/>
                <w:sz w:val="22"/>
              </w:rPr>
              <w:t>本项目</w:t>
            </w:r>
            <w:r>
              <w:rPr>
                <w:rFonts w:cs="仿宋_GB2312"/>
                <w:color w:val="auto"/>
                <w:sz w:val="22"/>
              </w:rPr>
              <w:t>由采购人</w:t>
            </w:r>
            <w:r>
              <w:rPr>
                <w:rFonts w:hint="eastAsia" w:cs="仿宋_GB2312"/>
                <w:color w:val="auto"/>
                <w:sz w:val="22"/>
              </w:rPr>
              <w:t>进行</w:t>
            </w:r>
            <w:r>
              <w:rPr>
                <w:rFonts w:cs="仿宋_GB2312"/>
                <w:color w:val="auto"/>
                <w:sz w:val="22"/>
              </w:rPr>
              <w:t>资格文件</w:t>
            </w:r>
            <w:r>
              <w:rPr>
                <w:rFonts w:hint="eastAsia" w:cs="仿宋_GB2312"/>
                <w:color w:val="auto"/>
                <w:sz w:val="22"/>
              </w:rPr>
              <w:t>及</w:t>
            </w:r>
            <w:r>
              <w:rPr>
                <w:rFonts w:cs="仿宋_GB2312"/>
                <w:color w:val="auto"/>
                <w:sz w:val="22"/>
              </w:rPr>
              <w:t>信用信息</w:t>
            </w:r>
            <w:r>
              <w:rPr>
                <w:rFonts w:hint="eastAsia" w:cs="仿宋_GB2312"/>
                <w:color w:val="auto"/>
                <w:sz w:val="22"/>
              </w:rPr>
              <w:t>查询</w:t>
            </w:r>
            <w:r>
              <w:rPr>
                <w:rFonts w:cs="仿宋_GB2312"/>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rPr>
                <w:color w:val="auto"/>
              </w:rPr>
            </w:pPr>
            <w:r>
              <w:rPr>
                <w:rFonts w:hint="eastAsia" w:cs="仿宋"/>
                <w:b/>
                <w:color w:val="auto"/>
                <w:sz w:val="22"/>
              </w:rPr>
              <w:t>质疑接收人及答复</w:t>
            </w:r>
          </w:p>
        </w:tc>
        <w:tc>
          <w:tcPr>
            <w:tcW w:w="3867" w:type="pct"/>
            <w:vAlign w:val="center"/>
          </w:tcPr>
          <w:p>
            <w:pPr>
              <w:snapToGrid w:val="0"/>
              <w:spacing w:after="0" w:line="360" w:lineRule="auto"/>
              <w:rPr>
                <w:color w:val="auto"/>
                <w:sz w:val="22"/>
                <w:u w:val="single"/>
              </w:rPr>
            </w:pPr>
            <w:r>
              <w:rPr>
                <w:rFonts w:hint="eastAsia"/>
                <w:color w:val="auto"/>
                <w:sz w:val="22"/>
              </w:rPr>
              <w:t>采购</w:t>
            </w:r>
            <w:r>
              <w:rPr>
                <w:color w:val="auto"/>
                <w:sz w:val="22"/>
              </w:rPr>
              <w:t>人、</w:t>
            </w:r>
            <w:r>
              <w:rPr>
                <w:rFonts w:hint="eastAsia"/>
                <w:color w:val="auto"/>
                <w:sz w:val="22"/>
              </w:rPr>
              <w:t>采购</w:t>
            </w:r>
            <w:r>
              <w:rPr>
                <w:color w:val="auto"/>
                <w:sz w:val="22"/>
              </w:rPr>
              <w:t>机构质疑接收人</w:t>
            </w:r>
            <w:r>
              <w:rPr>
                <w:rFonts w:hint="eastAsia"/>
                <w:color w:val="auto"/>
                <w:sz w:val="22"/>
              </w:rPr>
              <w:t>、联系方式</w:t>
            </w:r>
            <w:r>
              <w:rPr>
                <w:color w:val="auto"/>
                <w:sz w:val="22"/>
              </w:rPr>
              <w:t>：</w:t>
            </w:r>
            <w:r>
              <w:rPr>
                <w:rFonts w:hint="eastAsia"/>
                <w:color w:val="auto"/>
                <w:sz w:val="22"/>
              </w:rPr>
              <w:t>详见公告</w:t>
            </w:r>
          </w:p>
          <w:p>
            <w:pPr>
              <w:snapToGrid w:val="0"/>
              <w:spacing w:after="0" w:line="360" w:lineRule="auto"/>
              <w:rPr>
                <w:b/>
                <w:color w:val="auto"/>
                <w:sz w:val="22"/>
              </w:rPr>
            </w:pPr>
            <w:r>
              <w:rPr>
                <w:rFonts w:hint="eastAsia"/>
                <w:b/>
                <w:color w:val="auto"/>
                <w:sz w:val="22"/>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2"/>
              </w:rPr>
            </w:pPr>
            <w:r>
              <w:rPr>
                <w:rFonts w:hint="eastAsia"/>
                <w:color w:val="auto"/>
                <w:sz w:val="22"/>
              </w:rPr>
              <w:t>本项目涉及资格条件、采购需求、评分办法及采购过程中有关现场考察或开标前答疑会等事项由</w:t>
            </w:r>
            <w:r>
              <w:rPr>
                <w:color w:val="auto"/>
                <w:sz w:val="22"/>
              </w:rPr>
              <w:t>采购人进行答复。</w:t>
            </w:r>
          </w:p>
          <w:p>
            <w:pPr>
              <w:spacing w:after="0"/>
              <w:rPr>
                <w:color w:val="auto"/>
              </w:rPr>
            </w:pPr>
            <w:r>
              <w:rPr>
                <w:rFonts w:hint="eastAsia"/>
                <w:color w:val="auto"/>
                <w:sz w:val="22"/>
              </w:rPr>
              <w:t>涉及</w:t>
            </w:r>
            <w:r>
              <w:rPr>
                <w:color w:val="auto"/>
                <w:sz w:val="22"/>
              </w:rPr>
              <w:t>流程规范性、组织程序等</w:t>
            </w:r>
            <w:r>
              <w:rPr>
                <w:rFonts w:hint="eastAsia"/>
                <w:color w:val="auto"/>
                <w:sz w:val="22"/>
              </w:rPr>
              <w:t>相关</w:t>
            </w:r>
            <w:r>
              <w:rPr>
                <w:color w:val="auto"/>
                <w:sz w:val="22"/>
              </w:rPr>
              <w:t>事项，由</w:t>
            </w:r>
            <w:r>
              <w:rPr>
                <w:rFonts w:hint="eastAsia"/>
                <w:color w:val="auto"/>
                <w:sz w:val="22"/>
              </w:rPr>
              <w:t>采购</w:t>
            </w:r>
            <w:r>
              <w:rPr>
                <w:color w:val="auto"/>
                <w:sz w:val="22"/>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pPr>
        <w:pStyle w:val="4"/>
      </w:pPr>
      <w:r>
        <w:rPr>
          <w:rFonts w:hint="eastAsia"/>
        </w:rPr>
        <w:t>一、总则</w:t>
      </w:r>
    </w:p>
    <w:p>
      <w:pPr>
        <w:pStyle w:val="5"/>
      </w:pPr>
      <w:r>
        <w:t>1. 适用范围</w:t>
      </w:r>
    </w:p>
    <w:p>
      <w:r>
        <w:rPr>
          <w:rFonts w:hint="eastAsia"/>
        </w:rPr>
        <w:t>本招标文件适用于该项目的招标、投标、开标、资格审查及信用信息查询、评标、定标、合同、验收等行为（法律、法规另有规定的，从其规定）。</w:t>
      </w:r>
    </w:p>
    <w:p>
      <w:pPr>
        <w:pStyle w:val="5"/>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5"/>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5"/>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5"/>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5"/>
      </w:pPr>
      <w:r>
        <w:t>7. 招标文件的获取</w:t>
      </w:r>
    </w:p>
    <w:p>
      <w:r>
        <w:rPr>
          <w:rFonts w:hint="eastAsia"/>
        </w:rPr>
        <w:t>详见招标公告中获取招标文件的时间期限、地点、方式及招标文件售价。</w:t>
      </w:r>
    </w:p>
    <w:p>
      <w:pPr>
        <w:pStyle w:val="5"/>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5"/>
      </w:pPr>
      <w:r>
        <w:t>9.投标保证金</w:t>
      </w:r>
    </w:p>
    <w:p>
      <w:r>
        <w:rPr>
          <w:rFonts w:hint="eastAsia"/>
        </w:rPr>
        <w:t>本项目不需缴纳投标保证金。</w:t>
      </w:r>
    </w:p>
    <w:p>
      <w:pPr>
        <w:pStyle w:val="5"/>
      </w:pPr>
      <w:r>
        <w:t>10. 投标文件的语言</w:t>
      </w:r>
    </w:p>
    <w:p>
      <w:r>
        <w:rPr>
          <w:rFonts w:hint="eastAsia"/>
        </w:rPr>
        <w:t>投标文件及投标人与采购有关的来往通知、函件和文件均应使用中文。</w:t>
      </w:r>
    </w:p>
    <w:p>
      <w:pPr>
        <w:pStyle w:val="5"/>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5"/>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5"/>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5"/>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5"/>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5"/>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5"/>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5"/>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5"/>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5"/>
      </w:pPr>
      <w:r>
        <w:t>22. 确定中标供应商</w:t>
      </w:r>
    </w:p>
    <w:p>
      <w:r>
        <w:rPr>
          <w:rFonts w:hint="eastAsia"/>
        </w:rPr>
        <w:t>采购人将自收到评审报告之日起</w:t>
      </w:r>
      <w:r>
        <w:t>5个工作日内通过电子交易平台在评审报告推荐的中标候选人中按顺序确定中标供应商。</w:t>
      </w:r>
    </w:p>
    <w:p>
      <w:pPr>
        <w:pStyle w:val="5"/>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5"/>
      </w:pPr>
      <w:r>
        <w:t>24. 合同主要条款详见第五部分拟签订的合同文本。</w:t>
      </w:r>
    </w:p>
    <w:p>
      <w:pPr>
        <w:pStyle w:val="5"/>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5"/>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4"/>
      </w:pPr>
      <w:r>
        <w:rPr>
          <w:rFonts w:hint="eastAsia"/>
        </w:rPr>
        <w:t>八、电子交易活动的中止</w:t>
      </w:r>
    </w:p>
    <w:p>
      <w:pPr>
        <w:pStyle w:val="5"/>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5"/>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jc w:val="center"/>
        <w:rPr>
          <w:rStyle w:val="47"/>
          <w:i w:val="0"/>
          <w:iCs w:val="0"/>
        </w:rPr>
      </w:pPr>
      <w:r>
        <w:rPr>
          <w:rStyle w:val="47"/>
          <w:rFonts w:hint="eastAsia"/>
          <w:i w:val="0"/>
          <w:iCs w:val="0"/>
        </w:rPr>
        <w:t>属于实质性要求条款的，请用符号“▲”标明，否则属于非实质性要求。</w:t>
      </w:r>
    </w:p>
    <w:p>
      <w:pPr>
        <w:snapToGrid w:val="0"/>
        <w:jc w:val="center"/>
        <w:rPr>
          <w:rStyle w:val="47"/>
          <w:i w:val="0"/>
          <w:iCs w:val="0"/>
        </w:rPr>
      </w:pPr>
      <w:r>
        <w:rPr>
          <w:rStyle w:val="47"/>
          <w:rFonts w:hint="eastAsia"/>
          <w:i w:val="0"/>
          <w:iCs w:val="0"/>
        </w:rPr>
        <w:t>“★”系产品采购项目中单一产品或核心产品。</w:t>
      </w:r>
    </w:p>
    <w:p>
      <w:pPr>
        <w:pStyle w:val="4"/>
        <w:numPr>
          <w:ilvl w:val="0"/>
          <w:numId w:val="1"/>
        </w:numPr>
      </w:pPr>
      <w:r>
        <w:t>招标一览表</w:t>
      </w:r>
    </w:p>
    <w:p>
      <w:pPr>
        <w:pStyle w:val="6"/>
      </w:pPr>
      <w:r>
        <w:rPr>
          <w:rFonts w:hint="eastAsia"/>
        </w:rPr>
        <w:t>标项一：</w:t>
      </w:r>
    </w:p>
    <w:tbl>
      <w:tblPr>
        <w:tblStyle w:val="22"/>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数量</w:t>
            </w:r>
          </w:p>
        </w:tc>
      </w:tr>
      <w:tr>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城厢街道安全生产、消防安全第三方隐患排查政府采购项目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r>
    </w:tbl>
    <w:p>
      <w:pPr>
        <w:pStyle w:val="6"/>
      </w:pPr>
    </w:p>
    <w:p>
      <w:pPr>
        <w:jc w:val="center"/>
        <w:rPr>
          <w:rFonts w:ascii="仿宋" w:hAnsi="仿宋" w:eastAsia="仿宋" w:cs="仿宋"/>
          <w:b/>
          <w:sz w:val="28"/>
          <w:szCs w:val="28"/>
        </w:rPr>
      </w:pPr>
      <w:r>
        <w:rPr>
          <w:rFonts w:hint="eastAsia" w:ascii="仿宋" w:hAnsi="仿宋" w:eastAsia="仿宋" w:cs="仿宋"/>
          <w:b/>
          <w:sz w:val="28"/>
          <w:szCs w:val="28"/>
        </w:rPr>
        <w:t>二、招标需求</w:t>
      </w:r>
    </w:p>
    <w:p>
      <w:pPr>
        <w:pStyle w:val="73"/>
        <w:rPr>
          <w:rFonts w:ascii="仿宋" w:hAnsi="仿宋" w:eastAsia="仿宋" w:cs="仿宋"/>
          <w:b/>
          <w:bCs/>
          <w:color w:val="auto"/>
          <w:sz w:val="24"/>
          <w:szCs w:val="24"/>
        </w:rPr>
      </w:pPr>
    </w:p>
    <w:p>
      <w:pPr>
        <w:numPr>
          <w:ilvl w:val="0"/>
          <w:numId w:val="2"/>
        </w:num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技术需求</w:t>
      </w:r>
    </w:p>
    <w:p>
      <w:pPr>
        <w:adjustRightInd/>
        <w:spacing w:line="360" w:lineRule="auto"/>
        <w:jc w:val="left"/>
        <w:rPr>
          <w:rFonts w:ascii="仿宋" w:hAnsi="仿宋" w:eastAsia="仿宋"/>
          <w:color w:val="auto"/>
          <w:sz w:val="24"/>
        </w:rPr>
      </w:pPr>
      <w:r>
        <w:rPr>
          <w:rFonts w:hint="eastAsia" w:ascii="仿宋" w:hAnsi="仿宋" w:eastAsia="仿宋"/>
          <w:color w:val="auto"/>
          <w:sz w:val="24"/>
        </w:rPr>
        <w:t>1.1项目总体需求</w:t>
      </w:r>
    </w:p>
    <w:p>
      <w:pPr>
        <w:adjustRightInd/>
        <w:spacing w:line="360" w:lineRule="auto"/>
        <w:jc w:val="left"/>
        <w:rPr>
          <w:rFonts w:ascii="仿宋" w:hAnsi="仿宋" w:eastAsia="仿宋"/>
          <w:color w:val="auto"/>
          <w:sz w:val="24"/>
        </w:rPr>
      </w:pPr>
      <w:r>
        <w:rPr>
          <w:rFonts w:hint="eastAsia" w:ascii="仿宋" w:hAnsi="仿宋" w:eastAsia="仿宋"/>
          <w:color w:val="auto"/>
          <w:sz w:val="24"/>
        </w:rPr>
        <w:t>（一）人员配置要求</w:t>
      </w:r>
    </w:p>
    <w:p>
      <w:pPr>
        <w:pStyle w:val="14"/>
        <w:spacing w:line="500" w:lineRule="exact"/>
        <w:ind w:firstLine="600" w:firstLineChars="250"/>
        <w:jc w:val="left"/>
        <w:rPr>
          <w:rFonts w:ascii="仿宋" w:hAnsi="仿宋" w:eastAsia="仿宋"/>
          <w:color w:val="auto"/>
        </w:rPr>
      </w:pPr>
      <w:r>
        <w:rPr>
          <w:rFonts w:hint="eastAsia" w:ascii="仿宋" w:hAnsi="仿宋" w:eastAsia="仿宋"/>
          <w:color w:val="auto"/>
        </w:rPr>
        <w:t>服务机构应充分发挥本单位在人才、技术、信息等方面的优势，抽调危险化学品、工艺、电气、消防、仪表自控、机械、安全管理等专业技术人员组建检查服务组，服务组专业技术人员必须取得注册安全工程师以上资质。每次检查技术人员不得少于2人，在服务周期内要根据企业生产实际确保各专业全覆盖。拟派的项目负责人必须具备注册安全工程师，中标后如需更换须征得采购人同意。</w:t>
      </w:r>
    </w:p>
    <w:p>
      <w:pPr>
        <w:adjustRightInd/>
        <w:spacing w:line="360" w:lineRule="auto"/>
        <w:ind w:firstLine="240" w:firstLineChars="100"/>
        <w:jc w:val="left"/>
        <w:rPr>
          <w:rFonts w:ascii="仿宋" w:hAnsi="仿宋" w:eastAsia="仿宋"/>
          <w:color w:val="auto"/>
          <w:sz w:val="24"/>
        </w:rPr>
      </w:pPr>
    </w:p>
    <w:p>
      <w:pPr>
        <w:adjustRightInd/>
        <w:spacing w:line="360" w:lineRule="auto"/>
        <w:jc w:val="left"/>
        <w:rPr>
          <w:rFonts w:ascii="仿宋" w:hAnsi="仿宋" w:eastAsia="仿宋"/>
          <w:color w:val="auto"/>
          <w:sz w:val="24"/>
        </w:rPr>
      </w:pPr>
      <w:r>
        <w:rPr>
          <w:rFonts w:hint="eastAsia" w:ascii="仿宋" w:hAnsi="仿宋" w:eastAsia="仿宋"/>
          <w:color w:val="auto"/>
          <w:sz w:val="24"/>
        </w:rPr>
        <w:t>（二）服务对象</w:t>
      </w:r>
    </w:p>
    <w:p>
      <w:p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1、城厢街道湖头陈工业园区内所有企业，园区东至湖头陈直河，北至滨康路，西至西兴路，彩虹大道以北，占地面积约360亩；车家埭工业区内所有企业；辖区内其他小微企业。</w:t>
      </w:r>
    </w:p>
    <w:p>
      <w:pPr>
        <w:numPr>
          <w:ilvl w:val="0"/>
          <w:numId w:val="2"/>
        </w:num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规上工业企业和重点危险行业单位（</w:t>
      </w:r>
      <w:r>
        <w:rPr>
          <w:rFonts w:hint="eastAsia" w:ascii="仿宋" w:hAnsi="仿宋" w:eastAsia="仿宋"/>
          <w:color w:val="auto"/>
          <w:sz w:val="24"/>
          <w:lang w:val="en-US" w:eastAsia="zh-CN"/>
        </w:rPr>
        <w:t>约</w:t>
      </w:r>
      <w:r>
        <w:rPr>
          <w:rFonts w:hint="eastAsia"/>
          <w:color w:val="auto"/>
          <w:sz w:val="24"/>
          <w:lang w:val="en-US" w:eastAsia="zh-CN"/>
        </w:rPr>
        <w:t>20</w:t>
      </w:r>
      <w:r>
        <w:rPr>
          <w:rFonts w:hint="eastAsia" w:ascii="仿宋" w:hAnsi="仿宋" w:eastAsia="仿宋"/>
          <w:color w:val="auto"/>
          <w:sz w:val="24"/>
        </w:rPr>
        <w:t>家）。</w:t>
      </w:r>
    </w:p>
    <w:p>
      <w:pPr>
        <w:numPr>
          <w:ilvl w:val="0"/>
          <w:numId w:val="2"/>
        </w:num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高层住宅小区（约30个）和高层公共建筑（约58个）每年检查两次。</w:t>
      </w:r>
    </w:p>
    <w:p>
      <w:pPr>
        <w:numPr>
          <w:ilvl w:val="0"/>
          <w:numId w:val="2"/>
        </w:num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消防重点场所（培训机构、200平方以上沿街药店门诊、公共娱乐场所、200平方以上餐饮场所、公寓旅馆等。约400家）。</w:t>
      </w:r>
    </w:p>
    <w:p>
      <w:pPr>
        <w:numPr>
          <w:ilvl w:val="0"/>
          <w:numId w:val="2"/>
        </w:num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其它安全隐患情况：除上述情况以外存在安全隐患需要整治的区域、部位、场所。</w:t>
      </w:r>
    </w:p>
    <w:p>
      <w:pPr>
        <w:numPr>
          <w:ilvl w:val="0"/>
          <w:numId w:val="3"/>
        </w:numPr>
        <w:adjustRightInd/>
        <w:spacing w:line="360" w:lineRule="auto"/>
        <w:jc w:val="left"/>
        <w:rPr>
          <w:rFonts w:ascii="仿宋" w:hAnsi="仿宋" w:eastAsia="仿宋"/>
          <w:color w:val="auto"/>
          <w:sz w:val="24"/>
        </w:rPr>
      </w:pPr>
      <w:r>
        <w:rPr>
          <w:rFonts w:hint="eastAsia" w:ascii="仿宋" w:hAnsi="仿宋" w:eastAsia="仿宋"/>
          <w:color w:val="auto"/>
          <w:sz w:val="24"/>
        </w:rPr>
        <w:t>服务内容</w:t>
      </w:r>
    </w:p>
    <w:p>
      <w:pPr>
        <w:adjustRightInd/>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服务内容主要为每三个月对湖头陈工业园区、车家埭工业区内所有企业及规上工业企业和重点危险行业单位进行一次闭环式的安全生产隐患排查</w:t>
      </w:r>
      <w:r>
        <w:rPr>
          <w:rFonts w:hint="eastAsia"/>
          <w:color w:val="auto"/>
          <w:sz w:val="24"/>
          <w:lang w:eastAsia="zh-CN"/>
        </w:rPr>
        <w:t>，</w:t>
      </w:r>
      <w:r>
        <w:rPr>
          <w:rFonts w:hint="eastAsia"/>
          <w:color w:val="auto"/>
          <w:sz w:val="24"/>
          <w:lang w:val="en-US" w:eastAsia="zh-CN"/>
        </w:rPr>
        <w:t>并将排查的隐患和整改前后对比照上传至工业企业安全在线网</w:t>
      </w:r>
      <w:r>
        <w:rPr>
          <w:rFonts w:hint="eastAsia" w:ascii="仿宋" w:hAnsi="仿宋" w:eastAsia="仿宋"/>
          <w:color w:val="auto"/>
          <w:sz w:val="24"/>
        </w:rPr>
        <w:t>；每半年对高层建筑、消防重点场所、小微企业等单位开展一次闭环式的安全生产隐患排查；每年对规上企业和社区安全负责人开展二次安全生产培训与一次应急演练；对小微企业、“三场所三企业”、危险化学品等企业员工安全大培训根据萧山区企业百万员工安全大培训实施方案文件执行，每年指导企业开展一次企业安全生产应急演练。</w:t>
      </w:r>
    </w:p>
    <w:p>
      <w:pPr>
        <w:adjustRightInd/>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中标签订服务合同后，要制订详细服务计划，包括检查组别、人员、时间、频次、内容和标准，制定详细服务流程、检查表、服务结果反馈表等。服务流程与服务合同（1式2份）于合同签订后7天内报当地街道备案，服务机构应建立安全专业检查责任制和服务过程质量控制程序。</w:t>
      </w:r>
    </w:p>
    <w:p>
      <w:pPr>
        <w:adjustRightInd/>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服务机构要按合同约定认真开展安全生产技术、管理服务，切实履行职责，如实反映被服务企业安全生产中存在的问题和隐患，提出合理并切实可行的整改意见或建议，帮助被服务企业解决安全生产中存在的问题，检查不得走过场，不得弄虚作假，不得隐瞒真实情况，对检查的真实性负法律责任。</w:t>
      </w:r>
    </w:p>
    <w:p>
      <w:pPr>
        <w:adjustRightInd/>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及时填写隐患报告表报所在街道安监部门。</w:t>
      </w:r>
    </w:p>
    <w:p>
      <w:pPr>
        <w:adjustRightInd/>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4、服务机构应每三个月向街道安监部门和被服务企业报送服务信息，对其报送信息的真实性负责。每半年末月底前服务机构应将开展安全生产社会化服务工作情况报、街道安监部门备案，定期总结服务的工作情况、存在的问题和取得的效果。合同期满后向街道安监部门送总结报告。</w:t>
      </w:r>
    </w:p>
    <w:p>
      <w:pPr>
        <w:adjustRightInd/>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5、服务机构应按街道安监办要求开展服务企业技术培训，企业台账指导、应急演练等技术服务工作。</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6每一轮隐患排查服务分为四个阶段：</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6.1、安全隐患排查阶段。服务机构组织好相关专家，到甲方指定企业（场所），对照安全生产有关法律法规和标准，重点对企业消防安全、危化品的存储和使用、特种设备和机械设备安全、电气安全、作业安全、风险识别告知、安全警示标志、职业病防护、应急救援、安全教育培训等内容开展全面彻底排查。</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6.2、出具报告阶段。服务机构根据现场排摸情况，对照国家安全技术规范，列出安全隐患清单，由企业签字确认后立即在现场交给企业要求予以整改。5个工作日内出具详细安全隐患排查治理报告，报告内容包括存在问题图片和文字说明、整改意见和整改依据。</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6.3、整改提升阶段。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检查过程中发现安全生产隐患的，及时报告街道安监办，由安监办督促落实整改；发现消防安全隐患的，及时报街道综治科，由综治科督促落实。</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6.4、执法处置阶段。对企业整改不及时或者消极对待的，街道安监办或综治科及时采取措施，依法进行处理确保安全隐患彻底消除。</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7、员工安全生产素质培训</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7.1规上企业每年组织安全培训不少于两次,每次培训时间不少于3个工时。社区安全员每年组织安全培训不少于两次,每次培训时间不少于2个工时。</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7.2小微企业“三场所三企业”危险化学品等单位安全生产员工培训根据萧山区企业百万员工安全大培训实施方案文件执行，中标单位在组织培训前需报区应急管理局备案后方可组织培训，备案要求根据萧山区百万员工安全生产培训附件1或委托已通过区应急局备案的其它培训服务机构组织实施培训，中标方必须确保在10月20日之前全面完成约200名人员的培训任务。（具体名单由街道安监办提供）。</w:t>
      </w:r>
    </w:p>
    <w:p>
      <w:pPr>
        <w:adjustRightInd/>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7.3员工安全生产应急演练：每年需组织服务企业员工开展应急演练一次，服务时间不少于4个工时，规上企业需单独组织演练、规下企业可采取分片分类（2-5家）集中演练。</w:t>
      </w:r>
    </w:p>
    <w:p>
      <w:pPr>
        <w:adjustRightInd/>
        <w:spacing w:line="360" w:lineRule="auto"/>
        <w:jc w:val="left"/>
        <w:rPr>
          <w:rFonts w:ascii="仿宋" w:hAnsi="仿宋" w:eastAsia="仿宋"/>
          <w:color w:val="auto"/>
          <w:sz w:val="24"/>
        </w:rPr>
      </w:pPr>
      <w:r>
        <w:rPr>
          <w:rFonts w:hint="eastAsia" w:ascii="仿宋" w:hAnsi="仿宋" w:eastAsia="仿宋"/>
          <w:color w:val="auto"/>
          <w:sz w:val="24"/>
        </w:rPr>
        <w:t>2、商务需求</w:t>
      </w:r>
    </w:p>
    <w:p>
      <w:p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2.1▲服务期：1年，（具体起止日期在合同中明确）。</w:t>
      </w:r>
    </w:p>
    <w:p>
      <w:p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2.2承包方式：包工包料。</w:t>
      </w:r>
    </w:p>
    <w:p>
      <w:p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2.3本项目投标人一旦中标，不得分包转包，一经发现中标人存在分包转包的行为，本项目合同立即自动中止，同时采购人有权没收投标单位履约保证金。</w:t>
      </w:r>
    </w:p>
    <w:p>
      <w:pPr>
        <w:adjustRightInd/>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2.4▲付款方式</w:t>
      </w:r>
    </w:p>
    <w:p>
      <w:pPr>
        <w:spacing w:line="500" w:lineRule="exact"/>
        <w:rPr>
          <w:rFonts w:hint="eastAsia" w:ascii="仿宋" w:hAnsi="仿宋" w:eastAsia="仿宋"/>
          <w:b/>
          <w:bCs/>
          <w:color w:val="auto"/>
          <w:sz w:val="24"/>
          <w:u w:val="single"/>
        </w:rPr>
      </w:pPr>
      <w:r>
        <w:rPr>
          <w:rFonts w:hint="eastAsia" w:ascii="仿宋" w:hAnsi="仿宋" w:eastAsia="仿宋"/>
          <w:color w:val="auto"/>
          <w:sz w:val="24"/>
        </w:rPr>
        <w:t>付款方式为先服务后支付，</w:t>
      </w:r>
      <w:r>
        <w:rPr>
          <w:rFonts w:hint="eastAsia" w:ascii="仿宋" w:hAnsi="仿宋" w:eastAsia="仿宋"/>
          <w:b/>
          <w:bCs/>
          <w:color w:val="auto"/>
          <w:sz w:val="24"/>
          <w:u w:val="single"/>
        </w:rPr>
        <w:t>每6个月支付一次，支付时间为季度末。</w:t>
      </w:r>
    </w:p>
    <w:p>
      <w:pPr>
        <w:spacing w:line="500" w:lineRule="exact"/>
        <w:rPr>
          <w:rFonts w:cs="仿宋"/>
        </w:rPr>
      </w:pPr>
      <w:r>
        <w:rPr>
          <w:rFonts w:hint="eastAsia" w:cs="仿宋"/>
        </w:rPr>
        <w:t>注：</w:t>
      </w:r>
    </w:p>
    <w:p>
      <w:pPr>
        <w:spacing w:line="500" w:lineRule="exact"/>
        <w:rPr>
          <w:rFonts w:cs="仿宋"/>
        </w:rPr>
      </w:pPr>
      <w:r>
        <w:rPr>
          <w:rFonts w:hint="eastAsia" w:cs="仿宋"/>
        </w:rPr>
        <w:t>1、除标注的参考品牌外，欢迎其它能满足本项目技术需求且性能与所注品牌相当的产品参与。</w:t>
      </w:r>
    </w:p>
    <w:p>
      <w:pPr>
        <w:spacing w:line="500" w:lineRule="exact"/>
        <w:rPr>
          <w:rFonts w:cs="仿宋"/>
        </w:rPr>
      </w:pPr>
      <w:r>
        <w:rPr>
          <w:rFonts w:hint="eastAsia" w:cs="仿宋"/>
        </w:rPr>
        <w:t>2、如有附图，仅作参考。</w:t>
      </w:r>
    </w:p>
    <w:p>
      <w:pPr>
        <w:spacing w:line="500" w:lineRule="exact"/>
        <w:rPr>
          <w:rFonts w:cs="仿宋"/>
        </w:rPr>
      </w:pPr>
      <w:r>
        <w:rPr>
          <w:rFonts w:hint="eastAsia" w:cs="仿宋"/>
        </w:rPr>
        <w:t>3、打▲内容为实质性要求，不允许有负偏离，否则将以涉及无效投标条款作无效投标。</w:t>
      </w:r>
    </w:p>
    <w:p>
      <w:pPr>
        <w:spacing w:line="500" w:lineRule="exact"/>
        <w:rPr>
          <w:rFonts w:cs="仿宋"/>
        </w:rPr>
      </w:pPr>
      <w:r>
        <w:rPr>
          <w:rFonts w:hint="eastAsia" w:cs="仿宋"/>
        </w:rPr>
        <w:t>4、中标人所提供的货物、服务须与投标承诺一致，不得以次充好、偷工减料，若在项目验收中发现有上述情况，将向有关部门举报，根据相关规定进行处理。</w:t>
      </w:r>
    </w:p>
    <w:p/>
    <w:p>
      <w:pPr>
        <w:spacing w:line="276" w:lineRule="auto"/>
      </w:pPr>
      <w:r>
        <w:br w:type="page"/>
      </w:r>
    </w:p>
    <w:p>
      <w:pPr>
        <w:pStyle w:val="3"/>
      </w:pPr>
      <w:r>
        <w:rPr>
          <w:rFonts w:hint="eastAsia"/>
        </w:rPr>
        <w:t>第四部分</w:t>
      </w:r>
      <w:r>
        <w:t xml:space="preserve">   </w:t>
      </w:r>
      <w:bookmarkStart w:id="2" w:name="_Toc184308036"/>
      <w:bookmarkEnd w:id="2"/>
      <w:bookmarkStart w:id="3" w:name="_Toc184313292"/>
      <w:bookmarkEnd w:id="3"/>
      <w:bookmarkStart w:id="4" w:name="_Toc184308085"/>
      <w:bookmarkEnd w:id="4"/>
      <w:bookmarkStart w:id="5" w:name="_Toc184313276"/>
      <w:bookmarkEnd w:id="5"/>
      <w:bookmarkStart w:id="6" w:name="_Toc184310315"/>
      <w:bookmarkEnd w:id="6"/>
      <w:bookmarkStart w:id="7" w:name="_Toc184313299"/>
      <w:bookmarkEnd w:id="7"/>
      <w:bookmarkStart w:id="8" w:name="_Toc184313274"/>
      <w:bookmarkEnd w:id="8"/>
      <w:bookmarkStart w:id="9" w:name="_Toc184314480"/>
      <w:bookmarkEnd w:id="9"/>
      <w:bookmarkStart w:id="10" w:name="_Toc184310301"/>
      <w:bookmarkEnd w:id="10"/>
      <w:bookmarkStart w:id="11" w:name="_Toc184314415"/>
      <w:bookmarkEnd w:id="11"/>
      <w:bookmarkStart w:id="12" w:name="_Toc184314455"/>
      <w:bookmarkEnd w:id="12"/>
      <w:bookmarkStart w:id="13" w:name="_Toc184312112"/>
      <w:bookmarkEnd w:id="13"/>
      <w:bookmarkStart w:id="14" w:name="_Toc184312129"/>
      <w:bookmarkEnd w:id="14"/>
      <w:bookmarkStart w:id="15" w:name="_Toc184310278"/>
      <w:bookmarkEnd w:id="15"/>
      <w:bookmarkStart w:id="16" w:name="_Toc184310328"/>
      <w:bookmarkEnd w:id="16"/>
      <w:bookmarkStart w:id="17" w:name="_Toc184308068"/>
      <w:bookmarkEnd w:id="17"/>
      <w:bookmarkStart w:id="18" w:name="_Toc184314437"/>
      <w:bookmarkEnd w:id="18"/>
      <w:bookmarkStart w:id="19" w:name="_Toc184308090"/>
      <w:bookmarkEnd w:id="19"/>
      <w:bookmarkStart w:id="20" w:name="_Toc184313259"/>
      <w:bookmarkEnd w:id="20"/>
      <w:bookmarkStart w:id="21" w:name="_Toc184308047"/>
      <w:bookmarkEnd w:id="21"/>
      <w:bookmarkStart w:id="22" w:name="_Toc184308059"/>
      <w:bookmarkEnd w:id="22"/>
      <w:bookmarkStart w:id="23" w:name="_Toc184308054"/>
      <w:bookmarkEnd w:id="23"/>
      <w:bookmarkStart w:id="24" w:name="_Toc184313265"/>
      <w:bookmarkEnd w:id="24"/>
      <w:bookmarkStart w:id="25" w:name="_Toc184310323"/>
      <w:bookmarkEnd w:id="25"/>
      <w:bookmarkStart w:id="26" w:name="_Toc184312125"/>
      <w:bookmarkEnd w:id="26"/>
      <w:bookmarkStart w:id="27" w:name="_Toc184314446"/>
      <w:bookmarkEnd w:id="27"/>
      <w:bookmarkStart w:id="28" w:name="_Toc184313238"/>
      <w:bookmarkEnd w:id="28"/>
      <w:bookmarkStart w:id="29" w:name="_Toc184314468"/>
      <w:bookmarkEnd w:id="29"/>
      <w:bookmarkStart w:id="30" w:name="_Toc184314423"/>
      <w:bookmarkEnd w:id="30"/>
      <w:bookmarkStart w:id="31" w:name="_Toc184310298"/>
      <w:bookmarkEnd w:id="31"/>
      <w:bookmarkStart w:id="32" w:name="_Toc184308106"/>
      <w:bookmarkEnd w:id="32"/>
      <w:bookmarkStart w:id="33" w:name="_Toc184312097"/>
      <w:bookmarkEnd w:id="33"/>
      <w:bookmarkStart w:id="34" w:name="_Toc184312109"/>
      <w:bookmarkEnd w:id="34"/>
      <w:bookmarkStart w:id="35" w:name="_Toc184313280"/>
      <w:bookmarkEnd w:id="35"/>
      <w:bookmarkStart w:id="36" w:name="_Toc184312081"/>
      <w:bookmarkEnd w:id="36"/>
      <w:bookmarkStart w:id="37" w:name="_Toc184314456"/>
      <w:bookmarkEnd w:id="37"/>
      <w:bookmarkStart w:id="38" w:name="_Toc184312089"/>
      <w:bookmarkEnd w:id="38"/>
      <w:bookmarkStart w:id="39" w:name="_Toc184308061"/>
      <w:bookmarkEnd w:id="39"/>
      <w:bookmarkStart w:id="40" w:name="_Toc184308055"/>
      <w:bookmarkEnd w:id="40"/>
      <w:bookmarkStart w:id="41" w:name="_Toc184314469"/>
      <w:bookmarkEnd w:id="41"/>
      <w:bookmarkStart w:id="42" w:name="_Toc184308039"/>
      <w:bookmarkEnd w:id="42"/>
      <w:bookmarkStart w:id="43" w:name="_Toc184308102"/>
      <w:bookmarkEnd w:id="43"/>
      <w:bookmarkStart w:id="44" w:name="_Toc184313282"/>
      <w:bookmarkEnd w:id="44"/>
      <w:bookmarkStart w:id="45" w:name="_Toc184314475"/>
      <w:bookmarkEnd w:id="45"/>
      <w:bookmarkStart w:id="46" w:name="_Toc184314452"/>
      <w:bookmarkEnd w:id="46"/>
      <w:bookmarkStart w:id="47" w:name="_Toc184312121"/>
      <w:bookmarkEnd w:id="47"/>
      <w:bookmarkStart w:id="48" w:name="_Toc184308060"/>
      <w:bookmarkEnd w:id="48"/>
      <w:bookmarkStart w:id="49" w:name="_Toc184312098"/>
      <w:bookmarkEnd w:id="49"/>
      <w:bookmarkStart w:id="50" w:name="_Toc184310285"/>
      <w:bookmarkEnd w:id="50"/>
      <w:bookmarkStart w:id="51" w:name="_Toc184308107"/>
      <w:bookmarkEnd w:id="51"/>
      <w:bookmarkStart w:id="52" w:name="_Toc184308089"/>
      <w:bookmarkEnd w:id="52"/>
      <w:bookmarkStart w:id="53" w:name="_Toc184312086"/>
      <w:bookmarkEnd w:id="53"/>
      <w:bookmarkStart w:id="54" w:name="_Toc184314459"/>
      <w:bookmarkEnd w:id="54"/>
      <w:bookmarkStart w:id="55" w:name="_Toc184308081"/>
      <w:bookmarkEnd w:id="55"/>
      <w:bookmarkStart w:id="56" w:name="_Toc184312104"/>
      <w:bookmarkEnd w:id="56"/>
      <w:bookmarkStart w:id="57" w:name="_Toc184314426"/>
      <w:bookmarkEnd w:id="57"/>
      <w:bookmarkStart w:id="58" w:name="_Toc184313270"/>
      <w:bookmarkEnd w:id="58"/>
      <w:bookmarkStart w:id="59" w:name="_Toc184308049"/>
      <w:bookmarkEnd w:id="59"/>
      <w:bookmarkStart w:id="60" w:name="_Toc184312127"/>
      <w:bookmarkEnd w:id="60"/>
      <w:bookmarkStart w:id="61" w:name="_Toc184314443"/>
      <w:bookmarkEnd w:id="61"/>
      <w:bookmarkStart w:id="62" w:name="_Toc184312082"/>
      <w:bookmarkEnd w:id="62"/>
      <w:bookmarkStart w:id="63" w:name="_Toc184313240"/>
      <w:bookmarkEnd w:id="63"/>
      <w:bookmarkStart w:id="64" w:name="_Toc184310330"/>
      <w:bookmarkEnd w:id="64"/>
      <w:bookmarkStart w:id="65" w:name="_Toc184313307"/>
      <w:bookmarkEnd w:id="65"/>
      <w:bookmarkStart w:id="66" w:name="_Toc184313263"/>
      <w:bookmarkEnd w:id="66"/>
      <w:bookmarkStart w:id="67" w:name="_Toc184312108"/>
      <w:bookmarkEnd w:id="67"/>
      <w:bookmarkStart w:id="68" w:name="_Toc184312085"/>
      <w:bookmarkEnd w:id="68"/>
      <w:bookmarkStart w:id="69" w:name="_Toc184308103"/>
      <w:bookmarkEnd w:id="69"/>
      <w:bookmarkStart w:id="70" w:name="_Toc184308056"/>
      <w:bookmarkEnd w:id="70"/>
      <w:bookmarkStart w:id="71" w:name="_Toc184310319"/>
      <w:bookmarkEnd w:id="71"/>
      <w:bookmarkStart w:id="72" w:name="_Toc184312103"/>
      <w:bookmarkEnd w:id="72"/>
      <w:bookmarkStart w:id="73" w:name="_Toc184312110"/>
      <w:bookmarkEnd w:id="73"/>
      <w:bookmarkStart w:id="74" w:name="_Toc184314421"/>
      <w:bookmarkEnd w:id="74"/>
      <w:bookmarkStart w:id="75" w:name="_Toc184308044"/>
      <w:bookmarkEnd w:id="75"/>
      <w:bookmarkStart w:id="76" w:name="_Toc184314429"/>
      <w:bookmarkEnd w:id="76"/>
      <w:bookmarkStart w:id="77" w:name="_Toc184310282"/>
      <w:bookmarkEnd w:id="77"/>
      <w:bookmarkStart w:id="78" w:name="_Toc184310313"/>
      <w:bookmarkEnd w:id="78"/>
      <w:bookmarkStart w:id="79" w:name="_Toc184312096"/>
      <w:bookmarkEnd w:id="79"/>
      <w:bookmarkStart w:id="80" w:name="_Toc184313267"/>
      <w:bookmarkEnd w:id="80"/>
      <w:bookmarkStart w:id="81" w:name="_Toc184314481"/>
      <w:bookmarkEnd w:id="81"/>
      <w:bookmarkStart w:id="82" w:name="_Toc184312130"/>
      <w:bookmarkEnd w:id="82"/>
      <w:bookmarkStart w:id="83" w:name="_Toc184314457"/>
      <w:bookmarkEnd w:id="83"/>
      <w:bookmarkStart w:id="84" w:name="_Toc184308094"/>
      <w:bookmarkEnd w:id="84"/>
      <w:bookmarkStart w:id="85" w:name="_Toc184308075"/>
      <w:bookmarkEnd w:id="85"/>
      <w:bookmarkStart w:id="86" w:name="_Toc184314438"/>
      <w:bookmarkEnd w:id="86"/>
      <w:bookmarkStart w:id="87" w:name="_Toc184310340"/>
      <w:bookmarkEnd w:id="87"/>
      <w:bookmarkStart w:id="88" w:name="_Toc184313301"/>
      <w:bookmarkEnd w:id="88"/>
      <w:bookmarkStart w:id="89" w:name="_Toc184308057"/>
      <w:bookmarkEnd w:id="89"/>
      <w:bookmarkStart w:id="90" w:name="_Toc184312078"/>
      <w:bookmarkEnd w:id="90"/>
      <w:bookmarkStart w:id="91" w:name="_Toc184312069"/>
      <w:bookmarkEnd w:id="91"/>
      <w:bookmarkStart w:id="92" w:name="_Toc184312101"/>
      <w:bookmarkEnd w:id="92"/>
      <w:bookmarkStart w:id="93" w:name="_Toc184313258"/>
      <w:bookmarkEnd w:id="93"/>
      <w:bookmarkStart w:id="94" w:name="_Toc184312093"/>
      <w:bookmarkEnd w:id="94"/>
      <w:bookmarkStart w:id="95" w:name="_Toc184310344"/>
      <w:bookmarkEnd w:id="95"/>
      <w:bookmarkStart w:id="96" w:name="_Toc184313241"/>
      <w:bookmarkEnd w:id="96"/>
      <w:bookmarkStart w:id="97" w:name="_Toc184308040"/>
      <w:bookmarkEnd w:id="97"/>
      <w:bookmarkStart w:id="98" w:name="_Toc184310287"/>
      <w:bookmarkEnd w:id="98"/>
      <w:bookmarkStart w:id="99" w:name="_Toc184310325"/>
      <w:bookmarkEnd w:id="99"/>
      <w:bookmarkStart w:id="100" w:name="_Toc184308050"/>
      <w:bookmarkEnd w:id="100"/>
      <w:bookmarkStart w:id="101" w:name="_Toc184310332"/>
      <w:bookmarkEnd w:id="101"/>
      <w:bookmarkStart w:id="102" w:name="_Toc184312135"/>
      <w:bookmarkEnd w:id="102"/>
      <w:bookmarkStart w:id="103" w:name="_Toc184313275"/>
      <w:bookmarkEnd w:id="103"/>
      <w:bookmarkStart w:id="104" w:name="_Toc184310318"/>
      <w:bookmarkEnd w:id="104"/>
      <w:bookmarkStart w:id="105" w:name="_Toc184314465"/>
      <w:bookmarkEnd w:id="105"/>
      <w:bookmarkStart w:id="106" w:name="_Toc184310339"/>
      <w:bookmarkEnd w:id="106"/>
      <w:bookmarkStart w:id="107" w:name="_Toc184310280"/>
      <w:bookmarkEnd w:id="107"/>
      <w:bookmarkStart w:id="108" w:name="_Toc184313284"/>
      <w:bookmarkEnd w:id="108"/>
      <w:bookmarkStart w:id="109" w:name="_Toc184312111"/>
      <w:bookmarkEnd w:id="109"/>
      <w:bookmarkStart w:id="110" w:name="_Toc184310312"/>
      <w:bookmarkEnd w:id="110"/>
      <w:bookmarkStart w:id="111" w:name="_Toc184310273"/>
      <w:bookmarkEnd w:id="111"/>
      <w:bookmarkStart w:id="112" w:name="_Toc184308101"/>
      <w:bookmarkEnd w:id="112"/>
      <w:bookmarkStart w:id="113" w:name="_Toc184314445"/>
      <w:bookmarkEnd w:id="113"/>
      <w:bookmarkStart w:id="114" w:name="_Toc184312133"/>
      <w:bookmarkEnd w:id="114"/>
      <w:bookmarkStart w:id="115" w:name="_Toc184312084"/>
      <w:bookmarkEnd w:id="115"/>
      <w:bookmarkStart w:id="116" w:name="_Toc184313243"/>
      <w:bookmarkEnd w:id="116"/>
      <w:bookmarkStart w:id="117" w:name="_Toc184310322"/>
      <w:bookmarkEnd w:id="117"/>
      <w:bookmarkStart w:id="118" w:name="_Toc184312136"/>
      <w:bookmarkEnd w:id="118"/>
      <w:bookmarkStart w:id="119" w:name="_Toc184313260"/>
      <w:bookmarkEnd w:id="119"/>
      <w:bookmarkStart w:id="120" w:name="_Toc184310329"/>
      <w:bookmarkEnd w:id="120"/>
      <w:bookmarkStart w:id="121" w:name="_Toc184308097"/>
      <w:bookmarkEnd w:id="121"/>
      <w:bookmarkStart w:id="122" w:name="_Toc184310306"/>
      <w:bookmarkEnd w:id="122"/>
      <w:bookmarkStart w:id="123" w:name="_Toc184314466"/>
      <w:bookmarkEnd w:id="123"/>
      <w:bookmarkStart w:id="124" w:name="_Toc184314420"/>
      <w:bookmarkEnd w:id="124"/>
      <w:bookmarkStart w:id="125" w:name="_Toc184314419"/>
      <w:bookmarkEnd w:id="125"/>
      <w:bookmarkStart w:id="126" w:name="_Toc184313287"/>
      <w:bookmarkEnd w:id="126"/>
      <w:bookmarkStart w:id="127" w:name="_Toc184310314"/>
      <w:bookmarkEnd w:id="127"/>
      <w:bookmarkStart w:id="128" w:name="_Toc184314417"/>
      <w:bookmarkEnd w:id="128"/>
      <w:bookmarkStart w:id="129" w:name="_Toc184314463"/>
      <w:bookmarkEnd w:id="129"/>
      <w:bookmarkStart w:id="130" w:name="_Toc184312067"/>
      <w:bookmarkEnd w:id="130"/>
      <w:bookmarkStart w:id="131" w:name="_Toc184314460"/>
      <w:bookmarkEnd w:id="131"/>
      <w:bookmarkStart w:id="132" w:name="_Toc184310335"/>
      <w:bookmarkEnd w:id="132"/>
      <w:bookmarkStart w:id="133" w:name="_Toc184314447"/>
      <w:bookmarkEnd w:id="133"/>
      <w:bookmarkStart w:id="134" w:name="_Toc184310317"/>
      <w:bookmarkEnd w:id="134"/>
      <w:bookmarkStart w:id="135" w:name="_Toc184310308"/>
      <w:bookmarkEnd w:id="135"/>
      <w:bookmarkStart w:id="136" w:name="_Toc184314451"/>
      <w:bookmarkEnd w:id="136"/>
      <w:bookmarkStart w:id="137" w:name="_Toc184308065"/>
      <w:bookmarkEnd w:id="137"/>
      <w:bookmarkStart w:id="138" w:name="_Toc184312120"/>
      <w:bookmarkEnd w:id="138"/>
      <w:bookmarkStart w:id="139" w:name="_Toc184312119"/>
      <w:bookmarkEnd w:id="139"/>
      <w:bookmarkStart w:id="140" w:name="_Toc184313290"/>
      <w:bookmarkEnd w:id="140"/>
      <w:bookmarkStart w:id="141" w:name="_Toc184314411"/>
      <w:bookmarkEnd w:id="141"/>
      <w:bookmarkStart w:id="142" w:name="_Toc184310302"/>
      <w:bookmarkEnd w:id="142"/>
      <w:bookmarkStart w:id="143" w:name="_Toc184308048"/>
      <w:bookmarkEnd w:id="143"/>
      <w:bookmarkStart w:id="144" w:name="_Toc184313272"/>
      <w:bookmarkEnd w:id="144"/>
      <w:bookmarkStart w:id="145" w:name="_Toc184314410"/>
      <w:bookmarkEnd w:id="145"/>
      <w:bookmarkStart w:id="146" w:name="_Toc184313277"/>
      <w:bookmarkEnd w:id="146"/>
      <w:bookmarkStart w:id="147" w:name="_Toc184312087"/>
      <w:bookmarkEnd w:id="147"/>
      <w:bookmarkStart w:id="148" w:name="_Toc184312094"/>
      <w:bookmarkEnd w:id="148"/>
      <w:bookmarkStart w:id="149" w:name="_Toc184313242"/>
      <w:bookmarkEnd w:id="149"/>
      <w:bookmarkStart w:id="150" w:name="_Toc184312090"/>
      <w:bookmarkEnd w:id="150"/>
      <w:bookmarkStart w:id="151" w:name="_Toc184314449"/>
      <w:bookmarkEnd w:id="151"/>
      <w:bookmarkStart w:id="152" w:name="_Toc184310310"/>
      <w:bookmarkEnd w:id="152"/>
      <w:bookmarkStart w:id="153" w:name="_Toc184310299"/>
      <w:bookmarkEnd w:id="153"/>
      <w:bookmarkStart w:id="154" w:name="_Toc184313302"/>
      <w:bookmarkEnd w:id="154"/>
      <w:bookmarkStart w:id="155" w:name="_Toc184310342"/>
      <w:bookmarkEnd w:id="155"/>
      <w:bookmarkStart w:id="156" w:name="_Toc184314477"/>
      <w:bookmarkEnd w:id="156"/>
      <w:bookmarkStart w:id="157" w:name="_Toc184312134"/>
      <w:bookmarkEnd w:id="157"/>
      <w:bookmarkStart w:id="158" w:name="_Toc184308077"/>
      <w:bookmarkEnd w:id="158"/>
      <w:bookmarkStart w:id="159" w:name="_Toc184312115"/>
      <w:bookmarkEnd w:id="159"/>
      <w:bookmarkStart w:id="160" w:name="_Toc184308069"/>
      <w:bookmarkEnd w:id="160"/>
      <w:bookmarkStart w:id="161" w:name="_Toc184308052"/>
      <w:bookmarkEnd w:id="161"/>
      <w:bookmarkStart w:id="162" w:name="_Toc184313252"/>
      <w:bookmarkEnd w:id="162"/>
      <w:bookmarkStart w:id="163" w:name="_Toc184312080"/>
      <w:bookmarkEnd w:id="163"/>
      <w:bookmarkStart w:id="164" w:name="_Toc184310331"/>
      <w:bookmarkEnd w:id="164"/>
      <w:bookmarkStart w:id="165" w:name="_Toc184313250"/>
      <w:bookmarkEnd w:id="165"/>
      <w:bookmarkStart w:id="166" w:name="_Toc184310304"/>
      <w:bookmarkEnd w:id="166"/>
      <w:bookmarkStart w:id="167" w:name="_Toc184308104"/>
      <w:bookmarkEnd w:id="167"/>
      <w:bookmarkStart w:id="168" w:name="_Toc184313291"/>
      <w:bookmarkEnd w:id="168"/>
      <w:bookmarkStart w:id="169" w:name="_Toc184313305"/>
      <w:bookmarkEnd w:id="169"/>
      <w:bookmarkStart w:id="170" w:name="_Toc184312072"/>
      <w:bookmarkEnd w:id="170"/>
      <w:bookmarkStart w:id="171" w:name="_Toc184310288"/>
      <w:bookmarkEnd w:id="171"/>
      <w:bookmarkStart w:id="172" w:name="_Toc184314479"/>
      <w:bookmarkEnd w:id="172"/>
      <w:bookmarkStart w:id="173" w:name="_Toc184313283"/>
      <w:bookmarkEnd w:id="173"/>
      <w:bookmarkStart w:id="174" w:name="_Toc184314439"/>
      <w:bookmarkEnd w:id="174"/>
      <w:bookmarkStart w:id="175" w:name="_Toc184313273"/>
      <w:bookmarkEnd w:id="175"/>
      <w:bookmarkStart w:id="176" w:name="_Toc184313268"/>
      <w:bookmarkEnd w:id="176"/>
      <w:bookmarkStart w:id="177" w:name="_Toc184308092"/>
      <w:bookmarkEnd w:id="177"/>
      <w:bookmarkStart w:id="178" w:name="_Toc184312105"/>
      <w:bookmarkEnd w:id="178"/>
      <w:bookmarkStart w:id="179" w:name="_Toc184313289"/>
      <w:bookmarkEnd w:id="179"/>
      <w:bookmarkStart w:id="180" w:name="_Toc184313264"/>
      <w:bookmarkEnd w:id="180"/>
      <w:bookmarkStart w:id="181" w:name="_Toc184313239"/>
      <w:bookmarkEnd w:id="181"/>
      <w:bookmarkStart w:id="182" w:name="_Toc184310337"/>
      <w:bookmarkEnd w:id="182"/>
      <w:bookmarkStart w:id="183" w:name="_Toc184314436"/>
      <w:bookmarkEnd w:id="183"/>
      <w:bookmarkStart w:id="184" w:name="_Toc184308051"/>
      <w:bookmarkEnd w:id="184"/>
      <w:bookmarkStart w:id="185" w:name="_Toc184310324"/>
      <w:bookmarkEnd w:id="185"/>
      <w:bookmarkStart w:id="186" w:name="_Toc184308053"/>
      <w:bookmarkEnd w:id="186"/>
      <w:bookmarkStart w:id="187" w:name="_Toc184312128"/>
      <w:bookmarkEnd w:id="187"/>
      <w:bookmarkStart w:id="188" w:name="_Toc184308086"/>
      <w:bookmarkEnd w:id="188"/>
      <w:bookmarkStart w:id="189" w:name="_Toc184308066"/>
      <w:bookmarkEnd w:id="189"/>
      <w:bookmarkStart w:id="190" w:name="_Toc184313247"/>
      <w:bookmarkEnd w:id="190"/>
      <w:bookmarkStart w:id="191" w:name="_Toc184308083"/>
      <w:bookmarkEnd w:id="191"/>
      <w:bookmarkStart w:id="192" w:name="_Toc184308063"/>
      <w:bookmarkEnd w:id="192"/>
      <w:bookmarkStart w:id="193" w:name="_Toc184310293"/>
      <w:bookmarkEnd w:id="193"/>
      <w:bookmarkStart w:id="194" w:name="_Toc184313269"/>
      <w:bookmarkEnd w:id="194"/>
      <w:bookmarkStart w:id="195" w:name="_Toc184314467"/>
      <w:bookmarkEnd w:id="195"/>
      <w:bookmarkStart w:id="196" w:name="_Toc184314433"/>
      <w:bookmarkEnd w:id="196"/>
      <w:bookmarkStart w:id="197" w:name="_Toc184314450"/>
      <w:bookmarkEnd w:id="197"/>
      <w:bookmarkStart w:id="198" w:name="_Toc184313278"/>
      <w:bookmarkEnd w:id="198"/>
      <w:bookmarkStart w:id="199" w:name="_Toc184313249"/>
      <w:bookmarkEnd w:id="199"/>
      <w:bookmarkStart w:id="200" w:name="_Toc184312088"/>
      <w:bookmarkEnd w:id="200"/>
      <w:bookmarkStart w:id="201" w:name="_Toc184312102"/>
      <w:bookmarkEnd w:id="201"/>
      <w:bookmarkStart w:id="202" w:name="_Toc184308070"/>
      <w:bookmarkEnd w:id="202"/>
      <w:bookmarkStart w:id="203" w:name="_Toc184310333"/>
      <w:bookmarkEnd w:id="203"/>
      <w:bookmarkStart w:id="204" w:name="_Toc184308079"/>
      <w:bookmarkEnd w:id="204"/>
      <w:bookmarkStart w:id="205" w:name="_Toc184308073"/>
      <w:bookmarkEnd w:id="205"/>
      <w:bookmarkStart w:id="206" w:name="_Toc184310294"/>
      <w:bookmarkEnd w:id="206"/>
      <w:bookmarkStart w:id="207" w:name="_Toc184312100"/>
      <w:bookmarkEnd w:id="207"/>
      <w:bookmarkStart w:id="208" w:name="_Toc184313257"/>
      <w:bookmarkEnd w:id="208"/>
      <w:bookmarkStart w:id="209" w:name="_Toc184313295"/>
      <w:bookmarkEnd w:id="209"/>
      <w:bookmarkStart w:id="210" w:name="_Toc184312091"/>
      <w:bookmarkEnd w:id="210"/>
      <w:bookmarkStart w:id="211" w:name="_Toc184310336"/>
      <w:bookmarkEnd w:id="211"/>
      <w:bookmarkStart w:id="212" w:name="_Toc184314448"/>
      <w:bookmarkEnd w:id="212"/>
      <w:bookmarkStart w:id="213" w:name="_Toc184313298"/>
      <w:bookmarkEnd w:id="213"/>
      <w:bookmarkStart w:id="214" w:name="_Toc184310300"/>
      <w:bookmarkEnd w:id="214"/>
      <w:bookmarkStart w:id="215" w:name="_Toc184314464"/>
      <w:bookmarkEnd w:id="215"/>
      <w:bookmarkStart w:id="216" w:name="_Toc184308084"/>
      <w:bookmarkEnd w:id="216"/>
      <w:bookmarkStart w:id="217" w:name="_Toc184312123"/>
      <w:bookmarkEnd w:id="217"/>
      <w:bookmarkStart w:id="218" w:name="_Toc184313293"/>
      <w:bookmarkEnd w:id="218"/>
      <w:bookmarkStart w:id="219" w:name="_Toc184313308"/>
      <w:bookmarkEnd w:id="219"/>
      <w:bookmarkStart w:id="220" w:name="_Toc184314427"/>
      <w:bookmarkEnd w:id="220"/>
      <w:bookmarkStart w:id="221" w:name="_Toc184312117"/>
      <w:bookmarkEnd w:id="221"/>
      <w:bookmarkStart w:id="222" w:name="_Toc184313251"/>
      <w:bookmarkEnd w:id="222"/>
      <w:bookmarkStart w:id="223" w:name="_Toc184313297"/>
      <w:bookmarkEnd w:id="223"/>
      <w:bookmarkStart w:id="224" w:name="_Toc184314454"/>
      <w:bookmarkEnd w:id="224"/>
      <w:bookmarkStart w:id="225" w:name="_Toc184308080"/>
      <w:bookmarkEnd w:id="225"/>
      <w:bookmarkStart w:id="226" w:name="_Toc184312092"/>
      <w:bookmarkEnd w:id="226"/>
      <w:bookmarkStart w:id="227" w:name="_Toc184313288"/>
      <w:bookmarkEnd w:id="227"/>
      <w:bookmarkStart w:id="228" w:name="_Toc184308064"/>
      <w:bookmarkEnd w:id="228"/>
      <w:bookmarkStart w:id="229" w:name="_Toc184314442"/>
      <w:bookmarkEnd w:id="229"/>
      <w:bookmarkStart w:id="230" w:name="_Toc184308076"/>
      <w:bookmarkEnd w:id="230"/>
      <w:bookmarkStart w:id="231" w:name="_Toc184310343"/>
      <w:bookmarkEnd w:id="231"/>
      <w:bookmarkStart w:id="232" w:name="_Toc184308045"/>
      <w:bookmarkEnd w:id="232"/>
      <w:bookmarkStart w:id="233" w:name="_Toc184312083"/>
      <w:bookmarkEnd w:id="233"/>
      <w:bookmarkStart w:id="234" w:name="_Toc184310341"/>
      <w:bookmarkEnd w:id="234"/>
      <w:bookmarkStart w:id="235" w:name="_Toc184314473"/>
      <w:bookmarkEnd w:id="235"/>
      <w:bookmarkStart w:id="236" w:name="_Toc184312077"/>
      <w:bookmarkEnd w:id="236"/>
      <w:bookmarkStart w:id="237" w:name="_Toc184312118"/>
      <w:bookmarkEnd w:id="237"/>
      <w:bookmarkStart w:id="238" w:name="_Toc184308095"/>
      <w:bookmarkEnd w:id="238"/>
      <w:bookmarkStart w:id="239" w:name="_Toc184314425"/>
      <w:bookmarkEnd w:id="239"/>
      <w:bookmarkStart w:id="240" w:name="_Toc184314434"/>
      <w:bookmarkEnd w:id="240"/>
      <w:bookmarkStart w:id="241" w:name="_Toc184308091"/>
      <w:bookmarkEnd w:id="241"/>
      <w:bookmarkStart w:id="242" w:name="_Toc184310309"/>
      <w:bookmarkEnd w:id="242"/>
      <w:bookmarkStart w:id="243" w:name="_Toc184314472"/>
      <w:bookmarkEnd w:id="243"/>
      <w:bookmarkStart w:id="244" w:name="_Toc184313304"/>
      <w:bookmarkEnd w:id="244"/>
      <w:bookmarkStart w:id="245" w:name="_Toc184313309"/>
      <w:bookmarkEnd w:id="245"/>
      <w:bookmarkStart w:id="246" w:name="_Toc184314440"/>
      <w:bookmarkEnd w:id="246"/>
      <w:bookmarkStart w:id="247" w:name="_Toc184312122"/>
      <w:bookmarkEnd w:id="247"/>
      <w:bookmarkStart w:id="248" w:name="_Toc184308058"/>
      <w:bookmarkEnd w:id="248"/>
      <w:bookmarkStart w:id="249" w:name="_Toc184308096"/>
      <w:bookmarkEnd w:id="249"/>
      <w:bookmarkStart w:id="250" w:name="_Toc184308071"/>
      <w:bookmarkEnd w:id="250"/>
      <w:bookmarkStart w:id="251" w:name="_Toc184313248"/>
      <w:bookmarkEnd w:id="251"/>
      <w:bookmarkStart w:id="252" w:name="_Toc184313261"/>
      <w:bookmarkEnd w:id="252"/>
      <w:bookmarkStart w:id="253" w:name="_Toc184312113"/>
      <w:bookmarkEnd w:id="253"/>
      <w:bookmarkStart w:id="254" w:name="_Toc184314462"/>
      <w:bookmarkEnd w:id="254"/>
      <w:bookmarkStart w:id="255" w:name="_Toc184314428"/>
      <w:bookmarkEnd w:id="255"/>
      <w:bookmarkStart w:id="256" w:name="_Toc184310303"/>
      <w:bookmarkEnd w:id="256"/>
      <w:bookmarkStart w:id="257" w:name="_Toc184310334"/>
      <w:bookmarkEnd w:id="257"/>
      <w:bookmarkStart w:id="258" w:name="_Toc184313279"/>
      <w:bookmarkEnd w:id="258"/>
      <w:bookmarkStart w:id="259" w:name="_Toc184312099"/>
      <w:bookmarkEnd w:id="259"/>
      <w:bookmarkStart w:id="260" w:name="_Toc184310320"/>
      <w:bookmarkEnd w:id="260"/>
      <w:bookmarkStart w:id="261" w:name="_Toc184312070"/>
      <w:bookmarkEnd w:id="261"/>
      <w:bookmarkStart w:id="262" w:name="_Toc184310290"/>
      <w:bookmarkEnd w:id="262"/>
      <w:bookmarkStart w:id="263" w:name="_Toc184314476"/>
      <w:bookmarkEnd w:id="263"/>
      <w:bookmarkStart w:id="264" w:name="_Toc184308037"/>
      <w:bookmarkEnd w:id="264"/>
      <w:bookmarkStart w:id="265" w:name="_Toc184313281"/>
      <w:bookmarkEnd w:id="265"/>
      <w:bookmarkStart w:id="266" w:name="_Toc184313303"/>
      <w:bookmarkEnd w:id="266"/>
      <w:bookmarkStart w:id="267" w:name="_Toc184310305"/>
      <w:bookmarkEnd w:id="267"/>
      <w:bookmarkStart w:id="268" w:name="_Toc184312124"/>
      <w:bookmarkEnd w:id="268"/>
      <w:bookmarkStart w:id="269" w:name="_Toc184308099"/>
      <w:bookmarkEnd w:id="269"/>
      <w:bookmarkStart w:id="270" w:name="_Toc184312106"/>
      <w:bookmarkEnd w:id="270"/>
      <w:bookmarkStart w:id="271" w:name="_Toc184314418"/>
      <w:bookmarkEnd w:id="271"/>
      <w:bookmarkStart w:id="272" w:name="_Toc184308067"/>
      <w:bookmarkEnd w:id="272"/>
      <w:bookmarkStart w:id="273" w:name="_Toc184310274"/>
      <w:bookmarkEnd w:id="273"/>
      <w:bookmarkStart w:id="274" w:name="_Toc184312068"/>
      <w:bookmarkEnd w:id="274"/>
      <w:bookmarkStart w:id="275" w:name="_Toc184308088"/>
      <w:bookmarkEnd w:id="275"/>
      <w:bookmarkStart w:id="276" w:name="_Toc184313310"/>
      <w:bookmarkEnd w:id="276"/>
      <w:bookmarkStart w:id="277" w:name="_Toc184312116"/>
      <w:bookmarkEnd w:id="277"/>
      <w:bookmarkStart w:id="278" w:name="_Toc184312139"/>
      <w:bookmarkEnd w:id="278"/>
      <w:bookmarkStart w:id="279" w:name="_Toc184310283"/>
      <w:bookmarkEnd w:id="279"/>
      <w:bookmarkStart w:id="280" w:name="_Toc184314432"/>
      <w:bookmarkEnd w:id="280"/>
      <w:bookmarkStart w:id="281" w:name="_Toc184308098"/>
      <w:bookmarkEnd w:id="281"/>
      <w:bookmarkStart w:id="282" w:name="_Toc184312137"/>
      <w:bookmarkEnd w:id="282"/>
      <w:bookmarkStart w:id="283" w:name="_Toc184308087"/>
      <w:bookmarkEnd w:id="283"/>
      <w:bookmarkStart w:id="284" w:name="_Toc184308105"/>
      <w:bookmarkEnd w:id="284"/>
      <w:bookmarkStart w:id="285" w:name="_Toc184308078"/>
      <w:bookmarkEnd w:id="285"/>
      <w:bookmarkStart w:id="286" w:name="_Toc184314416"/>
      <w:bookmarkEnd w:id="286"/>
      <w:bookmarkStart w:id="287" w:name="_Toc184310296"/>
      <w:bookmarkEnd w:id="287"/>
      <w:bookmarkStart w:id="288" w:name="_Toc184313266"/>
      <w:bookmarkEnd w:id="288"/>
      <w:bookmarkStart w:id="289" w:name="_Toc184314413"/>
      <w:bookmarkEnd w:id="289"/>
      <w:bookmarkStart w:id="290" w:name="_Toc184310307"/>
      <w:bookmarkEnd w:id="290"/>
      <w:bookmarkStart w:id="291" w:name="_Toc184310295"/>
      <w:bookmarkEnd w:id="291"/>
      <w:bookmarkStart w:id="292" w:name="_Toc184310311"/>
      <w:bookmarkEnd w:id="292"/>
      <w:bookmarkStart w:id="293" w:name="_Toc184310286"/>
      <w:bookmarkEnd w:id="293"/>
      <w:bookmarkStart w:id="294" w:name="_Toc184308100"/>
      <w:bookmarkEnd w:id="294"/>
      <w:bookmarkStart w:id="295" w:name="_Toc184314430"/>
      <w:bookmarkEnd w:id="295"/>
      <w:bookmarkStart w:id="296" w:name="_Toc184310275"/>
      <w:bookmarkEnd w:id="296"/>
      <w:bookmarkStart w:id="297" w:name="_Toc184313254"/>
      <w:bookmarkEnd w:id="297"/>
      <w:bookmarkStart w:id="298" w:name="_Toc184313300"/>
      <w:bookmarkEnd w:id="298"/>
      <w:bookmarkStart w:id="299" w:name="_Toc184314482"/>
      <w:bookmarkEnd w:id="299"/>
      <w:bookmarkStart w:id="300" w:name="_Toc184312076"/>
      <w:bookmarkEnd w:id="300"/>
      <w:bookmarkStart w:id="301" w:name="_Toc184314458"/>
      <w:bookmarkEnd w:id="301"/>
      <w:bookmarkStart w:id="302" w:name="_Toc184312073"/>
      <w:bookmarkEnd w:id="302"/>
      <w:bookmarkStart w:id="303" w:name="_Toc184313253"/>
      <w:bookmarkEnd w:id="303"/>
      <w:bookmarkStart w:id="304" w:name="_Toc184314422"/>
      <w:bookmarkEnd w:id="304"/>
      <w:bookmarkStart w:id="305" w:name="_Toc184308043"/>
      <w:bookmarkEnd w:id="305"/>
      <w:bookmarkStart w:id="306" w:name="_Toc184308072"/>
      <w:bookmarkEnd w:id="306"/>
      <w:bookmarkStart w:id="307" w:name="_Toc184314431"/>
      <w:bookmarkEnd w:id="307"/>
      <w:bookmarkStart w:id="308" w:name="_Toc184308046"/>
      <w:bookmarkEnd w:id="308"/>
      <w:bookmarkStart w:id="309" w:name="_Toc184314478"/>
      <w:bookmarkEnd w:id="309"/>
      <w:bookmarkStart w:id="310" w:name="_Toc184312071"/>
      <w:bookmarkEnd w:id="310"/>
      <w:bookmarkStart w:id="311" w:name="_Toc184312107"/>
      <w:bookmarkEnd w:id="311"/>
      <w:bookmarkStart w:id="312" w:name="_Toc184313256"/>
      <w:bookmarkEnd w:id="312"/>
      <w:bookmarkStart w:id="313" w:name="_Toc184313255"/>
      <w:bookmarkEnd w:id="313"/>
      <w:bookmarkStart w:id="314" w:name="_Toc184313286"/>
      <w:bookmarkEnd w:id="314"/>
      <w:bookmarkStart w:id="315" w:name="_Toc184312095"/>
      <w:bookmarkEnd w:id="315"/>
      <w:bookmarkStart w:id="316" w:name="_Toc184310281"/>
      <w:bookmarkEnd w:id="316"/>
      <w:bookmarkStart w:id="317" w:name="_Toc184314441"/>
      <w:bookmarkEnd w:id="317"/>
      <w:bookmarkStart w:id="318" w:name="_Toc184310338"/>
      <w:bookmarkEnd w:id="318"/>
      <w:bookmarkStart w:id="319" w:name="_Toc184314470"/>
      <w:bookmarkEnd w:id="319"/>
      <w:bookmarkStart w:id="320" w:name="_Toc184312114"/>
      <w:bookmarkEnd w:id="320"/>
      <w:bookmarkStart w:id="321" w:name="_Toc184313306"/>
      <w:bookmarkEnd w:id="321"/>
      <w:bookmarkStart w:id="322" w:name="_Toc184312138"/>
      <w:bookmarkEnd w:id="322"/>
      <w:bookmarkStart w:id="323" w:name="_Toc184314471"/>
      <w:bookmarkEnd w:id="323"/>
      <w:bookmarkStart w:id="324" w:name="_Toc184312132"/>
      <w:bookmarkEnd w:id="324"/>
      <w:bookmarkStart w:id="325" w:name="_Toc184314424"/>
      <w:bookmarkEnd w:id="325"/>
      <w:bookmarkStart w:id="326" w:name="_Toc184313271"/>
      <w:bookmarkEnd w:id="326"/>
      <w:bookmarkStart w:id="327" w:name="_Toc184313262"/>
      <w:bookmarkEnd w:id="327"/>
      <w:bookmarkStart w:id="328" w:name="_Toc184314461"/>
      <w:bookmarkEnd w:id="328"/>
      <w:bookmarkStart w:id="329" w:name="_Toc184310284"/>
      <w:bookmarkEnd w:id="329"/>
      <w:bookmarkStart w:id="330" w:name="_Toc184310276"/>
      <w:bookmarkEnd w:id="330"/>
      <w:bookmarkStart w:id="331" w:name="_Toc184310289"/>
      <w:bookmarkEnd w:id="331"/>
      <w:bookmarkStart w:id="332" w:name="_Toc184312074"/>
      <w:bookmarkEnd w:id="332"/>
      <w:bookmarkStart w:id="333" w:name="_Toc184308108"/>
      <w:bookmarkEnd w:id="333"/>
      <w:bookmarkStart w:id="334" w:name="_Toc184310277"/>
      <w:bookmarkEnd w:id="334"/>
      <w:bookmarkStart w:id="335" w:name="_Toc184314412"/>
      <w:bookmarkEnd w:id="335"/>
      <w:bookmarkStart w:id="336" w:name="_Toc184313296"/>
      <w:bookmarkEnd w:id="336"/>
      <w:bookmarkStart w:id="337" w:name="_Toc184310316"/>
      <w:bookmarkEnd w:id="337"/>
      <w:bookmarkStart w:id="338" w:name="_Toc184314474"/>
      <w:bookmarkEnd w:id="338"/>
      <w:bookmarkStart w:id="339" w:name="_Toc184314444"/>
      <w:bookmarkEnd w:id="339"/>
      <w:bookmarkStart w:id="340" w:name="_Toc184313285"/>
      <w:bookmarkEnd w:id="340"/>
      <w:bookmarkStart w:id="341" w:name="_Toc184308042"/>
      <w:bookmarkEnd w:id="341"/>
      <w:bookmarkStart w:id="342" w:name="_Toc184312075"/>
      <w:bookmarkEnd w:id="342"/>
      <w:bookmarkStart w:id="343" w:name="_Toc184310272"/>
      <w:bookmarkEnd w:id="343"/>
      <w:bookmarkStart w:id="344" w:name="_Toc184313244"/>
      <w:bookmarkEnd w:id="344"/>
      <w:bookmarkStart w:id="345" w:name="_Toc184308041"/>
      <w:bookmarkEnd w:id="345"/>
      <w:bookmarkStart w:id="346" w:name="_Toc184312079"/>
      <w:bookmarkEnd w:id="346"/>
      <w:bookmarkStart w:id="347" w:name="_Toc184313294"/>
      <w:bookmarkEnd w:id="347"/>
      <w:bookmarkStart w:id="348" w:name="_Toc184312131"/>
      <w:bookmarkEnd w:id="348"/>
      <w:bookmarkStart w:id="349" w:name="_Toc184310291"/>
      <w:bookmarkEnd w:id="349"/>
      <w:bookmarkStart w:id="350" w:name="_Toc184312126"/>
      <w:bookmarkEnd w:id="350"/>
      <w:bookmarkStart w:id="351" w:name="_Toc184310292"/>
      <w:bookmarkEnd w:id="351"/>
      <w:bookmarkStart w:id="352" w:name="_Toc184310326"/>
      <w:bookmarkEnd w:id="352"/>
      <w:bookmarkStart w:id="353" w:name="_Toc184310321"/>
      <w:bookmarkEnd w:id="353"/>
      <w:bookmarkStart w:id="354" w:name="_Toc184310279"/>
      <w:bookmarkEnd w:id="354"/>
      <w:bookmarkStart w:id="355" w:name="_Toc184314414"/>
      <w:bookmarkEnd w:id="355"/>
      <w:bookmarkStart w:id="356" w:name="_Toc184308093"/>
      <w:bookmarkEnd w:id="356"/>
      <w:bookmarkStart w:id="357" w:name="_Toc184310327"/>
      <w:bookmarkEnd w:id="357"/>
      <w:bookmarkStart w:id="358" w:name="_Toc184310297"/>
      <w:bookmarkEnd w:id="358"/>
      <w:bookmarkStart w:id="359" w:name="_Toc184313246"/>
      <w:bookmarkEnd w:id="359"/>
      <w:bookmarkStart w:id="360" w:name="_Toc184314435"/>
      <w:bookmarkEnd w:id="360"/>
      <w:bookmarkStart w:id="361" w:name="_Toc184308038"/>
      <w:bookmarkEnd w:id="361"/>
      <w:bookmarkStart w:id="362" w:name="_Toc184308074"/>
      <w:bookmarkEnd w:id="362"/>
      <w:bookmarkStart w:id="363" w:name="_Toc184308062"/>
      <w:bookmarkEnd w:id="363"/>
      <w:bookmarkStart w:id="364" w:name="_Toc184314453"/>
      <w:bookmarkEnd w:id="364"/>
      <w:bookmarkStart w:id="365" w:name="_Toc184313245"/>
      <w:bookmarkEnd w:id="365"/>
      <w:bookmarkStart w:id="366" w:name="_Toc184308082"/>
      <w:bookmarkEnd w:id="366"/>
      <w:r>
        <w:rPr>
          <w:rFonts w:hint="eastAsia"/>
        </w:rPr>
        <w:t>评标办法</w:t>
      </w:r>
    </w:p>
    <w:p>
      <w:pPr>
        <w:pStyle w:val="4"/>
      </w:pPr>
      <w:r>
        <w:rPr>
          <w:rFonts w:hint="eastAsia"/>
        </w:rPr>
        <w:t>评标办法前附表</w:t>
      </w:r>
    </w:p>
    <w:p>
      <w:pPr>
        <w:rPr>
          <w:b/>
        </w:rPr>
      </w:pPr>
      <w:r>
        <w:rPr>
          <w:rFonts w:hint="eastAsia"/>
          <w:b/>
        </w:rPr>
        <w:t>商务技术分（</w:t>
      </w:r>
      <w:r>
        <w:rPr>
          <w:rFonts w:hint="eastAsia"/>
          <w:b/>
          <w:lang w:val="en-US" w:eastAsia="zh-CN"/>
        </w:rPr>
        <w:t>80</w:t>
      </w:r>
      <w:r>
        <w:rPr>
          <w:rFonts w:hint="eastAsia"/>
          <w:b/>
        </w:rPr>
        <w:t>分）</w:t>
      </w:r>
    </w:p>
    <w:tbl>
      <w:tblPr>
        <w:tblStyle w:val="2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228"/>
        <w:gridCol w:w="529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jc w:val="center"/>
              <w:rPr>
                <w:color w:val="auto"/>
              </w:rPr>
            </w:pPr>
          </w:p>
        </w:tc>
        <w:tc>
          <w:tcPr>
            <w:tcW w:w="553" w:type="dxa"/>
            <w:vAlign w:val="center"/>
          </w:tcPr>
          <w:p>
            <w:pPr>
              <w:spacing w:after="0"/>
              <w:jc w:val="center"/>
              <w:rPr>
                <w:color w:val="auto"/>
              </w:rPr>
            </w:pPr>
            <w:r>
              <w:rPr>
                <w:rFonts w:hint="eastAsia"/>
                <w:color w:val="auto"/>
              </w:rPr>
              <w:t>序号</w:t>
            </w:r>
          </w:p>
        </w:tc>
        <w:tc>
          <w:tcPr>
            <w:tcW w:w="6520" w:type="dxa"/>
            <w:gridSpan w:val="2"/>
            <w:vAlign w:val="center"/>
          </w:tcPr>
          <w:p>
            <w:pPr>
              <w:spacing w:after="0"/>
              <w:jc w:val="center"/>
              <w:rPr>
                <w:color w:val="auto"/>
              </w:rPr>
            </w:pPr>
            <w:r>
              <w:rPr>
                <w:rFonts w:hint="eastAsia"/>
                <w:color w:val="auto"/>
              </w:rPr>
              <w:t>评分内容和标准</w:t>
            </w:r>
          </w:p>
        </w:tc>
        <w:tc>
          <w:tcPr>
            <w:tcW w:w="709" w:type="dxa"/>
            <w:vAlign w:val="center"/>
          </w:tcPr>
          <w:p>
            <w:pPr>
              <w:spacing w:after="0"/>
              <w:jc w:val="center"/>
              <w:rPr>
                <w:color w:val="auto"/>
              </w:rPr>
            </w:pPr>
            <w:r>
              <w:rPr>
                <w:rFonts w:hint="eastAsia"/>
                <w:color w:val="auto"/>
              </w:rPr>
              <w:t>分值区间</w:t>
            </w:r>
          </w:p>
        </w:tc>
        <w:tc>
          <w:tcPr>
            <w:tcW w:w="850" w:type="dxa"/>
            <w:vAlign w:val="center"/>
          </w:tcPr>
          <w:p>
            <w:pPr>
              <w:spacing w:after="0"/>
              <w:jc w:val="center"/>
              <w:rPr>
                <w:color w:val="auto"/>
              </w:rPr>
            </w:pPr>
            <w:r>
              <w:rPr>
                <w:rFonts w:hint="eastAsia"/>
                <w:color w:va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rFonts w:hint="eastAsia"/>
                <w:color w:val="auto"/>
                <w:lang w:eastAsia="zh-CN"/>
              </w:rPr>
            </w:pPr>
            <w:r>
              <w:rPr>
                <w:rFonts w:hint="eastAsia"/>
                <w:color w:val="auto"/>
              </w:rPr>
              <w:t>商务</w:t>
            </w:r>
            <w:r>
              <w:rPr>
                <w:rFonts w:hint="eastAsia"/>
                <w:color w:val="auto"/>
                <w:lang w:eastAsia="zh-CN"/>
              </w:rPr>
              <w:t>资信</w:t>
            </w: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color w:val="auto"/>
              </w:rPr>
            </w:pPr>
            <w:r>
              <w:rPr>
                <w:rFonts w:hint="eastAsia"/>
                <w:color w:val="auto"/>
              </w:rPr>
              <w:t>业绩</w:t>
            </w:r>
          </w:p>
        </w:tc>
        <w:tc>
          <w:tcPr>
            <w:tcW w:w="5292" w:type="dxa"/>
          </w:tcPr>
          <w:p>
            <w:pPr>
              <w:spacing w:after="0"/>
              <w:rPr>
                <w:color w:val="auto"/>
              </w:rPr>
            </w:pPr>
            <w:r>
              <w:rPr>
                <w:rFonts w:hint="eastAsia"/>
                <w:lang w:val="en-US" w:eastAsia="zh-CN"/>
              </w:rPr>
              <w:t>投标人2021年1月1日起具同类项目业绩的每个得1分，最高得2分。（投标文件中提供中标通知书及合同复印件并加盖公章，资料不全的不得分）</w:t>
            </w:r>
          </w:p>
        </w:tc>
        <w:tc>
          <w:tcPr>
            <w:tcW w:w="709" w:type="dxa"/>
            <w:vAlign w:val="center"/>
          </w:tcPr>
          <w:p>
            <w:pPr>
              <w:spacing w:after="0"/>
              <w:rPr>
                <w:rFonts w:hint="eastAsia" w:eastAsia="仿宋"/>
                <w:color w:val="auto"/>
                <w:lang w:val="en-US" w:eastAsia="zh-CN"/>
              </w:rPr>
            </w:pPr>
            <w:r>
              <w:rPr>
                <w:rFonts w:hint="eastAsia"/>
                <w:color w:val="auto"/>
                <w:lang w:val="en-US" w:eastAsia="zh-CN"/>
              </w:rPr>
              <w:t>2分</w:t>
            </w:r>
          </w:p>
        </w:tc>
        <w:tc>
          <w:tcPr>
            <w:tcW w:w="850" w:type="dxa"/>
            <w:vAlign w:val="center"/>
          </w:tcPr>
          <w:p>
            <w:pPr>
              <w:spacing w:after="0"/>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color w:val="auto"/>
              </w:rPr>
            </w:pP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rFonts w:hint="eastAsia" w:eastAsia="仿宋"/>
                <w:color w:val="auto"/>
                <w:lang w:eastAsia="zh-CN"/>
              </w:rPr>
            </w:pPr>
            <w:r>
              <w:rPr>
                <w:rFonts w:hint="eastAsia"/>
                <w:color w:val="auto"/>
                <w:lang w:eastAsia="zh-CN"/>
              </w:rPr>
              <w:t>投标人优势</w:t>
            </w:r>
          </w:p>
        </w:tc>
        <w:tc>
          <w:tcPr>
            <w:tcW w:w="5292" w:type="dxa"/>
          </w:tcPr>
          <w:p>
            <w:pPr>
              <w:spacing w:after="0"/>
              <w:rPr>
                <w:color w:val="auto"/>
              </w:rPr>
            </w:pPr>
            <w:r>
              <w:rPr>
                <w:rFonts w:hint="eastAsia"/>
                <w:i w:val="0"/>
                <w:iCs w:val="0"/>
                <w:lang w:val="en-US" w:eastAsia="zh-CN"/>
              </w:rPr>
              <w:t>投标人2021年1月1日起获得与安全生产或消防安全相关的国家版权局计算机软件著作权登记证书，每获得一项得1分，最高得5分。（提供安全生产或消防安全相关的计算机软件著作权登记证书复印件并加盖公章，不提供的不得分）</w:t>
            </w:r>
          </w:p>
        </w:tc>
        <w:tc>
          <w:tcPr>
            <w:tcW w:w="709" w:type="dxa"/>
            <w:vAlign w:val="center"/>
          </w:tcPr>
          <w:p>
            <w:pPr>
              <w:spacing w:after="0"/>
              <w:rPr>
                <w:rFonts w:hint="eastAsia" w:eastAsia="仿宋"/>
                <w:color w:val="auto"/>
                <w:lang w:val="en-US" w:eastAsia="zh-CN"/>
              </w:rPr>
            </w:pPr>
            <w:r>
              <w:rPr>
                <w:rFonts w:hint="eastAsia"/>
                <w:color w:val="auto"/>
                <w:lang w:val="en-US" w:eastAsia="zh-CN"/>
              </w:rPr>
              <w:t>5分</w:t>
            </w:r>
          </w:p>
        </w:tc>
        <w:tc>
          <w:tcPr>
            <w:tcW w:w="850" w:type="dxa"/>
            <w:vAlign w:val="center"/>
          </w:tcPr>
          <w:p>
            <w:pPr>
              <w:spacing w:after="0"/>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color w:val="auto"/>
              </w:rPr>
            </w:pP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rFonts w:hint="default" w:eastAsia="仿宋"/>
                <w:color w:val="auto"/>
                <w:lang w:val="en-US" w:eastAsia="zh-CN"/>
              </w:rPr>
            </w:pPr>
            <w:r>
              <w:rPr>
                <w:rFonts w:hint="eastAsia"/>
                <w:color w:val="auto"/>
                <w:lang w:val="en-US" w:eastAsia="zh-CN"/>
              </w:rPr>
              <w:t>管理体系</w:t>
            </w:r>
          </w:p>
        </w:tc>
        <w:tc>
          <w:tcPr>
            <w:tcW w:w="5292" w:type="dxa"/>
          </w:tcPr>
          <w:p>
            <w:pPr>
              <w:spacing w:after="0"/>
              <w:rPr>
                <w:rFonts w:hint="eastAsia"/>
                <w:i w:val="0"/>
                <w:iCs w:val="0"/>
                <w:lang w:val="en-US" w:eastAsia="zh-CN"/>
              </w:rPr>
            </w:pPr>
            <w:r>
              <w:rPr>
                <w:rFonts w:hint="eastAsia"/>
                <w:i w:val="0"/>
                <w:iCs w:val="0"/>
                <w:lang w:val="en-US" w:eastAsia="zh-CN"/>
              </w:rPr>
              <w:t>投标人具有质量管理体系认证证书的得2分；</w:t>
            </w:r>
          </w:p>
          <w:p>
            <w:pPr>
              <w:spacing w:after="0"/>
              <w:rPr>
                <w:rFonts w:hint="eastAsia"/>
                <w:i w:val="0"/>
                <w:iCs w:val="0"/>
                <w:lang w:val="en-US" w:eastAsia="zh-CN"/>
              </w:rPr>
            </w:pPr>
            <w:r>
              <w:rPr>
                <w:rFonts w:hint="eastAsia"/>
                <w:i w:val="0"/>
                <w:iCs w:val="0"/>
                <w:lang w:val="en-US" w:eastAsia="zh-CN"/>
              </w:rPr>
              <w:t>投标人具有环境管理体系认证证书的得2分；</w:t>
            </w:r>
          </w:p>
          <w:p>
            <w:pPr>
              <w:spacing w:after="0"/>
              <w:rPr>
                <w:rFonts w:hint="eastAsia"/>
                <w:i w:val="0"/>
                <w:iCs w:val="0"/>
                <w:lang w:val="en-US" w:eastAsia="zh-CN"/>
              </w:rPr>
            </w:pPr>
            <w:r>
              <w:rPr>
                <w:rFonts w:hint="eastAsia"/>
                <w:i w:val="0"/>
                <w:iCs w:val="0"/>
                <w:lang w:val="en-US" w:eastAsia="zh-CN"/>
              </w:rPr>
              <w:t>投标人具有职业健康安全管理体系认证证书的得2分；</w:t>
            </w:r>
          </w:p>
          <w:p>
            <w:pPr>
              <w:spacing w:after="0"/>
              <w:rPr>
                <w:rFonts w:hint="default"/>
                <w:i w:val="0"/>
                <w:iCs w:val="0"/>
                <w:lang w:val="en-US" w:eastAsia="zh-CN"/>
              </w:rPr>
            </w:pPr>
            <w:r>
              <w:rPr>
                <w:rFonts w:hint="eastAsia"/>
                <w:i w:val="0"/>
                <w:iCs w:val="0"/>
                <w:lang w:val="en-US" w:eastAsia="zh-CN"/>
              </w:rPr>
              <w:t>投标人具有培训管理体系认证证书的得2分；</w:t>
            </w:r>
          </w:p>
          <w:p>
            <w:pPr>
              <w:spacing w:after="0"/>
              <w:rPr>
                <w:rFonts w:hint="eastAsia"/>
                <w:i w:val="0"/>
                <w:iCs w:val="0"/>
                <w:lang w:val="en-US" w:eastAsia="zh-CN"/>
              </w:rPr>
            </w:pPr>
            <w:r>
              <w:rPr>
                <w:rFonts w:hint="eastAsia"/>
                <w:i w:val="0"/>
                <w:iCs w:val="0"/>
                <w:lang w:val="en-US" w:eastAsia="zh-CN"/>
              </w:rPr>
              <w:t>投标人具有售后服务认证证书的得2分；</w:t>
            </w:r>
          </w:p>
          <w:p>
            <w:pPr>
              <w:spacing w:after="0"/>
              <w:rPr>
                <w:color w:val="auto"/>
              </w:rPr>
            </w:pPr>
            <w:r>
              <w:rPr>
                <w:rFonts w:hint="eastAsia"/>
                <w:i w:val="0"/>
                <w:iCs w:val="0"/>
                <w:lang w:val="en-US" w:eastAsia="zh-CN"/>
              </w:rPr>
              <w:t>（提供证书复印件及全国认证认可信息公共服务平台查询记录且在有效期内并加盖单位公章，资料不全的不得分）</w:t>
            </w:r>
          </w:p>
        </w:tc>
        <w:tc>
          <w:tcPr>
            <w:tcW w:w="709" w:type="dxa"/>
            <w:vAlign w:val="center"/>
          </w:tcPr>
          <w:p>
            <w:pPr>
              <w:spacing w:after="0"/>
              <w:rPr>
                <w:rFonts w:hint="eastAsia" w:eastAsia="仿宋"/>
                <w:color w:val="auto"/>
                <w:lang w:val="en-US" w:eastAsia="zh-CN"/>
              </w:rPr>
            </w:pPr>
            <w:r>
              <w:rPr>
                <w:rFonts w:hint="eastAsia"/>
                <w:color w:val="auto"/>
                <w:lang w:val="en-US" w:eastAsia="zh-CN"/>
              </w:rPr>
              <w:t>10分</w:t>
            </w:r>
          </w:p>
        </w:tc>
        <w:tc>
          <w:tcPr>
            <w:tcW w:w="850" w:type="dxa"/>
            <w:vAlign w:val="center"/>
          </w:tcPr>
          <w:p>
            <w:pPr>
              <w:spacing w:after="0"/>
              <w:rPr>
                <w:rFonts w:hint="eastAsia" w:eastAsia="仿宋"/>
                <w:color w:val="auto"/>
                <w:lang w:eastAsia="zh-CN"/>
              </w:rPr>
            </w:pPr>
            <w:r>
              <w:rPr>
                <w:rFonts w:hint="eastAsia"/>
                <w:color w:val="auto"/>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9" w:type="dxa"/>
            <w:vMerge w:val="restart"/>
            <w:vAlign w:val="center"/>
          </w:tcPr>
          <w:p>
            <w:pPr>
              <w:spacing w:after="0"/>
              <w:jc w:val="center"/>
              <w:rPr>
                <w:color w:val="auto"/>
              </w:rPr>
            </w:pPr>
            <w:r>
              <w:rPr>
                <w:rFonts w:hint="eastAsia"/>
                <w:color w:val="auto"/>
              </w:rPr>
              <w:t>技术服务分</w:t>
            </w:r>
          </w:p>
        </w:tc>
        <w:tc>
          <w:tcPr>
            <w:tcW w:w="553" w:type="dxa"/>
            <w:vMerge w:val="restart"/>
            <w:vAlign w:val="center"/>
          </w:tcPr>
          <w:p>
            <w:pPr>
              <w:pStyle w:val="42"/>
              <w:numPr>
                <w:ilvl w:val="0"/>
                <w:numId w:val="4"/>
              </w:numPr>
              <w:spacing w:after="0"/>
              <w:jc w:val="center"/>
              <w:rPr>
                <w:color w:val="auto"/>
              </w:rPr>
            </w:pPr>
          </w:p>
        </w:tc>
        <w:tc>
          <w:tcPr>
            <w:tcW w:w="1228" w:type="dxa"/>
            <w:vMerge w:val="restart"/>
            <w:vAlign w:val="center"/>
          </w:tcPr>
          <w:p>
            <w:pPr>
              <w:spacing w:after="0"/>
              <w:rPr>
                <w:color w:val="auto"/>
              </w:rPr>
            </w:pPr>
            <w:r>
              <w:rPr>
                <w:rFonts w:hint="eastAsia" w:cs="仿宋_GB2312"/>
                <w:color w:val="auto"/>
              </w:rPr>
              <w:t>投标方案</w:t>
            </w:r>
          </w:p>
        </w:tc>
        <w:tc>
          <w:tcPr>
            <w:tcW w:w="5292" w:type="dxa"/>
            <w:vAlign w:val="top"/>
          </w:tcPr>
          <w:p>
            <w:pPr>
              <w:spacing w:after="0"/>
              <w:rPr>
                <w:rFonts w:ascii="仿宋" w:hAnsi="仿宋" w:eastAsia="仿宋" w:cstheme="majorBidi"/>
                <w:color w:val="auto"/>
                <w:sz w:val="24"/>
                <w:szCs w:val="24"/>
                <w:lang w:val="en-US" w:eastAsia="zh-CN" w:bidi="ar-SA"/>
              </w:rPr>
            </w:pPr>
            <w:r>
              <w:rPr>
                <w:rFonts w:hint="eastAsia" w:cs="仿宋"/>
                <w:color w:val="auto"/>
              </w:rPr>
              <w:t>对本项目理解和关键点分析：（根据投标人对投标项目的理解程度、综合分析、难点把握等情况综合评定）</w:t>
            </w:r>
          </w:p>
        </w:tc>
        <w:tc>
          <w:tcPr>
            <w:tcW w:w="709" w:type="dxa"/>
            <w:vAlign w:val="center"/>
          </w:tcPr>
          <w:p>
            <w:pPr>
              <w:spacing w:after="0"/>
              <w:rPr>
                <w:rFonts w:ascii="仿宋" w:hAnsi="仿宋" w:eastAsia="仿宋" w:cstheme="majorBidi"/>
                <w:color w:val="auto"/>
                <w:sz w:val="24"/>
                <w:szCs w:val="24"/>
                <w:lang w:val="en-US" w:eastAsia="zh-CN" w:bidi="ar-SA"/>
              </w:rPr>
            </w:pPr>
            <w:r>
              <w:rPr>
                <w:rFonts w:hint="eastAsia"/>
                <w:color w:val="auto"/>
                <w:lang w:val="en-US" w:eastAsia="zh-CN"/>
              </w:rPr>
              <w:t>6分</w:t>
            </w:r>
          </w:p>
        </w:tc>
        <w:tc>
          <w:tcPr>
            <w:tcW w:w="850" w:type="dxa"/>
            <w:vAlign w:val="center"/>
          </w:tcPr>
          <w:p>
            <w:pPr>
              <w:spacing w:after="0"/>
              <w:rPr>
                <w:rFonts w:hint="eastAsia" w:eastAsia="仿宋"/>
                <w:color w:val="auto"/>
                <w:lang w:eastAsia="zh-CN"/>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09" w:type="dxa"/>
            <w:vMerge w:val="continue"/>
          </w:tcPr>
          <w:p>
            <w:pPr>
              <w:spacing w:after="0"/>
              <w:rPr>
                <w:rFonts w:hint="eastAsia"/>
                <w:color w:val="auto"/>
              </w:rPr>
            </w:pPr>
          </w:p>
        </w:tc>
        <w:tc>
          <w:tcPr>
            <w:tcW w:w="553" w:type="dxa"/>
            <w:vMerge w:val="continue"/>
            <w:vAlign w:val="center"/>
          </w:tcPr>
          <w:p>
            <w:pPr>
              <w:pStyle w:val="42"/>
              <w:numPr>
                <w:ilvl w:val="0"/>
                <w:numId w:val="4"/>
              </w:numPr>
              <w:spacing w:after="0"/>
              <w:jc w:val="center"/>
              <w:rPr>
                <w:color w:val="auto"/>
              </w:rPr>
            </w:pPr>
          </w:p>
        </w:tc>
        <w:tc>
          <w:tcPr>
            <w:tcW w:w="1228" w:type="dxa"/>
            <w:vMerge w:val="continue"/>
            <w:vAlign w:val="center"/>
          </w:tcPr>
          <w:p>
            <w:pPr>
              <w:spacing w:after="0"/>
              <w:rPr>
                <w:rFonts w:hint="eastAsia" w:cs="仿宋_GB2312"/>
                <w:color w:val="auto"/>
              </w:rPr>
            </w:pPr>
          </w:p>
        </w:tc>
        <w:tc>
          <w:tcPr>
            <w:tcW w:w="5292" w:type="dxa"/>
            <w:vAlign w:val="top"/>
          </w:tcPr>
          <w:p>
            <w:pPr>
              <w:spacing w:after="0"/>
              <w:rPr>
                <w:rFonts w:ascii="仿宋" w:hAnsi="仿宋" w:eastAsia="仿宋" w:cstheme="majorBidi"/>
                <w:color w:val="auto"/>
                <w:sz w:val="24"/>
                <w:szCs w:val="24"/>
                <w:lang w:val="en-US" w:eastAsia="zh-CN" w:bidi="ar-SA"/>
              </w:rPr>
            </w:pPr>
            <w:r>
              <w:rPr>
                <w:rFonts w:hint="eastAsia" w:cs="仿宋"/>
                <w:color w:val="auto"/>
              </w:rPr>
              <w:t>项目完成总体设计方案：根据投标人对投标项目总体方案（含资源投入，组织架构，工作计划及保障措施），综合考虑科学性、可靠性、成熟性、合理性等情况。</w:t>
            </w:r>
          </w:p>
        </w:tc>
        <w:tc>
          <w:tcPr>
            <w:tcW w:w="709" w:type="dxa"/>
            <w:vAlign w:val="center"/>
          </w:tcPr>
          <w:p>
            <w:pPr>
              <w:spacing w:after="0"/>
              <w:rPr>
                <w:rFonts w:ascii="仿宋" w:hAnsi="仿宋" w:eastAsia="仿宋" w:cstheme="majorBidi"/>
                <w:color w:val="auto"/>
                <w:sz w:val="24"/>
                <w:szCs w:val="24"/>
                <w:lang w:val="en-US" w:eastAsia="zh-CN" w:bidi="ar-SA"/>
              </w:rPr>
            </w:pPr>
            <w:r>
              <w:rPr>
                <w:rFonts w:hint="eastAsia"/>
                <w:color w:val="auto"/>
                <w:lang w:val="en-US" w:eastAsia="zh-CN"/>
              </w:rPr>
              <w:t>6分</w:t>
            </w:r>
          </w:p>
        </w:tc>
        <w:tc>
          <w:tcPr>
            <w:tcW w:w="850" w:type="dxa"/>
            <w:vAlign w:val="center"/>
          </w:tcPr>
          <w:p>
            <w:pPr>
              <w:spacing w:after="0"/>
              <w:rPr>
                <w:rFonts w:hint="eastAsia" w:ascii="仿宋" w:hAnsi="仿宋" w:eastAsia="仿宋" w:cstheme="majorBidi"/>
                <w:color w:val="auto"/>
                <w:sz w:val="24"/>
                <w:szCs w:val="24"/>
                <w:lang w:val="en-US" w:eastAsia="zh-CN" w:bidi="ar-SA"/>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9" w:type="dxa"/>
            <w:vMerge w:val="continue"/>
          </w:tcPr>
          <w:p>
            <w:pPr>
              <w:pStyle w:val="42"/>
              <w:spacing w:after="0"/>
              <w:ind w:left="420"/>
              <w:rPr>
                <w:color w:val="auto"/>
              </w:rPr>
            </w:pPr>
          </w:p>
        </w:tc>
        <w:tc>
          <w:tcPr>
            <w:tcW w:w="553" w:type="dxa"/>
            <w:vMerge w:val="restart"/>
            <w:vAlign w:val="center"/>
          </w:tcPr>
          <w:p>
            <w:pPr>
              <w:pStyle w:val="42"/>
              <w:numPr>
                <w:ilvl w:val="0"/>
                <w:numId w:val="4"/>
              </w:numPr>
              <w:spacing w:after="0"/>
              <w:jc w:val="center"/>
              <w:rPr>
                <w:color w:val="auto"/>
              </w:rPr>
            </w:pPr>
          </w:p>
        </w:tc>
        <w:tc>
          <w:tcPr>
            <w:tcW w:w="1228" w:type="dxa"/>
            <w:vMerge w:val="restart"/>
            <w:vAlign w:val="center"/>
          </w:tcPr>
          <w:p>
            <w:pPr>
              <w:spacing w:after="0"/>
              <w:rPr>
                <w:color w:val="auto"/>
              </w:rPr>
            </w:pPr>
            <w:r>
              <w:rPr>
                <w:rFonts w:hint="eastAsia" w:cs="仿宋"/>
                <w:color w:val="auto"/>
                <w:highlight w:val="none"/>
              </w:rPr>
              <w:t>技术指标响应性</w:t>
            </w:r>
          </w:p>
        </w:tc>
        <w:tc>
          <w:tcPr>
            <w:tcW w:w="5292" w:type="dxa"/>
            <w:vAlign w:val="center"/>
          </w:tcPr>
          <w:p>
            <w:pPr>
              <w:rPr>
                <w:rFonts w:hint="eastAsia" w:ascii="仿宋" w:hAnsi="仿宋" w:eastAsia="仿宋" w:cstheme="majorBidi"/>
                <w:color w:val="auto"/>
                <w:kern w:val="0"/>
                <w:sz w:val="24"/>
                <w:szCs w:val="24"/>
                <w:lang w:val="en-US" w:eastAsia="zh-CN" w:bidi="ar-SA"/>
              </w:rPr>
            </w:pPr>
            <w:r>
              <w:rPr>
                <w:rFonts w:hint="eastAsia"/>
                <w:color w:val="auto"/>
                <w:kern w:val="0"/>
                <w:sz w:val="24"/>
              </w:rPr>
              <w:t>投标方案中提供或使用与本项目相关设备的优劣（拟投入使用主要设备数量是否充足，是否提供校准证书，型号是否先进，设备购置时间是否较新（依据购买设备发票时间为准），综合评定</w:t>
            </w:r>
            <w:r>
              <w:rPr>
                <w:rFonts w:hint="eastAsia"/>
                <w:color w:val="auto"/>
                <w:kern w:val="0"/>
                <w:sz w:val="24"/>
                <w:lang w:eastAsia="zh-CN"/>
              </w:rPr>
              <w:t>。</w:t>
            </w:r>
          </w:p>
        </w:tc>
        <w:tc>
          <w:tcPr>
            <w:tcW w:w="709" w:type="dxa"/>
            <w:vAlign w:val="center"/>
          </w:tcPr>
          <w:p>
            <w:pPr>
              <w:jc w:val="both"/>
              <w:rPr>
                <w:rFonts w:hint="eastAsia" w:ascii="宋体" w:hAnsi="宋体" w:eastAsia="仿宋" w:cstheme="majorBidi"/>
                <w:color w:val="auto"/>
                <w:sz w:val="24"/>
                <w:szCs w:val="24"/>
                <w:lang w:val="en-US" w:eastAsia="zh-CN" w:bidi="ar-SA"/>
              </w:rPr>
            </w:pPr>
            <w:r>
              <w:rPr>
                <w:rFonts w:hint="eastAsia" w:ascii="宋体" w:hAnsi="宋体"/>
                <w:color w:val="auto"/>
                <w:sz w:val="24"/>
                <w:lang w:val="en-US" w:eastAsia="zh-CN"/>
              </w:rPr>
              <w:t>5</w:t>
            </w:r>
            <w:r>
              <w:rPr>
                <w:rFonts w:hint="eastAsia" w:ascii="宋体" w:hAnsi="宋体"/>
                <w:color w:val="auto"/>
                <w:sz w:val="24"/>
              </w:rPr>
              <w:t>分</w:t>
            </w:r>
          </w:p>
        </w:tc>
        <w:tc>
          <w:tcPr>
            <w:tcW w:w="850" w:type="dxa"/>
            <w:vAlign w:val="center"/>
          </w:tcPr>
          <w:p>
            <w:pPr>
              <w:spacing w:after="0"/>
              <w:rPr>
                <w:color w:val="auto"/>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9" w:type="dxa"/>
            <w:vMerge w:val="continue"/>
          </w:tcPr>
          <w:p/>
        </w:tc>
        <w:tc>
          <w:tcPr>
            <w:tcW w:w="553" w:type="dxa"/>
            <w:vMerge w:val="continue"/>
            <w:vAlign w:val="center"/>
          </w:tcPr>
          <w:p/>
        </w:tc>
        <w:tc>
          <w:tcPr>
            <w:tcW w:w="1228" w:type="dxa"/>
            <w:vMerge w:val="continue"/>
            <w:vAlign w:val="center"/>
          </w:tcPr>
          <w:p/>
        </w:tc>
        <w:tc>
          <w:tcPr>
            <w:tcW w:w="5292" w:type="dxa"/>
            <w:vAlign w:val="center"/>
          </w:tcPr>
          <w:p>
            <w:pPr>
              <w:widowControl/>
              <w:jc w:val="left"/>
              <w:rPr>
                <w:rFonts w:hint="eastAsia"/>
                <w:lang w:val="en-US" w:eastAsia="zh-CN"/>
              </w:rPr>
            </w:pPr>
            <w:r>
              <w:rPr>
                <w:rFonts w:hint="eastAsia"/>
                <w:lang w:val="en-US" w:eastAsia="zh-CN"/>
              </w:rPr>
              <w:t>投标人拟投入使用设备具有烟密度仪、超声波流量计、可燃气体检测仪、漏电电流检测仪、辐射热通量计等先进工具的，每项得2分，最高得10分（提供设备照片、投标人购买发票和校准证书并加盖公章，资料不全的不得分）</w:t>
            </w:r>
          </w:p>
          <w:p>
            <w:pPr>
              <w:rPr>
                <w:rFonts w:hint="eastAsia"/>
                <w:color w:val="auto"/>
                <w:kern w:val="0"/>
                <w:sz w:val="24"/>
              </w:rPr>
            </w:pPr>
          </w:p>
        </w:tc>
        <w:tc>
          <w:tcPr>
            <w:tcW w:w="709" w:type="dxa"/>
            <w:vAlign w:val="center"/>
          </w:tcPr>
          <w:p>
            <w:pPr>
              <w:rPr>
                <w:rFonts w:hint="default" w:eastAsia="仿宋"/>
                <w:color w:val="auto"/>
                <w:kern w:val="0"/>
                <w:sz w:val="24"/>
                <w:lang w:val="en-US" w:eastAsia="zh-CN"/>
              </w:rPr>
            </w:pPr>
            <w:r>
              <w:rPr>
                <w:rFonts w:hint="eastAsia"/>
                <w:color w:val="auto"/>
                <w:kern w:val="0"/>
                <w:sz w:val="24"/>
                <w:lang w:val="en-US" w:eastAsia="zh-CN"/>
              </w:rPr>
              <w:t>10分</w:t>
            </w:r>
          </w:p>
        </w:tc>
        <w:tc>
          <w:tcPr>
            <w:tcW w:w="850" w:type="dxa"/>
            <w:vAlign w:val="center"/>
          </w:tcPr>
          <w:p>
            <w:pPr>
              <w:rPr>
                <w:rFonts w:hint="eastAsia" w:eastAsia="仿宋"/>
                <w:color w:val="auto"/>
                <w:kern w:val="0"/>
                <w:sz w:val="24"/>
                <w:lang w:eastAsia="zh-CN"/>
              </w:rPr>
            </w:pPr>
            <w:r>
              <w:rPr>
                <w:rFonts w:hint="eastAsia"/>
                <w:color w:val="auto"/>
                <w:kern w:val="0"/>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auto"/>
              </w:rPr>
            </w:pP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color w:val="auto"/>
              </w:rPr>
            </w:pPr>
            <w:r>
              <w:rPr>
                <w:rFonts w:hint="eastAsia" w:cs="仿宋_GB2312"/>
                <w:color w:val="auto"/>
              </w:rPr>
              <w:t>项目进度</w:t>
            </w:r>
          </w:p>
        </w:tc>
        <w:tc>
          <w:tcPr>
            <w:tcW w:w="5292" w:type="dxa"/>
          </w:tcPr>
          <w:p>
            <w:pPr>
              <w:spacing w:after="0"/>
              <w:rPr>
                <w:color w:val="auto"/>
              </w:rPr>
            </w:pPr>
            <w:r>
              <w:rPr>
                <w:rFonts w:hint="eastAsia" w:ascii="仿宋" w:hAnsi="仿宋" w:eastAsia="仿宋" w:cs="仿宋"/>
                <w:color w:val="auto"/>
                <w:kern w:val="0"/>
                <w:sz w:val="24"/>
              </w:rPr>
              <w:t>保证进度和项目完成的方案和措施等综合评定</w:t>
            </w:r>
          </w:p>
        </w:tc>
        <w:tc>
          <w:tcPr>
            <w:tcW w:w="709" w:type="dxa"/>
            <w:vAlign w:val="center"/>
          </w:tcPr>
          <w:p>
            <w:pPr>
              <w:spacing w:after="0"/>
              <w:rPr>
                <w:rFonts w:hint="eastAsia" w:eastAsia="仿宋"/>
                <w:color w:val="auto"/>
                <w:lang w:val="en-US" w:eastAsia="zh-CN"/>
              </w:rPr>
            </w:pPr>
            <w:r>
              <w:rPr>
                <w:rFonts w:hint="eastAsia"/>
                <w:color w:val="auto"/>
                <w:lang w:val="en-US" w:eastAsia="zh-CN"/>
              </w:rPr>
              <w:t>6分</w:t>
            </w:r>
          </w:p>
        </w:tc>
        <w:tc>
          <w:tcPr>
            <w:tcW w:w="850" w:type="dxa"/>
            <w:vAlign w:val="center"/>
          </w:tcPr>
          <w:p>
            <w:pPr>
              <w:spacing w:after="0"/>
              <w:rPr>
                <w:color w:val="auto"/>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09" w:type="dxa"/>
            <w:vMerge w:val="continue"/>
          </w:tcPr>
          <w:p>
            <w:pPr>
              <w:pStyle w:val="42"/>
              <w:spacing w:after="0"/>
              <w:ind w:left="420"/>
              <w:rPr>
                <w:color w:val="auto"/>
              </w:rPr>
            </w:pPr>
          </w:p>
        </w:tc>
        <w:tc>
          <w:tcPr>
            <w:tcW w:w="553" w:type="dxa"/>
            <w:vMerge w:val="restart"/>
            <w:vAlign w:val="center"/>
          </w:tcPr>
          <w:p>
            <w:pPr>
              <w:pStyle w:val="42"/>
              <w:numPr>
                <w:ilvl w:val="0"/>
                <w:numId w:val="4"/>
              </w:numPr>
              <w:spacing w:after="0"/>
              <w:jc w:val="center"/>
              <w:rPr>
                <w:color w:val="auto"/>
              </w:rPr>
            </w:pPr>
          </w:p>
        </w:tc>
        <w:tc>
          <w:tcPr>
            <w:tcW w:w="1228" w:type="dxa"/>
            <w:vMerge w:val="restart"/>
            <w:vAlign w:val="center"/>
          </w:tcPr>
          <w:p>
            <w:pPr>
              <w:spacing w:after="0"/>
              <w:rPr>
                <w:rFonts w:hint="eastAsia"/>
                <w:color w:val="auto"/>
              </w:rPr>
            </w:pPr>
            <w:r>
              <w:rPr>
                <w:rFonts w:hint="eastAsia"/>
                <w:color w:val="auto"/>
              </w:rPr>
              <w:t>项目负责人及技术力量安排等</w:t>
            </w:r>
          </w:p>
          <w:p>
            <w:pPr>
              <w:spacing w:after="0"/>
              <w:rPr>
                <w:rFonts w:hint="eastAsia"/>
                <w:color w:val="auto"/>
              </w:rPr>
            </w:pPr>
          </w:p>
        </w:tc>
        <w:tc>
          <w:tcPr>
            <w:tcW w:w="5292" w:type="dxa"/>
          </w:tcPr>
          <w:p>
            <w:pPr>
              <w:spacing w:after="0"/>
              <w:rPr>
                <w:rFonts w:hint="eastAsia"/>
                <w:color w:val="auto"/>
              </w:rPr>
            </w:pPr>
            <w:r>
              <w:rPr>
                <w:rFonts w:hint="eastAsia" w:ascii="仿宋" w:hAnsi="仿宋" w:eastAsia="仿宋" w:cs="仿宋"/>
                <w:color w:val="auto"/>
                <w:kern w:val="0"/>
                <w:sz w:val="24"/>
                <w:lang w:val="zh-CN"/>
              </w:rPr>
              <w:t>根据完成本认定工作内容的团队力量配备情况（人员投入、综合素质、专业力量等）</w:t>
            </w:r>
            <w:r>
              <w:rPr>
                <w:rFonts w:hint="eastAsia" w:ascii="仿宋" w:hAnsi="仿宋" w:eastAsia="仿宋" w:cs="仿宋"/>
                <w:color w:val="auto"/>
                <w:kern w:val="0"/>
                <w:sz w:val="24"/>
              </w:rPr>
              <w:t>（综合评定打分）</w:t>
            </w:r>
          </w:p>
        </w:tc>
        <w:tc>
          <w:tcPr>
            <w:tcW w:w="709" w:type="dxa"/>
            <w:vAlign w:val="center"/>
          </w:tcPr>
          <w:p>
            <w:pPr>
              <w:spacing w:after="0"/>
              <w:rPr>
                <w:rFonts w:hint="default"/>
                <w:color w:val="auto"/>
                <w:lang w:val="en-US" w:eastAsia="zh-CN"/>
              </w:rPr>
            </w:pPr>
            <w:r>
              <w:rPr>
                <w:rFonts w:hint="eastAsia"/>
                <w:color w:val="auto"/>
                <w:lang w:val="en-US" w:eastAsia="zh-CN"/>
              </w:rPr>
              <w:t>5分</w:t>
            </w:r>
          </w:p>
        </w:tc>
        <w:tc>
          <w:tcPr>
            <w:tcW w:w="850" w:type="dxa"/>
            <w:vAlign w:val="center"/>
          </w:tcPr>
          <w:p>
            <w:pPr>
              <w:spacing w:after="0"/>
              <w:rPr>
                <w:rFonts w:hint="eastAsia"/>
                <w:color w:val="auto"/>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Merge w:val="continue"/>
          </w:tcPr>
          <w:p>
            <w:pPr>
              <w:pStyle w:val="42"/>
              <w:spacing w:after="0"/>
              <w:ind w:left="420"/>
              <w:rPr>
                <w:color w:val="auto"/>
              </w:rPr>
            </w:pPr>
          </w:p>
        </w:tc>
        <w:tc>
          <w:tcPr>
            <w:tcW w:w="553" w:type="dxa"/>
            <w:vMerge w:val="continue"/>
            <w:vAlign w:val="center"/>
          </w:tcPr>
          <w:p>
            <w:pPr>
              <w:pStyle w:val="42"/>
              <w:numPr>
                <w:ilvl w:val="0"/>
                <w:numId w:val="4"/>
              </w:numPr>
              <w:spacing w:after="0"/>
              <w:jc w:val="center"/>
              <w:rPr>
                <w:color w:val="auto"/>
              </w:rPr>
            </w:pPr>
          </w:p>
        </w:tc>
        <w:tc>
          <w:tcPr>
            <w:tcW w:w="1228" w:type="dxa"/>
            <w:vMerge w:val="continue"/>
            <w:vAlign w:val="center"/>
          </w:tcPr>
          <w:p>
            <w:pPr>
              <w:spacing w:after="0"/>
              <w:rPr>
                <w:rFonts w:hint="eastAsia"/>
                <w:color w:val="auto"/>
              </w:rPr>
            </w:pPr>
          </w:p>
        </w:tc>
        <w:tc>
          <w:tcPr>
            <w:tcW w:w="5292" w:type="dxa"/>
          </w:tcPr>
          <w:p>
            <w:pPr>
              <w:spacing w:after="0"/>
              <w:rPr>
                <w:rFonts w:hint="eastAsia" w:ascii="仿宋" w:hAnsi="仿宋" w:eastAsia="仿宋" w:cs="仿宋"/>
                <w:color w:val="auto"/>
                <w:kern w:val="0"/>
                <w:sz w:val="24"/>
                <w:lang w:val="zh-CN"/>
              </w:rPr>
            </w:pPr>
            <w:r>
              <w:rPr>
                <w:rFonts w:hint="eastAsia"/>
                <w:lang w:val="en-US" w:eastAsia="zh-CN"/>
              </w:rPr>
              <w:t>项目负责人具有注册安全工程师和注册消防工程师的得5分（</w:t>
            </w:r>
            <w:r>
              <w:rPr>
                <w:rFonts w:hint="eastAsia"/>
              </w:rPr>
              <w:t>提供注册在投标人单位的注册证书复印件及近三个月社保缴纳在投标人单位社保证明复印件</w:t>
            </w:r>
            <w:r>
              <w:rPr>
                <w:rFonts w:hint="eastAsia"/>
                <w:lang w:val="en-US" w:eastAsia="zh-CN"/>
              </w:rPr>
              <w:t>并加盖公章</w:t>
            </w:r>
            <w:r>
              <w:rPr>
                <w:rFonts w:hint="eastAsia"/>
                <w:lang w:eastAsia="zh-CN"/>
              </w:rPr>
              <w:t>，</w:t>
            </w:r>
            <w:r>
              <w:rPr>
                <w:rFonts w:hint="eastAsia"/>
                <w:lang w:val="en-US" w:eastAsia="zh-CN"/>
              </w:rPr>
              <w:t>资料不全的不得分</w:t>
            </w:r>
            <w:r>
              <w:rPr>
                <w:rFonts w:hint="eastAsia"/>
              </w:rPr>
              <w:t>。</w:t>
            </w:r>
            <w:r>
              <w:rPr>
                <w:rFonts w:hint="eastAsia"/>
                <w:lang w:val="en-US" w:eastAsia="zh-CN"/>
              </w:rPr>
              <w:t>）</w:t>
            </w:r>
          </w:p>
        </w:tc>
        <w:tc>
          <w:tcPr>
            <w:tcW w:w="709" w:type="dxa"/>
            <w:vAlign w:val="center"/>
          </w:tcPr>
          <w:p>
            <w:pPr>
              <w:spacing w:after="0"/>
              <w:rPr>
                <w:rFonts w:hint="eastAsia"/>
                <w:color w:val="auto"/>
                <w:lang w:val="en-US" w:eastAsia="zh-CN"/>
              </w:rPr>
            </w:pPr>
            <w:r>
              <w:rPr>
                <w:rFonts w:hint="eastAsia"/>
                <w:color w:val="auto"/>
                <w:lang w:val="en-US" w:eastAsia="zh-CN"/>
              </w:rPr>
              <w:t>5分</w:t>
            </w:r>
          </w:p>
        </w:tc>
        <w:tc>
          <w:tcPr>
            <w:tcW w:w="850" w:type="dxa"/>
            <w:vAlign w:val="center"/>
          </w:tcPr>
          <w:p>
            <w:pPr>
              <w:spacing w:after="0"/>
              <w:rPr>
                <w:rFonts w:hint="eastAsia"/>
                <w:color w:val="auto"/>
                <w:lang w:eastAsia="zh-CN"/>
              </w:rPr>
            </w:pPr>
            <w:r>
              <w:rPr>
                <w:rFonts w:hint="eastAsia"/>
                <w:color w:val="auto"/>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auto"/>
              </w:rPr>
            </w:pP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color w:val="auto"/>
              </w:rPr>
            </w:pPr>
            <w:r>
              <w:rPr>
                <w:rFonts w:hint="eastAsia" w:cs="仿宋_GB2312"/>
                <w:color w:val="auto"/>
              </w:rPr>
              <w:t>对本项目的合理化建议</w:t>
            </w:r>
          </w:p>
        </w:tc>
        <w:tc>
          <w:tcPr>
            <w:tcW w:w="5292" w:type="dxa"/>
          </w:tcPr>
          <w:p>
            <w:pPr>
              <w:spacing w:after="0"/>
              <w:rPr>
                <w:color w:val="auto"/>
              </w:rPr>
            </w:pPr>
            <w:r>
              <w:rPr>
                <w:rFonts w:hint="eastAsia"/>
                <w:color w:val="auto"/>
                <w:kern w:val="0"/>
                <w:sz w:val="24"/>
              </w:rPr>
              <w:t>针对本项目建设，根据投标人提供的合理化建议综合评定打分。</w:t>
            </w:r>
          </w:p>
        </w:tc>
        <w:tc>
          <w:tcPr>
            <w:tcW w:w="709" w:type="dxa"/>
            <w:vAlign w:val="center"/>
          </w:tcPr>
          <w:p>
            <w:pPr>
              <w:spacing w:after="0"/>
              <w:rPr>
                <w:rFonts w:hint="eastAsia" w:eastAsia="仿宋"/>
                <w:color w:val="auto"/>
                <w:lang w:val="en-US" w:eastAsia="zh-CN"/>
              </w:rPr>
            </w:pPr>
            <w:r>
              <w:rPr>
                <w:rFonts w:hint="eastAsia"/>
                <w:color w:val="auto"/>
                <w:lang w:val="en-US" w:eastAsia="zh-CN"/>
              </w:rPr>
              <w:t>5分</w:t>
            </w:r>
          </w:p>
        </w:tc>
        <w:tc>
          <w:tcPr>
            <w:tcW w:w="850" w:type="dxa"/>
            <w:vAlign w:val="center"/>
          </w:tcPr>
          <w:p>
            <w:pPr>
              <w:spacing w:after="0"/>
              <w:rPr>
                <w:color w:val="auto"/>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auto"/>
              </w:rPr>
            </w:pP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rFonts w:hint="eastAsia" w:eastAsia="仿宋"/>
                <w:color w:val="auto"/>
                <w:lang w:eastAsia="zh-CN"/>
              </w:rPr>
            </w:pPr>
            <w:r>
              <w:rPr>
                <w:rFonts w:hint="eastAsia" w:cs="仿宋_GB2312"/>
                <w:color w:val="auto"/>
              </w:rPr>
              <w:t>服务质量保证情况</w:t>
            </w:r>
          </w:p>
        </w:tc>
        <w:tc>
          <w:tcPr>
            <w:tcW w:w="5292" w:type="dxa"/>
          </w:tcPr>
          <w:p>
            <w:pPr>
              <w:spacing w:after="0"/>
              <w:rPr>
                <w:color w:val="auto"/>
              </w:rPr>
            </w:pPr>
            <w:r>
              <w:rPr>
                <w:rFonts w:hint="eastAsia"/>
                <w:color w:val="auto"/>
                <w:kern w:val="0"/>
                <w:sz w:val="24"/>
              </w:rPr>
              <w:t>根据质保期限、可实现程度、提供优惠等情况综合评定打分</w:t>
            </w:r>
          </w:p>
        </w:tc>
        <w:tc>
          <w:tcPr>
            <w:tcW w:w="709" w:type="dxa"/>
            <w:vAlign w:val="center"/>
          </w:tcPr>
          <w:p>
            <w:pPr>
              <w:spacing w:after="0"/>
              <w:rPr>
                <w:rFonts w:hint="eastAsia" w:ascii="仿宋" w:hAnsi="仿宋" w:eastAsia="仿宋" w:cstheme="majorBidi"/>
                <w:color w:val="auto"/>
                <w:sz w:val="24"/>
                <w:szCs w:val="24"/>
                <w:lang w:val="en-US" w:eastAsia="zh-CN" w:bidi="ar-SA"/>
              </w:rPr>
            </w:pPr>
            <w:r>
              <w:rPr>
                <w:rFonts w:hint="eastAsia"/>
                <w:color w:val="auto"/>
                <w:lang w:val="en-US" w:eastAsia="zh-CN"/>
              </w:rPr>
              <w:t>5分</w:t>
            </w:r>
          </w:p>
        </w:tc>
        <w:tc>
          <w:tcPr>
            <w:tcW w:w="850" w:type="dxa"/>
            <w:vAlign w:val="center"/>
          </w:tcPr>
          <w:p>
            <w:pPr>
              <w:spacing w:after="0"/>
              <w:rPr>
                <w:rFonts w:ascii="仿宋" w:hAnsi="仿宋" w:eastAsia="仿宋" w:cstheme="majorBidi"/>
                <w:color w:val="auto"/>
                <w:sz w:val="24"/>
                <w:szCs w:val="24"/>
                <w:lang w:val="en-US" w:eastAsia="zh-CN" w:bidi="ar-SA"/>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auto"/>
              </w:rPr>
            </w:pP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color w:val="auto"/>
              </w:rPr>
            </w:pPr>
            <w:r>
              <w:rPr>
                <w:rFonts w:hint="eastAsia" w:cs="仿宋_GB2312"/>
                <w:color w:val="auto"/>
              </w:rPr>
              <w:t>服务承诺</w:t>
            </w:r>
          </w:p>
        </w:tc>
        <w:tc>
          <w:tcPr>
            <w:tcW w:w="5292" w:type="dxa"/>
          </w:tcPr>
          <w:p>
            <w:pPr>
              <w:spacing w:after="0"/>
              <w:rPr>
                <w:color w:val="auto"/>
              </w:rPr>
            </w:pPr>
            <w:r>
              <w:rPr>
                <w:rFonts w:hint="eastAsia"/>
                <w:color w:val="auto"/>
                <w:kern w:val="0"/>
                <w:sz w:val="24"/>
              </w:rPr>
              <w:t>根据售后服务方案、措施、响应及本地化服务能力等情况综合评定打分。</w:t>
            </w:r>
          </w:p>
        </w:tc>
        <w:tc>
          <w:tcPr>
            <w:tcW w:w="709" w:type="dxa"/>
            <w:vAlign w:val="center"/>
          </w:tcPr>
          <w:p>
            <w:pPr>
              <w:spacing w:after="0"/>
              <w:rPr>
                <w:rFonts w:hint="eastAsia" w:ascii="仿宋" w:hAnsi="仿宋" w:eastAsia="仿宋" w:cstheme="majorBidi"/>
                <w:color w:val="auto"/>
                <w:sz w:val="24"/>
                <w:szCs w:val="24"/>
                <w:lang w:val="en-US" w:eastAsia="zh-CN" w:bidi="ar-SA"/>
              </w:rPr>
            </w:pPr>
            <w:r>
              <w:rPr>
                <w:rFonts w:hint="eastAsia"/>
                <w:color w:val="auto"/>
                <w:lang w:val="en-US" w:eastAsia="zh-CN"/>
              </w:rPr>
              <w:t>5分</w:t>
            </w:r>
          </w:p>
        </w:tc>
        <w:tc>
          <w:tcPr>
            <w:tcW w:w="850" w:type="dxa"/>
            <w:vAlign w:val="center"/>
          </w:tcPr>
          <w:p>
            <w:pPr>
              <w:spacing w:after="0"/>
              <w:rPr>
                <w:rFonts w:ascii="仿宋" w:hAnsi="仿宋" w:eastAsia="仿宋" w:cstheme="majorBidi"/>
                <w:color w:val="auto"/>
                <w:sz w:val="24"/>
                <w:szCs w:val="24"/>
                <w:lang w:val="en-US" w:eastAsia="zh-CN" w:bidi="ar-SA"/>
              </w:rPr>
            </w:pPr>
            <w:r>
              <w:rPr>
                <w:rFonts w:hint="eastAsia"/>
                <w:color w:va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auto"/>
              </w:rPr>
            </w:pPr>
          </w:p>
        </w:tc>
        <w:tc>
          <w:tcPr>
            <w:tcW w:w="553" w:type="dxa"/>
            <w:vAlign w:val="center"/>
          </w:tcPr>
          <w:p>
            <w:pPr>
              <w:pStyle w:val="42"/>
              <w:numPr>
                <w:ilvl w:val="0"/>
                <w:numId w:val="4"/>
              </w:numPr>
              <w:spacing w:after="0"/>
              <w:jc w:val="center"/>
              <w:rPr>
                <w:color w:val="auto"/>
              </w:rPr>
            </w:pPr>
          </w:p>
        </w:tc>
        <w:tc>
          <w:tcPr>
            <w:tcW w:w="1228" w:type="dxa"/>
            <w:vAlign w:val="center"/>
          </w:tcPr>
          <w:p>
            <w:pPr>
              <w:spacing w:after="0"/>
              <w:rPr>
                <w:rFonts w:hint="eastAsia" w:eastAsia="仿宋"/>
                <w:color w:val="auto"/>
                <w:lang w:eastAsia="zh-CN"/>
              </w:rPr>
            </w:pPr>
            <w:r>
              <w:rPr>
                <w:rFonts w:hint="eastAsia"/>
                <w:color w:val="auto"/>
                <w:lang w:eastAsia="zh-CN"/>
              </w:rPr>
              <w:t>应急处理</w:t>
            </w:r>
          </w:p>
        </w:tc>
        <w:tc>
          <w:tcPr>
            <w:tcW w:w="5292" w:type="dxa"/>
          </w:tcPr>
          <w:p>
            <w:pPr>
              <w:spacing w:after="0"/>
              <w:rPr>
                <w:color w:val="auto"/>
              </w:rPr>
            </w:pPr>
            <w:r>
              <w:rPr>
                <w:rFonts w:hint="eastAsia" w:ascii="仿宋" w:hAnsi="仿宋" w:eastAsia="仿宋" w:cs="仿宋"/>
                <w:color w:val="auto"/>
                <w:kern w:val="0"/>
                <w:sz w:val="24"/>
                <w:lang w:val="zh-CN"/>
              </w:rPr>
              <w:t>根据后勤保障、</w:t>
            </w:r>
            <w:r>
              <w:rPr>
                <w:rFonts w:hint="eastAsia" w:ascii="仿宋" w:hAnsi="仿宋" w:eastAsia="仿宋" w:cs="仿宋"/>
                <w:color w:val="auto"/>
                <w:kern w:val="0"/>
                <w:sz w:val="24"/>
              </w:rPr>
              <w:t>人员保障</w:t>
            </w:r>
            <w:r>
              <w:rPr>
                <w:rFonts w:hint="eastAsia" w:ascii="仿宋" w:hAnsi="仿宋" w:eastAsia="仿宋" w:cs="仿宋"/>
                <w:color w:val="auto"/>
                <w:kern w:val="0"/>
                <w:sz w:val="24"/>
                <w:lang w:val="zh-CN"/>
              </w:rPr>
              <w:t>及应急预案情况综合打分</w:t>
            </w:r>
            <w:r>
              <w:rPr>
                <w:rFonts w:hint="eastAsia"/>
                <w:color w:val="auto"/>
              </w:rPr>
              <w:t>。</w:t>
            </w:r>
          </w:p>
        </w:tc>
        <w:tc>
          <w:tcPr>
            <w:tcW w:w="709" w:type="dxa"/>
            <w:vAlign w:val="center"/>
          </w:tcPr>
          <w:p>
            <w:pPr>
              <w:spacing w:after="0"/>
              <w:rPr>
                <w:rFonts w:hint="eastAsia" w:ascii="仿宋" w:hAnsi="仿宋" w:eastAsia="仿宋" w:cstheme="majorBidi"/>
                <w:color w:val="auto"/>
                <w:sz w:val="24"/>
                <w:szCs w:val="24"/>
                <w:lang w:val="en-US" w:eastAsia="zh-CN" w:bidi="ar-SA"/>
              </w:rPr>
            </w:pPr>
            <w:r>
              <w:rPr>
                <w:rFonts w:hint="eastAsia"/>
                <w:color w:val="auto"/>
                <w:lang w:val="en-US" w:eastAsia="zh-CN"/>
              </w:rPr>
              <w:t>5分</w:t>
            </w:r>
          </w:p>
        </w:tc>
        <w:tc>
          <w:tcPr>
            <w:tcW w:w="850" w:type="dxa"/>
            <w:vAlign w:val="center"/>
          </w:tcPr>
          <w:p>
            <w:pPr>
              <w:spacing w:after="0"/>
              <w:rPr>
                <w:rFonts w:ascii="仿宋" w:hAnsi="仿宋" w:eastAsia="仿宋" w:cstheme="majorBidi"/>
                <w:color w:val="auto"/>
                <w:sz w:val="24"/>
                <w:szCs w:val="24"/>
                <w:lang w:val="en-US" w:eastAsia="zh-CN" w:bidi="ar-SA"/>
              </w:rPr>
            </w:pPr>
            <w:r>
              <w:rPr>
                <w:rFonts w:hint="eastAsia"/>
                <w:color w:val="auto"/>
                <w:lang w:eastAsia="zh-CN"/>
              </w:rPr>
              <w:t>主观分</w:t>
            </w:r>
          </w:p>
        </w:tc>
      </w:tr>
    </w:tbl>
    <w:p>
      <w:pPr>
        <w:rPr>
          <w:b/>
        </w:rPr>
      </w:pPr>
    </w:p>
    <w:p>
      <w:pPr>
        <w:spacing w:line="360" w:lineRule="auto"/>
        <w:rPr>
          <w:rFonts w:cs="仿宋_GB2312"/>
          <w:b/>
        </w:rPr>
      </w:pPr>
      <w:r>
        <w:rPr>
          <w:rFonts w:hint="eastAsia" w:cs="仿宋_GB2312"/>
          <w:b/>
        </w:rPr>
        <w:t>价格分（</w:t>
      </w:r>
      <w:r>
        <w:rPr>
          <w:rFonts w:hint="eastAsia" w:cs="仿宋_GB2312"/>
          <w:b/>
          <w:lang w:val="en-US" w:eastAsia="zh-CN"/>
        </w:rPr>
        <w:t>20</w:t>
      </w:r>
      <w:r>
        <w:rPr>
          <w:rFonts w:hint="eastAsia" w:cs="仿宋_GB2312"/>
          <w:b/>
        </w:rPr>
        <w:t>分）</w:t>
      </w:r>
    </w:p>
    <w:tbl>
      <w:tblPr>
        <w:tblStyle w:val="2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2126"/>
        <w:gridCol w:w="439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jc w:val="center"/>
        </w:trPr>
        <w:tc>
          <w:tcPr>
            <w:tcW w:w="709" w:type="dxa"/>
          </w:tcPr>
          <w:p>
            <w:pPr>
              <w:spacing w:after="0"/>
            </w:pPr>
            <w:r>
              <w:rPr>
                <w:rFonts w:hint="eastAsia" w:cs="仿宋_GB2312"/>
              </w:rPr>
              <w:t>价格分</w:t>
            </w:r>
          </w:p>
        </w:tc>
        <w:tc>
          <w:tcPr>
            <w:tcW w:w="553" w:type="dxa"/>
            <w:vAlign w:val="center"/>
          </w:tcPr>
          <w:p>
            <w:pPr>
              <w:pStyle w:val="42"/>
              <w:numPr>
                <w:ilvl w:val="0"/>
                <w:numId w:val="4"/>
              </w:numPr>
              <w:spacing w:after="0"/>
              <w:jc w:val="center"/>
            </w:pPr>
          </w:p>
        </w:tc>
        <w:tc>
          <w:tcPr>
            <w:tcW w:w="2126" w:type="dxa"/>
            <w:vAlign w:val="center"/>
          </w:tcPr>
          <w:p>
            <w:pPr>
              <w:spacing w:after="0"/>
            </w:pPr>
            <w:r>
              <w:rPr>
                <w:rFonts w:hint="eastAsia" w:cs="仿宋_GB2312"/>
                <w:color w:val="1F4E79"/>
              </w:rPr>
              <w:t>价格权值</w:t>
            </w:r>
          </w:p>
        </w:tc>
        <w:tc>
          <w:tcPr>
            <w:tcW w:w="4394" w:type="dxa"/>
          </w:tcPr>
          <w:p>
            <w:pPr>
              <w:spacing w:after="0" w:line="360" w:lineRule="auto"/>
              <w:rPr>
                <w:rFonts w:cs="仿宋_GB2312"/>
                <w:color w:val="1F4E79"/>
              </w:rPr>
            </w:pPr>
            <w:r>
              <w:rPr>
                <w:rFonts w:hint="eastAsia" w:cs="仿宋_GB2312"/>
                <w:color w:val="1F4E79"/>
              </w:rPr>
              <w:t>最低有效投标价格为评标基准价</w:t>
            </w:r>
          </w:p>
          <w:p>
            <w:pPr>
              <w:spacing w:after="0" w:line="360" w:lineRule="auto"/>
              <w:rPr>
                <w:rFonts w:cs="仿宋_GB2312"/>
                <w:color w:val="1F4E79"/>
              </w:rPr>
            </w:pPr>
            <w:r>
              <w:rPr>
                <w:rFonts w:hint="eastAsia" w:cs="仿宋_GB2312"/>
                <w:color w:val="1F4E79"/>
              </w:rPr>
              <w:t>投标报价得分</w:t>
            </w:r>
            <w:r>
              <w:rPr>
                <w:rFonts w:cs="仿宋_GB2312"/>
                <w:color w:val="1F4E79"/>
              </w:rPr>
              <w:t>=(</w:t>
            </w:r>
            <w:r>
              <w:rPr>
                <w:rFonts w:hint="eastAsia" w:cs="仿宋_GB2312"/>
                <w:color w:val="1F4E79"/>
              </w:rPr>
              <w:t>评标基准价／投标报价</w:t>
            </w:r>
            <w:r>
              <w:rPr>
                <w:rFonts w:cs="仿宋_GB2312"/>
                <w:color w:val="1F4E79"/>
              </w:rPr>
              <w:t>)</w:t>
            </w:r>
            <w:r>
              <w:rPr>
                <w:rFonts w:hint="eastAsia" w:cs="仿宋_GB2312"/>
                <w:color w:val="1F4E79"/>
              </w:rPr>
              <w:t>×价格权值×</w:t>
            </w:r>
            <w:r>
              <w:rPr>
                <w:rFonts w:cs="仿宋_GB2312"/>
                <w:color w:val="1F4E79"/>
              </w:rPr>
              <w:t xml:space="preserve">100 </w:t>
            </w:r>
          </w:p>
          <w:p>
            <w:pPr>
              <w:spacing w:after="0"/>
            </w:pPr>
            <w:r>
              <w:rPr>
                <w:rFonts w:hint="eastAsia" w:cs="仿宋_GB2312"/>
                <w:color w:val="1F4E79"/>
              </w:rPr>
              <w:t>（计算得分保留小数点后</w:t>
            </w:r>
            <w:r>
              <w:rPr>
                <w:rFonts w:cs="仿宋_GB2312"/>
                <w:color w:val="1F4E79"/>
              </w:rPr>
              <w:t>2</w:t>
            </w:r>
            <w:r>
              <w:rPr>
                <w:rFonts w:hint="eastAsia" w:cs="仿宋_GB2312"/>
                <w:color w:val="1F4E79"/>
              </w:rPr>
              <w:t>位）</w:t>
            </w:r>
          </w:p>
        </w:tc>
        <w:tc>
          <w:tcPr>
            <w:tcW w:w="709" w:type="dxa"/>
            <w:vAlign w:val="center"/>
          </w:tcPr>
          <w:p>
            <w:pPr>
              <w:spacing w:after="0"/>
              <w:rPr>
                <w:rFonts w:hint="default" w:eastAsia="仿宋"/>
                <w:lang w:val="en-US" w:eastAsia="zh-CN"/>
              </w:rPr>
            </w:pPr>
            <w:r>
              <w:rPr>
                <w:rFonts w:hint="eastAsia"/>
                <w:lang w:val="en-US" w:eastAsia="zh-CN"/>
              </w:rPr>
              <w:t>20</w:t>
            </w:r>
          </w:p>
        </w:tc>
        <w:tc>
          <w:tcPr>
            <w:tcW w:w="850" w:type="dxa"/>
            <w:vAlign w:val="center"/>
          </w:tcPr>
          <w:p>
            <w:pPr>
              <w:spacing w:after="0"/>
            </w:pPr>
          </w:p>
        </w:tc>
      </w:tr>
    </w:tbl>
    <w:p>
      <w:pPr>
        <w:spacing w:line="360" w:lineRule="auto"/>
        <w:rPr>
          <w:rFonts w:cs="仿宋_GB2312"/>
          <w:color w:val="000000"/>
        </w:rPr>
      </w:pPr>
      <w:r>
        <w:rPr>
          <w:rFonts w:hint="eastAsia" w:cs="仿宋_GB2312"/>
          <w:b/>
        </w:rPr>
        <w:t>备注：</w:t>
      </w:r>
      <w:r>
        <w:rPr>
          <w:rFonts w:hint="eastAsia" w:cs="仿宋_GB2312"/>
          <w:color w:val="000000"/>
        </w:rPr>
        <w:t>1、评分条款中涉及的业绩、荣誉、人员、社保等分公司均有效。</w:t>
      </w:r>
    </w:p>
    <w:p>
      <w:pPr>
        <w:spacing w:line="360" w:lineRule="auto"/>
        <w:rPr>
          <w:rFonts w:cs="仿宋_GB2312"/>
          <w:color w:val="000000"/>
        </w:rPr>
      </w:pPr>
      <w:r>
        <w:rPr>
          <w:rFonts w:hint="eastAsia" w:cs="仿宋_GB2312"/>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rPr>
      </w:pPr>
      <w:r>
        <w:rPr>
          <w:rFonts w:hint="eastAsia" w:cs="仿宋_GB2312"/>
          <w:color w:val="000000"/>
        </w:rPr>
        <w:t>3、</w:t>
      </w:r>
      <w:r>
        <w:rPr>
          <w:rFonts w:hint="eastAsia" w:cs="仿宋_GB2312"/>
        </w:rPr>
        <w:t>投标人编制投标文件（商务技术文件部分）时，建议按此目录（序号和内容）提供评标标准相应的商务技术资料。</w:t>
      </w:r>
      <w:r>
        <w:rPr>
          <w:rFonts w:cs="仿宋_GB2312"/>
        </w:rPr>
        <w:t> </w:t>
      </w:r>
    </w:p>
    <w:p/>
    <w:p>
      <w:pPr>
        <w:pStyle w:val="4"/>
      </w:pPr>
      <w:r>
        <w:rPr>
          <w:rFonts w:hint="eastAsia"/>
        </w:rPr>
        <w:t>一、评标方法</w:t>
      </w:r>
    </w:p>
    <w:p>
      <w:pPr>
        <w:spacing w:line="360" w:lineRule="auto"/>
        <w:ind w:firstLine="472" w:firstLineChars="196"/>
        <w:rPr>
          <w:rFonts w:ascii="仿宋_GB2312" w:eastAsia="仿宋_GB2312" w:cs="Arial"/>
        </w:rPr>
      </w:pPr>
      <w:r>
        <w:rPr>
          <w:rStyle w:val="32"/>
        </w:rPr>
        <w:t>1.</w:t>
      </w:r>
      <w:r>
        <w:rPr>
          <w:rStyle w:val="32"/>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2"/>
        </w:rPr>
        <w:t xml:space="preserve">2. </w:t>
      </w:r>
      <w:r>
        <w:rPr>
          <w:rStyle w:val="32"/>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2"/>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2"/>
        </w:rPr>
        <w:t xml:space="preserve">3.2 </w:t>
      </w:r>
      <w:r>
        <w:rPr>
          <w:rStyle w:val="32"/>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2"/>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5"/>
      </w:pPr>
      <w:r>
        <w:tab/>
      </w:r>
      <w:r>
        <w:t>3.4报价评审。</w:t>
      </w:r>
    </w:p>
    <w:p>
      <w:pPr>
        <w:pStyle w:val="56"/>
      </w:pPr>
      <w:r>
        <w:t>3.4.1投标文件报价出现前后不一致的，按照下列规定修正：</w:t>
      </w:r>
    </w:p>
    <w:p>
      <w:pPr>
        <w:pStyle w:val="56"/>
      </w:pPr>
      <w:r>
        <w:t>3.4.1.1投标文件中开标一览表(报价表)内容与投标文件中相应内容不一致的，以开标一览表(报价表)为准;</w:t>
      </w:r>
    </w:p>
    <w:p>
      <w:pPr>
        <w:pStyle w:val="56"/>
      </w:pPr>
      <w:r>
        <w:t>3.4.1.2大写金额和小写金额不一致的，以大写金额为准;</w:t>
      </w:r>
    </w:p>
    <w:p>
      <w:pPr>
        <w:pStyle w:val="56"/>
      </w:pPr>
      <w:r>
        <w:t>3.4.1.3单价金额小数点或者百分比有明显错位的，以开标一览表的总价为准，并修改单价;</w:t>
      </w:r>
    </w:p>
    <w:p>
      <w:pPr>
        <w:pStyle w:val="56"/>
      </w:pPr>
      <w:r>
        <w:t>3.4.1.4总价金额与按单价汇总金额不一致的，以单价金额计算结果为准。</w:t>
      </w:r>
    </w:p>
    <w:p>
      <w:pPr>
        <w:pStyle w:val="56"/>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6"/>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6"/>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2"/>
        </w:rPr>
        <w:t>3.5</w:t>
      </w:r>
      <w:r>
        <w:rPr>
          <w:rStyle w:val="32"/>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2"/>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56"/>
      </w:pPr>
      <w:r>
        <w:rPr>
          <w:rStyle w:val="32"/>
        </w:rPr>
        <w:t>4.1</w:t>
      </w:r>
      <w:r>
        <w:rPr>
          <w:rStyle w:val="32"/>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pacing w:line="360" w:lineRule="auto"/>
        <w:ind w:left="1021" w:leftChars="226" w:hanging="479" w:firstLineChars="0"/>
        <w:rPr>
          <w:rFonts w:ascii="仿宋_GB2312" w:hAnsi="仿宋" w:eastAsia="仿宋_GB2312" w:cs="仿宋_GB2312"/>
          <w:szCs w:val="21"/>
        </w:rPr>
      </w:pPr>
      <w:r>
        <w:rPr>
          <w:rStyle w:val="32"/>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4"/>
        <w:snapToGrid w:val="0"/>
        <w:spacing w:line="360" w:lineRule="auto"/>
        <w:ind w:firstLine="472" w:firstLineChars="196"/>
        <w:rPr>
          <w:rFonts w:ascii="仿宋_GB2312" w:hAnsi="仿宋" w:eastAsia="仿宋_GB2312" w:cs="仿宋_GB2312"/>
        </w:rPr>
      </w:pPr>
      <w:r>
        <w:rPr>
          <w:rStyle w:val="32"/>
        </w:rPr>
        <w:t>5.废标。</w:t>
      </w:r>
      <w:r>
        <w:rPr>
          <w:rFonts w:hint="eastAsia" w:ascii="仿宋_GB2312" w:hAnsi="仿宋" w:eastAsia="仿宋_GB2312" w:cs="仿宋_GB2312"/>
        </w:rPr>
        <w:t>根据《中华人民共和国政府采购法》第三十六条之规定，在采购中，出现下列情形之一的，应予废标：</w:t>
      </w:r>
    </w:p>
    <w:p>
      <w:pPr>
        <w:pStyle w:val="1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4"/>
        <w:snapToGrid w:val="0"/>
        <w:spacing w:line="360" w:lineRule="auto"/>
        <w:ind w:firstLine="590" w:firstLineChars="245"/>
        <w:rPr>
          <w:rFonts w:ascii="仿宋_GB2312" w:hAnsi="仿宋" w:eastAsia="仿宋_GB2312" w:cs="仿宋_GB2312"/>
        </w:rPr>
      </w:pPr>
      <w:r>
        <w:rPr>
          <w:rStyle w:val="32"/>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4"/>
        <w:snapToGrid w:val="0"/>
        <w:spacing w:line="360" w:lineRule="auto"/>
        <w:ind w:firstLine="590" w:firstLineChars="245"/>
        <w:rPr>
          <w:rFonts w:ascii="仿宋_GB2312" w:hAnsi="仿宋" w:eastAsia="仿宋_GB2312" w:cs="仿宋_GB2312"/>
        </w:rPr>
      </w:pPr>
      <w:r>
        <w:rPr>
          <w:rStyle w:val="32"/>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4"/>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4"/>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67"/>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67"/>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6"/>
        <w:spacing w:before="120" w:line="22" w:lineRule="atLeast"/>
        <w:rPr>
          <w:rFonts w:ascii="仿宋" w:hAnsi="仿宋" w:eastAsia="仿宋"/>
          <w:szCs w:val="24"/>
        </w:rPr>
      </w:pPr>
    </w:p>
    <w:p>
      <w:pPr>
        <w:pStyle w:val="66"/>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5"/>
      </w:pPr>
      <w:bookmarkStart w:id="367" w:name="_Toc2232"/>
      <w:bookmarkStart w:id="368" w:name="_Toc3029"/>
      <w:bookmarkStart w:id="369" w:name="_Toc24059"/>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5"/>
      </w:pPr>
      <w:bookmarkStart w:id="370" w:name="_Toc24300"/>
      <w:bookmarkStart w:id="371" w:name="_Toc27126"/>
      <w:bookmarkStart w:id="372" w:name="_Toc21295"/>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5"/>
      </w:pPr>
      <w:bookmarkStart w:id="373" w:name="_Toc21631"/>
      <w:bookmarkStart w:id="374" w:name="_Toc21551"/>
      <w:bookmarkStart w:id="375" w:name="_Toc23292"/>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sz w:val="24"/>
                <w:szCs w:val="24"/>
              </w:rPr>
            </w:pPr>
          </w:p>
        </w:tc>
      </w:tr>
    </w:tbl>
    <w:p>
      <w:pPr>
        <w:pStyle w:val="5"/>
      </w:pPr>
      <w:bookmarkStart w:id="376" w:name="_Toc10340"/>
      <w:bookmarkStart w:id="377" w:name="_Toc22618"/>
      <w:bookmarkStart w:id="378" w:name="_Toc1814"/>
      <w:r>
        <w:t xml:space="preserve">1.4 </w:t>
      </w:r>
      <w:r>
        <w:rPr>
          <w:rFonts w:hint="eastAsia"/>
        </w:rPr>
        <w:t>付款</w:t>
      </w:r>
      <w:bookmarkEnd w:id="376"/>
      <w:bookmarkEnd w:id="377"/>
      <w:bookmarkEnd w:id="378"/>
      <w:r>
        <w:rPr>
          <w:rFonts w:hint="eastAsia"/>
        </w:rPr>
        <w:t>方式、时间和条件</w:t>
      </w:r>
    </w:p>
    <w:p>
      <w:pPr>
        <w:pStyle w:val="68"/>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5"/>
      </w:pPr>
      <w:bookmarkStart w:id="379" w:name="_Toc32071"/>
      <w:bookmarkStart w:id="380" w:name="_Toc2846"/>
      <w:bookmarkStart w:id="381" w:name="_Toc19304"/>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5"/>
      </w:pPr>
      <w:bookmarkStart w:id="382" w:name="_Toc19554"/>
      <w:bookmarkStart w:id="383" w:name="_Toc27250"/>
      <w:bookmarkStart w:id="384" w:name="_Toc21423"/>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5"/>
      </w:pPr>
      <w:bookmarkStart w:id="385" w:name="_Toc28375"/>
      <w:bookmarkStart w:id="386" w:name="_Toc16021"/>
      <w:bookmarkStart w:id="387" w:name="_Toc15583"/>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5"/>
      </w:pPr>
      <w:bookmarkStart w:id="388" w:name="_Toc15322"/>
      <w:bookmarkStart w:id="389" w:name="_Toc11173"/>
      <w:bookmarkStart w:id="390" w:name="_Toc7245"/>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4"/>
      </w:pPr>
      <w:r>
        <w:rPr>
          <w:rFonts w:hint="eastAsia"/>
        </w:rPr>
        <w:t>第二部分</w:t>
      </w:r>
      <w:r>
        <w:t xml:space="preserve"> </w:t>
      </w:r>
      <w:r>
        <w:rPr>
          <w:rFonts w:hint="eastAsia"/>
        </w:rPr>
        <w:t>合同一般条款</w:t>
      </w:r>
      <w:bookmarkEnd w:id="391"/>
    </w:p>
    <w:p>
      <w:pPr>
        <w:pStyle w:val="5"/>
      </w:pPr>
      <w:bookmarkStart w:id="392" w:name="_Toc28763"/>
      <w:bookmarkStart w:id="393" w:name="_Ref467379225"/>
      <w:bookmarkStart w:id="394" w:name="_Toc487900349"/>
      <w:bookmarkStart w:id="395" w:name="_Ref467378499"/>
      <w:bookmarkStart w:id="396" w:name="_Ref467379205"/>
      <w:bookmarkStart w:id="397" w:name="_Toc16917"/>
      <w:bookmarkStart w:id="398" w:name="_Toc19614"/>
      <w:bookmarkStart w:id="399" w:name="_Ref467378404"/>
      <w:bookmarkStart w:id="400" w:name="_Ref467379195"/>
      <w:bookmarkStart w:id="401" w:name="_Ref467379214"/>
      <w:bookmarkStart w:id="402" w:name="_Toc259093669"/>
      <w:bookmarkStart w:id="403" w:name="_Ref467379109"/>
      <w:bookmarkStart w:id="404" w:name="_Ref467379101"/>
      <w:bookmarkStart w:id="405" w:name="_Toc279701240"/>
      <w:bookmarkStart w:id="406" w:name="_Ref467378463"/>
      <w:bookmarkStart w:id="407" w:name="_Ref467379094"/>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5"/>
      </w:pPr>
      <w:bookmarkStart w:id="411" w:name="_Toc279701241"/>
      <w:bookmarkStart w:id="412" w:name="_Toc259093670"/>
      <w:bookmarkStart w:id="413" w:name="_Toc487900350"/>
      <w:bookmarkStart w:id="414" w:name="_Toc13336"/>
      <w:bookmarkStart w:id="415" w:name="_Toc32504"/>
      <w:bookmarkStart w:id="416" w:name="_Toc27635"/>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5"/>
      </w:pPr>
      <w:bookmarkStart w:id="417" w:name="_Toc259093671"/>
      <w:bookmarkStart w:id="418" w:name="_Toc31634"/>
      <w:bookmarkStart w:id="419" w:name="_Toc487900351"/>
      <w:bookmarkStart w:id="420" w:name="_Toc279701242"/>
      <w:bookmarkStart w:id="421" w:name="_Toc9829"/>
      <w:bookmarkStart w:id="422" w:name="_Toc27853"/>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5"/>
      </w:pPr>
      <w:bookmarkStart w:id="423" w:name="_Toc4194"/>
      <w:bookmarkStart w:id="424" w:name="_Toc29149"/>
      <w:bookmarkStart w:id="425" w:name="_Toc11932"/>
      <w:r>
        <w:t xml:space="preserve">2.4 </w:t>
      </w:r>
      <w:r>
        <w:rPr>
          <w:rFonts w:hint="eastAsia"/>
        </w:rPr>
        <w:t>包装和装运</w:t>
      </w:r>
      <w:bookmarkEnd w:id="423"/>
      <w:bookmarkEnd w:id="424"/>
      <w:bookmarkEnd w:id="425"/>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5"/>
      </w:pPr>
      <w:bookmarkStart w:id="426" w:name="_Toc487900354"/>
      <w:bookmarkStart w:id="427" w:name="_Toc279701245"/>
      <w:bookmarkStart w:id="428" w:name="_Ref467379542"/>
      <w:bookmarkStart w:id="429" w:name="_Ref467379536"/>
      <w:bookmarkStart w:id="430" w:name="_Ref467379527"/>
      <w:bookmarkStart w:id="431" w:name="_Ref467378591"/>
      <w:bookmarkStart w:id="432" w:name="_Ref467378541"/>
      <w:bookmarkStart w:id="433" w:name="_Toc259093674"/>
      <w:bookmarkStart w:id="434" w:name="_Toc19074"/>
      <w:bookmarkStart w:id="435" w:name="_Toc30272"/>
      <w:bookmarkStart w:id="436" w:name="_Toc26182"/>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Ref467379807"/>
      <w:bookmarkStart w:id="440" w:name="_Toc259093676"/>
      <w:bookmarkStart w:id="441" w:name="_Toc279701247"/>
      <w:bookmarkStart w:id="442" w:name="_Toc487900357"/>
      <w:bookmarkStart w:id="443" w:name="_Ref467379793"/>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5"/>
      </w:pPr>
      <w:bookmarkStart w:id="445" w:name="_Ref467379923"/>
      <w:bookmarkStart w:id="446" w:name="_Ref467379863"/>
      <w:bookmarkStart w:id="447" w:name="_Toc259093677"/>
      <w:bookmarkStart w:id="448" w:name="_Ref467379852"/>
      <w:bookmarkStart w:id="449" w:name="_Toc279701248"/>
      <w:bookmarkStart w:id="450" w:name="_Toc487900358"/>
      <w:bookmarkStart w:id="451" w:name="_Toc774"/>
      <w:bookmarkStart w:id="452" w:name="_Toc3225"/>
      <w:bookmarkStart w:id="453" w:name="_Toc16110"/>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5"/>
      </w:pPr>
      <w:bookmarkStart w:id="455" w:name="_Toc17244"/>
      <w:bookmarkStart w:id="456" w:name="_Toc259093681"/>
      <w:bookmarkStart w:id="457" w:name="_Toc279701252"/>
      <w:bookmarkStart w:id="458" w:name="_Toc487900362"/>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5"/>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pPr>
      <w:bookmarkStart w:id="460" w:name="_Toc7502"/>
      <w:bookmarkStart w:id="461" w:name="_Toc259093683"/>
      <w:bookmarkStart w:id="462" w:name="_Toc279701254"/>
      <w:bookmarkStart w:id="463" w:name="_Toc487900364"/>
      <w:bookmarkStart w:id="464" w:name="_Ref467378121"/>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487900369"/>
      <w:bookmarkStart w:id="466" w:name="_Toc279701259"/>
      <w:bookmarkStart w:id="467" w:name="_Toc259093688"/>
    </w:p>
    <w:p>
      <w:pPr>
        <w:pStyle w:val="5"/>
      </w:pPr>
      <w:bookmarkStart w:id="468" w:name="_Toc15237"/>
      <w:bookmarkStart w:id="469" w:name="_Toc10366"/>
      <w:bookmarkStart w:id="470" w:name="_Toc22955"/>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5"/>
      </w:pPr>
      <w:bookmarkStart w:id="471" w:name="_Toc13566"/>
      <w:bookmarkStart w:id="472" w:name="_Toc14066"/>
      <w:bookmarkStart w:id="473" w:name="_Toc16508"/>
      <w:r>
        <w:t xml:space="preserve">2.12 </w:t>
      </w:r>
      <w:r>
        <w:rPr>
          <w:rFonts w:hint="eastAsia"/>
        </w:rPr>
        <w:t>不可抗力</w:t>
      </w:r>
      <w:bookmarkEnd w:id="471"/>
      <w:bookmarkEnd w:id="472"/>
      <w:bookmarkEnd w:id="473"/>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5"/>
      </w:pPr>
      <w:bookmarkStart w:id="474" w:name="_Toc487900365"/>
      <w:bookmarkStart w:id="475" w:name="_Toc279701255"/>
      <w:bookmarkStart w:id="476" w:name="_Toc30676"/>
      <w:bookmarkStart w:id="477" w:name="_Toc259093684"/>
      <w:bookmarkStart w:id="478" w:name="_Toc689"/>
      <w:bookmarkStart w:id="479" w:name="_Toc6969"/>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5"/>
      </w:pPr>
      <w:bookmarkStart w:id="480" w:name="_Toc16959"/>
      <w:bookmarkStart w:id="481" w:name="_Toc279701258"/>
      <w:bookmarkStart w:id="482" w:name="_Toc7102"/>
      <w:bookmarkStart w:id="483" w:name="_Toc487900368"/>
      <w:bookmarkStart w:id="484" w:name="_Toc8298"/>
      <w:bookmarkStart w:id="485" w:name="_Toc259093687"/>
      <w:r>
        <w:t>2.14乙方破产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pPr>
      <w:bookmarkStart w:id="486" w:name="_Toc29333"/>
      <w:bookmarkStart w:id="487" w:name="_Toc6134"/>
      <w:bookmarkStart w:id="488" w:name="_Toc15387"/>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5"/>
      </w:pPr>
      <w:bookmarkStart w:id="489" w:name="_Toc1125"/>
      <w:bookmarkStart w:id="490" w:name="_Toc14563"/>
      <w:bookmarkStart w:id="491" w:name="_Toc6596"/>
      <w:r>
        <w:t>2.16检验和验收</w:t>
      </w:r>
      <w:bookmarkEnd w:id="489"/>
      <w:bookmarkEnd w:id="490"/>
      <w:bookmarkEnd w:id="491"/>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5"/>
      </w:pPr>
      <w:bookmarkStart w:id="492" w:name="_Toc487900371"/>
      <w:bookmarkStart w:id="493" w:name="_Toc259093690"/>
      <w:bookmarkStart w:id="494" w:name="_Toc279701261"/>
      <w:bookmarkStart w:id="495" w:name="_Toc25182"/>
      <w:bookmarkStart w:id="496" w:name="_Toc11284"/>
      <w:bookmarkStart w:id="497" w:name="_Toc19604"/>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6698"/>
      <w:bookmarkStart w:id="499" w:name="_Toc3135"/>
      <w:bookmarkStart w:id="500" w:name="_Toc487900372"/>
      <w:bookmarkStart w:id="501" w:name="_Toc279701262"/>
      <w:bookmarkStart w:id="502" w:name="_Toc259093691"/>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294"/>
      <w:bookmarkStart w:id="504" w:name="_Toc23128"/>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3"/>
      <w:bookmarkEnd w:id="504"/>
    </w:p>
    <w:p>
      <w:pPr>
        <w:pStyle w:val="5"/>
      </w:pPr>
      <w:bookmarkStart w:id="505" w:name="_Toc30599"/>
      <w:bookmarkStart w:id="506" w:name="_Toc4355"/>
      <w:bookmarkStart w:id="507" w:name="_Toc18540"/>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,合同的计量单位均使用国家法定计量单位。</w:t>
      </w:r>
    </w:p>
    <w:p>
      <w:pPr>
        <w:pStyle w:val="5"/>
      </w:pPr>
      <w:bookmarkStart w:id="508" w:name="_Toc259093692"/>
      <w:bookmarkStart w:id="509" w:name="_Toc279701263"/>
      <w:bookmarkStart w:id="510" w:name="_Toc10330"/>
      <w:bookmarkStart w:id="511" w:name="_Toc12773"/>
      <w:bookmarkStart w:id="512" w:name="_Toc18567"/>
      <w:bookmarkStart w:id="513" w:name="_Toc487900373"/>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5"/>
      </w:pPr>
      <w:bookmarkStart w:id="514" w:name="_Toc16673"/>
      <w:bookmarkStart w:id="515" w:name="_Toc279701264"/>
      <w:bookmarkStart w:id="516" w:name="_Toc259093693"/>
      <w:bookmarkStart w:id="517" w:name="_Toc12004"/>
      <w:bookmarkStart w:id="518" w:name="_Toc3148"/>
      <w:bookmarkStart w:id="519" w:name="_Toc487900374"/>
      <w:r>
        <w:t xml:space="preserve">2.20 </w:t>
      </w:r>
      <w:r>
        <w:rPr>
          <w:rFonts w:hint="eastAsia"/>
        </w:rPr>
        <w:t>履约保证金</w:t>
      </w:r>
      <w:bookmarkEnd w:id="514"/>
      <w:bookmarkEnd w:id="515"/>
      <w:bookmarkEnd w:id="516"/>
      <w:bookmarkEnd w:id="517"/>
      <w:bookmarkEnd w:id="518"/>
    </w:p>
    <w:p>
      <w:pPr>
        <w:pStyle w:val="68"/>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5"/>
      </w:pPr>
      <w:r>
        <w:t>2.2</w:t>
      </w:r>
      <w:r>
        <w:rPr>
          <w:rFonts w:hint="eastAsia"/>
        </w:rPr>
        <w:t>1</w:t>
      </w:r>
      <w:r>
        <w:t>对于因甲方原因导致变更、中止或者终止政府采购合同的，甲方应当依照合同约定对供应商受到的损失予以赔偿或者补偿。</w:t>
      </w:r>
    </w:p>
    <w:bookmarkEnd w:id="519"/>
    <w:p>
      <w:pPr>
        <w:pStyle w:val="5"/>
      </w:pPr>
      <w:bookmarkStart w:id="520" w:name="_Toc19890"/>
      <w:bookmarkStart w:id="521" w:name="_Toc6885"/>
      <w:bookmarkStart w:id="522" w:name="_Toc14001"/>
      <w:r>
        <w:t>2.2</w:t>
      </w:r>
      <w:r>
        <w:rPr>
          <w:rFonts w:hint="eastAsia"/>
        </w:rPr>
        <w:t>2合同份数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FF0000"/>
        </w:rPr>
      </w:pPr>
      <w:r>
        <w:rPr>
          <w:rFonts w:hint="eastAsia"/>
          <w:color w:val="FF0000"/>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3%的扣除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23"/>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3" w:name="_Toc465665161"/>
      <w:r>
        <w:rPr>
          <w:rFonts w:hint="eastAsia"/>
        </w:rPr>
        <w:t>附件</w:t>
      </w:r>
      <w:bookmarkEnd w:id="523"/>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3"/>
      <w:bookmarkStart w:id="525" w:name="OLE_LINK14"/>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56"/>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6"/>
      </w:pPr>
      <w:r>
        <w:rPr>
          <w:rFonts w:hint="eastAsia"/>
        </w:rPr>
        <w:t>本单位对上述声明的真实性负责。如有虚假，将依法承担相应责任。</w:t>
      </w:r>
    </w:p>
    <w:p>
      <w:pPr>
        <w:pStyle w:val="56"/>
      </w:pPr>
    </w:p>
    <w:p>
      <w:pPr>
        <w:pStyle w:val="56"/>
      </w:pPr>
    </w:p>
    <w:p>
      <w:pPr>
        <w:pStyle w:val="56"/>
        <w:jc w:val="right"/>
      </w:pPr>
      <w:r>
        <w:rPr>
          <w:rFonts w:hint="eastAsia"/>
        </w:rPr>
        <w:t>投标人名称（电子签名）：</w:t>
      </w:r>
    </w:p>
    <w:p>
      <w:pPr>
        <w:pStyle w:val="56"/>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6"/>
      </w:pPr>
      <w:r>
        <w:rPr>
          <w:rFonts w:hint="eastAsia"/>
        </w:rPr>
        <w:t>一、质疑供应商基本信息</w:t>
      </w:r>
    </w:p>
    <w:p>
      <w:pPr>
        <w:pStyle w:val="56"/>
        <w:rPr>
          <w:u w:val="dotted"/>
        </w:rPr>
      </w:pPr>
      <w:r>
        <w:rPr>
          <w:rFonts w:hint="eastAsia"/>
        </w:rPr>
        <w:t>质疑供应商：</w:t>
      </w:r>
      <w:r>
        <w:rPr>
          <w:u w:val="dotted"/>
        </w:rPr>
        <w:t xml:space="preserve">                                        </w:t>
      </w:r>
    </w:p>
    <w:p>
      <w:pPr>
        <w:pStyle w:val="56"/>
      </w:pPr>
      <w:r>
        <w:rPr>
          <w:rFonts w:hint="eastAsia"/>
        </w:rPr>
        <w:t>地址：</w:t>
      </w:r>
      <w:r>
        <w:rPr>
          <w:u w:val="dotted"/>
        </w:rPr>
        <w:t xml:space="preserve">                          </w:t>
      </w:r>
      <w:r>
        <w:rPr>
          <w:rFonts w:hint="eastAsia"/>
        </w:rPr>
        <w:t>邮编：</w:t>
      </w:r>
      <w:r>
        <w:rPr>
          <w:u w:val="dotted"/>
        </w:rPr>
        <w:t xml:space="preserve">                                                   </w:t>
      </w:r>
    </w:p>
    <w:p>
      <w:pPr>
        <w:pStyle w:val="56"/>
      </w:pPr>
      <w:r>
        <w:rPr>
          <w:rFonts w:hint="eastAsia"/>
        </w:rPr>
        <w:t>联系人：</w:t>
      </w:r>
      <w:r>
        <w:rPr>
          <w:u w:val="dotted"/>
        </w:rPr>
        <w:t xml:space="preserve">                      </w:t>
      </w:r>
      <w:r>
        <w:rPr>
          <w:rFonts w:hint="eastAsia"/>
        </w:rPr>
        <w:t>联系电话：</w:t>
      </w:r>
      <w:r>
        <w:rPr>
          <w:u w:val="dotted"/>
        </w:rPr>
        <w:t xml:space="preserve">                              </w:t>
      </w:r>
    </w:p>
    <w:p>
      <w:pPr>
        <w:pStyle w:val="56"/>
        <w:rPr>
          <w:u w:val="dotted"/>
        </w:rPr>
      </w:pPr>
      <w:r>
        <w:rPr>
          <w:rFonts w:hint="eastAsia"/>
        </w:rPr>
        <w:t>授权代表：</w:t>
      </w:r>
      <w:r>
        <w:rPr>
          <w:u w:val="dotted"/>
        </w:rPr>
        <w:t xml:space="preserve">                                          </w:t>
      </w:r>
    </w:p>
    <w:p>
      <w:pPr>
        <w:pStyle w:val="56"/>
      </w:pPr>
      <w:r>
        <w:rPr>
          <w:rFonts w:hint="eastAsia"/>
        </w:rPr>
        <w:t>联系电话：</w:t>
      </w:r>
      <w:r>
        <w:rPr>
          <w:u w:val="dotted"/>
        </w:rPr>
        <w:t xml:space="preserve">                                           </w:t>
      </w:r>
      <w:r>
        <w:t xml:space="preserve"> </w:t>
      </w:r>
    </w:p>
    <w:p>
      <w:pPr>
        <w:pStyle w:val="56"/>
      </w:pPr>
      <w:r>
        <w:rPr>
          <w:rFonts w:hint="eastAsia"/>
        </w:rPr>
        <w:t>地址：</w:t>
      </w:r>
      <w:r>
        <w:t xml:space="preserve"> </w:t>
      </w:r>
      <w:r>
        <w:rPr>
          <w:u w:val="dotted"/>
        </w:rPr>
        <w:t xml:space="preserve">                        </w:t>
      </w:r>
      <w:r>
        <w:rPr>
          <w:rFonts w:hint="eastAsia"/>
        </w:rPr>
        <w:t>邮编：</w:t>
      </w:r>
      <w:r>
        <w:rPr>
          <w:u w:val="dotted"/>
        </w:rPr>
        <w:t xml:space="preserve">                                                </w:t>
      </w:r>
    </w:p>
    <w:p>
      <w:pPr>
        <w:pStyle w:val="56"/>
      </w:pPr>
      <w:r>
        <w:rPr>
          <w:rFonts w:hint="eastAsia"/>
        </w:rPr>
        <w:t>二、质疑项目基本情况</w:t>
      </w:r>
    </w:p>
    <w:p>
      <w:pPr>
        <w:pStyle w:val="56"/>
      </w:pPr>
      <w:r>
        <w:rPr>
          <w:rFonts w:hint="eastAsia"/>
        </w:rPr>
        <w:t>质疑项目的名称：</w:t>
      </w:r>
      <w:r>
        <w:rPr>
          <w:u w:val="dotted"/>
        </w:rPr>
        <w:t xml:space="preserve">                                      </w:t>
      </w:r>
    </w:p>
    <w:p>
      <w:pPr>
        <w:pStyle w:val="56"/>
      </w:pPr>
      <w:r>
        <w:rPr>
          <w:rFonts w:hint="eastAsia"/>
        </w:rPr>
        <w:t>质疑项目的编号：</w:t>
      </w:r>
      <w:r>
        <w:rPr>
          <w:u w:val="dotted"/>
        </w:rPr>
        <w:t xml:space="preserve">               </w:t>
      </w:r>
      <w:r>
        <w:rPr>
          <w:rFonts w:hint="eastAsia"/>
        </w:rPr>
        <w:t>包号：</w:t>
      </w:r>
      <w:r>
        <w:rPr>
          <w:u w:val="dotted"/>
        </w:rPr>
        <w:t xml:space="preserve">                 </w:t>
      </w:r>
    </w:p>
    <w:p>
      <w:pPr>
        <w:pStyle w:val="56"/>
        <w:rPr>
          <w:u w:val="dotted"/>
        </w:rPr>
      </w:pPr>
      <w:r>
        <w:rPr>
          <w:rFonts w:hint="eastAsia"/>
        </w:rPr>
        <w:t>采购人名称：</w:t>
      </w:r>
      <w:r>
        <w:rPr>
          <w:u w:val="dotted"/>
        </w:rPr>
        <w:t xml:space="preserve">                                         </w:t>
      </w:r>
    </w:p>
    <w:p>
      <w:pPr>
        <w:pStyle w:val="56"/>
      </w:pPr>
      <w:r>
        <w:rPr>
          <w:rFonts w:hint="eastAsia"/>
        </w:rPr>
        <w:t>采购文件获取日期：</w:t>
      </w:r>
      <w:r>
        <w:rPr>
          <w:u w:val="dotted"/>
        </w:rPr>
        <w:t xml:space="preserve">                                           </w:t>
      </w:r>
    </w:p>
    <w:p>
      <w:pPr>
        <w:pStyle w:val="56"/>
      </w:pPr>
      <w:r>
        <w:rPr>
          <w:rFonts w:hint="eastAsia"/>
        </w:rPr>
        <w:t>三、质疑事项具体内容</w:t>
      </w:r>
    </w:p>
    <w:p>
      <w:pPr>
        <w:pStyle w:val="56"/>
        <w:rPr>
          <w:u w:val="dotted"/>
        </w:rPr>
      </w:pPr>
      <w:r>
        <w:rPr>
          <w:rFonts w:hint="eastAsia"/>
        </w:rPr>
        <w:t>质疑事项</w:t>
      </w:r>
      <w:r>
        <w:t>1：</w:t>
      </w:r>
      <w:r>
        <w:rPr>
          <w:u w:val="dotted"/>
        </w:rPr>
        <w:t xml:space="preserve">                                         </w:t>
      </w:r>
    </w:p>
    <w:p>
      <w:pPr>
        <w:pStyle w:val="56"/>
        <w:rPr>
          <w:u w:val="dotted"/>
        </w:rPr>
      </w:pPr>
      <w:r>
        <w:rPr>
          <w:rFonts w:hint="eastAsia"/>
        </w:rPr>
        <w:t>事实依据：</w:t>
      </w:r>
      <w:r>
        <w:rPr>
          <w:u w:val="dotted"/>
        </w:rPr>
        <w:t xml:space="preserve">                                          </w:t>
      </w:r>
    </w:p>
    <w:p>
      <w:pPr>
        <w:pStyle w:val="56"/>
      </w:pPr>
      <w:r>
        <w:rPr>
          <w:u w:val="dotted"/>
        </w:rPr>
        <w:t xml:space="preserve">                                                       </w:t>
      </w:r>
    </w:p>
    <w:p>
      <w:pPr>
        <w:pStyle w:val="56"/>
        <w:rPr>
          <w:u w:val="dotted"/>
        </w:rPr>
      </w:pPr>
      <w:r>
        <w:rPr>
          <w:rFonts w:hint="eastAsia"/>
        </w:rPr>
        <w:t>法律依据：</w:t>
      </w:r>
      <w:r>
        <w:rPr>
          <w:u w:val="dotted"/>
        </w:rPr>
        <w:t xml:space="preserve">                                          </w:t>
      </w:r>
    </w:p>
    <w:p>
      <w:pPr>
        <w:pStyle w:val="56"/>
        <w:rPr>
          <w:u w:val="dotted"/>
        </w:rPr>
      </w:pPr>
      <w:r>
        <w:rPr>
          <w:u w:val="dotted"/>
        </w:rPr>
        <w:t xml:space="preserve">                                                     </w:t>
      </w:r>
    </w:p>
    <w:p>
      <w:pPr>
        <w:pStyle w:val="56"/>
        <w:rPr>
          <w:u w:val="dotted"/>
        </w:rPr>
      </w:pPr>
      <w:r>
        <w:rPr>
          <w:rFonts w:hint="eastAsia"/>
        </w:rPr>
        <w:t>质疑事项</w:t>
      </w:r>
      <w:r>
        <w:t>2</w:t>
      </w:r>
    </w:p>
    <w:p>
      <w:pPr>
        <w:pStyle w:val="56"/>
      </w:pPr>
      <w:r>
        <w:rPr>
          <w:rFonts w:hint="eastAsia"/>
        </w:rPr>
        <w:t>……</w:t>
      </w:r>
    </w:p>
    <w:p>
      <w:pPr>
        <w:pStyle w:val="56"/>
      </w:pPr>
      <w:r>
        <w:rPr>
          <w:rFonts w:hint="eastAsia"/>
        </w:rPr>
        <w:t>四、与质疑事项相关的质疑请求</w:t>
      </w:r>
    </w:p>
    <w:p>
      <w:pPr>
        <w:pStyle w:val="56"/>
        <w:rPr>
          <w:u w:val="dotted"/>
        </w:rPr>
      </w:pPr>
      <w:r>
        <w:rPr>
          <w:rFonts w:hint="eastAsia"/>
        </w:rPr>
        <w:t>请求：</w:t>
      </w:r>
      <w:r>
        <w:rPr>
          <w:u w:val="dotted"/>
        </w:rPr>
        <w:t xml:space="preserve">                                               </w:t>
      </w:r>
    </w:p>
    <w:p>
      <w:pPr>
        <w:pStyle w:val="56"/>
      </w:pPr>
      <w:r>
        <w:rPr>
          <w:rFonts w:hint="eastAsia"/>
        </w:rPr>
        <w:t>签字</w:t>
      </w:r>
      <w:r>
        <w:t xml:space="preserve">(签章)：                   公章：                      </w:t>
      </w:r>
    </w:p>
    <w:p>
      <w:pPr>
        <w:pStyle w:val="56"/>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6"/>
      </w:pPr>
      <w:r>
        <w:t>1.供应商提出质疑时，应提交质疑函和必要的证明材料。</w:t>
      </w:r>
    </w:p>
    <w:p>
      <w:pPr>
        <w:pStyle w:val="56"/>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6"/>
      </w:pPr>
      <w:r>
        <w:t>3.质疑供应商若对项目的某一分包进行质疑，质疑函中应列明具体分包号。</w:t>
      </w:r>
    </w:p>
    <w:p>
      <w:pPr>
        <w:pStyle w:val="56"/>
      </w:pPr>
      <w:r>
        <w:t>4.质疑函的质疑事项应具体、明确，并有必要的事实依据和法律依据。</w:t>
      </w:r>
    </w:p>
    <w:p>
      <w:pPr>
        <w:pStyle w:val="56"/>
      </w:pPr>
      <w:r>
        <w:t>5.质疑函的质疑请求应与质疑事项相关。</w:t>
      </w:r>
    </w:p>
    <w:p>
      <w:pPr>
        <w:pStyle w:val="56"/>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jc w:val="right"/>
    </w:pPr>
    <w:r>
      <w:t></w:t>
    </w:r>
    <w:r>
      <w:rPr>
        <w:rFonts w:hint="eastAsia"/>
      </w:rPr>
      <w:t xml:space="preserve">             </w:t>
    </w:r>
    <w:r>
      <w:t>杭州市政府采购公开招标文件</w:t>
    </w:r>
  </w:p>
  <w:p>
    <w:pPr>
      <w:pStyle w:val="20"/>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D348"/>
    <w:multiLevelType w:val="singleLevel"/>
    <w:tmpl w:val="FE1DD348"/>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BF28AC"/>
    <w:multiLevelType w:val="singleLevel"/>
    <w:tmpl w:val="60BF28AC"/>
    <w:lvl w:ilvl="0" w:tentative="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YWQ1ZjdhYzg0ZmYwYzY0MjYyMGU4MzNlOTkzMjIifQ=="/>
  </w:docVars>
  <w:rsids>
    <w:rsidRoot w:val="004A31C0"/>
    <w:rsid w:val="00040E44"/>
    <w:rsid w:val="000506FE"/>
    <w:rsid w:val="00052F13"/>
    <w:rsid w:val="00062A5D"/>
    <w:rsid w:val="00083EEE"/>
    <w:rsid w:val="000C3DA7"/>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62F9D"/>
    <w:rsid w:val="004A31C0"/>
    <w:rsid w:val="004D5876"/>
    <w:rsid w:val="004E0863"/>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5A2A"/>
    <w:rsid w:val="009064F4"/>
    <w:rsid w:val="009823B1"/>
    <w:rsid w:val="009863A6"/>
    <w:rsid w:val="0098739B"/>
    <w:rsid w:val="009B7259"/>
    <w:rsid w:val="009E6B47"/>
    <w:rsid w:val="00A364B9"/>
    <w:rsid w:val="00A5394E"/>
    <w:rsid w:val="00A955FA"/>
    <w:rsid w:val="00AB3C03"/>
    <w:rsid w:val="00AC5A89"/>
    <w:rsid w:val="00B0507A"/>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1271FA5"/>
    <w:rsid w:val="016814B1"/>
    <w:rsid w:val="01763BCE"/>
    <w:rsid w:val="01826A17"/>
    <w:rsid w:val="0187402D"/>
    <w:rsid w:val="03411FE4"/>
    <w:rsid w:val="034E0ACF"/>
    <w:rsid w:val="048E6904"/>
    <w:rsid w:val="04BA64C7"/>
    <w:rsid w:val="04C335CE"/>
    <w:rsid w:val="04DF5F2E"/>
    <w:rsid w:val="051F457C"/>
    <w:rsid w:val="06465693"/>
    <w:rsid w:val="06BA27AF"/>
    <w:rsid w:val="06BB2083"/>
    <w:rsid w:val="06D03D80"/>
    <w:rsid w:val="07AA2823"/>
    <w:rsid w:val="083E2F6B"/>
    <w:rsid w:val="088C091F"/>
    <w:rsid w:val="08964B56"/>
    <w:rsid w:val="09DF09FE"/>
    <w:rsid w:val="0AD16319"/>
    <w:rsid w:val="0CF44D4E"/>
    <w:rsid w:val="0DF30828"/>
    <w:rsid w:val="0F3D5D2B"/>
    <w:rsid w:val="0F725385"/>
    <w:rsid w:val="105C0433"/>
    <w:rsid w:val="11515ABE"/>
    <w:rsid w:val="119A3908"/>
    <w:rsid w:val="11A20F22"/>
    <w:rsid w:val="11A55E09"/>
    <w:rsid w:val="12867AFC"/>
    <w:rsid w:val="12A52565"/>
    <w:rsid w:val="12EA6D9D"/>
    <w:rsid w:val="13767A5D"/>
    <w:rsid w:val="138118AC"/>
    <w:rsid w:val="15593193"/>
    <w:rsid w:val="163D0D06"/>
    <w:rsid w:val="16E318AE"/>
    <w:rsid w:val="171E28E6"/>
    <w:rsid w:val="1721368D"/>
    <w:rsid w:val="17FF700A"/>
    <w:rsid w:val="18567E5D"/>
    <w:rsid w:val="189866C8"/>
    <w:rsid w:val="18E831AB"/>
    <w:rsid w:val="18F45BA2"/>
    <w:rsid w:val="18F51424"/>
    <w:rsid w:val="19940AAD"/>
    <w:rsid w:val="19A54BF8"/>
    <w:rsid w:val="1A0933D9"/>
    <w:rsid w:val="1A5F062D"/>
    <w:rsid w:val="1B301C28"/>
    <w:rsid w:val="1B8D3B96"/>
    <w:rsid w:val="1C0876C1"/>
    <w:rsid w:val="1D945AC9"/>
    <w:rsid w:val="1DAD5AF2"/>
    <w:rsid w:val="1EB202A6"/>
    <w:rsid w:val="1EE1739D"/>
    <w:rsid w:val="1F244811"/>
    <w:rsid w:val="1F505606"/>
    <w:rsid w:val="1F6E6866"/>
    <w:rsid w:val="1F7C3B44"/>
    <w:rsid w:val="20743577"/>
    <w:rsid w:val="21116909"/>
    <w:rsid w:val="212A1E87"/>
    <w:rsid w:val="2228286B"/>
    <w:rsid w:val="22665141"/>
    <w:rsid w:val="23D305B4"/>
    <w:rsid w:val="23ED78C8"/>
    <w:rsid w:val="23F32A04"/>
    <w:rsid w:val="241906BD"/>
    <w:rsid w:val="24D12C57"/>
    <w:rsid w:val="255B4D05"/>
    <w:rsid w:val="256E4A38"/>
    <w:rsid w:val="265956E8"/>
    <w:rsid w:val="26647BE9"/>
    <w:rsid w:val="27417518"/>
    <w:rsid w:val="274243CE"/>
    <w:rsid w:val="27906EE8"/>
    <w:rsid w:val="28292E99"/>
    <w:rsid w:val="283261F1"/>
    <w:rsid w:val="28BA7F95"/>
    <w:rsid w:val="28C037FD"/>
    <w:rsid w:val="28E53263"/>
    <w:rsid w:val="2922202D"/>
    <w:rsid w:val="29312005"/>
    <w:rsid w:val="2B0C625F"/>
    <w:rsid w:val="2B146082"/>
    <w:rsid w:val="2D8B0E85"/>
    <w:rsid w:val="2DBD655D"/>
    <w:rsid w:val="2E293BF2"/>
    <w:rsid w:val="2E666BF4"/>
    <w:rsid w:val="2E9F5C62"/>
    <w:rsid w:val="2EFF3C8C"/>
    <w:rsid w:val="2FF62D50"/>
    <w:rsid w:val="302D729E"/>
    <w:rsid w:val="31C85DFF"/>
    <w:rsid w:val="320D7387"/>
    <w:rsid w:val="328F5F4B"/>
    <w:rsid w:val="338D4C23"/>
    <w:rsid w:val="34381A96"/>
    <w:rsid w:val="345B087E"/>
    <w:rsid w:val="3484750D"/>
    <w:rsid w:val="34C46423"/>
    <w:rsid w:val="369E0EF6"/>
    <w:rsid w:val="371B60A2"/>
    <w:rsid w:val="37240250"/>
    <w:rsid w:val="37405B09"/>
    <w:rsid w:val="37887BDC"/>
    <w:rsid w:val="38286CC9"/>
    <w:rsid w:val="38A65664"/>
    <w:rsid w:val="394B64EB"/>
    <w:rsid w:val="39812B34"/>
    <w:rsid w:val="39B04185"/>
    <w:rsid w:val="3A2B0CF2"/>
    <w:rsid w:val="3A7D77A0"/>
    <w:rsid w:val="3B337E5E"/>
    <w:rsid w:val="3B3D0CDD"/>
    <w:rsid w:val="3B451940"/>
    <w:rsid w:val="3B894AC7"/>
    <w:rsid w:val="3BD86C58"/>
    <w:rsid w:val="3BEE1FD7"/>
    <w:rsid w:val="3D235CB1"/>
    <w:rsid w:val="3E5B04D8"/>
    <w:rsid w:val="3E5C0687"/>
    <w:rsid w:val="3E70699B"/>
    <w:rsid w:val="3E7964D0"/>
    <w:rsid w:val="3EC3031A"/>
    <w:rsid w:val="3EF13B77"/>
    <w:rsid w:val="3F0D09C6"/>
    <w:rsid w:val="3F2A77CA"/>
    <w:rsid w:val="3F8213B4"/>
    <w:rsid w:val="3FB54085"/>
    <w:rsid w:val="3FCF2120"/>
    <w:rsid w:val="401A15ED"/>
    <w:rsid w:val="40240EFB"/>
    <w:rsid w:val="41C2018E"/>
    <w:rsid w:val="4258271B"/>
    <w:rsid w:val="433429C6"/>
    <w:rsid w:val="43D83C99"/>
    <w:rsid w:val="43E4263E"/>
    <w:rsid w:val="4427252A"/>
    <w:rsid w:val="442A5B77"/>
    <w:rsid w:val="4447497A"/>
    <w:rsid w:val="44EE3FA4"/>
    <w:rsid w:val="45EC3A2B"/>
    <w:rsid w:val="4646138E"/>
    <w:rsid w:val="46A936CA"/>
    <w:rsid w:val="46A94814"/>
    <w:rsid w:val="470B7EE1"/>
    <w:rsid w:val="47253D48"/>
    <w:rsid w:val="47C54534"/>
    <w:rsid w:val="47FB1D04"/>
    <w:rsid w:val="48AA54D8"/>
    <w:rsid w:val="4A3E4DEF"/>
    <w:rsid w:val="4B413ED2"/>
    <w:rsid w:val="4C2A4745"/>
    <w:rsid w:val="4C4A14AC"/>
    <w:rsid w:val="4CC0176E"/>
    <w:rsid w:val="4CFE0483"/>
    <w:rsid w:val="4D153868"/>
    <w:rsid w:val="4D243AAB"/>
    <w:rsid w:val="4D331F40"/>
    <w:rsid w:val="4D5D0D6B"/>
    <w:rsid w:val="4D600DE3"/>
    <w:rsid w:val="4DF07E31"/>
    <w:rsid w:val="4E465CA3"/>
    <w:rsid w:val="4E9B7D9D"/>
    <w:rsid w:val="4EDE412D"/>
    <w:rsid w:val="4F716D4F"/>
    <w:rsid w:val="50175B49"/>
    <w:rsid w:val="5064466C"/>
    <w:rsid w:val="51C4125A"/>
    <w:rsid w:val="532145E9"/>
    <w:rsid w:val="534A3B3F"/>
    <w:rsid w:val="55230AEC"/>
    <w:rsid w:val="55C220B3"/>
    <w:rsid w:val="55FA1CAB"/>
    <w:rsid w:val="55FA7FD4"/>
    <w:rsid w:val="55FF6E63"/>
    <w:rsid w:val="562D0EF4"/>
    <w:rsid w:val="56A33C92"/>
    <w:rsid w:val="58490869"/>
    <w:rsid w:val="593C6F60"/>
    <w:rsid w:val="59771406"/>
    <w:rsid w:val="5B3255E5"/>
    <w:rsid w:val="5BF157DE"/>
    <w:rsid w:val="5C233B7F"/>
    <w:rsid w:val="5D221689"/>
    <w:rsid w:val="5D852344"/>
    <w:rsid w:val="5D9E2F9B"/>
    <w:rsid w:val="5E781EA8"/>
    <w:rsid w:val="5F025C16"/>
    <w:rsid w:val="5F1A373D"/>
    <w:rsid w:val="5F814D8D"/>
    <w:rsid w:val="5F9C1BC7"/>
    <w:rsid w:val="5FAF541F"/>
    <w:rsid w:val="602776E2"/>
    <w:rsid w:val="611D6D37"/>
    <w:rsid w:val="613C540F"/>
    <w:rsid w:val="615817C8"/>
    <w:rsid w:val="618378D6"/>
    <w:rsid w:val="61B2747F"/>
    <w:rsid w:val="622334EE"/>
    <w:rsid w:val="63CB2A7A"/>
    <w:rsid w:val="640D4E41"/>
    <w:rsid w:val="650869CE"/>
    <w:rsid w:val="661A62DF"/>
    <w:rsid w:val="66FA5BF6"/>
    <w:rsid w:val="671A5B7D"/>
    <w:rsid w:val="67236729"/>
    <w:rsid w:val="67825B46"/>
    <w:rsid w:val="686F74D7"/>
    <w:rsid w:val="68AB2E7A"/>
    <w:rsid w:val="69076303"/>
    <w:rsid w:val="69344C1E"/>
    <w:rsid w:val="69AD1ECC"/>
    <w:rsid w:val="6A885B1E"/>
    <w:rsid w:val="6A9736B6"/>
    <w:rsid w:val="6AD77F57"/>
    <w:rsid w:val="6B39476E"/>
    <w:rsid w:val="6C1B6030"/>
    <w:rsid w:val="6C627CF4"/>
    <w:rsid w:val="6CE80A2A"/>
    <w:rsid w:val="6CEB5F3B"/>
    <w:rsid w:val="6E3851B0"/>
    <w:rsid w:val="6EFB03D1"/>
    <w:rsid w:val="6F6049BF"/>
    <w:rsid w:val="6F9401C4"/>
    <w:rsid w:val="6FA0300D"/>
    <w:rsid w:val="6FE253D4"/>
    <w:rsid w:val="71AA3CCF"/>
    <w:rsid w:val="71F94C57"/>
    <w:rsid w:val="72DF209E"/>
    <w:rsid w:val="731A1328"/>
    <w:rsid w:val="7358775B"/>
    <w:rsid w:val="743722C7"/>
    <w:rsid w:val="74CE5F27"/>
    <w:rsid w:val="75502DDF"/>
    <w:rsid w:val="75E16F50"/>
    <w:rsid w:val="762B1157"/>
    <w:rsid w:val="768371E5"/>
    <w:rsid w:val="77521091"/>
    <w:rsid w:val="778847A6"/>
    <w:rsid w:val="77FF76BB"/>
    <w:rsid w:val="785E3A65"/>
    <w:rsid w:val="78BD1DB8"/>
    <w:rsid w:val="78C338C8"/>
    <w:rsid w:val="79A436FA"/>
    <w:rsid w:val="7A853D66"/>
    <w:rsid w:val="7AA03EC1"/>
    <w:rsid w:val="7AC758F2"/>
    <w:rsid w:val="7CD71739"/>
    <w:rsid w:val="7DDC2F52"/>
    <w:rsid w:val="7E051DED"/>
    <w:rsid w:val="7E543940"/>
    <w:rsid w:val="7E7D055C"/>
    <w:rsid w:val="7F6556D9"/>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28"/>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1"/>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2"/>
    <w:unhideWhenUsed/>
    <w:qFormat/>
    <w:uiPriority w:val="9"/>
    <w:pPr>
      <w:outlineLvl w:val="2"/>
    </w:pPr>
    <w:rPr>
      <w:b/>
    </w:rPr>
  </w:style>
  <w:style w:type="paragraph" w:styleId="6">
    <w:name w:val="heading 4"/>
    <w:basedOn w:val="1"/>
    <w:next w:val="1"/>
    <w:link w:val="33"/>
    <w:unhideWhenUsed/>
    <w:qFormat/>
    <w:uiPriority w:val="9"/>
    <w:pPr>
      <w:spacing w:after="0" w:line="271" w:lineRule="auto"/>
      <w:outlineLvl w:val="3"/>
    </w:pPr>
    <w:rPr>
      <w:b/>
      <w:bCs/>
      <w:spacing w:val="5"/>
    </w:rPr>
  </w:style>
  <w:style w:type="paragraph" w:styleId="2">
    <w:name w:val="heading 5"/>
    <w:basedOn w:val="1"/>
    <w:next w:val="1"/>
    <w:link w:val="34"/>
    <w:unhideWhenUsed/>
    <w:qFormat/>
    <w:uiPriority w:val="9"/>
    <w:pPr>
      <w:spacing w:after="0" w:line="271" w:lineRule="auto"/>
      <w:outlineLvl w:val="4"/>
    </w:pPr>
    <w:rPr>
      <w:i/>
      <w:iCs/>
    </w:rPr>
  </w:style>
  <w:style w:type="paragraph" w:styleId="7">
    <w:name w:val="heading 6"/>
    <w:basedOn w:val="1"/>
    <w:next w:val="1"/>
    <w:link w:val="35"/>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6"/>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7"/>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38"/>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7"/>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w:basedOn w:val="1"/>
    <w:qFormat/>
    <w:uiPriority w:val="0"/>
    <w:pPr>
      <w:autoSpaceDE w:val="0"/>
      <w:autoSpaceDN w:val="0"/>
      <w:spacing w:line="360" w:lineRule="auto"/>
    </w:pPr>
    <w:rPr>
      <w:rFonts w:ascii="宋体"/>
      <w:sz w:val="24"/>
      <w:szCs w:val="21"/>
      <w:lang w:val="zh-CN"/>
    </w:rPr>
  </w:style>
  <w:style w:type="paragraph" w:styleId="14">
    <w:name w:val="Body Text Indent"/>
    <w:basedOn w:val="1"/>
    <w:link w:val="60"/>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5">
    <w:name w:val="Plain Text"/>
    <w:basedOn w:val="1"/>
    <w:link w:val="58"/>
    <w:qFormat/>
    <w:uiPriority w:val="0"/>
    <w:pPr>
      <w:widowControl w:val="0"/>
      <w:adjustRightInd w:val="0"/>
      <w:spacing w:after="0"/>
      <w:jc w:val="both"/>
    </w:pPr>
    <w:rPr>
      <w:rFonts w:ascii="宋体" w:hAnsi="Courier New" w:eastAsia="宋体" w:cs="Arial"/>
      <w:snapToGrid w:val="0"/>
      <w:kern w:val="2"/>
      <w:sz w:val="21"/>
      <w:szCs w:val="21"/>
    </w:rPr>
  </w:style>
  <w:style w:type="paragraph" w:styleId="16">
    <w:name w:val="Balloon Text"/>
    <w:basedOn w:val="1"/>
    <w:link w:val="72"/>
    <w:semiHidden/>
    <w:unhideWhenUsed/>
    <w:qFormat/>
    <w:uiPriority w:val="99"/>
    <w:pPr>
      <w:spacing w:after="0"/>
    </w:pPr>
    <w:rPr>
      <w:sz w:val="18"/>
      <w:szCs w:val="18"/>
    </w:rPr>
  </w:style>
  <w:style w:type="paragraph" w:styleId="17">
    <w:name w:val="footer"/>
    <w:basedOn w:val="1"/>
    <w:link w:val="30"/>
    <w:unhideWhenUsed/>
    <w:qFormat/>
    <w:uiPriority w:val="99"/>
    <w:pPr>
      <w:tabs>
        <w:tab w:val="center" w:pos="4153"/>
        <w:tab w:val="right" w:pos="8306"/>
      </w:tabs>
      <w:snapToGrid w:val="0"/>
    </w:pPr>
    <w:rPr>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0"/>
    <w:qFormat/>
    <w:uiPriority w:val="11"/>
    <w:rPr>
      <w:i/>
      <w:iCs/>
      <w:smallCaps/>
      <w:spacing w:val="10"/>
      <w:sz w:val="28"/>
      <w:szCs w:val="28"/>
    </w:rPr>
  </w:style>
  <w:style w:type="paragraph" w:styleId="20">
    <w:name w:val="Title"/>
    <w:basedOn w:val="1"/>
    <w:next w:val="1"/>
    <w:link w:val="39"/>
    <w:qFormat/>
    <w:uiPriority w:val="10"/>
    <w:pPr>
      <w:spacing w:after="300"/>
      <w:contextualSpacing/>
    </w:pPr>
    <w:rPr>
      <w:smallCaps/>
      <w:sz w:val="52"/>
      <w:szCs w:val="52"/>
    </w:rPr>
  </w:style>
  <w:style w:type="paragraph" w:styleId="21">
    <w:name w:val="Body Text First Indent"/>
    <w:basedOn w:val="13"/>
    <w:qFormat/>
    <w:uiPriority w:val="0"/>
    <w:pPr>
      <w:ind w:firstLine="420"/>
    </w:pPr>
    <w:rPr>
      <w:szCs w:val="20"/>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Emphasis"/>
    <w:qFormat/>
    <w:uiPriority w:val="20"/>
    <w:rPr>
      <w:b/>
      <w:bCs/>
      <w:i/>
      <w:iCs/>
      <w:spacing w:val="10"/>
    </w:rPr>
  </w:style>
  <w:style w:type="character" w:styleId="27">
    <w:name w:val="Hyperlink"/>
    <w:qFormat/>
    <w:uiPriority w:val="99"/>
    <w:rPr>
      <w:rFonts w:ascii="Arial" w:hAnsi="Arial" w:eastAsia="黑体" w:cs="Arial"/>
      <w:snapToGrid w:val="0"/>
      <w:color w:val="000000"/>
      <w:kern w:val="0"/>
      <w:sz w:val="18"/>
      <w:szCs w:val="18"/>
      <w:u w:val="none"/>
    </w:rPr>
  </w:style>
  <w:style w:type="character" w:customStyle="1" w:styleId="28">
    <w:name w:val="标题 1 Char"/>
    <w:basedOn w:val="24"/>
    <w:link w:val="3"/>
    <w:qFormat/>
    <w:uiPriority w:val="9"/>
    <w:rPr>
      <w:rFonts w:ascii="仿宋_GB2312" w:hAnsi="仿宋" w:eastAsia="仿宋_GB2312"/>
      <w:b/>
      <w:smallCaps/>
      <w:spacing w:val="5"/>
      <w:sz w:val="36"/>
      <w:szCs w:val="36"/>
    </w:rPr>
  </w:style>
  <w:style w:type="character" w:customStyle="1" w:styleId="29">
    <w:name w:val="页眉 Char"/>
    <w:basedOn w:val="24"/>
    <w:link w:val="18"/>
    <w:qFormat/>
    <w:uiPriority w:val="99"/>
    <w:rPr>
      <w:sz w:val="18"/>
      <w:szCs w:val="18"/>
    </w:rPr>
  </w:style>
  <w:style w:type="character" w:customStyle="1" w:styleId="30">
    <w:name w:val="页脚 Char"/>
    <w:basedOn w:val="24"/>
    <w:link w:val="17"/>
    <w:qFormat/>
    <w:uiPriority w:val="99"/>
    <w:rPr>
      <w:sz w:val="18"/>
      <w:szCs w:val="18"/>
    </w:rPr>
  </w:style>
  <w:style w:type="character" w:customStyle="1" w:styleId="31">
    <w:name w:val="标题 2 Char"/>
    <w:basedOn w:val="24"/>
    <w:link w:val="4"/>
    <w:qFormat/>
    <w:uiPriority w:val="9"/>
    <w:rPr>
      <w:rFonts w:ascii="仿宋" w:hAnsi="仿宋" w:eastAsia="仿宋"/>
      <w:b/>
      <w:smallCaps/>
      <w:sz w:val="28"/>
      <w:szCs w:val="28"/>
    </w:rPr>
  </w:style>
  <w:style w:type="character" w:customStyle="1" w:styleId="32">
    <w:name w:val="标题 3 Char"/>
    <w:basedOn w:val="24"/>
    <w:link w:val="5"/>
    <w:qFormat/>
    <w:uiPriority w:val="9"/>
    <w:rPr>
      <w:rFonts w:ascii="仿宋" w:hAnsi="仿宋" w:eastAsia="仿宋"/>
      <w:b/>
      <w:sz w:val="24"/>
      <w:szCs w:val="24"/>
    </w:rPr>
  </w:style>
  <w:style w:type="character" w:customStyle="1" w:styleId="33">
    <w:name w:val="标题 4 Char"/>
    <w:basedOn w:val="24"/>
    <w:link w:val="6"/>
    <w:qFormat/>
    <w:uiPriority w:val="9"/>
    <w:rPr>
      <w:b/>
      <w:bCs/>
      <w:spacing w:val="5"/>
      <w:sz w:val="24"/>
      <w:szCs w:val="24"/>
    </w:rPr>
  </w:style>
  <w:style w:type="character" w:customStyle="1" w:styleId="34">
    <w:name w:val="标题 5 Char"/>
    <w:basedOn w:val="24"/>
    <w:link w:val="2"/>
    <w:qFormat/>
    <w:uiPriority w:val="9"/>
    <w:rPr>
      <w:i/>
      <w:iCs/>
      <w:sz w:val="24"/>
      <w:szCs w:val="24"/>
    </w:rPr>
  </w:style>
  <w:style w:type="character" w:customStyle="1" w:styleId="35">
    <w:name w:val="标题 6 Char"/>
    <w:basedOn w:val="24"/>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6">
    <w:name w:val="标题 7 Char"/>
    <w:basedOn w:val="24"/>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7">
    <w:name w:val="标题 8 Char"/>
    <w:basedOn w:val="24"/>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8">
    <w:name w:val="标题 9 Char"/>
    <w:basedOn w:val="24"/>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9">
    <w:name w:val="标题 Char"/>
    <w:basedOn w:val="24"/>
    <w:link w:val="20"/>
    <w:qFormat/>
    <w:uiPriority w:val="10"/>
    <w:rPr>
      <w:smallCaps/>
      <w:sz w:val="52"/>
      <w:szCs w:val="52"/>
    </w:rPr>
  </w:style>
  <w:style w:type="character" w:customStyle="1" w:styleId="40">
    <w:name w:val="副标题 Char"/>
    <w:basedOn w:val="24"/>
    <w:link w:val="19"/>
    <w:qFormat/>
    <w:uiPriority w:val="11"/>
    <w:rPr>
      <w:i/>
      <w:iCs/>
      <w:smallCaps/>
      <w:spacing w:val="10"/>
      <w:sz w:val="28"/>
      <w:szCs w:val="28"/>
    </w:rPr>
  </w:style>
  <w:style w:type="paragraph" w:styleId="41">
    <w:name w:val="No Spacing"/>
    <w:basedOn w:val="1"/>
    <w:link w:val="53"/>
    <w:qFormat/>
    <w:uiPriority w:val="1"/>
    <w:pPr>
      <w:spacing w:after="0"/>
    </w:pPr>
  </w:style>
  <w:style w:type="paragraph" w:styleId="42">
    <w:name w:val="List Paragraph"/>
    <w:basedOn w:val="1"/>
    <w:qFormat/>
    <w:uiPriority w:val="34"/>
    <w:pPr>
      <w:ind w:left="720"/>
      <w:contextualSpacing/>
    </w:pPr>
  </w:style>
  <w:style w:type="paragraph" w:styleId="43">
    <w:name w:val="Quote"/>
    <w:basedOn w:val="1"/>
    <w:next w:val="1"/>
    <w:link w:val="44"/>
    <w:qFormat/>
    <w:uiPriority w:val="29"/>
    <w:rPr>
      <w:i/>
      <w:iCs/>
    </w:rPr>
  </w:style>
  <w:style w:type="character" w:customStyle="1" w:styleId="44">
    <w:name w:val="引用 Char"/>
    <w:basedOn w:val="24"/>
    <w:link w:val="43"/>
    <w:qFormat/>
    <w:uiPriority w:val="29"/>
    <w:rPr>
      <w:i/>
      <w:iCs/>
    </w:rPr>
  </w:style>
  <w:style w:type="paragraph" w:styleId="45">
    <w:name w:val="Intense Quote"/>
    <w:basedOn w:val="1"/>
    <w:next w:val="1"/>
    <w:link w:val="46"/>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6">
    <w:name w:val="明显引用 Char"/>
    <w:basedOn w:val="24"/>
    <w:link w:val="45"/>
    <w:qFormat/>
    <w:uiPriority w:val="30"/>
    <w:rPr>
      <w:i/>
      <w:iCs/>
    </w:rPr>
  </w:style>
  <w:style w:type="character" w:customStyle="1" w:styleId="47">
    <w:name w:val="不明显强调1"/>
    <w:qFormat/>
    <w:uiPriority w:val="19"/>
    <w:rPr>
      <w:i/>
      <w:iCs/>
    </w:rPr>
  </w:style>
  <w:style w:type="character" w:customStyle="1" w:styleId="48">
    <w:name w:val="明显强调1"/>
    <w:qFormat/>
    <w:uiPriority w:val="21"/>
    <w:rPr>
      <w:b/>
      <w:bCs/>
      <w:i/>
      <w:iCs/>
    </w:rPr>
  </w:style>
  <w:style w:type="character" w:customStyle="1" w:styleId="49">
    <w:name w:val="不明显参考1"/>
    <w:basedOn w:val="24"/>
    <w:qFormat/>
    <w:uiPriority w:val="31"/>
    <w:rPr>
      <w:smallCaps/>
    </w:rPr>
  </w:style>
  <w:style w:type="character" w:customStyle="1" w:styleId="50">
    <w:name w:val="明显参考1"/>
    <w:qFormat/>
    <w:uiPriority w:val="32"/>
    <w:rPr>
      <w:b/>
      <w:bCs/>
      <w:smallCaps/>
    </w:rPr>
  </w:style>
  <w:style w:type="character" w:customStyle="1" w:styleId="51">
    <w:name w:val="书籍标题1"/>
    <w:basedOn w:val="24"/>
    <w:qFormat/>
    <w:uiPriority w:val="33"/>
    <w:rPr>
      <w:i/>
      <w:iCs/>
      <w:smallCaps/>
      <w:spacing w:val="5"/>
    </w:rPr>
  </w:style>
  <w:style w:type="paragraph" w:customStyle="1" w:styleId="52">
    <w:name w:val="TOC 标题1"/>
    <w:basedOn w:val="3"/>
    <w:next w:val="1"/>
    <w:semiHidden/>
    <w:unhideWhenUsed/>
    <w:qFormat/>
    <w:uiPriority w:val="39"/>
    <w:pPr>
      <w:outlineLvl w:val="9"/>
    </w:pPr>
    <w:rPr>
      <w:lang w:bidi="en-US"/>
    </w:rPr>
  </w:style>
  <w:style w:type="character" w:customStyle="1" w:styleId="53">
    <w:name w:val="无间隔 Char"/>
    <w:basedOn w:val="24"/>
    <w:link w:val="41"/>
    <w:qFormat/>
    <w:uiPriority w:val="1"/>
  </w:style>
  <w:style w:type="paragraph" w:customStyle="1" w:styleId="54">
    <w:name w:val="Personal Name"/>
    <w:basedOn w:val="20"/>
    <w:qFormat/>
    <w:uiPriority w:val="0"/>
    <w:rPr>
      <w:b/>
      <w:caps/>
      <w:color w:val="000000"/>
      <w:sz w:val="28"/>
      <w:szCs w:val="28"/>
    </w:rPr>
  </w:style>
  <w:style w:type="character" w:customStyle="1" w:styleId="55">
    <w:name w:val="正文2 Char Char"/>
    <w:link w:val="56"/>
    <w:qFormat/>
    <w:uiPriority w:val="0"/>
    <w:rPr>
      <w:rFonts w:ascii="仿宋" w:hAnsi="仿宋" w:eastAsia="仿宋"/>
      <w:sz w:val="24"/>
      <w:szCs w:val="24"/>
    </w:rPr>
  </w:style>
  <w:style w:type="paragraph" w:customStyle="1" w:styleId="56">
    <w:name w:val="正文2"/>
    <w:basedOn w:val="1"/>
    <w:link w:val="55"/>
    <w:qFormat/>
    <w:uiPriority w:val="0"/>
    <w:pPr>
      <w:spacing w:line="360" w:lineRule="auto"/>
    </w:pPr>
  </w:style>
  <w:style w:type="character" w:customStyle="1" w:styleId="57">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58">
    <w:name w:val="纯文本 Char"/>
    <w:basedOn w:val="24"/>
    <w:link w:val="15"/>
    <w:qFormat/>
    <w:uiPriority w:val="0"/>
    <w:rPr>
      <w:rFonts w:ascii="宋体" w:hAnsi="Courier New" w:eastAsia="宋体" w:cs="Arial"/>
      <w:snapToGrid w:val="0"/>
      <w:kern w:val="2"/>
      <w:sz w:val="21"/>
      <w:szCs w:val="21"/>
    </w:rPr>
  </w:style>
  <w:style w:type="character" w:customStyle="1" w:styleId="59">
    <w:name w:val="正文文本缩进 Char"/>
    <w:basedOn w:val="24"/>
    <w:semiHidden/>
    <w:qFormat/>
    <w:uiPriority w:val="99"/>
    <w:rPr>
      <w:rFonts w:ascii="仿宋" w:hAnsi="仿宋" w:eastAsia="仿宋"/>
      <w:sz w:val="24"/>
      <w:szCs w:val="24"/>
    </w:rPr>
  </w:style>
  <w:style w:type="character" w:customStyle="1" w:styleId="60">
    <w:name w:val="正文文本缩进 Char1"/>
    <w:link w:val="14"/>
    <w:qFormat/>
    <w:uiPriority w:val="0"/>
    <w:rPr>
      <w:rFonts w:ascii="宋体" w:hAnsi="宋体" w:eastAsia="宋体" w:cs="Times New Roman"/>
      <w:kern w:val="2"/>
      <w:sz w:val="24"/>
      <w:szCs w:val="24"/>
    </w:rPr>
  </w:style>
  <w:style w:type="character" w:customStyle="1" w:styleId="61">
    <w:name w:val="标题 Char2"/>
    <w:qFormat/>
    <w:uiPriority w:val="10"/>
    <w:rPr>
      <w:b/>
      <w:sz w:val="24"/>
      <w:lang w:val="en-GB"/>
    </w:rPr>
  </w:style>
  <w:style w:type="character" w:customStyle="1" w:styleId="62">
    <w:name w:val="纯文本 Char1"/>
    <w:link w:val="63"/>
    <w:qFormat/>
    <w:uiPriority w:val="0"/>
    <w:rPr>
      <w:rFonts w:ascii="宋体" w:hAnsi="Courier New"/>
    </w:rPr>
  </w:style>
  <w:style w:type="paragraph" w:customStyle="1" w:styleId="63">
    <w:name w:val="纯文本1"/>
    <w:basedOn w:val="1"/>
    <w:link w:val="62"/>
    <w:qFormat/>
    <w:uiPriority w:val="0"/>
    <w:pPr>
      <w:widowControl w:val="0"/>
      <w:spacing w:after="0"/>
      <w:jc w:val="both"/>
    </w:pPr>
    <w:rPr>
      <w:rFonts w:ascii="宋体" w:hAnsi="Courier New" w:eastAsiaTheme="majorEastAsia"/>
      <w:sz w:val="22"/>
      <w:szCs w:val="22"/>
    </w:rPr>
  </w:style>
  <w:style w:type="character" w:customStyle="1" w:styleId="64">
    <w:name w:val="页脚 Char2"/>
    <w:qFormat/>
    <w:locked/>
    <w:uiPriority w:val="99"/>
    <w:rPr>
      <w:kern w:val="2"/>
      <w:sz w:val="18"/>
      <w:szCs w:val="18"/>
    </w:rPr>
  </w:style>
  <w:style w:type="character" w:customStyle="1" w:styleId="65">
    <w:name w:val="页眉 Char2"/>
    <w:qFormat/>
    <w:uiPriority w:val="99"/>
    <w:rPr>
      <w:kern w:val="2"/>
      <w:sz w:val="18"/>
      <w:szCs w:val="18"/>
    </w:rPr>
  </w:style>
  <w:style w:type="paragraph" w:customStyle="1" w:styleId="66">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7">
    <w:name w:val="正文缩进1"/>
    <w:basedOn w:val="1"/>
    <w:next w:val="14"/>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8">
    <w:name w:val="text-tag"/>
    <w:basedOn w:val="1"/>
    <w:semiHidden/>
    <w:qFormat/>
    <w:uiPriority w:val="99"/>
    <w:pPr>
      <w:spacing w:before="100" w:beforeAutospacing="1" w:after="100" w:afterAutospacing="1"/>
    </w:pPr>
    <w:rPr>
      <w:rFonts w:ascii="宋体" w:hAnsi="宋体" w:eastAsia="宋体" w:cs="宋体"/>
    </w:rPr>
  </w:style>
  <w:style w:type="character" w:customStyle="1" w:styleId="69">
    <w:name w:val="纯文本 Char_0"/>
    <w:link w:val="70"/>
    <w:qFormat/>
    <w:uiPriority w:val="0"/>
    <w:rPr>
      <w:rFonts w:ascii="宋体" w:hAnsi="Courier New"/>
      <w:kern w:val="2"/>
      <w:sz w:val="21"/>
      <w:szCs w:val="21"/>
    </w:rPr>
  </w:style>
  <w:style w:type="paragraph" w:customStyle="1" w:styleId="70">
    <w:name w:val="纯文本_0_0"/>
    <w:basedOn w:val="1"/>
    <w:link w:val="69"/>
    <w:qFormat/>
    <w:uiPriority w:val="0"/>
    <w:pPr>
      <w:widowControl w:val="0"/>
      <w:spacing w:after="0"/>
      <w:jc w:val="both"/>
    </w:pPr>
    <w:rPr>
      <w:rFonts w:ascii="宋体" w:hAnsi="Courier New" w:eastAsiaTheme="majorEastAsia"/>
      <w:kern w:val="2"/>
      <w:sz w:val="21"/>
      <w:szCs w:val="21"/>
    </w:rPr>
  </w:style>
  <w:style w:type="paragraph" w:customStyle="1" w:styleId="71">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2">
    <w:name w:val="批注框文本 Char"/>
    <w:basedOn w:val="24"/>
    <w:link w:val="16"/>
    <w:semiHidden/>
    <w:qFormat/>
    <w:uiPriority w:val="99"/>
    <w:rPr>
      <w:rFonts w:ascii="仿宋" w:hAnsi="仿宋" w:eastAsia="仿宋"/>
      <w:sz w:val="18"/>
      <w:szCs w:val="18"/>
    </w:rPr>
  </w:style>
  <w:style w:type="paragraph" w:customStyle="1" w:styleId="73">
    <w:name w:val="_Style 1"/>
    <w:qFormat/>
    <w:uiPriority w:val="99"/>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35754</Words>
  <Characters>37778</Characters>
  <Lines>306</Lines>
  <Paragraphs>86</Paragraphs>
  <TotalTime>30</TotalTime>
  <ScaleCrop>false</ScaleCrop>
  <LinksUpToDate>false</LinksUpToDate>
  <CharactersWithSpaces>43422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三月七</cp:lastModifiedBy>
  <cp:lastPrinted>2022-06-10T09:02:00Z</cp:lastPrinted>
  <dcterms:modified xsi:type="dcterms:W3CDTF">2022-07-20T03:26:19Z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AF8DE96AB86F4ECF86916369CCEB4305</vt:lpwstr>
  </property>
</Properties>
</file>