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2022年-2024年滨江区</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江南大道隧道养护项目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BJCG-GYGK-2022033</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杭州市滨江区综合行政执法局</w:t>
      </w:r>
    </w:p>
    <w:p>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浙江华域高宇项目管理有限公司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二十一</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2022年-2024年滨江区江南大道隧道养护项目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点 </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BJCG-GYGK-2022033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2022年-2024年滨江区江南大道隧道养护项目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16800000.00元</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16800000.00元</w:t>
      </w:r>
      <w:r>
        <w:rPr>
          <w:rFonts w:hint="eastAsia" w:ascii="仿宋" w:hAnsi="仿宋" w:eastAsia="仿宋" w:cs="仿宋"/>
          <w:color w:val="auto"/>
          <w:sz w:val="24"/>
          <w:highlight w:val="none"/>
        </w:rPr>
        <w:t xml:space="preserve"> </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2022年-2024年滨江区江南大道隧道养护项目主要内容：根据相关规范开展的设施日常巡查、养护维修、常规定期检测、大中修、保洁、应急保障（如防汛防台、抗雪防冻）、节日保障和甲方要求的临时性养护任务等。详见招标文件第三部分采购需求。</w:t>
      </w:r>
    </w:p>
    <w:p>
      <w:pPr>
        <w:pStyle w:val="130"/>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rPr>
        <w:t>2022年-2024年</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三年</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_GB2312" w:hAnsi="仿宋" w:eastAsia="仿宋_GB2312"/>
          <w:b/>
          <w:color w:val="auto"/>
          <w:sz w:val="24"/>
          <w:highlight w:val="none"/>
        </w:rPr>
        <w:t>（ ）</w:t>
      </w:r>
      <w:r>
        <w:rPr>
          <w:rFonts w:hint="eastAsia" w:ascii="仿宋" w:hAnsi="仿宋" w:eastAsia="仿宋" w:cs="仿宋"/>
          <w:b/>
          <w:color w:val="auto"/>
          <w:sz w:val="24"/>
          <w:highlight w:val="none"/>
        </w:rPr>
        <w:t>是，</w:t>
      </w:r>
      <w:r>
        <w:rPr>
          <w:rFonts w:hint="eastAsia" w:ascii="仿宋_GB2312" w:hAnsi="仿宋" w:eastAsia="仿宋_GB2312"/>
          <w:b/>
          <w:color w:val="auto"/>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2" w:firstLineChars="200"/>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sz w:val="24"/>
          <w:highlight w:val="none"/>
        </w:rPr>
        <w:t>无；</w:t>
      </w:r>
    </w:p>
    <w:p>
      <w:pPr>
        <w:spacing w:line="360" w:lineRule="auto"/>
        <w:ind w:firstLine="482" w:firstLineChars="200"/>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bidi="ar-SA"/>
        </w:rPr>
        <w:t>（ ）</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杭州市滨江区综合行政执法局</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址：杭州市滨江区滨文路358号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项目联系人（询问）：虞</w:t>
      </w:r>
      <w:r>
        <w:rPr>
          <w:rFonts w:hint="eastAsia" w:ascii="仿宋" w:hAnsi="仿宋" w:eastAsia="仿宋" w:cs="仿宋"/>
          <w:color w:val="auto"/>
          <w:sz w:val="24"/>
          <w:highlight w:val="none"/>
          <w:lang w:eastAsia="zh-CN"/>
        </w:rPr>
        <w:t>云霄</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项目联系方式（询问）：0571-87153912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15158096815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张工</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0571-87153897</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称：浙江华域高宇项目管理有限公司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地址：萧山区北干街道金城路560号心意广场2幢1101室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传真：0571-22866657</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项目联系方式（询问）：0571-22816663/13738195695</w:t>
      </w:r>
    </w:p>
    <w:p>
      <w:pPr>
        <w:pStyle w:val="2"/>
        <w:rPr>
          <w:rFonts w:hint="default" w:eastAsia="仿宋"/>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eastAsia="zh-CN"/>
        </w:rPr>
        <w:t>（邮箱）：</w:t>
      </w:r>
      <w:r>
        <w:rPr>
          <w:rFonts w:hint="eastAsia" w:ascii="仿宋" w:hAnsi="仿宋" w:eastAsia="仿宋" w:cs="仿宋"/>
          <w:color w:val="auto"/>
          <w:sz w:val="24"/>
          <w:highlight w:val="none"/>
          <w:lang w:val="en-US" w:eastAsia="zh-CN"/>
        </w:rPr>
        <w:t>249268371@qq.com</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质疑联系人：高天宇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质疑联系方式：0571-22816663</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(邮箱）：574527846@qq.com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称：杭州市滨江区财政局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址：杭州市滨江区江南大道328号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真：0571-87760004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：何先生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监督投诉电话：0571-87760023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szCs w:val="24"/>
                <w:highlight w:val="none"/>
                <w:lang w:val="en-US" w:eastAsia="zh-CN" w:bidi="ar-SA"/>
              </w:rPr>
              <w:t>（ ）</w:t>
            </w:r>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lang w:eastAsia="zh-CN"/>
              </w:rPr>
              <w:t>（ ）</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2022年-2024年滨江区江南大道隧道养护项目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租赁和商业服务业 </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萧山区北干街道金城路560号心意广场2幢1101室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13738195695</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采购机构代理费用由中标人支付。</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招标代理费按计价格〔2002〕1980号文件收费标准按</w:t>
            </w:r>
            <w:r>
              <w:rPr>
                <w:rFonts w:hint="eastAsia" w:ascii="仿宋" w:hAnsi="仿宋" w:eastAsia="仿宋" w:cs="仿宋"/>
                <w:color w:val="auto"/>
                <w:sz w:val="24"/>
                <w:highlight w:val="none"/>
                <w:lang w:val="en-US" w:eastAsia="zh-CN"/>
              </w:rPr>
              <w:t>80%收取</w:t>
            </w:r>
            <w:r>
              <w:rPr>
                <w:rFonts w:hint="eastAsia" w:ascii="仿宋" w:hAnsi="仿宋" w:eastAsia="仿宋" w:cs="仿宋"/>
                <w:color w:val="auto"/>
                <w:sz w:val="24"/>
                <w:highlight w:val="none"/>
                <w:lang w:eastAsia="zh-CN"/>
              </w:rPr>
              <w:t>。</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缴纳账号：33001617092053005082 </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开户银行：萧山建行时代广场支行 </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帐户名称：浙江华域高宇项目管理有限公司</w:t>
            </w:r>
          </w:p>
          <w:p>
            <w:pPr>
              <w:pStyle w:val="36"/>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银行帐号：33001617092053005082 </w:t>
            </w:r>
            <w:r>
              <w:rPr>
                <w:rFonts w:hint="eastAsia" w:ascii="仿宋" w:hAnsi="仿宋" w:eastAsia="仿宋" w:cs="仿宋"/>
                <w:color w:val="auto"/>
                <w:sz w:val="24"/>
                <w:highlight w:val="none"/>
              </w:rPr>
              <w:t>。</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_GB2312" w:hAnsi="仿宋" w:eastAsia="仿宋_GB2312"/>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lang w:eastAsia="zh-CN"/>
        </w:rPr>
        <w:t>（ ）</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color w:val="auto"/>
          <w:sz w:val="32"/>
          <w:highlight w:val="none"/>
        </w:rPr>
      </w:pPr>
    </w:p>
    <w:p>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szCs w:val="20"/>
          <w:highlight w:val="none"/>
          <w:lang w:val="en-US" w:eastAsia="zh-CN"/>
        </w:rPr>
        <w:t>2.5</w:t>
      </w:r>
      <w:r>
        <w:rPr>
          <w:rFonts w:hint="eastAsia" w:ascii="仿宋" w:hAnsi="仿宋" w:eastAsia="仿宋" w:cs="仿宋"/>
          <w:color w:val="auto"/>
          <w:sz w:val="24"/>
          <w:szCs w:val="20"/>
          <w:highlight w:val="none"/>
        </w:rPr>
        <w:t>%。</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74707468"/>
      <w:bookmarkEnd w:id="15"/>
      <w:bookmarkStart w:id="16" w:name="_Hlt74714665"/>
      <w:bookmarkEnd w:id="16"/>
      <w:bookmarkStart w:id="17" w:name="_Hlt74730295"/>
      <w:bookmarkEnd w:id="17"/>
      <w:bookmarkStart w:id="18" w:name="_Hlt68073093"/>
      <w:bookmarkEnd w:id="18"/>
      <w:bookmarkStart w:id="19" w:name="_Hlt74729768"/>
      <w:bookmarkEnd w:id="19"/>
      <w:bookmarkStart w:id="20" w:name="_Hlt68057669"/>
      <w:bookmarkEnd w:id="20"/>
      <w:bookmarkStart w:id="21" w:name="_Hlt68072990"/>
      <w:bookmarkEnd w:id="21"/>
      <w:bookmarkStart w:id="22" w:name="_Hlt75236101"/>
      <w:bookmarkEnd w:id="22"/>
      <w:bookmarkStart w:id="23" w:name="_Hlt68072998"/>
      <w:bookmarkEnd w:id="23"/>
      <w:bookmarkStart w:id="24" w:name="_Hlt68403820"/>
      <w:bookmarkEnd w:id="24"/>
      <w:bookmarkStart w:id="25" w:name="_Hlt75236290"/>
      <w:bookmarkEnd w:id="25"/>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一、项目概况及要求</w:t>
      </w:r>
    </w:p>
    <w:p>
      <w:pPr>
        <w:spacing w:line="360" w:lineRule="auto"/>
        <w:ind w:firstLine="501" w:firstLineChars="20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本项目养护管理工作内容包括</w:t>
      </w:r>
      <w:r>
        <w:rPr>
          <w:rFonts w:hint="eastAsia" w:ascii="仿宋" w:hAnsi="仿宋" w:eastAsia="仿宋" w:cs="仿宋"/>
          <w:bCs/>
          <w:color w:val="auto"/>
          <w:kern w:val="0"/>
          <w:sz w:val="24"/>
          <w:highlight w:val="none"/>
        </w:rPr>
        <w:t>江南大道隧道的土建设施（市政设施整体维护、管理用房（含控制中心及周边场地绿化）及配电间）的维护、保洁（车行道保洁除外）、保养工作；机电设施（低压配电、应急照明、通风）、水消防系统、监控系统（含消防火灾报警系统）及隧道提速改造部分的维护、保养及更换</w:t>
      </w:r>
      <w:r>
        <w:rPr>
          <w:rFonts w:hint="eastAsia" w:ascii="仿宋" w:hAnsi="仿宋" w:eastAsia="仿宋" w:cs="仿宋"/>
          <w:color w:val="auto"/>
          <w:sz w:val="24"/>
          <w:highlight w:val="none"/>
        </w:rPr>
        <w:t>等工作；</w:t>
      </w:r>
      <w:r>
        <w:rPr>
          <w:rFonts w:hint="eastAsia" w:ascii="仿宋" w:hAnsi="仿宋" w:eastAsia="仿宋" w:cs="仿宋"/>
          <w:bCs/>
          <w:color w:val="auto"/>
          <w:kern w:val="0"/>
          <w:sz w:val="24"/>
          <w:highlight w:val="none"/>
        </w:rPr>
        <w:t>其他设施的维护、保洁、保养工作；防汛抗台、抗雪防冻等突发事件应急处理；</w:t>
      </w:r>
      <w:r>
        <w:rPr>
          <w:rFonts w:hint="eastAsia" w:ascii="仿宋" w:hAnsi="仿宋" w:eastAsia="仿宋" w:cs="仿宋"/>
          <w:color w:val="auto"/>
          <w:sz w:val="24"/>
          <w:highlight w:val="none"/>
        </w:rPr>
        <w:t>以及档案资料、安全管理工作。</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本工程隧道长度：</w:t>
      </w:r>
      <w:r>
        <w:rPr>
          <w:rFonts w:hint="eastAsia" w:ascii="仿宋" w:hAnsi="仿宋" w:eastAsia="仿宋" w:cs="仿宋"/>
          <w:color w:val="auto"/>
          <w:kern w:val="0"/>
          <w:sz w:val="24"/>
          <w:highlight w:val="none"/>
          <w:lang w:val="en-US" w:eastAsia="zh-CN"/>
        </w:rPr>
        <w:t>北线隧道3.184km，南线隧道3.165km。</w:t>
      </w:r>
      <w:r>
        <w:rPr>
          <w:rFonts w:hint="eastAsia" w:ascii="仿宋" w:hAnsi="仿宋" w:eastAsia="仿宋" w:cs="仿宋"/>
          <w:color w:val="auto"/>
          <w:kern w:val="0"/>
          <w:sz w:val="24"/>
          <w:highlight w:val="none"/>
        </w:rPr>
        <w:t>为第二类城市隧道。</w:t>
      </w:r>
    </w:p>
    <w:p>
      <w:pPr>
        <w:spacing w:line="360" w:lineRule="auto"/>
        <w:ind w:firstLine="501" w:firstLineChars="209"/>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本工程为城市主干道，要求按一等养护的城市隧道进行重点养护。</w:t>
      </w:r>
    </w:p>
    <w:p>
      <w:pPr>
        <w:widowControl/>
        <w:spacing w:line="360" w:lineRule="auto"/>
        <w:outlineLvl w:val="1"/>
        <w:rPr>
          <w:rFonts w:hint="eastAsia" w:ascii="仿宋" w:hAnsi="仿宋" w:eastAsia="仿宋" w:cs="仿宋"/>
          <w:b/>
          <w:color w:val="auto"/>
          <w:kern w:val="0"/>
          <w:sz w:val="24"/>
          <w:highlight w:val="none"/>
        </w:rPr>
      </w:pPr>
      <w:bookmarkStart w:id="27" w:name="_Toc125343808"/>
      <w:bookmarkStart w:id="28" w:name="_Toc125552505"/>
      <w:bookmarkStart w:id="29" w:name="_Toc132648399"/>
      <w:bookmarkStart w:id="30" w:name="_Toc132648333"/>
      <w:bookmarkStart w:id="31" w:name="_Toc125552654"/>
      <w:bookmarkStart w:id="32" w:name="_Toc132614013"/>
      <w:bookmarkStart w:id="33" w:name="_Toc132615120"/>
      <w:bookmarkStart w:id="34" w:name="_Toc130030065"/>
      <w:bookmarkStart w:id="35" w:name="_Toc132648438"/>
      <w:bookmarkStart w:id="36" w:name="_Toc132677244"/>
      <w:r>
        <w:rPr>
          <w:rFonts w:hint="eastAsia" w:ascii="仿宋" w:hAnsi="仿宋" w:eastAsia="仿宋" w:cs="仿宋"/>
          <w:b/>
          <w:color w:val="auto"/>
          <w:kern w:val="0"/>
          <w:sz w:val="24"/>
          <w:highlight w:val="none"/>
        </w:rPr>
        <w:t>二、养护要求</w:t>
      </w:r>
      <w:bookmarkEnd w:id="27"/>
      <w:bookmarkEnd w:id="28"/>
      <w:bookmarkEnd w:id="29"/>
      <w:bookmarkEnd w:id="30"/>
      <w:bookmarkEnd w:id="31"/>
      <w:bookmarkEnd w:id="32"/>
      <w:bookmarkEnd w:id="33"/>
      <w:bookmarkEnd w:id="34"/>
      <w:bookmarkEnd w:id="35"/>
      <w:bookmarkEnd w:id="36"/>
    </w:p>
    <w:p>
      <w:pPr>
        <w:widowControl/>
        <w:spacing w:line="360" w:lineRule="auto"/>
        <w:ind w:firstLine="482" w:firstLineChars="200"/>
        <w:jc w:val="left"/>
        <w:outlineLvl w:val="2"/>
        <w:rPr>
          <w:rFonts w:hint="eastAsia" w:ascii="仿宋" w:hAnsi="仿宋" w:eastAsia="仿宋" w:cs="仿宋"/>
          <w:b/>
          <w:bCs/>
          <w:color w:val="auto"/>
          <w:kern w:val="0"/>
          <w:sz w:val="24"/>
          <w:highlight w:val="none"/>
          <w:u w:val="dotted"/>
        </w:rPr>
      </w:pPr>
      <w:bookmarkStart w:id="37" w:name="_Toc113269444"/>
      <w:bookmarkStart w:id="38" w:name="_Toc113269391"/>
      <w:bookmarkStart w:id="39" w:name="_Toc120939375"/>
      <w:r>
        <w:rPr>
          <w:rFonts w:hint="eastAsia" w:ascii="仿宋" w:hAnsi="仿宋" w:eastAsia="仿宋" w:cs="仿宋"/>
          <w:b/>
          <w:bCs/>
          <w:color w:val="auto"/>
          <w:kern w:val="0"/>
          <w:sz w:val="24"/>
          <w:highlight w:val="none"/>
          <w:u w:val="dotted"/>
        </w:rPr>
        <w:t>（一）养护基本要求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1.承包人应根据隧道实际的围岩地质条件、结构和设施状况、交通运行条件、病害程度及隧道类别等制定针对性的详尽科学的养护方案。</w:t>
      </w:r>
      <w:bookmarkEnd w:id="37"/>
      <w:bookmarkEnd w:id="38"/>
      <w:bookmarkEnd w:id="39"/>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2.养护安全要求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（1）隧道应安全、完好、整洁，隧道进口必须设置限速的交通标志，有限高要求的隧道应设置限高标志，如在养护合同期内出现安全事故由承包人承包全部责任。</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（2）城市隧道的防水、排水、通风、照明、消防和防汛等设施，必须齐全有效。在城市隧道范围内增加静荷载（构筑物、风雨棚、广告牌、管线等）必须满足隧道安全技术要求。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（3）隧道内禁止布设易燃、易爆等危险管线。</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（4）隧道内养护作业不中断交通时，作业区间必须设置明显的安全标志，警示灯等，采取措施、保证安全并减少对交通的干扰。养护作业必须文明养护，做到工完、料清、场净。</w:t>
      </w:r>
    </w:p>
    <w:p>
      <w:pPr>
        <w:widowControl/>
        <w:autoSpaceDE w:val="0"/>
        <w:autoSpaceDN w:val="0"/>
        <w:spacing w:line="360" w:lineRule="auto"/>
        <w:ind w:firstLine="470" w:firstLineChars="196"/>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（4）在养护合同期内养护范围内</w:t>
      </w:r>
      <w:r>
        <w:rPr>
          <w:rFonts w:hint="eastAsia" w:ascii="仿宋" w:hAnsi="仿宋" w:eastAsia="仿宋" w:cs="仿宋"/>
          <w:color w:val="auto"/>
          <w:kern w:val="0"/>
          <w:sz w:val="24"/>
          <w:highlight w:val="none"/>
          <w:lang w:eastAsia="zh-CN"/>
        </w:rPr>
        <w:t>因养护措施不到位而发生的安全事故</w:t>
      </w:r>
      <w:r>
        <w:rPr>
          <w:rFonts w:hint="eastAsia" w:ascii="仿宋" w:hAnsi="仿宋" w:eastAsia="仿宋" w:cs="仿宋"/>
          <w:color w:val="auto"/>
          <w:kern w:val="0"/>
          <w:sz w:val="24"/>
          <w:highlight w:val="none"/>
        </w:rPr>
        <w:t>由养护承包人承担全部责任。</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3.养护维修要求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（1）所使用的原材料、成品、半成品等必须合格</w:t>
      </w:r>
      <w:r>
        <w:rPr>
          <w:rFonts w:hint="eastAsia" w:ascii="仿宋" w:hAnsi="仿宋" w:eastAsia="仿宋" w:cs="仿宋"/>
          <w:color w:val="auto"/>
          <w:kern w:val="0"/>
          <w:sz w:val="24"/>
          <w:highlight w:val="none"/>
          <w:lang w:eastAsia="zh-CN"/>
        </w:rPr>
        <w:t>，包工包料</w:t>
      </w:r>
      <w:r>
        <w:rPr>
          <w:rFonts w:hint="eastAsia" w:ascii="仿宋" w:hAnsi="仿宋" w:eastAsia="仿宋" w:cs="仿宋"/>
          <w:color w:val="auto"/>
          <w:kern w:val="0"/>
          <w:sz w:val="24"/>
          <w:highlight w:val="none"/>
        </w:rPr>
        <w:t>。</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隧道养护作业应不断提高技术装备率和动力装备率，城市隧道养护维修应贯彻国家技术经济政策，积极而谨慎地采用新技术、新材料、新设备、新工艺，使养护维修达到安全实用，质量可靠、经济合理，技术先进的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（3）养护维修完成后，应进行跟踪观察和监测，了解处置效果。</w:t>
      </w:r>
    </w:p>
    <w:p>
      <w:pPr>
        <w:widowControl/>
        <w:spacing w:line="360" w:lineRule="auto"/>
        <w:ind w:firstLine="470" w:firstLineChars="196"/>
        <w:jc w:val="left"/>
        <w:outlineLvl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4.项目</w:t>
      </w:r>
      <w:r>
        <w:rPr>
          <w:rFonts w:hint="eastAsia" w:ascii="仿宋" w:hAnsi="仿宋" w:eastAsia="仿宋" w:cs="仿宋"/>
          <w:color w:val="auto"/>
          <w:kern w:val="0"/>
          <w:sz w:val="24"/>
          <w:highlight w:val="none"/>
          <w:lang w:eastAsia="zh-CN"/>
        </w:rPr>
        <w:t>管理</w:t>
      </w:r>
      <w:r>
        <w:rPr>
          <w:rFonts w:hint="eastAsia" w:ascii="仿宋" w:hAnsi="仿宋" w:eastAsia="仿宋" w:cs="仿宋"/>
          <w:color w:val="auto"/>
          <w:kern w:val="0"/>
          <w:sz w:val="24"/>
          <w:highlight w:val="none"/>
        </w:rPr>
        <w:t>人员配备基本要求（最低</w:t>
      </w:r>
      <w:r>
        <w:rPr>
          <w:rFonts w:hint="eastAsia" w:ascii="仿宋" w:hAnsi="仿宋" w:eastAsia="仿宋" w:cs="仿宋"/>
          <w:color w:val="auto"/>
          <w:kern w:val="0"/>
          <w:sz w:val="24"/>
          <w:highlight w:val="none"/>
          <w:lang w:eastAsia="zh-CN"/>
        </w:rPr>
        <w:t>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工作时间：</w:t>
      </w:r>
      <w:r>
        <w:rPr>
          <w:rFonts w:hint="eastAsia" w:ascii="仿宋" w:hAnsi="仿宋" w:eastAsia="仿宋" w:cs="仿宋"/>
          <w:color w:val="auto"/>
          <w:kern w:val="0"/>
          <w:sz w:val="24"/>
          <w:highlight w:val="none"/>
          <w:lang w:val="en-US" w:eastAsia="zh-CN"/>
        </w:rPr>
        <w:t>8小时制</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622"/>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5098"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项目人员配备明细</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项目负责人</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工程技术</w:t>
            </w:r>
            <w:r>
              <w:rPr>
                <w:rFonts w:hint="eastAsia" w:ascii="仿宋" w:hAnsi="仿宋" w:eastAsia="仿宋" w:cs="仿宋"/>
                <w:color w:val="auto"/>
                <w:kern w:val="0"/>
                <w:sz w:val="24"/>
                <w:highlight w:val="none"/>
                <w:lang w:eastAsia="zh-CN"/>
              </w:rPr>
              <w:t>负责</w:t>
            </w:r>
            <w:r>
              <w:rPr>
                <w:rFonts w:hint="eastAsia" w:ascii="仿宋" w:hAnsi="仿宋" w:eastAsia="仿宋" w:cs="仿宋"/>
                <w:color w:val="auto"/>
                <w:kern w:val="0"/>
                <w:sz w:val="24"/>
                <w:highlight w:val="none"/>
              </w:rPr>
              <w:t>人</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合同管理员</w:t>
            </w:r>
            <w:r>
              <w:rPr>
                <w:rFonts w:hint="eastAsia" w:ascii="仿宋" w:hAnsi="仿宋" w:eastAsia="仿宋" w:cs="仿宋"/>
                <w:color w:val="auto"/>
                <w:kern w:val="0"/>
                <w:sz w:val="24"/>
                <w:highlight w:val="none"/>
                <w:lang w:eastAsia="zh-CN"/>
              </w:rPr>
              <w:t>或资料管理员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质量管理员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安全管理员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设备管理员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监控专业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机电专业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消防专业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结构专业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消控值班人员</w:t>
            </w:r>
            <w:r>
              <w:rPr>
                <w:rFonts w:hint="eastAsia" w:ascii="仿宋" w:hAnsi="仿宋" w:eastAsia="仿宋" w:cs="仿宋"/>
                <w:color w:val="auto"/>
                <w:kern w:val="0"/>
                <w:sz w:val="24"/>
                <w:highlight w:val="none"/>
                <w:lang w:eastAsia="zh-CN"/>
              </w:rPr>
              <w:t>（持证上岗）</w:t>
            </w:r>
          </w:p>
        </w:tc>
        <w:tc>
          <w:tcPr>
            <w:tcW w:w="3096" w:type="dxa"/>
          </w:tcPr>
          <w:p>
            <w:pPr>
              <w:widowControl/>
              <w:spacing w:line="360" w:lineRule="auto"/>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p>
        </w:tc>
      </w:tr>
    </w:tbl>
    <w:p>
      <w:pPr>
        <w:widowControl/>
        <w:spacing w:line="360" w:lineRule="auto"/>
        <w:ind w:firstLine="482" w:firstLineChars="200"/>
        <w:outlineLvl w:val="1"/>
        <w:rPr>
          <w:rFonts w:hint="eastAsia" w:ascii="仿宋" w:hAnsi="仿宋" w:eastAsia="仿宋" w:cs="仿宋"/>
          <w:b/>
          <w:color w:val="auto"/>
          <w:kern w:val="0"/>
          <w:sz w:val="24"/>
          <w:highlight w:val="none"/>
        </w:rPr>
      </w:pPr>
      <w:bookmarkStart w:id="40" w:name="_Toc115594044"/>
      <w:bookmarkStart w:id="41" w:name="_Toc130030066"/>
      <w:bookmarkStart w:id="42" w:name="_Toc115594168"/>
      <w:bookmarkStart w:id="43" w:name="_Toc113241609"/>
      <w:bookmarkStart w:id="44" w:name="_Toc113251368"/>
      <w:bookmarkStart w:id="45" w:name="_Toc125343809"/>
      <w:bookmarkStart w:id="46" w:name="_Toc115592609"/>
      <w:bookmarkStart w:id="47" w:name="_Toc115593648"/>
      <w:bookmarkStart w:id="48" w:name="_Toc115592091"/>
      <w:bookmarkStart w:id="49" w:name="_Toc125552506"/>
      <w:bookmarkStart w:id="50" w:name="_Toc132615121"/>
      <w:bookmarkStart w:id="51" w:name="_Toc115592650"/>
      <w:bookmarkStart w:id="52" w:name="_Toc113330713"/>
      <w:bookmarkStart w:id="53" w:name="_Toc113332540"/>
      <w:bookmarkStart w:id="54" w:name="_Toc115592299"/>
      <w:bookmarkStart w:id="55" w:name="_Toc115594225"/>
      <w:bookmarkStart w:id="56" w:name="_Toc113273287"/>
      <w:bookmarkStart w:id="57" w:name="_Toc113251279"/>
      <w:bookmarkStart w:id="58" w:name="_Toc115594665"/>
      <w:bookmarkStart w:id="59" w:name="_Toc125552655"/>
      <w:bookmarkStart w:id="60" w:name="_Toc113251219"/>
      <w:bookmarkStart w:id="61" w:name="_Toc132614014"/>
      <w:bookmarkStart w:id="62" w:name="_Toc115592267"/>
      <w:bookmarkStart w:id="63" w:name="_Toc115592236"/>
      <w:bookmarkStart w:id="64" w:name="_Toc132648400"/>
      <w:bookmarkStart w:id="65" w:name="_Toc132677245"/>
      <w:bookmarkStart w:id="66" w:name="_Toc132648439"/>
      <w:bookmarkStart w:id="67" w:name="_Toc132648334"/>
      <w:r>
        <w:rPr>
          <w:rFonts w:hint="eastAsia" w:ascii="仿宋" w:hAnsi="仿宋" w:eastAsia="仿宋" w:cs="仿宋"/>
          <w:b/>
          <w:color w:val="auto"/>
          <w:kern w:val="0"/>
          <w:sz w:val="24"/>
          <w:highlight w:val="none"/>
        </w:rPr>
        <w:t>（二）土建</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 w:hAnsi="仿宋" w:eastAsia="仿宋" w:cs="仿宋"/>
          <w:b/>
          <w:color w:val="auto"/>
          <w:kern w:val="0"/>
          <w:sz w:val="24"/>
          <w:highlight w:val="none"/>
        </w:rPr>
        <w:t>设施</w:t>
      </w:r>
      <w:bookmarkEnd w:id="64"/>
      <w:bookmarkEnd w:id="65"/>
      <w:bookmarkEnd w:id="66"/>
      <w:bookmarkEnd w:id="67"/>
    </w:p>
    <w:p>
      <w:pPr>
        <w:widowControl/>
        <w:spacing w:line="360" w:lineRule="auto"/>
        <w:ind w:firstLine="480" w:firstLineChars="200"/>
        <w:jc w:val="left"/>
        <w:outlineLvl w:val="2"/>
        <w:rPr>
          <w:rFonts w:hint="eastAsia" w:ascii="仿宋" w:hAnsi="仿宋" w:eastAsia="仿宋" w:cs="仿宋"/>
          <w:color w:val="auto"/>
          <w:highlight w:val="none"/>
        </w:rPr>
      </w:pPr>
      <w:bookmarkStart w:id="68" w:name="_Toc113241612"/>
      <w:r>
        <w:rPr>
          <w:rFonts w:hint="eastAsia" w:ascii="仿宋" w:hAnsi="仿宋" w:eastAsia="仿宋" w:cs="仿宋"/>
          <w:color w:val="auto"/>
          <w:kern w:val="0"/>
          <w:sz w:val="24"/>
          <w:highlight w:val="none"/>
        </w:rPr>
        <w:t>1.养护内容：分为清扫保洁、保养维修、经常性检查、定期检查、特别检查和专项检测六个部分</w:t>
      </w:r>
      <w:bookmarkEnd w:id="68"/>
      <w:r>
        <w:rPr>
          <w:rFonts w:hint="eastAsia" w:ascii="仿宋" w:hAnsi="仿宋" w:eastAsia="仿宋" w:cs="仿宋"/>
          <w:color w:val="auto"/>
          <w:kern w:val="0"/>
          <w:sz w:val="24"/>
          <w:highlight w:val="none"/>
        </w:rPr>
        <w:t>。</w:t>
      </w:r>
      <w:bookmarkStart w:id="69" w:name="_Toc113241613"/>
    </w:p>
    <w:bookmarkEnd w:id="69"/>
    <w:p>
      <w:pPr>
        <w:widowControl/>
        <w:spacing w:line="360" w:lineRule="auto"/>
        <w:ind w:firstLine="482" w:firstLineChars="200"/>
        <w:outlineLvl w:val="3"/>
        <w:rPr>
          <w:rFonts w:hint="eastAsia" w:ascii="仿宋" w:hAnsi="仿宋" w:eastAsia="仿宋" w:cs="仿宋"/>
          <w:color w:val="auto"/>
          <w:kern w:val="0"/>
          <w:sz w:val="24"/>
          <w:highlight w:val="none"/>
        </w:rPr>
      </w:pPr>
      <w:bookmarkStart w:id="70" w:name="_Toc113241616"/>
      <w:r>
        <w:rPr>
          <w:rFonts w:hint="eastAsia" w:ascii="仿宋" w:hAnsi="仿宋" w:eastAsia="仿宋" w:cs="仿宋"/>
          <w:b/>
          <w:bCs/>
          <w:color w:val="auto"/>
          <w:kern w:val="0"/>
          <w:sz w:val="24"/>
          <w:highlight w:val="none"/>
        </w:rPr>
        <w:t>（1）清扫保洁</w:t>
      </w:r>
    </w:p>
    <w:bookmarkEnd w:id="70"/>
    <w:p>
      <w:pPr>
        <w:tabs>
          <w:tab w:val="left" w:pos="780"/>
        </w:tabs>
        <w:spacing w:line="360" w:lineRule="auto"/>
        <w:ind w:firstLine="480" w:firstLineChars="200"/>
        <w:rPr>
          <w:rFonts w:hint="eastAsia" w:ascii="仿宋" w:hAnsi="仿宋" w:eastAsia="仿宋" w:cs="仿宋"/>
          <w:color w:val="auto"/>
          <w:kern w:val="0"/>
          <w:sz w:val="24"/>
          <w:highlight w:val="none"/>
        </w:rPr>
      </w:pPr>
      <w:bookmarkStart w:id="71" w:name="_Toc113241618"/>
      <w:r>
        <w:rPr>
          <w:rFonts w:hint="eastAsia" w:ascii="仿宋" w:hAnsi="仿宋" w:eastAsia="仿宋" w:cs="仿宋"/>
          <w:color w:val="auto"/>
          <w:kern w:val="0"/>
          <w:sz w:val="24"/>
          <w:highlight w:val="none"/>
        </w:rPr>
        <w:t>①墙体、装饰层基本要求</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A)墙体、装饰层应保持干净、整洁</w:t>
      </w:r>
      <w:bookmarkEnd w:id="71"/>
      <w:r>
        <w:rPr>
          <w:rFonts w:hint="eastAsia" w:ascii="仿宋" w:hAnsi="仿宋" w:eastAsia="仿宋" w:cs="仿宋"/>
          <w:color w:val="auto"/>
          <w:kern w:val="0"/>
          <w:sz w:val="24"/>
          <w:highlight w:val="none"/>
        </w:rPr>
        <w:t>，清洁应不少于1次/2</w:t>
      </w:r>
      <w:bookmarkStart w:id="72" w:name="_Toc113241619"/>
      <w:r>
        <w:rPr>
          <w:rFonts w:hint="eastAsia" w:ascii="仿宋" w:hAnsi="仿宋" w:eastAsia="仿宋" w:cs="仿宋"/>
          <w:color w:val="auto"/>
          <w:kern w:val="0"/>
          <w:sz w:val="24"/>
          <w:highlight w:val="none"/>
        </w:rPr>
        <w:t>周；</w:t>
      </w:r>
    </w:p>
    <w:p>
      <w:pPr>
        <w:tabs>
          <w:tab w:val="left" w:pos="780"/>
        </w:tabs>
        <w:spacing w:line="360" w:lineRule="auto"/>
        <w:ind w:firstLine="46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B)墙体、装饰层的清洁宜以机械作业为主，以人工作业为辅。</w:t>
      </w:r>
    </w:p>
    <w:bookmarkEnd w:id="72"/>
    <w:p>
      <w:pPr>
        <w:tabs>
          <w:tab w:val="left" w:pos="780"/>
        </w:tabs>
        <w:spacing w:line="360" w:lineRule="auto"/>
        <w:ind w:firstLine="480" w:firstLineChars="200"/>
        <w:rPr>
          <w:rFonts w:hint="eastAsia" w:ascii="仿宋" w:hAnsi="仿宋" w:eastAsia="仿宋" w:cs="仿宋"/>
          <w:color w:val="auto"/>
          <w:kern w:val="0"/>
          <w:sz w:val="24"/>
          <w:highlight w:val="none"/>
        </w:rPr>
      </w:pPr>
      <w:bookmarkStart w:id="73" w:name="_Toc113241620"/>
      <w:r>
        <w:rPr>
          <w:rFonts w:hint="eastAsia" w:ascii="仿宋" w:hAnsi="仿宋" w:eastAsia="仿宋" w:cs="仿宋"/>
          <w:color w:val="auto"/>
          <w:kern w:val="0"/>
          <w:sz w:val="24"/>
          <w:highlight w:val="none"/>
        </w:rPr>
        <w:t>②隧道内车道的标志灯、交通标志牌、应急指示灯、交通安全标志基本要求</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A)应保持其清晰、醒目；</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B)清洁维护频率应不少于2次/月，当标志牌有污秽，影响其辨认性能，应及时进行清洗，清洗时，应避免损伤其表面覆膜或涂层。</w:t>
      </w:r>
      <w:bookmarkEnd w:id="73"/>
      <w:bookmarkStart w:id="74" w:name="_Toc113251222"/>
      <w:bookmarkStart w:id="75" w:name="_Toc113241621"/>
    </w:p>
    <w:p>
      <w:pPr>
        <w:tabs>
          <w:tab w:val="left" w:pos="78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（2）保养维修</w:t>
      </w:r>
      <w:bookmarkEnd w:id="74"/>
      <w:bookmarkEnd w:id="75"/>
      <w:bookmarkStart w:id="76" w:name="_Toc113241623"/>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①洞口的保养维修</w:t>
      </w:r>
      <w:bookmarkEnd w:id="76"/>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A)要求洞口边仰坡上的无</w:t>
      </w:r>
      <w:r>
        <w:rPr>
          <w:rFonts w:hint="eastAsia" w:ascii="仿宋" w:hAnsi="仿宋" w:eastAsia="仿宋" w:cs="仿宋"/>
          <w:color w:val="auto"/>
          <w:kern w:val="0"/>
          <w:sz w:val="24"/>
          <w:highlight w:val="none"/>
          <w:lang w:eastAsia="zh-CN"/>
        </w:rPr>
        <w:t>碎石</w:t>
      </w:r>
      <w:r>
        <w:rPr>
          <w:rFonts w:hint="eastAsia" w:ascii="仿宋" w:hAnsi="仿宋" w:eastAsia="仿宋" w:cs="仿宋"/>
          <w:color w:val="auto"/>
          <w:kern w:val="0"/>
          <w:sz w:val="24"/>
          <w:highlight w:val="none"/>
        </w:rPr>
        <w:t>；</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B)冬季时应清除积雪和挂冰，保持洞口边沟和仰坡上截（排）水沟的完好、通畅；</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C)要求洞口挡土墙、护坡、排水设施和减光设施等结构物的完好；</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D)挡墙应保持坚固、耐用、完好。挡墙应每季度检查2次，中雨以上降雨时应巡检，挡墙倾斜超过20㎜或鼓胀、移位、下沉20㎜时，应进行维修加固。挡墙折断应及时加固，开裂超过10㎜，应进行局部封闭。</w:t>
      </w:r>
      <w:bookmarkStart w:id="77" w:name="_Toc113241624"/>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②洞身的保养维修</w:t>
      </w:r>
      <w:bookmarkEnd w:id="77"/>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A)隧道洞身的养护，要求衬砌起层或剥落破损率小于1‰，且每处不大于0.5㎡；</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B)对衬砌及洞顶的渗漏水要求，渗漏水量不得大于设计规定，及时将水流引入边沟排出。一级防水等级的隧道不允许渗水，围护结构无湿渍。二级防水等级的隧道不允许漏水，围护结构有少量、偶见的湿渍。</w:t>
      </w:r>
      <w:bookmarkStart w:id="78" w:name="_Toc113241625"/>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③路面的保养维修</w:t>
      </w:r>
      <w:bookmarkEnd w:id="78"/>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A)路面养护，要求无坑洞、无拥包、无开裂等病害，破损率小于1‰，且每处不大于0.1㎡，平整度小于5㎜；</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B)不得随意增加静荷载。老化的沥青混凝土路面，应进行铣刨更新处理，严禁随意加沥青混凝土结构进行补强；</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C)路面更新后的横坡和纵坡，应满足排水要求；</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D)为了保持路面的抗滑能力，对已磨光的砼路面，用机械刻槽方法，恢复抗滑能力；</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E)路面出现渗漏水时，应及时处理，防止路面积水或结冰；</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F)冬季应及时处理洞口处路面积雪；</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G)砼路面和沥青砼路面的养护维修，应参照《杭州市城市道路养护技术规程》的主干道路部分执行。</w:t>
      </w:r>
      <w:bookmarkStart w:id="79" w:name="_Toc113241626"/>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④斜（竖）井的保养维</w:t>
      </w:r>
      <w:bookmarkEnd w:id="79"/>
      <w:r>
        <w:rPr>
          <w:rFonts w:hint="eastAsia" w:ascii="仿宋" w:hAnsi="仿宋" w:eastAsia="仿宋" w:cs="仿宋"/>
          <w:color w:val="auto"/>
          <w:kern w:val="0"/>
          <w:sz w:val="24"/>
          <w:highlight w:val="none"/>
        </w:rPr>
        <w:t>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A)及时清除井内可能损伤通风设施或影响通风效果的异物；</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B)维护井内排水设施的完好，保持水沟（管）的畅通；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C)对井内的检查通道或设施进行保养，防止其锈蚀或损坏。</w:t>
      </w:r>
      <w:bookmarkStart w:id="80" w:name="_Toc113241627"/>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⑤风道的保养</w:t>
      </w:r>
      <w:bookmarkEnd w:id="80"/>
      <w:r>
        <w:rPr>
          <w:rFonts w:hint="eastAsia" w:ascii="仿宋" w:hAnsi="仿宋" w:eastAsia="仿宋" w:cs="仿宋"/>
          <w:color w:val="auto"/>
          <w:kern w:val="0"/>
          <w:sz w:val="24"/>
          <w:highlight w:val="none"/>
        </w:rPr>
        <w:t>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A)清理送（排）风口的网罩，清除堵塞网眼的杂物；</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B)定期保养风道板吊杆，防止其锈蚀或损坏；</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C)及时修复风口或风道的破坏，更换损坏的风道板。</w:t>
      </w:r>
      <w:bookmarkStart w:id="81" w:name="_Toc113241628"/>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⑥排水设施的保养</w:t>
      </w:r>
      <w:bookmarkEnd w:id="81"/>
      <w:r>
        <w:rPr>
          <w:rFonts w:hint="eastAsia" w:ascii="仿宋" w:hAnsi="仿宋" w:eastAsia="仿宋" w:cs="仿宋"/>
          <w:color w:val="auto"/>
          <w:kern w:val="0"/>
          <w:sz w:val="24"/>
          <w:highlight w:val="none"/>
        </w:rPr>
        <w:t>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A)维护隧道内外排水设施的完好，发现损坏及时修复；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B)排水管堵塞时，可用高压或压缩空气疏通；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C)横截沟盖板不应有翘起、碎裂、响声，如有上述情况应及时修复；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D)排水设施应保证畅通；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E)排水的金属管道应定期作好防腐处理工作。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⑦墙体、装饰层的保养维修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墙体、装饰层应保持完好和整洁美观，如有破损、缺失应及时修补恢复，不能修复的应及时更新。</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⑧人行道或检修道的保养维修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A)人行道或检修道的养护要求：破损小于1‰，每处不大于0.5㎡，人行道或检修道不得积水；</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B)人行道和检修道要经常保持平整，发现破碎、翘动、松动等局部缺损，要及时修补。</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⑨栏杆和护栏的保养维修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A)栏杆和护栏应保持完好、清洁、坚固，立柱正直无摇动现象，横杆联接牢固，如有缺损，应及时补齐；</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B)栏杆退色严重或有表皮脱落现象时，应清除并维修。对油漆失效部分进行补漆，油漆必须均匀、光滑，不得漏漆、结块、脱皮、起皱等。涂料性能应符合原设计的要求，表面涂层应均匀，不漏刷、不流淌；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C)当栏杆被撞有严重变形、断裂和残损现象时，应及时按照原构造进行恢复，并应安装整齐、牢固。</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⑩交通标志标线（包括坐标牌）保养维修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A)隧道的交通标志标线应保持外观完整、清晰、醒目，保持位置、高度和角度适当，确保交通信息传递无误；</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B)及时清洗标志牌面的脏污，清除遮挡标志的障碍；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C)及时修补变形，破损的标牌，修复弯曲、倾斜的支柱，紧固松动的连接构件；</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D)对锈蚀损坏、老化失效的标志，应及时更换，缺失的应及时补充；</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E)对损坏限高设施应及时维修。</w:t>
      </w:r>
    </w:p>
    <w:p>
      <w:pPr>
        <w:widowControl/>
        <w:spacing w:line="360" w:lineRule="auto"/>
        <w:ind w:firstLine="482" w:firstLineChars="200"/>
        <w:jc w:val="left"/>
        <w:outlineLvl w:val="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（3）经常性检查</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①经常性检查应由经过培训的专职隧道管理人员或有一定经验的工程技术人员负责。</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②经常性检查宜以目测为主，配合以检查工具进行，发现需要改善的设施缺陷和对通行有影响的设施缺陷应作好检查记录，并及时处置。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③一等养护隧道经常性检查频率为2次/天，二等养护隧道经常性检查频率为1次/天。在遇恶劣天气、汛期、雨季、冰冻、重大活动等特殊情况，应加大检查频率。</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④经常性检查记录应每月定期整理归档，并进行分析提出评价意见。</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⑤经常性检查应包括下列内容：</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A）主要检查各结构部件的功能是否完好、有效，运行是否正常，是否有影响车辆、行人通行等情况：</w:t>
      </w:r>
    </w:p>
    <w:p>
      <w:pPr>
        <w:widowControl/>
        <w:tabs>
          <w:tab w:val="left" w:pos="780"/>
        </w:tabs>
        <w:spacing w:line="360" w:lineRule="auto"/>
        <w:ind w:left="105" w:leftChars="50"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 洞口：边（仰）坡有无危石、积水、积雪，洞口有无挂冰，边沟有无积塞，构造物有无开裂、倾斜、沉陷等；</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 洞身：结构有无开裂、倾斜、沉陷、错台、起层、剥落、渗漏水；</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 衬砌：结构有无裂缝、错台、起层、剥落、渗漏水；</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 挡墙和护坡：是否坚固、耐用、完好；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 路面：有无拱起、坑洞、开裂、错台等；</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 人行道或检修道：结构有无撞坏、破损，盖板有无缺损、平整、松动；</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 栏杆或护栏：有无松动、缺损、变形、损坏；</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h) 排水设施：有无破损、堵塞、积水、结冰；</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i) 墙体、装饰层：有无变形、破损、漏水、脏污；</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j) 隧道内设备箱门、通道门、交通信号、交通标志是否完好。</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k）是否存在城市市政设施管理条例中规定的各类违章现象；</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l）隧道安全保护范围内的施工作业情况。</w:t>
      </w:r>
    </w:p>
    <w:p>
      <w:pPr>
        <w:widowControl/>
        <w:tabs>
          <w:tab w:val="left" w:pos="84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（4）定期检查</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①定期检查应由专职隧道养护工程技术人员或实践丰富的隧道工程技术人员负责，并对每座隧道指定相应的定期检查计划和实施方案。</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②一等养护的隧道定期检查频率为1次/半年，二等养护的隧道定期检查频率为1次/年。</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定期检查宜采用步行方式，配备必要的检查工具或设备，进行量测检查。检查时，应尽量靠近结构，依次检查各个结构部位。注意发现异常情况和原有异常情况的发展变化。对于有异常情况的结构，应在其适当位置作出标记，检查结果宜尽可能量化。</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④定期检查的内容以及判定标准按表3执行。</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⑤定期检查结果应及时记录，应将检查数据及病害应详细、准确地记录，分析病害的成因，给出判定结论。</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⑥定期检查的情况记录以及养护维修管理措施的建议，均应及时整理、归档。 </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⑦定期检查完成后，应提出土建结构定期检查报告，内容包括：</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A)沉降观测点检测，并进行数据对比；</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B)实地判断损坏原因，估计维修范围和方案，需要采取处治措施的建议；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C)对土建结构的技术状况和功能状态的评价；</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D)对土建结构的养护维修状况的评价及建议；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E)对难以判断其损坏程度和原因的构件，需要实施专项检查的建议；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F)应附上检查记录表以及其他有关检测记录资料。</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⑧定期检查发现重大病害、隐患应立即向主管部门报告，及时处理。</w:t>
      </w:r>
    </w:p>
    <w:p>
      <w:pPr>
        <w:widowControl/>
        <w:autoSpaceDE w:val="0"/>
        <w:autoSpaceDN w:val="0"/>
        <w:spacing w:line="360" w:lineRule="auto"/>
        <w:ind w:firstLine="422" w:firstLineChars="20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表3  定期检查的内容以及判定</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50"/>
        <w:gridCol w:w="288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检查</w:t>
            </w:r>
          </w:p>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部位</w:t>
            </w:r>
          </w:p>
        </w:tc>
        <w:tc>
          <w:tcPr>
            <w:tcW w:w="2850"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检查内容</w:t>
            </w:r>
          </w:p>
        </w:tc>
        <w:tc>
          <w:tcPr>
            <w:tcW w:w="5338" w:type="dxa"/>
            <w:gridSpan w:val="2"/>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80"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A类</w:t>
            </w:r>
          </w:p>
        </w:tc>
        <w:tc>
          <w:tcPr>
            <w:tcW w:w="2458"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洞口</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山体有无滑坡、岩石有无崩塌的征兆；边坡、护坡道等有无缺口、流涌水、沉陷、塌落、变形、位移等；</w:t>
            </w:r>
          </w:p>
        </w:tc>
        <w:tc>
          <w:tcPr>
            <w:tcW w:w="2880"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存在滑坡的初步迹象，尚未危及交通</w:t>
            </w:r>
          </w:p>
        </w:tc>
        <w:tc>
          <w:tcPr>
            <w:tcW w:w="2458"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山体开裂、滑动、岩体开裂、失稳、已危及交通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护坡、挡墙有无裂缝、断缝、倾斜、鼓肚、滑动、下沉或表面风化、泄水孔堵塞，墙后积水、周围地基错台、空隙等</w:t>
            </w:r>
          </w:p>
        </w:tc>
        <w:tc>
          <w:tcPr>
            <w:tcW w:w="2880"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存在此类异常情况，尚未妨碍交通</w:t>
            </w:r>
          </w:p>
        </w:tc>
        <w:tc>
          <w:tcPr>
            <w:tcW w:w="2458"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护坡、挡墙等产生开裂、变形、移位等，可能对交通构成威胁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洞身</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墙身有无开裂、裂缝</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墙身存在轻微的倾斜或下沉等，尚未妨碍交通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由于开裂、衬砌存在剥落的可能，对交通构成威胁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结构有无倾斜、沉降、断裂</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墙身存在轻微的倾斜或下沉等，尚不妨碍交通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通过肉眼观察，即可发现墙身有明显的倾斜、下沉等；或洞门与洞身连接处有明显的环向裂缝，有外倾的趋势，对交通构成威胁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混凝土钢筋有无外露</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存在轻微的外露现象，尚不妨碍交通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混凝土保护层剥落，钢筋外露，受到锈蚀，对交通构成威胁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衬砌有无裂缝、剥落</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在拱顶或拱腰部位，存在裂缝，尚不妨碍交通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衬砌开裂严重，混凝土被分割形成块状，存在掉落的可能，对交通构成威胁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衬砌表层有无起层、剥落</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存在起层、剥落，并有压碎现象，尚不妨碍交通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衬砌严重起层、剥落，对交通构成威胁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墙身施工缝有无开裂、错位</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接缝开口、错位、错台等引起止水板或施工缝砂浆掉落，发展下去可能妨碍交通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洞顶有无渗漏水</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存在漏水、未尚不妨碍交通，但影响隧道内设备的安全</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洞顶大规模漏水，已妨碍交通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路面上有无塌（散）物、油污、滞水、结冰；路面有无拱起、沉陷、错台、坑洞、开裂、溜滑</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路面出现严重的拱起、沉陷、错台、裂缝、溜滑，以及结冰，已妨碍交通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人行道、检修道</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道板和铺装层有无破损、缺失，栏杆和护栏</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道板局部破损，栏杆锈蚀，尚未已妨碍交通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道板损坏多处，栏杆损坏变形，已妨碍交通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排水设施</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结构有无破损；边沟盖板是否完好；沟管有无开裂漏水；排水沟（管）、积水井等有无淤积堵塞、滞水、结冰</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由于结构破损或杂物堵塞，截水沟、排水管（沟）淤积、滞水，已妨碍交通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墙体、装饰层</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有无变形、破损，有无漏水、脏污</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存在严重变形、破损、漏水、污染，已妨碍交通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交通标志</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有无变形、破损、完好、脏污</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存在变形、破损、缺损、脏污，已妨碍交通</w:t>
            </w:r>
          </w:p>
        </w:tc>
      </w:tr>
    </w:tbl>
    <w:p>
      <w:pPr>
        <w:widowControl/>
        <w:tabs>
          <w:tab w:val="left" w:pos="84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（5）特别检查</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①特别检查应由专业人员根据受异常事件影响的结构，决定采取的专门技术办法、工具和设备，并辅以现场和实验室测试等特殊手段进行详细检测和综合分析，检测结果应提交书面报告。</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②特别检查的内容应针对受异常事件影响的结构或结构部位作重点检查，掌握其受损的情况。</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③特别检查应按定期检查的标准判定，当难以判明破损的原因，程度等情况时，应作专项检测。</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④检查结果的记录，与定期检查相同，检查完成后，应提交特别检查报告，包括检查记录，评估异常事件的影响，给出判定结论，确定合理的对策措施。</w:t>
      </w:r>
    </w:p>
    <w:p>
      <w:pPr>
        <w:widowControl/>
        <w:tabs>
          <w:tab w:val="left" w:pos="84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（6）专项检测</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①专项检测应由相应资质的专业单位承但。</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②专项检测的项目、内容及其要求，应根据定期或特别检查的结果有针对性地确定。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实施专项检测前，检测单位应对竣工资料、历次隧道定期检查和特别检查报告、历次维修资料等有关的技术资料、档案进行调查，并对隧道周围的地质及地表环境等展开实地调查，以充分掌握相关的技术信息，寻找土建结构发展变化的原因，确保专项检查结果的准确性。</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④检测完成后，作出专项检测报告，对结构整体性能、功能状况作分析鉴定，阐述检查部位的损坏原因及程度，并提出结构部件和总体修理、加固或改善相应的结论。</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2.定期检查和特别检查的结果，按表1的规定分为三类判定；专项检测的结果，按表2的规定分为四类判定。</w:t>
      </w:r>
    </w:p>
    <w:p>
      <w:pPr>
        <w:widowControl/>
        <w:autoSpaceDE w:val="0"/>
        <w:autoSpaceDN w:val="0"/>
        <w:spacing w:line="360" w:lineRule="auto"/>
        <w:ind w:firstLine="422" w:firstLineChars="20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表1  定期检查、特别检查结果判定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判定分类</w:t>
            </w:r>
          </w:p>
        </w:tc>
        <w:tc>
          <w:tcPr>
            <w:tcW w:w="7560"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O</w:t>
            </w:r>
          </w:p>
        </w:tc>
        <w:tc>
          <w:tcPr>
            <w:tcW w:w="7560" w:type="dxa"/>
            <w:vAlign w:val="center"/>
          </w:tcPr>
          <w:p>
            <w:pPr>
              <w:widowControl/>
              <w:spacing w:line="360" w:lineRule="auto"/>
              <w:ind w:left="489"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情况正常（无异常情况，或虽有异常情况但很轻微）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w:t>
            </w:r>
          </w:p>
        </w:tc>
        <w:tc>
          <w:tcPr>
            <w:tcW w:w="7560" w:type="dxa"/>
            <w:vAlign w:val="center"/>
          </w:tcPr>
          <w:p>
            <w:pPr>
              <w:widowControl/>
              <w:spacing w:line="360" w:lineRule="auto"/>
              <w:ind w:left="489"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存在异常情况，但不明确，应作进一步检查或观测以确定对策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w:t>
            </w:r>
          </w:p>
        </w:tc>
        <w:tc>
          <w:tcPr>
            <w:tcW w:w="7560" w:type="dxa"/>
            <w:vAlign w:val="center"/>
          </w:tcPr>
          <w:p>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异常情况明显，危及行人、行车安全，应采取处治措施或特别对策</w:t>
            </w:r>
          </w:p>
        </w:tc>
      </w:tr>
    </w:tbl>
    <w:p>
      <w:pPr>
        <w:widowControl/>
        <w:autoSpaceDE w:val="0"/>
        <w:autoSpaceDN w:val="0"/>
        <w:spacing w:line="360"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表2  专项检测结果判定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判定分类</w:t>
            </w:r>
          </w:p>
        </w:tc>
        <w:tc>
          <w:tcPr>
            <w:tcW w:w="7560"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1A</w:t>
            </w:r>
          </w:p>
        </w:tc>
        <w:tc>
          <w:tcPr>
            <w:tcW w:w="7560" w:type="dxa"/>
            <w:vAlign w:val="center"/>
          </w:tcPr>
          <w:p>
            <w:pPr>
              <w:widowControl/>
              <w:spacing w:line="360" w:lineRule="auto"/>
              <w:ind w:left="-25" w:leftChars="-12" w:firstLine="21" w:firstLineChars="1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结构存在轻微破损，现阶段对行人、行车不会有影响，但应进行监测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1B</w:t>
            </w:r>
          </w:p>
        </w:tc>
        <w:tc>
          <w:tcPr>
            <w:tcW w:w="7560" w:type="dxa"/>
            <w:vAlign w:val="center"/>
          </w:tcPr>
          <w:p>
            <w:pPr>
              <w:widowControl/>
              <w:spacing w:line="360" w:lineRule="auto"/>
              <w:ind w:left="489"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结构存在破坏，可能会危及行人、行车安全，应准备采取对策措施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2B</w:t>
            </w:r>
          </w:p>
        </w:tc>
        <w:tc>
          <w:tcPr>
            <w:tcW w:w="7560" w:type="dxa"/>
            <w:vAlign w:val="center"/>
          </w:tcPr>
          <w:p>
            <w:pPr>
              <w:widowControl/>
              <w:spacing w:line="360" w:lineRule="auto"/>
              <w:ind w:left="-70" w:leftChars="-266"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结构存在较严重破坏，可能会危及行人、行车安全，应尽早采取对策措施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3B</w:t>
            </w:r>
          </w:p>
        </w:tc>
        <w:tc>
          <w:tcPr>
            <w:tcW w:w="7560" w:type="dxa"/>
            <w:vAlign w:val="center"/>
          </w:tcPr>
          <w:p>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结构存在较严重破坏，已危及行人、行车安全，必须立即采取紧急对策措施</w:t>
            </w:r>
          </w:p>
        </w:tc>
      </w:tr>
    </w:tbl>
    <w:p>
      <w:pPr>
        <w:widowControl/>
        <w:tabs>
          <w:tab w:val="left" w:pos="900"/>
        </w:tabs>
        <w:spacing w:line="360" w:lineRule="auto"/>
        <w:ind w:firstLine="482" w:firstLineChars="200"/>
        <w:outlineLvl w:val="1"/>
        <w:rPr>
          <w:rFonts w:hint="eastAsia" w:ascii="仿宋" w:hAnsi="仿宋" w:eastAsia="仿宋" w:cs="仿宋"/>
          <w:b/>
          <w:color w:val="auto"/>
          <w:kern w:val="0"/>
          <w:sz w:val="24"/>
          <w:highlight w:val="none"/>
        </w:rPr>
      </w:pPr>
      <w:bookmarkStart w:id="82" w:name="_Toc115594169"/>
      <w:bookmarkStart w:id="83" w:name="_Toc132648335"/>
      <w:bookmarkStart w:id="84" w:name="_Toc113251369"/>
      <w:bookmarkStart w:id="85" w:name="_Toc115592610"/>
      <w:bookmarkStart w:id="86" w:name="_Toc113273288"/>
      <w:bookmarkStart w:id="87" w:name="_Toc132648440"/>
      <w:bookmarkStart w:id="88" w:name="_Toc115594226"/>
      <w:bookmarkStart w:id="89" w:name="_Toc113241631"/>
      <w:bookmarkStart w:id="90" w:name="_Toc115593649"/>
      <w:bookmarkStart w:id="91" w:name="_Toc115594045"/>
      <w:bookmarkStart w:id="92" w:name="_Toc125552656"/>
      <w:bookmarkStart w:id="93" w:name="_Toc113330714"/>
      <w:bookmarkStart w:id="94" w:name="_Toc132614015"/>
      <w:bookmarkStart w:id="95" w:name="_Toc130030067"/>
      <w:bookmarkStart w:id="96" w:name="_Toc113332541"/>
      <w:bookmarkStart w:id="97" w:name="_Toc132677246"/>
      <w:bookmarkStart w:id="98" w:name="_Toc115592092"/>
      <w:bookmarkStart w:id="99" w:name="_Toc115592300"/>
      <w:bookmarkStart w:id="100" w:name="_Toc115594666"/>
      <w:bookmarkStart w:id="101" w:name="_Toc132615122"/>
      <w:bookmarkStart w:id="102" w:name="_Toc125552507"/>
      <w:bookmarkStart w:id="103" w:name="_Toc115592241"/>
      <w:bookmarkStart w:id="104" w:name="_Toc115592651"/>
      <w:bookmarkStart w:id="105" w:name="_Toc115592268"/>
      <w:bookmarkStart w:id="106" w:name="_Toc132648401"/>
      <w:bookmarkStart w:id="107" w:name="_Toc113251280"/>
      <w:bookmarkStart w:id="108" w:name="_Toc113251225"/>
      <w:r>
        <w:rPr>
          <w:rFonts w:hint="eastAsia" w:ascii="仿宋" w:hAnsi="仿宋" w:eastAsia="仿宋" w:cs="仿宋"/>
          <w:b/>
          <w:color w:val="auto"/>
          <w:kern w:val="0"/>
          <w:sz w:val="24"/>
          <w:highlight w:val="none"/>
        </w:rPr>
        <w:t>（三）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仿宋" w:hAnsi="仿宋" w:eastAsia="仿宋" w:cs="仿宋"/>
          <w:b/>
          <w:color w:val="auto"/>
          <w:kern w:val="0"/>
          <w:sz w:val="24"/>
          <w:highlight w:val="none"/>
        </w:rPr>
        <w:t>机电设施（低压配电、应急照明、通风）、水消防系统、监控系统（含消防火灾报警系统）及隧道提速改造部分</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1.一般规定</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养护维修可分为日常检查维护、经常性检修、定期检修。日常检查维护，不少于1次/日。经常性检修不少于1次/月。定期检修宜按1次/年进行。大修（分解性检修）宜按1次/3年进行。</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应充分考虑隧道内运行车辆、养护人员的安全，并按照规定进行。需要中断交通时，应与土建养护作业计划综合考虑。</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机电设施养护应使设备技术状态达到产品说明书、设计文件或有关规范的要求。</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机电设施养护应配备专门的电工工具、测试仪器、清洁工具、安全防护设备及高空作业设备。对配备的专用工具应定期检查，耐高压工具试验1次/半年，测试仪器校对1次/年，安全防护设备及高空作业设备检查1次/季度。</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机电设施养护应真实记录各种设备的检查情况，建立专门的技术档案。</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隧道每年雷雨季节前应进行一次防雷检测，应对防雷缺陷进行整改，每次雷雨后应对防雷设施进行检查、检测。</w:t>
      </w:r>
      <w:bookmarkStart w:id="109" w:name="_Toc115592243"/>
      <w:bookmarkStart w:id="110" w:name="_Toc113251227"/>
    </w:p>
    <w:p>
      <w:pPr>
        <w:widowControl/>
        <w:numPr>
          <w:ilvl w:val="2"/>
          <w:numId w:val="0"/>
        </w:numPr>
        <w:tabs>
          <w:tab w:val="left" w:pos="720"/>
          <w:tab w:val="left" w:pos="900"/>
          <w:tab w:val="left" w:pos="1080"/>
        </w:tabs>
        <w:spacing w:line="360" w:lineRule="auto"/>
        <w:ind w:firstLine="475"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2.供配电系统</w:t>
      </w:r>
      <w:bookmarkEnd w:id="109"/>
      <w:bookmarkEnd w:id="110"/>
      <w:r>
        <w:rPr>
          <w:rFonts w:hint="eastAsia" w:ascii="仿宋" w:hAnsi="仿宋" w:eastAsia="仿宋" w:cs="仿宋"/>
          <w:b/>
          <w:color w:val="auto"/>
          <w:kern w:val="0"/>
          <w:sz w:val="24"/>
          <w:highlight w:val="none"/>
        </w:rPr>
        <w:t>（包括低压电缆、控制电缆、照明系统）</w:t>
      </w:r>
    </w:p>
    <w:p>
      <w:pPr>
        <w:widowControl/>
        <w:numPr>
          <w:ilvl w:val="2"/>
          <w:numId w:val="0"/>
        </w:numPr>
        <w:tabs>
          <w:tab w:val="left" w:pos="720"/>
          <w:tab w:val="left" w:pos="900"/>
          <w:tab w:val="left" w:pos="1080"/>
        </w:tabs>
        <w:spacing w:line="360" w:lineRule="auto"/>
        <w:ind w:firstLine="475"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（1）运行管理</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①供配电系统养护人员应持有特殊工种上岗证书，并配备专门的电工检修工具；</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②供配电系统的工作电压、工作负荷和控制温度应在额定值的允许变化范围内运行；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供配电系统养护人员应对供配电设施日常检查1次/日，在遇恶劣天气、汛期、雨季、重大活动等特殊情况，应加大检查频率。主要针对变压器、低压配电柜以及变配电室内相关设备运行情况，通过观察异常、声响、发热、气味、火花等现象，及时发现设备故障，及时排除，并做好运行记录；</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④供配电系统在运行中，发现继电保护动作跳闸、电容器的断路器跳闸，在未查明原因前不得重新合闸运行；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⑤供配电设备及周围环境应保持整洁、卫生；</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⑥供配电系统养护人员应及时记录供配电设备的运行参数，并记录有关调度安排，严禁漏记、编造和涂改。</w:t>
      </w:r>
    </w:p>
    <w:p>
      <w:pPr>
        <w:widowControl/>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（2）安全操作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①在供配电设备上进行倒闸操作时，应遵守电力部门安全工作规程，并应严格按照程序操作；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②变压器、电容器等装置在运行中发生异常情况，当不能排除时，应立即停止运行，及时切换，并应立即报告主管部门；</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③电容器在重新合闸前，必须使断路器断开，将电容器放电。</w:t>
      </w:r>
    </w:p>
    <w:p>
      <w:pPr>
        <w:widowControl/>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（3）维护保养</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①供配电系统中低压变配电设备应停电、清扫工作，不应少于1次/季度；</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②按照对电力部门安全工作规程对高压变配电设施进行预防性测试；</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③供电线路的养护按照电力部门的有关规定进行。当供电线路存在异常情况时，采取措施并及时通知电力部门及主管部门；</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④供配电系统需要进行带电作业的项目，应使隧道内、变配电室、中心控制室相互协调、密切配合，并严格按电气操作规程的有关要求进行；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⑤供配电设施应定期检修1次/年，检修主要内容有：</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A)高压配电房由专业的单位维护，在养护中发现高配房的问题第一时间通知相应的维护单位进行处置。</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B）低压开关柜</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断路器外观有无污染、裂痕；</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断路器触头有无烧伤、接触是否紧密；</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断路器有无明显的噪音；</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断路器脱扣器是否正常；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断路器绝缘是否良好；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断路器整定值是否满足系统保护要求；</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断路器引线接头有无污染、松动；</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热继电器外部检查外壳是否清洁、完整、嵌接良好；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热继电器外壳与底座接合是否紧密牢固、防尘密封是否良好安装是否端正；</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热继电器内部和机械部分检查；</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转换开关外部检查是否清洁、完整、嵌接良好；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转换开关外壳与底座接合是否紧密牢固、防尘密封是否良好安装是否端正；</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转换开关内部和机械部分检查。</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C）风机启动及控制箱</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箱体接地是否良好；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可编控制程序是否正确；</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自动集控手动操作是否正确；</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有无腐蚀及积水。</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D）电力电缆、电缆托架及支架</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外表有无损伤、变形、断开、腐蚀；</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电缆线间、相间和对地绝缘是否正常；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电缆工作温度是否正常；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接头处是否正常，有无烧焦痕迹；</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电缆沟是否干净，有无杂物垃圾，有无积水、积油、盖板是否完整；</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接地是否良好。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E）变配电室构件、接地装置无腐蚀，接地电阻正常。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F）直流电源、UPS电源</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微机继电保护装置新安装的保护装置全部检验；</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箱体接地应良好；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电池组外观有无污染损伤，电池的电解液是否正常；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电池的电压是否正常；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电池的绝缘是否正常；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电池每年进行一次容量恢复试验；</w:t>
      </w:r>
    </w:p>
    <w:p>
      <w:pPr>
        <w:widowControl/>
        <w:tabs>
          <w:tab w:val="left" w:pos="780"/>
        </w:tabs>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 充电机及浮充电机输出直流电压、电流应正常，整流装置应正常。</w:t>
      </w:r>
    </w:p>
    <w:p>
      <w:pPr>
        <w:widowControl/>
        <w:tabs>
          <w:tab w:val="left" w:pos="780"/>
        </w:tabs>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（4）技术指标</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供配电系统的设备完好率不应低于98%。</w:t>
      </w:r>
    </w:p>
    <w:p>
      <w:pPr>
        <w:widowControl/>
        <w:tabs>
          <w:tab w:val="left" w:pos="780"/>
        </w:tabs>
        <w:spacing w:line="360" w:lineRule="auto"/>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3.监控系统、提速改造部分（包括卡口系统、测速系统、变道自动抓拍系统、监控系统、网络广播系统、LED出口指路系统、诱导标系统、隧道LED诱导系统、火灾报警系统、管道及光缆等）</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（1）日常主要巡查、维护内容为：每日需车辆上路对辖区所有设施巡查、维护及时排除故障，对设施整修、拆除、移位、更换、线路故障、电气故障（如漏电等问题）排除。每月一次对全部外场设备进行保洁。</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确保维护点7×24小时正常运行，每天有1辆车辆上路巡查，路口点每周至少巡检一次，发现不安全因素和隐患及时排除。对维护范围内全部设施至少每季度检查1次，对检查中发现不安全因素和隐患及时排除。建立巡检台帐，供业主随时检查。巡检内容为：</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清洁设备，保证外场设备安全、整洁、干净。</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统计遮挡物，如树枝等遮挡设备的情况，及时清理。</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检查检测线圈的工作情况。</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检查外场设备的完整性、牢固性、设备线路的安全性及设备用电安全（是否有漏电等问题），消除人为或自然原因影响安全和功能使用的隐患。</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（3）每年重要节假日（“五一”、“十一”等）、大型活动期间，特定巡检、维修、维护、清洁、保养。</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中标单位必须设立7×24小时服务专用电话，并配备相应的人员、车辆及必要的维护工具，遇到突发事件或紧急情况，接受甲方的维修指令，抢修各种原因引起的故障（包括：①系统本身故障；②系统因受到外力（如车辆碰撞、偷盗等）影响造成故障）白天20分钟内到场，夜间40分钟内到场。</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（5）遇灾害天气，应提前检查加固外场设备，确保外场设备的安全。</w:t>
      </w:r>
    </w:p>
    <w:p>
      <w:pPr>
        <w:pStyle w:val="25"/>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（6）落实有维护经验的专业人员。</w:t>
      </w:r>
    </w:p>
    <w:p>
      <w:pPr>
        <w:pStyle w:val="26"/>
        <w:ind w:left="0" w:leftChars="0" w:firstLine="0" w:firstLine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highlight w:val="none"/>
        </w:rPr>
        <w:t xml:space="preserve"> </w:t>
      </w:r>
      <w:r>
        <w:rPr>
          <w:rFonts w:hint="eastAsia" w:ascii="仿宋" w:hAnsi="仿宋" w:eastAsia="仿宋" w:cs="仿宋"/>
          <w:b/>
          <w:color w:val="auto"/>
          <w:kern w:val="0"/>
          <w:sz w:val="24"/>
          <w:szCs w:val="24"/>
          <w:highlight w:val="none"/>
        </w:rPr>
        <w:t>机电通用设备系统（低压配电、应急照明、通风）清单</w:t>
      </w:r>
    </w:p>
    <w:tbl>
      <w:tblPr>
        <w:tblStyle w:val="64"/>
        <w:tblW w:w="5000" w:type="pct"/>
        <w:tblInd w:w="0" w:type="dxa"/>
        <w:tblLayout w:type="autofit"/>
        <w:tblCellMar>
          <w:top w:w="0" w:type="dxa"/>
          <w:left w:w="108" w:type="dxa"/>
          <w:bottom w:w="0" w:type="dxa"/>
          <w:right w:w="108" w:type="dxa"/>
        </w:tblCellMar>
      </w:tblPr>
      <w:tblGrid>
        <w:gridCol w:w="828"/>
        <w:gridCol w:w="5281"/>
        <w:gridCol w:w="1030"/>
        <w:gridCol w:w="1356"/>
      </w:tblGrid>
      <w:tr>
        <w:tblPrEx>
          <w:tblCellMar>
            <w:top w:w="0" w:type="dxa"/>
            <w:left w:w="108" w:type="dxa"/>
            <w:bottom w:w="0" w:type="dxa"/>
            <w:right w:w="108" w:type="dxa"/>
          </w:tblCellMar>
        </w:tblPrEx>
        <w:trPr>
          <w:trHeight w:val="364"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序号</w:t>
            </w:r>
          </w:p>
        </w:tc>
        <w:tc>
          <w:tcPr>
            <w:tcW w:w="310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项目名称</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lang w:eastAsia="zh-CN"/>
              </w:rPr>
            </w:pPr>
            <w:r>
              <w:rPr>
                <w:rFonts w:hint="eastAsia" w:ascii="仿宋" w:hAnsi="仿宋" w:eastAsia="仿宋" w:cs="仿宋"/>
                <w:b/>
                <w:bCs/>
                <w:color w:val="auto"/>
                <w:kern w:val="0"/>
                <w:sz w:val="18"/>
                <w:szCs w:val="18"/>
                <w:highlight w:val="none"/>
              </w:rPr>
              <w:t>计量</w:t>
            </w:r>
          </w:p>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工程量</w:t>
            </w:r>
          </w:p>
        </w:tc>
      </w:tr>
      <w:tr>
        <w:tblPrEx>
          <w:tblCellMar>
            <w:top w:w="0" w:type="dxa"/>
            <w:left w:w="108" w:type="dxa"/>
            <w:bottom w:w="0" w:type="dxa"/>
            <w:right w:w="108" w:type="dxa"/>
          </w:tblCellMar>
        </w:tblPrEx>
        <w:trPr>
          <w:trHeight w:val="364" w:hRule="atLeast"/>
        </w:trP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c>
          <w:tcPr>
            <w:tcW w:w="31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c>
          <w:tcPr>
            <w:tcW w:w="60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高、低压配电维修保养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EPS稳压设备维修保养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4</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干式变压器维修保养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4</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配电箱维修保养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421</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应急电源维修保养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防静电地板</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m2</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60.88</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7</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防雷系统</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绝缘地垫</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m2</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180</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9</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亮度仪保养维修</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6</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灯具保养维修-节能灯（LED）</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盏/只</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5790</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11</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COVI、风速风向仪维护保养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10</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12</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通风设备日常保养-轴流风机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2</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13</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通风设备日常保养-射流风机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80</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14</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通风设备日常保养-混流风机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38</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通风设备日常保养-壁式风机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9</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16</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通风设备日常保养-屋顶风机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8</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17</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空调设备维修保养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12</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18</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通风设备维修</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bl>
    <w:p>
      <w:pPr>
        <w:widowControl/>
        <w:spacing w:line="360" w:lineRule="auto"/>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（四）其它设施</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bookmarkStart w:id="111" w:name="_Toc115592248"/>
      <w:bookmarkStart w:id="112" w:name="_Toc113251233"/>
      <w:r>
        <w:rPr>
          <w:rFonts w:hint="eastAsia" w:ascii="仿宋" w:hAnsi="仿宋" w:eastAsia="仿宋" w:cs="仿宋"/>
          <w:color w:val="auto"/>
          <w:kern w:val="0"/>
          <w:sz w:val="24"/>
          <w:highlight w:val="none"/>
        </w:rPr>
        <w:t>1.一般规定</w:t>
      </w:r>
      <w:bookmarkEnd w:id="111"/>
      <w:bookmarkEnd w:id="112"/>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应经常保持完好、齐全。</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有特殊要求的其他设施应按相关规定进行养护。</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bookmarkStart w:id="113" w:name="_Toc113251234"/>
      <w:bookmarkStart w:id="114" w:name="_Toc115592249"/>
      <w:r>
        <w:rPr>
          <w:rFonts w:hint="eastAsia" w:ascii="仿宋" w:hAnsi="仿宋" w:eastAsia="仿宋" w:cs="仿宋"/>
          <w:color w:val="auto"/>
          <w:kern w:val="0"/>
          <w:sz w:val="24"/>
          <w:highlight w:val="none"/>
        </w:rPr>
        <w:t>2.环保设施</w:t>
      </w:r>
      <w:bookmarkEnd w:id="113"/>
      <w:bookmarkEnd w:id="114"/>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（1）隧道洞口绿化与植被应与周围环境协调。 </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（2）及时对树木修剪抚育、树木透光适度、通风良好，减少病虫害的发生。</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（3）隧道污水处理设施的养护应符合以下要求：</w:t>
      </w:r>
    </w:p>
    <w:p>
      <w:pPr>
        <w:widowControl/>
        <w:tabs>
          <w:tab w:val="left" w:pos="840"/>
        </w:tabs>
        <w:spacing w:line="360" w:lineRule="auto"/>
        <w:ind w:left="600" w:leftChars="248" w:hanging="79" w:hangingChars="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①污水处理池和净化池不应渗漏，发现渗漏应查明原因及时处治；</w:t>
      </w:r>
    </w:p>
    <w:p>
      <w:pPr>
        <w:widowControl/>
        <w:tabs>
          <w:tab w:val="left" w:pos="840"/>
        </w:tabs>
        <w:spacing w:line="360" w:lineRule="auto"/>
        <w:ind w:left="600" w:leftChars="248" w:hanging="79" w:hangingChars="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②污水处理池和净化池沉积的泥沙、杂物，应适时清除。</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bookmarkStart w:id="115" w:name="_Toc115592250"/>
      <w:bookmarkStart w:id="116" w:name="_Toc113251235"/>
      <w:r>
        <w:rPr>
          <w:rFonts w:hint="eastAsia" w:ascii="仿宋" w:hAnsi="仿宋" w:eastAsia="仿宋" w:cs="仿宋"/>
          <w:color w:val="auto"/>
          <w:kern w:val="0"/>
          <w:sz w:val="24"/>
          <w:highlight w:val="none"/>
        </w:rPr>
        <w:t>3.房屋设施</w:t>
      </w:r>
      <w:bookmarkEnd w:id="115"/>
      <w:bookmarkEnd w:id="116"/>
      <w:r>
        <w:rPr>
          <w:rFonts w:hint="eastAsia" w:ascii="仿宋" w:hAnsi="仿宋" w:eastAsia="仿宋" w:cs="仿宋"/>
          <w:color w:val="auto"/>
          <w:kern w:val="0"/>
          <w:sz w:val="24"/>
          <w:highlight w:val="none"/>
        </w:rPr>
        <w:t>养护</w:t>
      </w:r>
    </w:p>
    <w:p>
      <w:pPr>
        <w:widowControl/>
        <w:spacing w:line="360" w:lineRule="auto"/>
        <w:ind w:left="48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（1）房屋屋面及墙体如发生渗漏应及时维修。</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（2）屋面墙体粉刷后，起壳、剥落、疏松等损坏部分应凿除并清理干净后重新粉刷。</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（3）变电所、监控中心等主要生产房屋应做到地面无积尘和油污。</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（4）房屋及其周围环境应保持整洁、美观，周围场地应排水通畅。</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（5）房屋防雷接地装置如有损坏、锈蚀应及时养护维修。</w:t>
      </w:r>
    </w:p>
    <w:p>
      <w:pPr>
        <w:widowControl/>
        <w:spacing w:line="360" w:lineRule="auto"/>
        <w:ind w:firstLine="482" w:firstLineChars="200"/>
        <w:outlineLvl w:val="1"/>
        <w:rPr>
          <w:rFonts w:hint="eastAsia" w:ascii="仿宋" w:hAnsi="仿宋" w:eastAsia="仿宋" w:cs="仿宋"/>
          <w:b/>
          <w:color w:val="auto"/>
          <w:kern w:val="0"/>
          <w:sz w:val="24"/>
          <w:highlight w:val="none"/>
        </w:rPr>
      </w:pPr>
      <w:bookmarkStart w:id="117" w:name="_Toc115594228"/>
      <w:bookmarkStart w:id="118" w:name="_Toc115594047"/>
      <w:bookmarkStart w:id="119" w:name="_Toc132648403"/>
      <w:bookmarkStart w:id="120" w:name="_Toc115592302"/>
      <w:bookmarkStart w:id="121" w:name="_Toc132615124"/>
      <w:bookmarkStart w:id="122" w:name="_Toc115594668"/>
      <w:bookmarkStart w:id="123" w:name="_Toc132648337"/>
      <w:bookmarkStart w:id="124" w:name="_Toc115594171"/>
      <w:bookmarkStart w:id="125" w:name="_Toc115593651"/>
      <w:bookmarkStart w:id="126" w:name="_Toc132614017"/>
      <w:bookmarkStart w:id="127" w:name="_Toc125552658"/>
      <w:bookmarkStart w:id="128" w:name="_Toc132648442"/>
      <w:bookmarkStart w:id="129" w:name="_Toc132677248"/>
      <w:bookmarkStart w:id="130" w:name="_Toc115592653"/>
      <w:bookmarkStart w:id="131" w:name="_Toc130030069"/>
      <w:bookmarkStart w:id="132" w:name="_Toc115592612"/>
      <w:r>
        <w:rPr>
          <w:rFonts w:hint="eastAsia" w:ascii="仿宋" w:hAnsi="仿宋" w:eastAsia="仿宋" w:cs="仿宋"/>
          <w:b/>
          <w:color w:val="auto"/>
          <w:kern w:val="0"/>
          <w:sz w:val="24"/>
          <w:highlight w:val="none"/>
        </w:rPr>
        <w:t>（五）档案资料</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tabs>
          <w:tab w:val="left" w:pos="0"/>
        </w:tabs>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1.城市隧道养护部门应建立养护档案资料，城市隧道的养护档案资料应全面、正确、及时、清晰</w:t>
      </w:r>
      <w:bookmarkStart w:id="133" w:name="_Toc115592252"/>
      <w:bookmarkStart w:id="134" w:name="_Toc113241601"/>
      <w:r>
        <w:rPr>
          <w:rFonts w:hint="eastAsia" w:ascii="仿宋" w:hAnsi="仿宋" w:eastAsia="仿宋" w:cs="仿宋"/>
          <w:color w:val="auto"/>
          <w:kern w:val="0"/>
          <w:sz w:val="24"/>
          <w:highlight w:val="none"/>
        </w:rPr>
        <w:t>。</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2.养护档案应包括下列内容：隧道主要技术资料，新建、改造、大修竣工资料、养护运行资料、养护技术文件、检查资料、检测资料、测试资料、隧道内敷设管线等养护技术文件及相关资料。</w:t>
      </w:r>
      <w:bookmarkEnd w:id="133"/>
      <w:bookmarkEnd w:id="134"/>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3.在各类突发事故或设施损坏严重的处理过程中，必须及时做好记录，要有相片或录像，并应连同分析、处理资料一起归档保存。</w:t>
      </w:r>
      <w:bookmarkStart w:id="135" w:name="_Toc113241602"/>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4.养护档案管理工作宜逐步实行电子化、数据化、利用多媒体技术，建立信息管理系统、数据库。</w:t>
      </w:r>
      <w:bookmarkEnd w:id="135"/>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5.各类养护档案应永久保存。</w:t>
      </w:r>
    </w:p>
    <w:p>
      <w:pPr>
        <w:widowControl/>
        <w:spacing w:line="360" w:lineRule="auto"/>
        <w:ind w:firstLine="482" w:firstLineChars="200"/>
        <w:outlineLvl w:val="1"/>
        <w:rPr>
          <w:rFonts w:hint="eastAsia" w:ascii="仿宋" w:hAnsi="仿宋" w:eastAsia="仿宋" w:cs="仿宋"/>
          <w:b/>
          <w:color w:val="auto"/>
          <w:kern w:val="0"/>
          <w:sz w:val="24"/>
          <w:highlight w:val="none"/>
        </w:rPr>
      </w:pPr>
      <w:bookmarkStart w:id="136" w:name="_Toc115592654"/>
      <w:bookmarkStart w:id="137" w:name="_Toc113241633"/>
      <w:bookmarkStart w:id="138" w:name="_Toc132648404"/>
      <w:bookmarkStart w:id="139" w:name="_Toc115593652"/>
      <w:bookmarkStart w:id="140" w:name="_Toc130030070"/>
      <w:bookmarkStart w:id="141" w:name="_Toc132615125"/>
      <w:bookmarkStart w:id="142" w:name="_Toc113332543"/>
      <w:bookmarkStart w:id="143" w:name="_Toc132648443"/>
      <w:bookmarkStart w:id="144" w:name="_Toc115594669"/>
      <w:bookmarkStart w:id="145" w:name="_Toc115594048"/>
      <w:bookmarkStart w:id="146" w:name="_Toc132614018"/>
      <w:bookmarkStart w:id="147" w:name="_Toc113273290"/>
      <w:bookmarkStart w:id="148" w:name="_Toc125552659"/>
      <w:bookmarkStart w:id="149" w:name="_Toc115592253"/>
      <w:bookmarkStart w:id="150" w:name="_Toc115592303"/>
      <w:bookmarkStart w:id="151" w:name="_Toc115592613"/>
      <w:bookmarkStart w:id="152" w:name="_Toc115594172"/>
      <w:bookmarkStart w:id="153" w:name="_Toc113251236"/>
      <w:bookmarkStart w:id="154" w:name="_Toc132648338"/>
      <w:bookmarkStart w:id="155" w:name="_Toc115592270"/>
      <w:bookmarkStart w:id="156" w:name="_Toc113251282"/>
      <w:bookmarkStart w:id="157" w:name="_Toc115594229"/>
      <w:bookmarkStart w:id="158" w:name="_Toc113330716"/>
      <w:bookmarkStart w:id="159" w:name="_Toc115592094"/>
      <w:bookmarkStart w:id="160" w:name="_Toc132677249"/>
      <w:bookmarkStart w:id="161" w:name="_Toc113251371"/>
      <w:r>
        <w:rPr>
          <w:rFonts w:hint="eastAsia" w:ascii="仿宋" w:hAnsi="仿宋" w:eastAsia="仿宋" w:cs="仿宋"/>
          <w:b/>
          <w:color w:val="auto"/>
          <w:kern w:val="0"/>
          <w:sz w:val="24"/>
          <w:highlight w:val="none"/>
        </w:rPr>
        <w:t>（六）安全管理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widowControl/>
        <w:spacing w:line="360" w:lineRule="auto"/>
        <w:ind w:firstLine="480" w:firstLineChars="200"/>
        <w:outlineLvl w:val="3"/>
        <w:rPr>
          <w:rFonts w:hint="eastAsia" w:ascii="仿宋" w:hAnsi="仿宋" w:eastAsia="仿宋" w:cs="仿宋"/>
          <w:color w:val="auto"/>
          <w:kern w:val="0"/>
          <w:sz w:val="24"/>
          <w:highlight w:val="none"/>
        </w:rPr>
      </w:pPr>
      <w:bookmarkStart w:id="162" w:name="_Toc113251238"/>
      <w:bookmarkStart w:id="163" w:name="_Toc115592255"/>
      <w:r>
        <w:rPr>
          <w:rFonts w:hint="eastAsia" w:ascii="仿宋" w:hAnsi="仿宋" w:eastAsia="仿宋" w:cs="仿宋"/>
          <w:color w:val="auto"/>
          <w:kern w:val="0"/>
          <w:sz w:val="24"/>
          <w:highlight w:val="none"/>
        </w:rPr>
        <w:t>1.隧道养护单位应及时掌握城市隧道的信息，做出预测，采用必要的预防性安全措施。</w:t>
      </w:r>
      <w:bookmarkEnd w:id="162"/>
      <w:bookmarkEnd w:id="163"/>
    </w:p>
    <w:p>
      <w:pPr>
        <w:widowControl/>
        <w:spacing w:line="360" w:lineRule="auto"/>
        <w:ind w:firstLine="480" w:firstLineChars="200"/>
        <w:outlineLvl w:val="3"/>
        <w:rPr>
          <w:rFonts w:hint="eastAsia" w:ascii="仿宋" w:hAnsi="仿宋" w:eastAsia="仿宋" w:cs="仿宋"/>
          <w:color w:val="auto"/>
          <w:kern w:val="0"/>
          <w:sz w:val="24"/>
          <w:highlight w:val="none"/>
        </w:rPr>
      </w:pPr>
      <w:bookmarkStart w:id="164" w:name="_Toc115592257"/>
      <w:bookmarkStart w:id="165" w:name="_Toc113251240"/>
      <w:r>
        <w:rPr>
          <w:rFonts w:hint="eastAsia" w:ascii="仿宋" w:hAnsi="仿宋" w:eastAsia="仿宋" w:cs="仿宋"/>
          <w:color w:val="auto"/>
          <w:kern w:val="0"/>
          <w:sz w:val="24"/>
          <w:highlight w:val="none"/>
        </w:rPr>
        <w:t>2.超限运输和运送危险品的车辆应报经有关部门批准方可通过。</w:t>
      </w:r>
      <w:bookmarkEnd w:id="164"/>
      <w:bookmarkEnd w:id="165"/>
      <w:bookmarkStart w:id="166" w:name="_Toc115592259"/>
      <w:bookmarkStart w:id="167" w:name="_Toc113251242"/>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3.养护作业的安全防护应包括养护作业机械、人员的安全防护。</w:t>
      </w:r>
      <w:bookmarkEnd w:id="166"/>
      <w:bookmarkEnd w:id="167"/>
    </w:p>
    <w:p>
      <w:pPr>
        <w:widowControl/>
        <w:spacing w:line="360" w:lineRule="auto"/>
        <w:ind w:firstLine="480" w:firstLineChars="200"/>
        <w:outlineLvl w:val="3"/>
        <w:rPr>
          <w:rFonts w:hint="eastAsia" w:ascii="仿宋" w:hAnsi="仿宋" w:eastAsia="仿宋" w:cs="仿宋"/>
          <w:color w:val="auto"/>
          <w:kern w:val="0"/>
          <w:sz w:val="24"/>
          <w:highlight w:val="none"/>
        </w:rPr>
      </w:pPr>
      <w:bookmarkStart w:id="168" w:name="_Toc113251243"/>
      <w:bookmarkStart w:id="169" w:name="_Toc115592260"/>
      <w:r>
        <w:rPr>
          <w:rFonts w:hint="eastAsia" w:ascii="仿宋" w:hAnsi="仿宋" w:eastAsia="仿宋" w:cs="仿宋"/>
          <w:color w:val="auto"/>
          <w:kern w:val="0"/>
          <w:sz w:val="24"/>
          <w:highlight w:val="none"/>
        </w:rPr>
        <w:t>4.养护作业宜选择在交通量较小时段进行。作业现场应设置明显交通标志，并采取有效安全措施，确保隧道的行车安全和作业人员的生命安全。</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5.在进行养护作业前，应做好以下工作</w:t>
      </w:r>
      <w:bookmarkEnd w:id="168"/>
      <w:bookmarkEnd w:id="169"/>
      <w:r>
        <w:rPr>
          <w:rFonts w:hint="eastAsia" w:ascii="仿宋" w:hAnsi="仿宋" w:eastAsia="仿宋" w:cs="仿宋"/>
          <w:color w:val="auto"/>
          <w:kern w:val="0"/>
          <w:sz w:val="24"/>
          <w:highlight w:val="none"/>
        </w:rPr>
        <w:t>。</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（1）制定安全组织计划，确定合理的工作区。</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（2）养护作业人员必须接受专门的安全教育和作业规程训练。</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（3）养护作业人员，进入隧道应身穿反光安全标志服。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（4）检测隧道内CO浓度是否超标。</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（5）对养护机械、设备及施工信号灯进行全面安全检查。</w:t>
      </w:r>
    </w:p>
    <w:p>
      <w:pPr>
        <w:widowControl/>
        <w:spacing w:line="360" w:lineRule="auto"/>
        <w:ind w:firstLine="480" w:firstLineChars="200"/>
        <w:outlineLvl w:val="3"/>
        <w:rPr>
          <w:rFonts w:hint="eastAsia" w:ascii="仿宋" w:hAnsi="仿宋" w:eastAsia="仿宋" w:cs="仿宋"/>
          <w:color w:val="auto"/>
          <w:kern w:val="0"/>
          <w:sz w:val="24"/>
          <w:highlight w:val="none"/>
        </w:rPr>
      </w:pPr>
      <w:bookmarkStart w:id="170" w:name="_Toc115592256"/>
      <w:bookmarkStart w:id="171" w:name="_Toc113251239"/>
      <w:bookmarkStart w:id="172" w:name="_Toc115592262"/>
      <w:bookmarkStart w:id="173" w:name="_Toc113251245"/>
      <w:r>
        <w:rPr>
          <w:rFonts w:hint="eastAsia" w:ascii="仿宋" w:hAnsi="仿宋" w:eastAsia="仿宋" w:cs="仿宋"/>
          <w:color w:val="auto"/>
          <w:kern w:val="0"/>
          <w:sz w:val="24"/>
          <w:highlight w:val="none"/>
        </w:rPr>
        <w:t>6.养护作业时，应遵守以下规定：</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（1）养护作业现场应有专职安全人员进行安全监督和交通疏导，养护作业人员不得随意走出安全保护区。</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（2）严禁将任何工具、材料或其他物品放到作业区外，应防止工具、材料或其他物品在车道上滑移、滚动。  </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（3）在使用化学、有毒物品时应严格遵循相应安全操作规程和操作方法，作好防护措施，防止中毒。存放堵漏化工物品时和施工时严禁明火。</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7.隧道洞口周围保护范围内未经隧道管理机构许可，不得挖沙、采石、取土、倾倒废弃物，不得进行爆破作业及其他危害城市隧道安全的活动。</w:t>
      </w:r>
      <w:bookmarkEnd w:id="170"/>
      <w:bookmarkEnd w:id="171"/>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8.隧道结构不得敷设高于10KV（不含10KV）高压电缆、煤气管道和其他可燃、易爆、有毒或有腐蚀性液（气）体管道。</w:t>
      </w:r>
      <w:bookmarkEnd w:id="172"/>
      <w:bookmarkEnd w:id="173"/>
    </w:p>
    <w:p>
      <w:pPr>
        <w:widowControl/>
        <w:spacing w:line="360" w:lineRule="auto"/>
        <w:ind w:firstLine="482" w:firstLineChars="200"/>
        <w:outlineLvl w:val="3"/>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（七）其他</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1.做好元旦、春节、清明节、劳动节、端午节、中秋节、国庆节等节假日及重大活动的配合和保障工作。</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2.应急处理:做好桥隧及其附属防汛抗台、抗雪防冻等物资储备、队伍保障等防范工作；做好防汛抗台、抗雪防冻等突发事件应急处理工作，确保突发事件及时处置得当。</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3.养护单位应根据采购人需求做好相关宣传工作。</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4.养护单位在保养范围内，未按采购人要求进行维护保养的，采购人有权委托第三方单位实施养管工作，相关费用经审核后由养护单位承担。</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积极、妥善处理各类投诉、信访、数字城管案件，对存在问题不推诿扯皮，尽快落实解决。对相关督察发现的问题认真进行整改并在规定时间内进行回复。及时完成“美丽杭州”城市道路两侧环境考核相关任务。</w:t>
      </w:r>
    </w:p>
    <w:p>
      <w:pPr>
        <w:widowControl/>
        <w:overflowPunct w:val="0"/>
        <w:autoSpaceDE w:val="0"/>
        <w:autoSpaceDN w:val="0"/>
        <w:spacing w:line="360" w:lineRule="auto"/>
        <w:ind w:firstLine="424" w:firstLineChars="176"/>
        <w:textAlignment w:val="baseline"/>
        <w:outlineLvl w:val="6"/>
        <w:rPr>
          <w:rFonts w:hint="eastAsia" w:ascii="仿宋" w:hAnsi="仿宋" w:eastAsia="仿宋" w:cs="仿宋"/>
          <w:b/>
          <w:bCs/>
          <w:color w:val="auto"/>
          <w:kern w:val="0"/>
          <w:sz w:val="24"/>
          <w:highlight w:val="none"/>
          <w:u w:val="dotted"/>
        </w:rPr>
      </w:pPr>
      <w:r>
        <w:rPr>
          <w:rFonts w:hint="eastAsia" w:ascii="仿宋" w:hAnsi="仿宋" w:eastAsia="仿宋" w:cs="仿宋"/>
          <w:b/>
          <w:color w:val="auto"/>
          <w:kern w:val="21"/>
          <w:sz w:val="24"/>
          <w:highlight w:val="none"/>
        </w:rPr>
        <w:t>（八）养护规范及质量要求：</w:t>
      </w:r>
      <w:r>
        <w:rPr>
          <w:rFonts w:hint="eastAsia" w:ascii="仿宋" w:hAnsi="仿宋" w:eastAsia="仿宋" w:cs="仿宋"/>
          <w:b/>
          <w:bCs/>
          <w:color w:val="auto"/>
          <w:kern w:val="0"/>
          <w:sz w:val="24"/>
          <w:highlight w:val="none"/>
          <w:u w:val="dotted"/>
        </w:rPr>
        <w:t>符合杭州市城市隧道养护技术规程《杭州市城市隧道养护技术规程  HZCG05-2006》一类城市隧道养护合格要求</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bookmarkStart w:id="174" w:name="_Toc115592263"/>
      <w:bookmarkStart w:id="175" w:name="_Toc130030071"/>
      <w:bookmarkStart w:id="176" w:name="_Toc115592271"/>
      <w:bookmarkStart w:id="177" w:name="_Toc125552660"/>
      <w:bookmarkStart w:id="178" w:name="_Toc115594049"/>
      <w:bookmarkStart w:id="179" w:name="_Toc115593653"/>
      <w:bookmarkStart w:id="180" w:name="_Toc115592304"/>
      <w:bookmarkStart w:id="181" w:name="_Toc115594670"/>
      <w:bookmarkStart w:id="182" w:name="_Toc125552508"/>
      <w:bookmarkStart w:id="183" w:name="_Toc115594173"/>
      <w:bookmarkStart w:id="184" w:name="_Toc115592095"/>
      <w:bookmarkStart w:id="185" w:name="_Toc113273292"/>
      <w:bookmarkStart w:id="186" w:name="_Toc115594230"/>
      <w:bookmarkStart w:id="187" w:name="_Toc113332545"/>
      <w:bookmarkStart w:id="188" w:name="_Toc115592655"/>
      <w:bookmarkStart w:id="189" w:name="_Toc125343810"/>
      <w:bookmarkStart w:id="190" w:name="_Toc115592614"/>
      <w:bookmarkStart w:id="191" w:name="_Toc113330718"/>
      <w:r>
        <w:rPr>
          <w:rFonts w:hint="eastAsia" w:ascii="仿宋" w:hAnsi="仿宋" w:eastAsia="仿宋" w:cs="仿宋"/>
          <w:color w:val="auto"/>
          <w:kern w:val="0"/>
          <w:sz w:val="24"/>
          <w:highlight w:val="none"/>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tabs>
          <w:tab w:val="left" w:pos="4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《电气装置安装工程施工及验收规范》（</w:t>
      </w:r>
      <w:r>
        <w:rPr>
          <w:rFonts w:hint="eastAsia" w:ascii="仿宋" w:hAnsi="仿宋" w:eastAsia="仿宋" w:cs="仿宋"/>
          <w:color w:val="auto"/>
          <w:kern w:val="0"/>
          <w:sz w:val="24"/>
          <w:highlight w:val="none"/>
        </w:rPr>
        <w:t>GBJ50254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259—96</w:t>
      </w:r>
      <w:r>
        <w:rPr>
          <w:rFonts w:hint="eastAsia" w:ascii="仿宋" w:hAnsi="仿宋" w:eastAsia="仿宋" w:cs="仿宋"/>
          <w:color w:val="auto"/>
          <w:sz w:val="24"/>
          <w:highlight w:val="none"/>
        </w:rPr>
        <w:t>）</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《公路隧道养护技术规范》（JTG H12—2003）</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《城市桥梁养护技术规范》（CJJ99—2003）</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《公路隧道设计规范》（JTG D70—2004）</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《公路隧道施工技术规程》（JTJ042—1994）</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《杭州市市政设施管理条例》  </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《杭州市城市道路养护技术规程》</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《杭州市排水管渠与泵站养护技术规程》</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2"/>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城市道路养护规范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(DB3301/T 0314-2020)</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（九）具体处罚标准</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1.根据《滨江区桥隧设施考核办法（试行）》进行考核奖惩。</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2.如乙方未按照甲方整改要求进行及时整改，每发生一件逾期未整改将处以2000元人民币的罚款。累计2次的视为当月考核不合格。</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管理在季度考核中一次不合格的，对养护管理单位给予通报批评，并根据《滨江区桥隧设施考核办法（试行）》中有关规定扣除该季度市政设施养护经费。养护管理在合同期内当年度季度考核中两次不合格的，终止养护合同、同时没收履约保证金。</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4.服务期内，如有新的考核办法则按新的考核办法执行。</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（十）其他要求：</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1.养护工人应统一着装，着装要整齐、整洁，胸前佩戴上岗证，文明作业，遵守作业规范和交通规则。</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2.管理用房内应满足管理用房所要求的配置配备。</w:t>
      </w: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注：招标文件中打▲内容为实质性要求，不允许有负偏离，否则将以涉及无效投标条款作无效投标。</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三、技术需求表</w:t>
      </w:r>
    </w:p>
    <w:tbl>
      <w:tblPr>
        <w:tblStyle w:val="64"/>
        <w:tblW w:w="8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0"/>
        <w:gridCol w:w="7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质量标准</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0"/>
                <w:highlight w:val="none"/>
              </w:rPr>
            </w:pPr>
            <w:r>
              <w:rPr>
                <w:rFonts w:hint="eastAsia" w:ascii="仿宋" w:hAnsi="仿宋" w:eastAsia="仿宋" w:cs="仿宋"/>
                <w:color w:val="auto"/>
                <w:sz w:val="24"/>
                <w:szCs w:val="20"/>
                <w:highlight w:val="none"/>
              </w:rPr>
              <w:t>符合《杭州市城市隧道养护技术规程一类  HZCG05-2006》城市隧道养护合格要求，并确保在国家、省、市各类创建检查中不失责任分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验收条件及标准</w:t>
            </w:r>
          </w:p>
        </w:tc>
        <w:tc>
          <w:tcPr>
            <w:tcW w:w="7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同上</w:t>
            </w:r>
          </w:p>
        </w:tc>
      </w:tr>
    </w:tbl>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四、商务要求表</w:t>
      </w:r>
    </w:p>
    <w:tbl>
      <w:tblPr>
        <w:tblStyle w:val="64"/>
        <w:tblW w:w="8869"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5"/>
        <w:gridCol w:w="7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服务期</w:t>
            </w:r>
          </w:p>
        </w:tc>
        <w:tc>
          <w:tcPr>
            <w:tcW w:w="71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三年(根据考核结果确定是否继续执行合同)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71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地点：杭州市滨江区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32" w:hRule="atLeast"/>
        </w:trPr>
        <w:tc>
          <w:tcPr>
            <w:tcW w:w="1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付款办法</w:t>
            </w:r>
          </w:p>
        </w:tc>
        <w:tc>
          <w:tcPr>
            <w:tcW w:w="7194" w:type="dxa"/>
            <w:tcBorders>
              <w:top w:val="single" w:color="auto" w:sz="4" w:space="0"/>
              <w:left w:val="single" w:color="auto" w:sz="4" w:space="0"/>
              <w:bottom w:val="single" w:color="auto" w:sz="4" w:space="0"/>
              <w:right w:val="single" w:color="auto" w:sz="4" w:space="0"/>
            </w:tcBorders>
            <w:vAlign w:val="center"/>
          </w:tcPr>
          <w:p>
            <w:pPr>
              <w:pStyle w:val="36"/>
              <w:snapToGrid w:val="0"/>
              <w:spacing w:line="46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1.合同签订后15日内，支付年度合同金额的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0%作为预付款，剩余年度合同金额的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0%按季度进行支付。次年预付款在次年相应月份按年度合同金额的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0%支付。</w:t>
            </w:r>
          </w:p>
          <w:p>
            <w:pPr>
              <w:pStyle w:val="36"/>
              <w:snapToGrid w:val="0"/>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2.每季度按考核结果支付该季度实得养护费用的80%养护费用；剩余20%的养护经费根据年度考核结果进行拨付。养护费核拨时间视财政具体核拨时间为准。</w:t>
            </w:r>
          </w:p>
        </w:tc>
      </w:tr>
    </w:tbl>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192" w:name="_Toc184310301"/>
      <w:bookmarkEnd w:id="192"/>
      <w:bookmarkStart w:id="193" w:name="_Toc184314444"/>
      <w:bookmarkEnd w:id="193"/>
      <w:bookmarkStart w:id="194" w:name="_Toc184310308"/>
      <w:bookmarkEnd w:id="194"/>
      <w:bookmarkStart w:id="195" w:name="_Toc184313304"/>
      <w:bookmarkEnd w:id="195"/>
      <w:bookmarkStart w:id="196" w:name="_Toc184314452"/>
      <w:bookmarkEnd w:id="196"/>
      <w:bookmarkStart w:id="197" w:name="_Toc184314465"/>
      <w:bookmarkEnd w:id="197"/>
      <w:bookmarkStart w:id="198" w:name="_Toc184313261"/>
      <w:bookmarkEnd w:id="198"/>
      <w:bookmarkStart w:id="199" w:name="_Toc184310327"/>
      <w:bookmarkEnd w:id="199"/>
      <w:bookmarkStart w:id="200" w:name="_Toc184308107"/>
      <w:bookmarkEnd w:id="200"/>
      <w:bookmarkStart w:id="201" w:name="_Toc184308041"/>
      <w:bookmarkEnd w:id="201"/>
      <w:bookmarkStart w:id="202" w:name="_Toc184312112"/>
      <w:bookmarkEnd w:id="202"/>
      <w:bookmarkStart w:id="203" w:name="_Toc184312087"/>
      <w:bookmarkEnd w:id="203"/>
      <w:bookmarkStart w:id="204" w:name="_Toc184308093"/>
      <w:bookmarkEnd w:id="204"/>
      <w:bookmarkStart w:id="205" w:name="_Toc184312119"/>
      <w:bookmarkEnd w:id="205"/>
      <w:bookmarkStart w:id="206" w:name="_Toc184312083"/>
      <w:bookmarkEnd w:id="206"/>
      <w:bookmarkStart w:id="207" w:name="_Toc184313259"/>
      <w:bookmarkEnd w:id="207"/>
      <w:bookmarkStart w:id="208" w:name="_Toc184313246"/>
      <w:bookmarkEnd w:id="208"/>
      <w:bookmarkStart w:id="209" w:name="_Toc184314482"/>
      <w:bookmarkEnd w:id="209"/>
      <w:bookmarkStart w:id="210" w:name="_Toc184314411"/>
      <w:bookmarkEnd w:id="210"/>
      <w:bookmarkStart w:id="211" w:name="_Toc184308054"/>
      <w:bookmarkEnd w:id="211"/>
      <w:bookmarkStart w:id="212" w:name="_Toc184308100"/>
      <w:bookmarkEnd w:id="212"/>
      <w:bookmarkStart w:id="213" w:name="_Toc184312067"/>
      <w:bookmarkEnd w:id="213"/>
      <w:bookmarkStart w:id="214" w:name="_Toc184314416"/>
      <w:bookmarkEnd w:id="214"/>
      <w:bookmarkStart w:id="215" w:name="_Toc184308055"/>
      <w:bookmarkEnd w:id="215"/>
      <w:bookmarkStart w:id="216" w:name="_Toc184313296"/>
      <w:bookmarkEnd w:id="216"/>
      <w:bookmarkStart w:id="217" w:name="_Toc184308072"/>
      <w:bookmarkEnd w:id="217"/>
      <w:bookmarkStart w:id="218" w:name="_Toc184313255"/>
      <w:bookmarkEnd w:id="218"/>
      <w:bookmarkStart w:id="219" w:name="_Toc184308086"/>
      <w:bookmarkEnd w:id="219"/>
      <w:bookmarkStart w:id="220" w:name="_Toc184308046"/>
      <w:bookmarkEnd w:id="220"/>
      <w:bookmarkStart w:id="221" w:name="_Toc184314454"/>
      <w:bookmarkEnd w:id="221"/>
      <w:bookmarkStart w:id="222" w:name="_Toc184308043"/>
      <w:bookmarkEnd w:id="222"/>
      <w:bookmarkStart w:id="223" w:name="_Toc184312111"/>
      <w:bookmarkEnd w:id="223"/>
      <w:bookmarkStart w:id="224" w:name="_Toc184308036"/>
      <w:bookmarkEnd w:id="224"/>
      <w:bookmarkStart w:id="225" w:name="_Toc184308076"/>
      <w:bookmarkEnd w:id="225"/>
      <w:bookmarkStart w:id="226" w:name="_Toc184310326"/>
      <w:bookmarkEnd w:id="226"/>
      <w:bookmarkStart w:id="227" w:name="_Toc184310320"/>
      <w:bookmarkEnd w:id="227"/>
      <w:bookmarkStart w:id="228" w:name="_Toc184310315"/>
      <w:bookmarkEnd w:id="228"/>
      <w:bookmarkStart w:id="229" w:name="_Toc184312081"/>
      <w:bookmarkEnd w:id="229"/>
      <w:bookmarkStart w:id="230" w:name="_Toc184313289"/>
      <w:bookmarkEnd w:id="230"/>
      <w:bookmarkStart w:id="231" w:name="_Toc184312113"/>
      <w:bookmarkEnd w:id="231"/>
      <w:bookmarkStart w:id="232" w:name="_Toc184314440"/>
      <w:bookmarkEnd w:id="232"/>
      <w:bookmarkStart w:id="233" w:name="_Toc184308106"/>
      <w:bookmarkEnd w:id="233"/>
      <w:bookmarkStart w:id="234" w:name="_Toc184314463"/>
      <w:bookmarkEnd w:id="234"/>
      <w:bookmarkStart w:id="235" w:name="_Toc184313249"/>
      <w:bookmarkEnd w:id="235"/>
      <w:bookmarkStart w:id="236" w:name="_Toc184314442"/>
      <w:bookmarkEnd w:id="236"/>
      <w:bookmarkStart w:id="237" w:name="_Toc184308078"/>
      <w:bookmarkEnd w:id="237"/>
      <w:bookmarkStart w:id="238" w:name="_Toc184308073"/>
      <w:bookmarkEnd w:id="238"/>
      <w:bookmarkStart w:id="239" w:name="_Toc184310321"/>
      <w:bookmarkEnd w:id="239"/>
      <w:bookmarkStart w:id="240" w:name="_Toc184313256"/>
      <w:bookmarkEnd w:id="240"/>
      <w:bookmarkStart w:id="241" w:name="_Toc184314472"/>
      <w:bookmarkEnd w:id="241"/>
      <w:bookmarkStart w:id="242" w:name="_Toc184314479"/>
      <w:bookmarkEnd w:id="242"/>
      <w:bookmarkStart w:id="243" w:name="_Toc184308064"/>
      <w:bookmarkEnd w:id="243"/>
      <w:bookmarkStart w:id="244" w:name="_Toc184310316"/>
      <w:bookmarkEnd w:id="244"/>
      <w:bookmarkStart w:id="245" w:name="_Toc184313254"/>
      <w:bookmarkEnd w:id="245"/>
      <w:bookmarkStart w:id="246" w:name="_Toc184308047"/>
      <w:bookmarkEnd w:id="246"/>
      <w:bookmarkStart w:id="247" w:name="_Toc184314424"/>
      <w:bookmarkEnd w:id="247"/>
      <w:bookmarkStart w:id="248" w:name="_Toc184310273"/>
      <w:bookmarkEnd w:id="248"/>
      <w:bookmarkStart w:id="249" w:name="_Toc184313302"/>
      <w:bookmarkEnd w:id="249"/>
      <w:bookmarkStart w:id="250" w:name="_Toc184308102"/>
      <w:bookmarkEnd w:id="250"/>
      <w:bookmarkStart w:id="251" w:name="_Toc184310274"/>
      <w:bookmarkEnd w:id="251"/>
      <w:bookmarkStart w:id="252" w:name="_Toc184314458"/>
      <w:bookmarkEnd w:id="252"/>
      <w:bookmarkStart w:id="253" w:name="_Toc184313263"/>
      <w:bookmarkEnd w:id="253"/>
      <w:bookmarkStart w:id="254" w:name="_Toc184310297"/>
      <w:bookmarkEnd w:id="254"/>
      <w:bookmarkStart w:id="255" w:name="_Toc184308044"/>
      <w:bookmarkEnd w:id="255"/>
      <w:bookmarkStart w:id="256" w:name="_Toc184310330"/>
      <w:bookmarkEnd w:id="256"/>
      <w:bookmarkStart w:id="257" w:name="_Toc184308039"/>
      <w:bookmarkEnd w:id="257"/>
      <w:bookmarkStart w:id="258" w:name="_Toc184312118"/>
      <w:bookmarkEnd w:id="258"/>
      <w:bookmarkStart w:id="259" w:name="_Toc184312085"/>
      <w:bookmarkEnd w:id="259"/>
      <w:bookmarkStart w:id="260" w:name="_Toc184313300"/>
      <w:bookmarkEnd w:id="260"/>
      <w:bookmarkStart w:id="261" w:name="_Toc184314415"/>
      <w:bookmarkEnd w:id="261"/>
      <w:bookmarkStart w:id="262" w:name="_Toc184308070"/>
      <w:bookmarkEnd w:id="262"/>
      <w:bookmarkStart w:id="263" w:name="_Toc184312097"/>
      <w:bookmarkEnd w:id="263"/>
      <w:bookmarkStart w:id="264" w:name="_Toc184308089"/>
      <w:bookmarkEnd w:id="264"/>
      <w:bookmarkStart w:id="265" w:name="_Toc184313291"/>
      <w:bookmarkEnd w:id="265"/>
      <w:bookmarkStart w:id="266" w:name="_Toc184312136"/>
      <w:bookmarkEnd w:id="266"/>
      <w:bookmarkStart w:id="267" w:name="_Toc184313287"/>
      <w:bookmarkEnd w:id="267"/>
      <w:bookmarkStart w:id="268" w:name="_Toc184312086"/>
      <w:bookmarkEnd w:id="268"/>
      <w:bookmarkStart w:id="269" w:name="_Toc184313238"/>
      <w:bookmarkEnd w:id="269"/>
      <w:bookmarkStart w:id="270" w:name="_Toc184310332"/>
      <w:bookmarkEnd w:id="270"/>
      <w:bookmarkStart w:id="271" w:name="_Toc184312124"/>
      <w:bookmarkEnd w:id="271"/>
      <w:bookmarkStart w:id="272" w:name="_Toc184310285"/>
      <w:bookmarkEnd w:id="272"/>
      <w:bookmarkStart w:id="273" w:name="_Toc184313269"/>
      <w:bookmarkEnd w:id="273"/>
      <w:bookmarkStart w:id="274" w:name="_Toc184314481"/>
      <w:bookmarkEnd w:id="274"/>
      <w:bookmarkStart w:id="275" w:name="_Toc184314431"/>
      <w:bookmarkEnd w:id="275"/>
      <w:bookmarkStart w:id="276" w:name="_Toc184310291"/>
      <w:bookmarkEnd w:id="276"/>
      <w:bookmarkStart w:id="277" w:name="_Toc184312129"/>
      <w:bookmarkEnd w:id="277"/>
      <w:bookmarkStart w:id="278" w:name="_Toc184312122"/>
      <w:bookmarkEnd w:id="278"/>
      <w:bookmarkStart w:id="279" w:name="_Toc184314476"/>
      <w:bookmarkEnd w:id="279"/>
      <w:bookmarkStart w:id="280" w:name="_Toc184314428"/>
      <w:bookmarkEnd w:id="280"/>
      <w:bookmarkStart w:id="281" w:name="_Toc184313295"/>
      <w:bookmarkEnd w:id="281"/>
      <w:bookmarkStart w:id="282" w:name="_Toc184312072"/>
      <w:bookmarkEnd w:id="282"/>
      <w:bookmarkStart w:id="283" w:name="_Toc184313275"/>
      <w:bookmarkEnd w:id="283"/>
      <w:bookmarkStart w:id="284" w:name="_Toc184308077"/>
      <w:bookmarkEnd w:id="284"/>
      <w:bookmarkStart w:id="285" w:name="_Toc184310276"/>
      <w:bookmarkEnd w:id="285"/>
      <w:bookmarkStart w:id="286" w:name="_Toc184313278"/>
      <w:bookmarkEnd w:id="286"/>
      <w:bookmarkStart w:id="287" w:name="_Toc184314461"/>
      <w:bookmarkEnd w:id="287"/>
      <w:bookmarkStart w:id="288" w:name="_Toc184312103"/>
      <w:bookmarkEnd w:id="288"/>
      <w:bookmarkStart w:id="289" w:name="_Toc184312079"/>
      <w:bookmarkEnd w:id="289"/>
      <w:bookmarkStart w:id="290" w:name="_Toc184310306"/>
      <w:bookmarkEnd w:id="290"/>
      <w:bookmarkStart w:id="291" w:name="_Toc184308092"/>
      <w:bookmarkEnd w:id="291"/>
      <w:bookmarkStart w:id="292" w:name="_Toc184308056"/>
      <w:bookmarkEnd w:id="292"/>
      <w:bookmarkStart w:id="293" w:name="_Toc184313247"/>
      <w:bookmarkEnd w:id="293"/>
      <w:bookmarkStart w:id="294" w:name="_Toc184313245"/>
      <w:bookmarkEnd w:id="294"/>
      <w:bookmarkStart w:id="295" w:name="_Toc184310303"/>
      <w:bookmarkEnd w:id="295"/>
      <w:bookmarkStart w:id="296" w:name="_Toc184310289"/>
      <w:bookmarkEnd w:id="296"/>
      <w:bookmarkStart w:id="297" w:name="_Toc184313276"/>
      <w:bookmarkEnd w:id="297"/>
      <w:bookmarkStart w:id="298" w:name="_Toc184313264"/>
      <w:bookmarkEnd w:id="298"/>
      <w:bookmarkStart w:id="299" w:name="_Toc184310307"/>
      <w:bookmarkEnd w:id="299"/>
      <w:bookmarkStart w:id="300" w:name="_Toc184308084"/>
      <w:bookmarkEnd w:id="300"/>
      <w:bookmarkStart w:id="301" w:name="_Toc184310277"/>
      <w:bookmarkEnd w:id="301"/>
      <w:bookmarkStart w:id="302" w:name="_Toc184308085"/>
      <w:bookmarkEnd w:id="302"/>
      <w:bookmarkStart w:id="303" w:name="_Toc184314477"/>
      <w:bookmarkEnd w:id="303"/>
      <w:bookmarkStart w:id="304" w:name="_Toc184313262"/>
      <w:bookmarkEnd w:id="304"/>
      <w:bookmarkStart w:id="305" w:name="_Toc184312070"/>
      <w:bookmarkEnd w:id="305"/>
      <w:bookmarkStart w:id="306" w:name="_Toc184310284"/>
      <w:bookmarkEnd w:id="306"/>
      <w:bookmarkStart w:id="307" w:name="_Toc184312092"/>
      <w:bookmarkEnd w:id="307"/>
      <w:bookmarkStart w:id="308" w:name="_Toc184312116"/>
      <w:bookmarkEnd w:id="308"/>
      <w:bookmarkStart w:id="309" w:name="_Toc184313301"/>
      <w:bookmarkEnd w:id="309"/>
      <w:bookmarkStart w:id="310" w:name="_Toc184308105"/>
      <w:bookmarkEnd w:id="310"/>
      <w:bookmarkStart w:id="311" w:name="_Toc184308075"/>
      <w:bookmarkEnd w:id="311"/>
      <w:bookmarkStart w:id="312" w:name="_Toc184310340"/>
      <w:bookmarkEnd w:id="312"/>
      <w:bookmarkStart w:id="313" w:name="_Toc184308097"/>
      <w:bookmarkEnd w:id="313"/>
      <w:bookmarkStart w:id="314" w:name="_Toc184308059"/>
      <w:bookmarkEnd w:id="314"/>
      <w:bookmarkStart w:id="315" w:name="_Toc184314467"/>
      <w:bookmarkEnd w:id="315"/>
      <w:bookmarkStart w:id="316" w:name="_Toc184314438"/>
      <w:bookmarkEnd w:id="316"/>
      <w:bookmarkStart w:id="317" w:name="_Toc184308049"/>
      <w:bookmarkEnd w:id="317"/>
      <w:bookmarkStart w:id="318" w:name="_Toc184314470"/>
      <w:bookmarkEnd w:id="318"/>
      <w:bookmarkStart w:id="319" w:name="_Toc184314429"/>
      <w:bookmarkEnd w:id="319"/>
      <w:bookmarkStart w:id="320" w:name="_Toc184308081"/>
      <w:bookmarkEnd w:id="320"/>
      <w:bookmarkStart w:id="321" w:name="_Toc184313308"/>
      <w:bookmarkEnd w:id="321"/>
      <w:bookmarkStart w:id="322" w:name="_Toc184312099"/>
      <w:bookmarkEnd w:id="322"/>
      <w:bookmarkStart w:id="323" w:name="_Toc184308066"/>
      <w:bookmarkEnd w:id="323"/>
      <w:bookmarkStart w:id="324" w:name="_Toc184308088"/>
      <w:bookmarkEnd w:id="324"/>
      <w:bookmarkStart w:id="325" w:name="_Toc184308061"/>
      <w:bookmarkEnd w:id="325"/>
      <w:bookmarkStart w:id="326" w:name="_Toc184308037"/>
      <w:bookmarkEnd w:id="326"/>
      <w:bookmarkStart w:id="327" w:name="_Toc184312135"/>
      <w:bookmarkEnd w:id="327"/>
      <w:bookmarkStart w:id="328" w:name="_Toc184310338"/>
      <w:bookmarkEnd w:id="328"/>
      <w:bookmarkStart w:id="329" w:name="_Toc184310337"/>
      <w:bookmarkEnd w:id="329"/>
      <w:bookmarkStart w:id="330" w:name="_Toc184314457"/>
      <w:bookmarkEnd w:id="330"/>
      <w:bookmarkStart w:id="331" w:name="_Toc184313258"/>
      <w:bookmarkEnd w:id="331"/>
      <w:bookmarkStart w:id="332" w:name="_Toc184308095"/>
      <w:bookmarkEnd w:id="332"/>
      <w:bookmarkStart w:id="333" w:name="_Toc184310342"/>
      <w:bookmarkEnd w:id="333"/>
      <w:bookmarkStart w:id="334" w:name="_Toc184314480"/>
      <w:bookmarkEnd w:id="334"/>
      <w:bookmarkStart w:id="335" w:name="_Toc184310312"/>
      <w:bookmarkEnd w:id="335"/>
      <w:bookmarkStart w:id="336" w:name="_Toc184310296"/>
      <w:bookmarkEnd w:id="336"/>
      <w:bookmarkStart w:id="337" w:name="_Toc184308068"/>
      <w:bookmarkEnd w:id="337"/>
      <w:bookmarkStart w:id="338" w:name="_Toc184313285"/>
      <w:bookmarkEnd w:id="338"/>
      <w:bookmarkStart w:id="339" w:name="_Toc184312139"/>
      <w:bookmarkEnd w:id="339"/>
      <w:bookmarkStart w:id="340" w:name="_Toc184314433"/>
      <w:bookmarkEnd w:id="340"/>
      <w:bookmarkStart w:id="341" w:name="_Toc184310282"/>
      <w:bookmarkEnd w:id="341"/>
      <w:bookmarkStart w:id="342" w:name="_Toc184308080"/>
      <w:bookmarkEnd w:id="342"/>
      <w:bookmarkStart w:id="343" w:name="_Toc184312115"/>
      <w:bookmarkEnd w:id="343"/>
      <w:bookmarkStart w:id="344" w:name="_Toc184313272"/>
      <w:bookmarkEnd w:id="344"/>
      <w:bookmarkStart w:id="345" w:name="_Toc184313252"/>
      <w:bookmarkEnd w:id="345"/>
      <w:bookmarkStart w:id="346" w:name="_Toc184314434"/>
      <w:bookmarkEnd w:id="346"/>
      <w:bookmarkStart w:id="347" w:name="_Toc184314413"/>
      <w:bookmarkEnd w:id="347"/>
      <w:bookmarkStart w:id="348" w:name="_Toc184313267"/>
      <w:bookmarkEnd w:id="348"/>
      <w:bookmarkStart w:id="349" w:name="_Toc184312094"/>
      <w:bookmarkEnd w:id="349"/>
      <w:bookmarkStart w:id="350" w:name="_Toc184313306"/>
      <w:bookmarkEnd w:id="350"/>
      <w:bookmarkStart w:id="351" w:name="_Toc184314421"/>
      <w:bookmarkEnd w:id="351"/>
      <w:bookmarkStart w:id="352" w:name="_Toc184312134"/>
      <w:bookmarkEnd w:id="352"/>
      <w:bookmarkStart w:id="353" w:name="_Toc184310290"/>
      <w:bookmarkEnd w:id="353"/>
      <w:bookmarkStart w:id="354" w:name="_Toc184310314"/>
      <w:bookmarkEnd w:id="354"/>
      <w:bookmarkStart w:id="355" w:name="_Toc184313299"/>
      <w:bookmarkEnd w:id="355"/>
      <w:bookmarkStart w:id="356" w:name="_Toc184314446"/>
      <w:bookmarkEnd w:id="356"/>
      <w:bookmarkStart w:id="357" w:name="_Toc184313310"/>
      <w:bookmarkEnd w:id="357"/>
      <w:bookmarkStart w:id="358" w:name="_Toc184314459"/>
      <w:bookmarkEnd w:id="358"/>
      <w:bookmarkStart w:id="359" w:name="_Toc184312132"/>
      <w:bookmarkEnd w:id="359"/>
      <w:bookmarkStart w:id="360" w:name="_Toc184314449"/>
      <w:bookmarkEnd w:id="360"/>
      <w:bookmarkStart w:id="361" w:name="_Toc184313279"/>
      <w:bookmarkEnd w:id="361"/>
      <w:bookmarkStart w:id="362" w:name="_Toc184310339"/>
      <w:bookmarkEnd w:id="362"/>
      <w:bookmarkStart w:id="363" w:name="_Toc184310272"/>
      <w:bookmarkEnd w:id="363"/>
      <w:bookmarkStart w:id="364" w:name="_Toc184308096"/>
      <w:bookmarkEnd w:id="364"/>
      <w:bookmarkStart w:id="365" w:name="_Toc184314460"/>
      <w:bookmarkEnd w:id="365"/>
      <w:bookmarkStart w:id="366" w:name="_Toc184310322"/>
      <w:bookmarkEnd w:id="366"/>
      <w:bookmarkStart w:id="367" w:name="_Toc184310309"/>
      <w:bookmarkEnd w:id="367"/>
      <w:bookmarkStart w:id="368" w:name="_Toc184312080"/>
      <w:bookmarkEnd w:id="368"/>
      <w:bookmarkStart w:id="369" w:name="_Toc184313266"/>
      <w:bookmarkEnd w:id="369"/>
      <w:bookmarkStart w:id="370" w:name="_Toc184313250"/>
      <w:bookmarkEnd w:id="370"/>
      <w:bookmarkStart w:id="371" w:name="_Toc184308053"/>
      <w:bookmarkEnd w:id="371"/>
      <w:bookmarkStart w:id="372" w:name="_Toc184312078"/>
      <w:bookmarkEnd w:id="372"/>
      <w:bookmarkStart w:id="373" w:name="_Toc184313305"/>
      <w:bookmarkEnd w:id="373"/>
      <w:bookmarkStart w:id="374" w:name="_Toc184310294"/>
      <w:bookmarkEnd w:id="374"/>
      <w:bookmarkStart w:id="375" w:name="_Toc184313274"/>
      <w:bookmarkEnd w:id="375"/>
      <w:bookmarkStart w:id="376" w:name="_Toc184313286"/>
      <w:bookmarkEnd w:id="376"/>
      <w:bookmarkStart w:id="377" w:name="_Toc184308091"/>
      <w:bookmarkEnd w:id="377"/>
      <w:bookmarkStart w:id="378" w:name="_Toc184310341"/>
      <w:bookmarkEnd w:id="378"/>
      <w:bookmarkStart w:id="379" w:name="_Toc184308083"/>
      <w:bookmarkEnd w:id="379"/>
      <w:bookmarkStart w:id="380" w:name="_Toc184310304"/>
      <w:bookmarkEnd w:id="380"/>
      <w:bookmarkStart w:id="381" w:name="_Toc184313273"/>
      <w:bookmarkEnd w:id="381"/>
      <w:bookmarkStart w:id="382" w:name="_Toc184313240"/>
      <w:bookmarkEnd w:id="382"/>
      <w:bookmarkStart w:id="383" w:name="_Toc184310295"/>
      <w:bookmarkEnd w:id="383"/>
      <w:bookmarkStart w:id="384" w:name="_Toc184313270"/>
      <w:bookmarkEnd w:id="384"/>
      <w:bookmarkStart w:id="385" w:name="_Toc184314473"/>
      <w:bookmarkEnd w:id="385"/>
      <w:bookmarkStart w:id="386" w:name="_Toc184313277"/>
      <w:bookmarkEnd w:id="386"/>
      <w:bookmarkStart w:id="387" w:name="_Toc184312095"/>
      <w:bookmarkEnd w:id="387"/>
      <w:bookmarkStart w:id="388" w:name="_Toc184312117"/>
      <w:bookmarkEnd w:id="388"/>
      <w:bookmarkStart w:id="389" w:name="_Toc184313309"/>
      <w:bookmarkEnd w:id="389"/>
      <w:bookmarkStart w:id="390" w:name="_Toc184313260"/>
      <w:bookmarkEnd w:id="390"/>
      <w:bookmarkStart w:id="391" w:name="_Toc184314427"/>
      <w:bookmarkEnd w:id="391"/>
      <w:bookmarkStart w:id="392" w:name="_Toc184312088"/>
      <w:bookmarkEnd w:id="392"/>
      <w:bookmarkStart w:id="393" w:name="_Toc184312110"/>
      <w:bookmarkEnd w:id="393"/>
      <w:bookmarkStart w:id="394" w:name="_Toc184312123"/>
      <w:bookmarkEnd w:id="394"/>
      <w:bookmarkStart w:id="395" w:name="_Toc184314412"/>
      <w:bookmarkEnd w:id="395"/>
      <w:bookmarkStart w:id="396" w:name="_Toc184308058"/>
      <w:bookmarkEnd w:id="396"/>
      <w:bookmarkStart w:id="397" w:name="_Toc184313265"/>
      <w:bookmarkEnd w:id="397"/>
      <w:bookmarkStart w:id="398" w:name="_Toc184314420"/>
      <w:bookmarkEnd w:id="398"/>
      <w:bookmarkStart w:id="399" w:name="_Toc184314418"/>
      <w:bookmarkEnd w:id="399"/>
      <w:bookmarkStart w:id="400" w:name="_Toc184313268"/>
      <w:bookmarkEnd w:id="400"/>
      <w:bookmarkStart w:id="401" w:name="_Toc184310334"/>
      <w:bookmarkEnd w:id="401"/>
      <w:bookmarkStart w:id="402" w:name="_Toc184313241"/>
      <w:bookmarkEnd w:id="402"/>
      <w:bookmarkStart w:id="403" w:name="_Toc184310325"/>
      <w:bookmarkEnd w:id="403"/>
      <w:bookmarkStart w:id="404" w:name="_Toc184313251"/>
      <w:bookmarkEnd w:id="404"/>
      <w:bookmarkStart w:id="405" w:name="_Toc184314432"/>
      <w:bookmarkEnd w:id="405"/>
      <w:bookmarkStart w:id="406" w:name="_Toc184312090"/>
      <w:bookmarkEnd w:id="406"/>
      <w:bookmarkStart w:id="407" w:name="_Toc184308065"/>
      <w:bookmarkEnd w:id="407"/>
      <w:bookmarkStart w:id="408" w:name="_Toc184312128"/>
      <w:bookmarkEnd w:id="408"/>
      <w:bookmarkStart w:id="409" w:name="_Toc184313239"/>
      <w:bookmarkEnd w:id="409"/>
      <w:bookmarkStart w:id="410" w:name="_Toc184310343"/>
      <w:bookmarkEnd w:id="410"/>
      <w:bookmarkStart w:id="411" w:name="_Toc184310335"/>
      <w:bookmarkEnd w:id="411"/>
      <w:bookmarkStart w:id="412" w:name="_Toc184313271"/>
      <w:bookmarkEnd w:id="412"/>
      <w:bookmarkStart w:id="413" w:name="_Toc184312133"/>
      <w:bookmarkEnd w:id="413"/>
      <w:bookmarkStart w:id="414" w:name="_Toc184310288"/>
      <w:bookmarkEnd w:id="414"/>
      <w:bookmarkStart w:id="415" w:name="_Toc184312137"/>
      <w:bookmarkEnd w:id="415"/>
      <w:bookmarkStart w:id="416" w:name="_Toc184312120"/>
      <w:bookmarkEnd w:id="416"/>
      <w:bookmarkStart w:id="417" w:name="_Toc184314410"/>
      <w:bookmarkEnd w:id="417"/>
      <w:bookmarkStart w:id="418" w:name="_Toc184314453"/>
      <w:bookmarkEnd w:id="418"/>
      <w:bookmarkStart w:id="419" w:name="_Toc184313243"/>
      <w:bookmarkEnd w:id="419"/>
      <w:bookmarkStart w:id="420" w:name="_Toc184310305"/>
      <w:bookmarkEnd w:id="420"/>
      <w:bookmarkStart w:id="421" w:name="_Toc184308079"/>
      <w:bookmarkEnd w:id="421"/>
      <w:bookmarkStart w:id="422" w:name="_Toc184314475"/>
      <w:bookmarkEnd w:id="422"/>
      <w:bookmarkStart w:id="423" w:name="_Toc184308101"/>
      <w:bookmarkEnd w:id="423"/>
      <w:bookmarkStart w:id="424" w:name="_Toc184310287"/>
      <w:bookmarkEnd w:id="424"/>
      <w:bookmarkStart w:id="425" w:name="_Toc184308069"/>
      <w:bookmarkEnd w:id="425"/>
      <w:bookmarkStart w:id="426" w:name="_Toc184313294"/>
      <w:bookmarkEnd w:id="426"/>
      <w:bookmarkStart w:id="427" w:name="_Toc184308045"/>
      <w:bookmarkEnd w:id="427"/>
      <w:bookmarkStart w:id="428" w:name="_Toc184314437"/>
      <w:bookmarkEnd w:id="428"/>
      <w:bookmarkStart w:id="429" w:name="_Toc184313280"/>
      <w:bookmarkEnd w:id="429"/>
      <w:bookmarkStart w:id="430" w:name="_Toc184308038"/>
      <w:bookmarkEnd w:id="430"/>
      <w:bookmarkStart w:id="431" w:name="_Toc184313290"/>
      <w:bookmarkEnd w:id="431"/>
      <w:bookmarkStart w:id="432" w:name="_Toc184310331"/>
      <w:bookmarkEnd w:id="432"/>
      <w:bookmarkStart w:id="433" w:name="_Toc184314439"/>
      <w:bookmarkEnd w:id="433"/>
      <w:bookmarkStart w:id="434" w:name="_Toc184314414"/>
      <w:bookmarkEnd w:id="434"/>
      <w:bookmarkStart w:id="435" w:name="_Toc184310319"/>
      <w:bookmarkEnd w:id="435"/>
      <w:bookmarkStart w:id="436" w:name="_Toc184312073"/>
      <w:bookmarkEnd w:id="436"/>
      <w:bookmarkStart w:id="437" w:name="_Toc184310329"/>
      <w:bookmarkEnd w:id="437"/>
      <w:bookmarkStart w:id="438" w:name="_Toc184308103"/>
      <w:bookmarkEnd w:id="438"/>
      <w:bookmarkStart w:id="439" w:name="_Toc184313298"/>
      <w:bookmarkEnd w:id="439"/>
      <w:bookmarkStart w:id="440" w:name="_Toc184308048"/>
      <w:bookmarkEnd w:id="440"/>
      <w:bookmarkStart w:id="441" w:name="_Toc184314422"/>
      <w:bookmarkEnd w:id="441"/>
      <w:bookmarkStart w:id="442" w:name="_Toc184312101"/>
      <w:bookmarkEnd w:id="442"/>
      <w:bookmarkStart w:id="443" w:name="_Toc184314455"/>
      <w:bookmarkEnd w:id="443"/>
      <w:bookmarkStart w:id="444" w:name="_Toc184310317"/>
      <w:bookmarkEnd w:id="444"/>
      <w:bookmarkStart w:id="445" w:name="_Toc184314448"/>
      <w:bookmarkEnd w:id="445"/>
      <w:bookmarkStart w:id="446" w:name="_Toc184312125"/>
      <w:bookmarkEnd w:id="446"/>
      <w:bookmarkStart w:id="447" w:name="_Toc184312105"/>
      <w:bookmarkEnd w:id="447"/>
      <w:bookmarkStart w:id="448" w:name="_Toc184313281"/>
      <w:bookmarkEnd w:id="448"/>
      <w:bookmarkStart w:id="449" w:name="_Toc184310275"/>
      <w:bookmarkEnd w:id="449"/>
      <w:bookmarkStart w:id="450" w:name="_Toc184310281"/>
      <w:bookmarkEnd w:id="450"/>
      <w:bookmarkStart w:id="451" w:name="_Toc184314441"/>
      <w:bookmarkEnd w:id="451"/>
      <w:bookmarkStart w:id="452" w:name="_Toc184313242"/>
      <w:bookmarkEnd w:id="452"/>
      <w:bookmarkStart w:id="453" w:name="_Toc184310323"/>
      <w:bookmarkEnd w:id="453"/>
      <w:bookmarkStart w:id="454" w:name="_Toc184313253"/>
      <w:bookmarkEnd w:id="454"/>
      <w:bookmarkStart w:id="455" w:name="_Toc184312077"/>
      <w:bookmarkEnd w:id="455"/>
      <w:bookmarkStart w:id="456" w:name="_Toc184308057"/>
      <w:bookmarkEnd w:id="456"/>
      <w:bookmarkStart w:id="457" w:name="_Toc184313292"/>
      <w:bookmarkEnd w:id="457"/>
      <w:bookmarkStart w:id="458" w:name="_Toc184310292"/>
      <w:bookmarkEnd w:id="458"/>
      <w:bookmarkStart w:id="459" w:name="_Toc184314450"/>
      <w:bookmarkEnd w:id="459"/>
      <w:bookmarkStart w:id="460" w:name="_Toc184312076"/>
      <w:bookmarkEnd w:id="460"/>
      <w:bookmarkStart w:id="461" w:name="_Toc184308051"/>
      <w:bookmarkEnd w:id="461"/>
      <w:bookmarkStart w:id="462" w:name="_Toc184310300"/>
      <w:bookmarkEnd w:id="462"/>
      <w:bookmarkStart w:id="463" w:name="_Toc184314468"/>
      <w:bookmarkEnd w:id="463"/>
      <w:bookmarkStart w:id="464" w:name="_Toc184308108"/>
      <w:bookmarkEnd w:id="464"/>
      <w:bookmarkStart w:id="465" w:name="_Toc184312068"/>
      <w:bookmarkEnd w:id="465"/>
      <w:bookmarkStart w:id="466" w:name="_Toc184308104"/>
      <w:bookmarkEnd w:id="466"/>
      <w:bookmarkStart w:id="467" w:name="_Toc184313283"/>
      <w:bookmarkEnd w:id="467"/>
      <w:bookmarkStart w:id="468" w:name="_Toc184312089"/>
      <w:bookmarkEnd w:id="468"/>
      <w:bookmarkStart w:id="469" w:name="_Toc184312121"/>
      <w:bookmarkEnd w:id="469"/>
      <w:bookmarkStart w:id="470" w:name="_Toc184312114"/>
      <w:bookmarkEnd w:id="470"/>
      <w:bookmarkStart w:id="471" w:name="_Toc184314430"/>
      <w:bookmarkEnd w:id="471"/>
      <w:bookmarkStart w:id="472" w:name="_Toc184312093"/>
      <w:bookmarkEnd w:id="472"/>
      <w:bookmarkStart w:id="473" w:name="_Toc184314464"/>
      <w:bookmarkEnd w:id="473"/>
      <w:bookmarkStart w:id="474" w:name="_Toc184308062"/>
      <w:bookmarkEnd w:id="474"/>
      <w:bookmarkStart w:id="475" w:name="_Toc184308094"/>
      <w:bookmarkEnd w:id="475"/>
      <w:bookmarkStart w:id="476" w:name="_Toc184312096"/>
      <w:bookmarkEnd w:id="476"/>
      <w:bookmarkStart w:id="477" w:name="_Toc184314471"/>
      <w:bookmarkEnd w:id="477"/>
      <w:bookmarkStart w:id="478" w:name="_Toc184314478"/>
      <w:bookmarkEnd w:id="478"/>
      <w:bookmarkStart w:id="479" w:name="_Toc184313307"/>
      <w:bookmarkEnd w:id="479"/>
      <w:bookmarkStart w:id="480" w:name="_Toc184313288"/>
      <w:bookmarkEnd w:id="480"/>
      <w:bookmarkStart w:id="481" w:name="_Toc184310286"/>
      <w:bookmarkEnd w:id="481"/>
      <w:bookmarkStart w:id="482" w:name="_Toc184310313"/>
      <w:bookmarkEnd w:id="482"/>
      <w:bookmarkStart w:id="483" w:name="_Toc184312126"/>
      <w:bookmarkEnd w:id="483"/>
      <w:bookmarkStart w:id="484" w:name="_Toc184312102"/>
      <w:bookmarkEnd w:id="484"/>
      <w:bookmarkStart w:id="485" w:name="_Toc184308071"/>
      <w:bookmarkEnd w:id="485"/>
      <w:bookmarkStart w:id="486" w:name="_Toc184314474"/>
      <w:bookmarkEnd w:id="486"/>
      <w:bookmarkStart w:id="487" w:name="_Toc184310344"/>
      <w:bookmarkEnd w:id="487"/>
      <w:bookmarkStart w:id="488" w:name="_Toc184308090"/>
      <w:bookmarkEnd w:id="488"/>
      <w:bookmarkStart w:id="489" w:name="_Toc184313248"/>
      <w:bookmarkEnd w:id="489"/>
      <w:bookmarkStart w:id="490" w:name="_Toc184310328"/>
      <w:bookmarkEnd w:id="490"/>
      <w:bookmarkStart w:id="491" w:name="_Toc184312108"/>
      <w:bookmarkEnd w:id="491"/>
      <w:bookmarkStart w:id="492" w:name="_Toc184308087"/>
      <w:bookmarkEnd w:id="492"/>
      <w:bookmarkStart w:id="493" w:name="_Toc184312071"/>
      <w:bookmarkEnd w:id="493"/>
      <w:bookmarkStart w:id="494" w:name="_Toc184308063"/>
      <w:bookmarkEnd w:id="494"/>
      <w:bookmarkStart w:id="495" w:name="_Toc184314456"/>
      <w:bookmarkEnd w:id="495"/>
      <w:bookmarkStart w:id="496" w:name="_Toc184308050"/>
      <w:bookmarkEnd w:id="496"/>
      <w:bookmarkStart w:id="497" w:name="_Toc184312138"/>
      <w:bookmarkEnd w:id="497"/>
      <w:bookmarkStart w:id="498" w:name="_Toc184310324"/>
      <w:bookmarkEnd w:id="498"/>
      <w:bookmarkStart w:id="499" w:name="_Toc184310311"/>
      <w:bookmarkEnd w:id="499"/>
      <w:bookmarkStart w:id="500" w:name="_Toc184314419"/>
      <w:bookmarkEnd w:id="500"/>
      <w:bookmarkStart w:id="501" w:name="_Toc184310336"/>
      <w:bookmarkEnd w:id="501"/>
      <w:bookmarkStart w:id="502" w:name="_Toc184314469"/>
      <w:bookmarkEnd w:id="502"/>
      <w:bookmarkStart w:id="503" w:name="_Toc184314462"/>
      <w:bookmarkEnd w:id="503"/>
      <w:bookmarkStart w:id="504" w:name="_Toc184312100"/>
      <w:bookmarkEnd w:id="504"/>
      <w:bookmarkStart w:id="505" w:name="_Toc184308042"/>
      <w:bookmarkEnd w:id="505"/>
      <w:bookmarkStart w:id="506" w:name="_Toc184313257"/>
      <w:bookmarkEnd w:id="506"/>
      <w:bookmarkStart w:id="507" w:name="_Toc184310279"/>
      <w:bookmarkEnd w:id="507"/>
      <w:bookmarkStart w:id="508" w:name="_Toc184313297"/>
      <w:bookmarkEnd w:id="508"/>
      <w:bookmarkStart w:id="509" w:name="_Toc184313282"/>
      <w:bookmarkEnd w:id="509"/>
      <w:bookmarkStart w:id="510" w:name="_Toc184312109"/>
      <w:bookmarkEnd w:id="510"/>
      <w:bookmarkStart w:id="511" w:name="_Toc184308067"/>
      <w:bookmarkEnd w:id="511"/>
      <w:bookmarkStart w:id="512" w:name="_Toc184310280"/>
      <w:bookmarkEnd w:id="512"/>
      <w:bookmarkStart w:id="513" w:name="_Toc184313303"/>
      <w:bookmarkEnd w:id="513"/>
      <w:bookmarkStart w:id="514" w:name="_Toc184310310"/>
      <w:bookmarkEnd w:id="514"/>
      <w:bookmarkStart w:id="515" w:name="_Toc184310318"/>
      <w:bookmarkEnd w:id="515"/>
      <w:bookmarkStart w:id="516" w:name="_Toc184308040"/>
      <w:bookmarkEnd w:id="516"/>
      <w:bookmarkStart w:id="517" w:name="_Toc184314417"/>
      <w:bookmarkEnd w:id="517"/>
      <w:bookmarkStart w:id="518" w:name="_Toc184312075"/>
      <w:bookmarkEnd w:id="518"/>
      <w:bookmarkStart w:id="519" w:name="_Toc184308074"/>
      <w:bookmarkEnd w:id="519"/>
      <w:bookmarkStart w:id="520" w:name="_Toc184312084"/>
      <w:bookmarkEnd w:id="520"/>
      <w:bookmarkStart w:id="521" w:name="_Toc184312074"/>
      <w:bookmarkEnd w:id="521"/>
      <w:bookmarkStart w:id="522" w:name="_Toc184308082"/>
      <w:bookmarkEnd w:id="522"/>
      <w:bookmarkStart w:id="523" w:name="_Toc184312106"/>
      <w:bookmarkEnd w:id="523"/>
      <w:bookmarkStart w:id="524" w:name="_Toc184314426"/>
      <w:bookmarkEnd w:id="524"/>
      <w:bookmarkStart w:id="525" w:name="_Toc184308052"/>
      <w:bookmarkEnd w:id="525"/>
      <w:bookmarkStart w:id="526" w:name="_Toc184310302"/>
      <w:bookmarkEnd w:id="526"/>
      <w:bookmarkStart w:id="527" w:name="_Toc184314435"/>
      <w:bookmarkEnd w:id="527"/>
      <w:bookmarkStart w:id="528" w:name="_Toc184314436"/>
      <w:bookmarkEnd w:id="528"/>
      <w:bookmarkStart w:id="529" w:name="_Toc184310298"/>
      <w:bookmarkEnd w:id="529"/>
      <w:bookmarkStart w:id="530" w:name="_Toc184312082"/>
      <w:bookmarkEnd w:id="530"/>
      <w:bookmarkStart w:id="531" w:name="_Toc184310283"/>
      <w:bookmarkEnd w:id="531"/>
      <w:bookmarkStart w:id="532" w:name="_Toc184312104"/>
      <w:bookmarkEnd w:id="532"/>
      <w:bookmarkStart w:id="533" w:name="_Toc184312091"/>
      <w:bookmarkEnd w:id="533"/>
      <w:bookmarkStart w:id="534" w:name="_Toc184314447"/>
      <w:bookmarkEnd w:id="534"/>
      <w:bookmarkStart w:id="535" w:name="_Toc184314443"/>
      <w:bookmarkEnd w:id="535"/>
      <w:bookmarkStart w:id="536" w:name="_Toc184310293"/>
      <w:bookmarkEnd w:id="536"/>
      <w:bookmarkStart w:id="537" w:name="_Toc184312131"/>
      <w:bookmarkEnd w:id="537"/>
      <w:bookmarkStart w:id="538" w:name="_Toc184310299"/>
      <w:bookmarkEnd w:id="538"/>
      <w:bookmarkStart w:id="539" w:name="_Toc184310278"/>
      <w:bookmarkEnd w:id="539"/>
      <w:bookmarkStart w:id="540" w:name="_Toc184314451"/>
      <w:bookmarkEnd w:id="540"/>
      <w:bookmarkStart w:id="541" w:name="_Toc184313244"/>
      <w:bookmarkEnd w:id="541"/>
      <w:bookmarkStart w:id="542" w:name="_Toc184310333"/>
      <w:bookmarkEnd w:id="542"/>
      <w:bookmarkStart w:id="543" w:name="_Toc184312098"/>
      <w:bookmarkEnd w:id="543"/>
      <w:bookmarkStart w:id="544" w:name="_Toc184314423"/>
      <w:bookmarkEnd w:id="544"/>
      <w:bookmarkStart w:id="545" w:name="_Toc184308060"/>
      <w:bookmarkEnd w:id="545"/>
      <w:bookmarkStart w:id="546" w:name="_Toc184314425"/>
      <w:bookmarkEnd w:id="546"/>
      <w:bookmarkStart w:id="547" w:name="_Toc184312107"/>
      <w:bookmarkEnd w:id="547"/>
      <w:bookmarkStart w:id="548" w:name="_Toc184308099"/>
      <w:bookmarkEnd w:id="548"/>
      <w:bookmarkStart w:id="549" w:name="_Toc184314466"/>
      <w:bookmarkEnd w:id="549"/>
      <w:bookmarkStart w:id="550" w:name="_Toc184313284"/>
      <w:bookmarkEnd w:id="550"/>
      <w:bookmarkStart w:id="551" w:name="_Toc184314445"/>
      <w:bookmarkEnd w:id="551"/>
      <w:bookmarkStart w:id="552" w:name="_Toc184312127"/>
      <w:bookmarkEnd w:id="552"/>
      <w:bookmarkStart w:id="553" w:name="_Toc184312069"/>
      <w:bookmarkEnd w:id="553"/>
      <w:bookmarkStart w:id="554" w:name="_Toc184312130"/>
      <w:bookmarkEnd w:id="554"/>
      <w:bookmarkStart w:id="555" w:name="_Toc184313293"/>
      <w:bookmarkEnd w:id="555"/>
      <w:bookmarkStart w:id="556" w:name="_Toc184308098"/>
      <w:bookmarkEnd w:id="556"/>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page" w:tblpX="1031" w:tblpY="126"/>
        <w:tblW w:w="6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8"/>
        <w:gridCol w:w="6245"/>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98" w:type="pct"/>
            <w:vAlign w:val="center"/>
          </w:tcPr>
          <w:p>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684" w:type="pct"/>
            <w:gridSpan w:val="2"/>
            <w:vAlign w:val="center"/>
          </w:tcPr>
          <w:p>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458" w:type="pct"/>
            <w:vAlign w:val="center"/>
          </w:tcPr>
          <w:p>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458" w:type="pct"/>
            <w:vAlign w:val="center"/>
          </w:tcPr>
          <w:p>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8" w:type="pct"/>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3684" w:type="pct"/>
            <w:gridSpan w:val="2"/>
            <w:vAlign w:val="center"/>
          </w:tcPr>
          <w:p>
            <w:pPr>
              <w:spacing w:line="24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0"/>
                <w:sz w:val="24"/>
                <w:szCs w:val="24"/>
                <w:highlight w:val="none"/>
              </w:rPr>
              <w:t>投标人基本情况</w:t>
            </w:r>
          </w:p>
        </w:tc>
        <w:tc>
          <w:tcPr>
            <w:tcW w:w="458" w:type="pct"/>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9.5分</w:t>
            </w:r>
          </w:p>
        </w:tc>
        <w:tc>
          <w:tcPr>
            <w:tcW w:w="458" w:type="pct"/>
            <w:vAlign w:val="center"/>
          </w:tcPr>
          <w:p>
            <w:pPr>
              <w:spacing w:line="240" w:lineRule="auto"/>
              <w:jc w:val="center"/>
              <w:outlineLvl w:val="0"/>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98" w:type="pct"/>
            <w:vAlign w:val="center"/>
          </w:tcPr>
          <w:p>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投标人完成的类似项目业绩：</w:t>
            </w:r>
          </w:p>
          <w:p>
            <w:pPr>
              <w:spacing w:line="240" w:lineRule="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投标人自2017年1月1日起（以合同签订之日为准）至今，完成过类似养护项目的，得1.5分。</w:t>
            </w:r>
          </w:p>
          <w:p>
            <w:pPr>
              <w:spacing w:line="240" w:lineRule="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spacing w:line="24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投标文件中提供养护合同复印件、中标通知书复印件，上述材料均需加盖公章。材料不齐全的不得分。</w:t>
            </w:r>
          </w:p>
        </w:tc>
        <w:tc>
          <w:tcPr>
            <w:tcW w:w="458" w:type="pct"/>
            <w:vAlign w:val="center"/>
          </w:tcPr>
          <w:p>
            <w:pPr>
              <w:spacing w:line="240" w:lineRule="auto"/>
              <w:jc w:val="center"/>
              <w:rPr>
                <w:rFonts w:hint="eastAsia" w:ascii="仿宋" w:hAnsi="仿宋" w:eastAsia="仿宋" w:cs="仿宋"/>
                <w:color w:val="auto"/>
                <w:sz w:val="24"/>
                <w:szCs w:val="24"/>
                <w:highlight w:val="none"/>
              </w:rPr>
            </w:pPr>
          </w:p>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58" w:type="pct"/>
            <w:vAlign w:val="center"/>
          </w:tcPr>
          <w:p>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98" w:type="pct"/>
            <w:vAlign w:val="center"/>
          </w:tcPr>
          <w:p>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管理体系认证（有效期内）：</w:t>
            </w:r>
          </w:p>
          <w:p>
            <w:pPr>
              <w:spacing w:line="240" w:lineRule="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投标人具有有效期内的质量管理体系认证、环境管理体系认证、职业健康管理体系认证，每个证书得1分，共3分。</w:t>
            </w:r>
          </w:p>
          <w:p>
            <w:pPr>
              <w:spacing w:line="24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注：投标文件中提供电子扫描件上传，不提供不得分。</w:t>
            </w:r>
          </w:p>
        </w:tc>
        <w:tc>
          <w:tcPr>
            <w:tcW w:w="458" w:type="pct"/>
            <w:vAlign w:val="center"/>
          </w:tcPr>
          <w:p>
            <w:pPr>
              <w:spacing w:line="240" w:lineRule="auto"/>
              <w:jc w:val="center"/>
              <w:rPr>
                <w:rFonts w:hint="eastAsia" w:ascii="仿宋" w:hAnsi="仿宋" w:eastAsia="仿宋" w:cs="仿宋"/>
                <w:color w:val="auto"/>
                <w:sz w:val="24"/>
                <w:szCs w:val="24"/>
                <w:highlight w:val="none"/>
              </w:rPr>
            </w:pPr>
          </w:p>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58" w:type="pct"/>
            <w:vAlign w:val="center"/>
          </w:tcPr>
          <w:p>
            <w:pPr>
              <w:spacing w:line="24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98" w:type="pct"/>
            <w:vAlign w:val="center"/>
          </w:tcPr>
          <w:p>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投标人具有市政公用工程施工总承包</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lang w:eastAsia="zh-CN"/>
              </w:rPr>
              <w:t>级及以上资质的得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lang w:val="en-US" w:eastAsia="zh-CN"/>
              </w:rPr>
              <w:t>二级的以下的得2分；无则不得分分。</w:t>
            </w:r>
          </w:p>
          <w:p>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注：投标文件中提供电子扫描件上传，不提供不得分。</w:t>
            </w:r>
          </w:p>
        </w:tc>
        <w:tc>
          <w:tcPr>
            <w:tcW w:w="458" w:type="pct"/>
            <w:vAlign w:val="center"/>
          </w:tcPr>
          <w:p>
            <w:pPr>
              <w:spacing w:line="240" w:lineRule="auto"/>
              <w:jc w:val="center"/>
              <w:rPr>
                <w:rFonts w:hint="eastAsia" w:ascii="仿宋" w:hAnsi="仿宋" w:eastAsia="仿宋" w:cs="仿宋"/>
                <w:color w:val="auto"/>
                <w:sz w:val="24"/>
                <w:szCs w:val="24"/>
                <w:highlight w:val="none"/>
              </w:rPr>
            </w:pPr>
          </w:p>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58" w:type="pct"/>
            <w:vAlign w:val="center"/>
          </w:tcPr>
          <w:p>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投标人近三年以来得政府相关部门、行业协会颁发的市政养护类荣誉的，</w:t>
            </w:r>
            <w:r>
              <w:rPr>
                <w:rFonts w:hint="eastAsia" w:ascii="仿宋" w:hAnsi="仿宋" w:eastAsia="仿宋" w:cs="仿宋"/>
                <w:bCs/>
                <w:color w:val="auto"/>
                <w:sz w:val="24"/>
                <w:szCs w:val="24"/>
                <w:highlight w:val="none"/>
                <w:lang w:val="en-US" w:eastAsia="zh-CN"/>
              </w:rPr>
              <w:t>每个得1分，最高得2分</w:t>
            </w:r>
            <w:r>
              <w:rPr>
                <w:rFonts w:hint="eastAsia" w:ascii="仿宋" w:hAnsi="仿宋" w:eastAsia="仿宋" w:cs="仿宋"/>
                <w:bCs/>
                <w:color w:val="auto"/>
                <w:sz w:val="24"/>
                <w:szCs w:val="24"/>
                <w:highlight w:val="none"/>
                <w:lang w:eastAsia="zh-CN"/>
              </w:rPr>
              <w:t>。</w:t>
            </w:r>
          </w:p>
          <w:p>
            <w:pPr>
              <w:spacing w:line="240" w:lineRule="auto"/>
              <w:outlineLvl w:val="0"/>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eastAsia="zh-CN"/>
              </w:rPr>
              <w:t>注：投标文件中提供电子扫描件上传，不提供不得分。</w:t>
            </w:r>
          </w:p>
        </w:tc>
        <w:tc>
          <w:tcPr>
            <w:tcW w:w="458" w:type="pct"/>
            <w:vAlign w:val="center"/>
          </w:tcPr>
          <w:p>
            <w:pPr>
              <w:spacing w:line="240" w:lineRule="auto"/>
              <w:jc w:val="center"/>
              <w:rPr>
                <w:rFonts w:hint="eastAsia" w:ascii="仿宋" w:hAnsi="仿宋" w:eastAsia="仿宋" w:cs="仿宋"/>
                <w:color w:val="auto"/>
                <w:sz w:val="24"/>
                <w:szCs w:val="24"/>
                <w:highlight w:val="none"/>
              </w:rPr>
            </w:pPr>
          </w:p>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rPr>
              <w:t>养护方案</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51.5分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项目总体计划方案</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委根据投标人提供的投标文件，对其针对本项目的养护（维修）计划、根据现有隧道状况提出对应的巡查、养护（维修）方案以及精细化养护方案进行评审，投标文件中有具体方案内容的得基本分6分，方案内容编制科学、合理，具有可操作性，符合项目开展实际情况的由评委对方案综合评定，最高2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此项评审满分8分。</w:t>
            </w:r>
          </w:p>
        </w:tc>
        <w:tc>
          <w:tcPr>
            <w:tcW w:w="458" w:type="pct"/>
            <w:vAlign w:val="center"/>
          </w:tcPr>
          <w:p>
            <w:pPr>
              <w:autoSpaceDE w:val="0"/>
              <w:autoSpaceDN w:val="0"/>
              <w:adjustRightInd w:val="0"/>
              <w:spacing w:line="240" w:lineRule="auto"/>
              <w:jc w:val="center"/>
              <w:rPr>
                <w:rFonts w:hint="eastAsia" w:ascii="仿宋" w:hAnsi="仿宋" w:eastAsia="仿宋" w:cs="仿宋"/>
                <w:b w:val="0"/>
                <w:color w:val="auto"/>
                <w:kern w:val="2"/>
                <w:sz w:val="24"/>
                <w:szCs w:val="24"/>
                <w:highlight w:val="none"/>
                <w:lang w:val="en-US" w:eastAsia="zh-CN" w:bidi="ar-SA"/>
              </w:rPr>
            </w:pPr>
            <w:r>
              <w:rPr>
                <w:rStyle w:val="80"/>
                <w:rFonts w:hint="eastAsia" w:ascii="仿宋" w:hAnsi="仿宋" w:eastAsia="仿宋" w:cs="仿宋"/>
                <w:b w:val="0"/>
                <w:color w:val="auto"/>
                <w:sz w:val="24"/>
                <w:szCs w:val="24"/>
                <w:highlight w:val="none"/>
              </w:rPr>
              <w:t>8</w:t>
            </w:r>
          </w:p>
        </w:tc>
        <w:tc>
          <w:tcPr>
            <w:tcW w:w="458" w:type="pct"/>
            <w:vAlign w:val="center"/>
          </w:tcPr>
          <w:p>
            <w:pPr>
              <w:autoSpaceDE w:val="0"/>
              <w:autoSpaceDN w:val="0"/>
              <w:adjustRightInd w:val="0"/>
              <w:spacing w:line="240" w:lineRule="auto"/>
              <w:jc w:val="center"/>
              <w:rPr>
                <w:rStyle w:val="80"/>
                <w:rFonts w:hint="eastAsia" w:ascii="仿宋" w:hAnsi="仿宋" w:eastAsia="仿宋" w:cs="仿宋"/>
                <w:b w:val="0"/>
                <w:color w:val="auto"/>
                <w:sz w:val="24"/>
                <w:szCs w:val="24"/>
                <w:highlight w:val="none"/>
                <w:lang w:val="en-US" w:eastAsia="zh-CN"/>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项目了解程度、重点难点分析及应对措施</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项目了解程度、重点难点分析及应对措施（8分）：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委根据投标人提供的投标文件，对其针对本项目涉及的隧道实际情况的了解和调研论述，养护服务的重点难点的原因分析和应对措施进行评审，投标文件中有具体方案内容的得基本分6分，论述切合实际、重点难点原因分析透彻、应对措施科学合理的由评委对方案综合评定，最高2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此项评审满分8分。</w:t>
            </w:r>
          </w:p>
        </w:tc>
        <w:tc>
          <w:tcPr>
            <w:tcW w:w="458" w:type="pct"/>
            <w:vAlign w:val="center"/>
          </w:tcPr>
          <w:p>
            <w:pPr>
              <w:autoSpaceDE w:val="0"/>
              <w:autoSpaceDN w:val="0"/>
              <w:adjustRightIn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w:t>
            </w:r>
          </w:p>
        </w:tc>
        <w:tc>
          <w:tcPr>
            <w:tcW w:w="458" w:type="pct"/>
            <w:vAlign w:val="center"/>
          </w:tcPr>
          <w:p>
            <w:pPr>
              <w:autoSpaceDE w:val="0"/>
              <w:autoSpaceDN w:val="0"/>
              <w:adjustRightInd w:val="0"/>
              <w:spacing w:line="240" w:lineRule="auto"/>
              <w:jc w:val="center"/>
              <w:rPr>
                <w:rFonts w:hint="eastAsia" w:ascii="仿宋" w:hAnsi="仿宋" w:eastAsia="仿宋" w:cs="仿宋"/>
                <w:color w:val="auto"/>
                <w:kern w:val="0"/>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应急处置方案</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委根据投标人提供的投标文件，对其针对本项目制定的防汛防台、抗雪防冻等各类突发事件应急处理及重大活动保障的人员配备、物资储备和启动、应急处置等方案进行评审，投标文件中有具体方案内容的得基本分6分，应急预案内容科学、合理、针对性强、操作性强的由评委对方案综合评定，最高2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此项评审满分8分。</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8</w:t>
            </w:r>
          </w:p>
        </w:tc>
        <w:tc>
          <w:tcPr>
            <w:tcW w:w="458" w:type="pct"/>
            <w:vAlign w:val="center"/>
          </w:tcPr>
          <w:p>
            <w:pPr>
              <w:spacing w:line="240" w:lineRule="auto"/>
              <w:jc w:val="center"/>
              <w:rPr>
                <w:rFonts w:hint="eastAsia" w:ascii="仿宋" w:hAnsi="仿宋" w:eastAsia="仿宋" w:cs="仿宋"/>
                <w:color w:val="auto"/>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重大活动和节日保障方案</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根据重大活动和节假日保障方案的科学性、合理性、针对性及可操作性进行评估，得0-2分。</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2</w:t>
            </w:r>
          </w:p>
        </w:tc>
        <w:tc>
          <w:tcPr>
            <w:tcW w:w="458" w:type="pct"/>
            <w:vAlign w:val="center"/>
          </w:tcPr>
          <w:p>
            <w:pPr>
              <w:spacing w:line="240" w:lineRule="auto"/>
              <w:jc w:val="center"/>
              <w:rPr>
                <w:rFonts w:hint="eastAsia" w:ascii="仿宋" w:hAnsi="仿宋" w:eastAsia="仿宋" w:cs="仿宋"/>
                <w:color w:val="auto"/>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拟采用的养护新工艺、新技术等</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委根据投标人提供的投标文件，对其针对本项目拟采用的养护新工艺、新技术以及拟投入的新材料、新设备投入情况进行评审，投标文件中有具体方案内容的得基本分4分，方案内容科学、合理、针对性强、操作性强的由评委对方案综合评定，最高2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此项评审满分6分。</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6</w:t>
            </w:r>
          </w:p>
        </w:tc>
        <w:tc>
          <w:tcPr>
            <w:tcW w:w="458" w:type="pct"/>
            <w:vAlign w:val="center"/>
          </w:tcPr>
          <w:p>
            <w:pPr>
              <w:spacing w:line="240" w:lineRule="auto"/>
              <w:jc w:val="center"/>
              <w:rPr>
                <w:rFonts w:hint="eastAsia" w:ascii="仿宋" w:hAnsi="仿宋" w:eastAsia="仿宋" w:cs="仿宋"/>
                <w:color w:val="auto"/>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安全生产管理</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委根据投标人提供的投标文件，对其针对本项目制定的安全生产、文明施工及环保措施进行进行评审，投标文件中有具体方案内容的得基本分5分，方案内容科学、合理、针对性强、操作性强的由评委对方案综合评定，最高2.5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此项评审满分7.5分。</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7.5</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资料管理方案</w:t>
            </w:r>
          </w:p>
          <w:p>
            <w:pPr>
              <w:spacing w:line="240" w:lineRule="auto"/>
              <w:outlineLvl w:val="0"/>
              <w:rPr>
                <w:rFonts w:hint="eastAsia" w:ascii="仿宋" w:hAnsi="仿宋" w:eastAsia="仿宋" w:cs="仿宋"/>
                <w:bCs/>
                <w:color w:val="auto"/>
                <w:sz w:val="24"/>
                <w:szCs w:val="24"/>
                <w:highlight w:val="none"/>
                <w:lang w:val="en-US" w:eastAsia="zh-CN"/>
              </w:rPr>
            </w:pP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档案管理制度：包含但不仅限于日常养护、维修、检测、技术状况评价，月度、季度、年度检查等资料的整理归档方案，项目档案的移交方案。投标文件中有具体方案内容的得基本分2分，方案内容科学、合理、针对性强、操作性强的由评委对方案综合评定，最高2分。此项评审满分4分。</w:t>
            </w:r>
          </w:p>
        </w:tc>
        <w:tc>
          <w:tcPr>
            <w:tcW w:w="458" w:type="pct"/>
            <w:vAlign w:val="center"/>
          </w:tcPr>
          <w:p>
            <w:pPr>
              <w:autoSpaceDE w:val="0"/>
              <w:autoSpaceDN w:val="0"/>
              <w:adjustRightInd w:val="0"/>
              <w:spacing w:line="240" w:lineRule="auto"/>
              <w:jc w:val="center"/>
              <w:rPr>
                <w:rFonts w:hint="eastAsia" w:ascii="仿宋" w:hAnsi="仿宋" w:eastAsia="仿宋" w:cs="仿宋"/>
                <w:b w:val="0"/>
                <w:color w:val="auto"/>
                <w:kern w:val="2"/>
                <w:sz w:val="24"/>
                <w:szCs w:val="24"/>
                <w:highlight w:val="none"/>
                <w:lang w:val="en-US" w:eastAsia="zh-CN" w:bidi="ar-SA"/>
              </w:rPr>
            </w:pPr>
            <w:r>
              <w:rPr>
                <w:rStyle w:val="80"/>
                <w:rFonts w:hint="eastAsia" w:ascii="仿宋" w:hAnsi="仿宋" w:eastAsia="仿宋" w:cs="仿宋"/>
                <w:b w:val="0"/>
                <w:color w:val="auto"/>
                <w:sz w:val="24"/>
                <w:szCs w:val="24"/>
                <w:highlight w:val="none"/>
              </w:rPr>
              <w:t>4</w:t>
            </w:r>
          </w:p>
        </w:tc>
        <w:tc>
          <w:tcPr>
            <w:tcW w:w="458" w:type="pct"/>
            <w:vAlign w:val="center"/>
          </w:tcPr>
          <w:p>
            <w:pPr>
              <w:autoSpaceDE w:val="0"/>
              <w:autoSpaceDN w:val="0"/>
              <w:adjustRightInd w:val="0"/>
              <w:spacing w:line="240" w:lineRule="auto"/>
              <w:jc w:val="center"/>
              <w:rPr>
                <w:rStyle w:val="80"/>
                <w:rFonts w:hint="eastAsia" w:ascii="仿宋" w:hAnsi="仿宋" w:eastAsia="仿宋" w:cs="仿宋"/>
                <w:b w:val="0"/>
                <w:color w:val="auto"/>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交通组织安全实施方案</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隧道施工交通组织安全实施方案，投标文件中有具体方案内容的得基本分2分，方案内容科学、合理、针对性强、操作性强的由评委对方案综合评定，最高2分。此项评审满分4分。</w:t>
            </w:r>
          </w:p>
        </w:tc>
        <w:tc>
          <w:tcPr>
            <w:tcW w:w="458" w:type="pct"/>
            <w:vAlign w:val="center"/>
          </w:tcPr>
          <w:p>
            <w:pPr>
              <w:autoSpaceDE w:val="0"/>
              <w:autoSpaceDN w:val="0"/>
              <w:adjustRightInd w:val="0"/>
              <w:spacing w:line="240" w:lineRule="auto"/>
              <w:jc w:val="center"/>
              <w:rPr>
                <w:rFonts w:hint="eastAsia" w:ascii="仿宋" w:hAnsi="仿宋" w:eastAsia="仿宋" w:cs="仿宋"/>
                <w:b w:val="0"/>
                <w:color w:val="auto"/>
                <w:kern w:val="2"/>
                <w:sz w:val="24"/>
                <w:szCs w:val="24"/>
                <w:highlight w:val="none"/>
                <w:lang w:val="en-US" w:eastAsia="zh-CN" w:bidi="ar-SA"/>
              </w:rPr>
            </w:pPr>
            <w:r>
              <w:rPr>
                <w:rStyle w:val="80"/>
                <w:rFonts w:hint="eastAsia" w:ascii="仿宋" w:hAnsi="仿宋" w:eastAsia="仿宋" w:cs="仿宋"/>
                <w:b w:val="0"/>
                <w:color w:val="auto"/>
                <w:sz w:val="24"/>
                <w:szCs w:val="24"/>
                <w:highlight w:val="none"/>
              </w:rPr>
              <w:t>4</w:t>
            </w:r>
          </w:p>
        </w:tc>
        <w:tc>
          <w:tcPr>
            <w:tcW w:w="458" w:type="pct"/>
            <w:vAlign w:val="center"/>
          </w:tcPr>
          <w:p>
            <w:pPr>
              <w:autoSpaceDE w:val="0"/>
              <w:autoSpaceDN w:val="0"/>
              <w:adjustRightInd w:val="0"/>
              <w:spacing w:line="240" w:lineRule="auto"/>
              <w:jc w:val="center"/>
              <w:rPr>
                <w:rStyle w:val="80"/>
                <w:rFonts w:hint="eastAsia" w:ascii="仿宋" w:hAnsi="仿宋" w:eastAsia="仿宋" w:cs="仿宋"/>
                <w:b w:val="0"/>
                <w:color w:val="auto"/>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合理化建议</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对本项目隧道运营养护任务提出建设性意见或合理化建议的针对性进行综合评议，投标文件中有具体方案内容的得基本分2分，方案内容科学、合理、针对性强、操作性强的由评委对方案综合评定，最高2分。此项评审满分4分。</w:t>
            </w:r>
          </w:p>
        </w:tc>
        <w:tc>
          <w:tcPr>
            <w:tcW w:w="458" w:type="pct"/>
            <w:vAlign w:val="center"/>
          </w:tcPr>
          <w:p>
            <w:pPr>
              <w:autoSpaceDE w:val="0"/>
              <w:autoSpaceDN w:val="0"/>
              <w:adjustRightInd w:val="0"/>
              <w:spacing w:line="240" w:lineRule="auto"/>
              <w:jc w:val="center"/>
              <w:rPr>
                <w:rFonts w:hint="eastAsia" w:ascii="仿宋" w:hAnsi="仿宋" w:eastAsia="仿宋" w:cs="仿宋"/>
                <w:b w:val="0"/>
                <w:color w:val="auto"/>
                <w:kern w:val="2"/>
                <w:sz w:val="24"/>
                <w:szCs w:val="24"/>
                <w:highlight w:val="none"/>
                <w:lang w:val="en-US" w:eastAsia="zh-CN" w:bidi="ar-SA"/>
              </w:rPr>
            </w:pPr>
            <w:r>
              <w:rPr>
                <w:rStyle w:val="80"/>
                <w:rFonts w:hint="eastAsia" w:ascii="仿宋" w:hAnsi="仿宋" w:eastAsia="仿宋" w:cs="仿宋"/>
                <w:b w:val="0"/>
                <w:color w:val="auto"/>
                <w:sz w:val="24"/>
                <w:szCs w:val="24"/>
                <w:highlight w:val="none"/>
              </w:rPr>
              <w:t>4</w:t>
            </w:r>
          </w:p>
        </w:tc>
        <w:tc>
          <w:tcPr>
            <w:tcW w:w="458" w:type="pct"/>
            <w:vAlign w:val="center"/>
          </w:tcPr>
          <w:p>
            <w:pPr>
              <w:autoSpaceDE w:val="0"/>
              <w:autoSpaceDN w:val="0"/>
              <w:adjustRightInd w:val="0"/>
              <w:spacing w:line="240" w:lineRule="auto"/>
              <w:jc w:val="center"/>
              <w:rPr>
                <w:rStyle w:val="80"/>
                <w:rFonts w:hint="eastAsia" w:ascii="仿宋" w:hAnsi="仿宋" w:eastAsia="仿宋" w:cs="仿宋"/>
                <w:b w:val="0"/>
                <w:color w:val="auto"/>
                <w:sz w:val="24"/>
                <w:szCs w:val="24"/>
                <w:highlight w:val="none"/>
              </w:rPr>
            </w:pPr>
            <w:r>
              <w:rPr>
                <w:rStyle w:val="80"/>
                <w:rFonts w:hint="eastAsia" w:ascii="仿宋" w:hAnsi="仿宋" w:eastAsia="仿宋" w:cs="仿宋"/>
                <w:b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项目组团队情况</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项目负责人</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1 \* GB3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bCs/>
                <w:color w:val="auto"/>
                <w:sz w:val="24"/>
                <w:szCs w:val="24"/>
                <w:highlight w:val="none"/>
                <w:lang w:val="en-US" w:eastAsia="zh-CN"/>
              </w:rPr>
              <w:t>①</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bCs/>
                <w:color w:val="auto"/>
                <w:sz w:val="24"/>
                <w:szCs w:val="24"/>
                <w:highlight w:val="none"/>
                <w:lang w:val="en-US" w:eastAsia="zh-CN"/>
              </w:rPr>
              <w:t>具备高级工程师及以上职的得1.5分；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2 \* GB3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bCs/>
                <w:color w:val="auto"/>
                <w:sz w:val="24"/>
                <w:szCs w:val="24"/>
                <w:highlight w:val="none"/>
                <w:lang w:val="en-US" w:eastAsia="zh-CN"/>
              </w:rPr>
              <w:t>②</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bCs/>
                <w:color w:val="auto"/>
                <w:sz w:val="24"/>
                <w:szCs w:val="24"/>
                <w:highlight w:val="none"/>
                <w:lang w:val="en-US" w:eastAsia="zh-CN"/>
              </w:rPr>
              <w:t>具备一级建造师证书及安全生产考核合格证书（B类）的得1.5分。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注：投标文件中提供电子扫描件上传，不提供不得分，证明材料提供职称证书，资格证书证明，及社保机构（或官方网站）打印的由投标人为各人员缴纳的2021年12月-2022年2月的社保缴纳证明材料。</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3</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技术负责人</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1 \* GB3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bCs/>
                <w:color w:val="auto"/>
                <w:sz w:val="24"/>
                <w:szCs w:val="24"/>
                <w:highlight w:val="none"/>
                <w:lang w:val="en-US" w:eastAsia="zh-CN"/>
              </w:rPr>
              <w:t>①</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bCs/>
                <w:color w:val="auto"/>
                <w:sz w:val="24"/>
                <w:szCs w:val="24"/>
                <w:highlight w:val="none"/>
                <w:lang w:val="en-US" w:eastAsia="zh-CN"/>
              </w:rPr>
              <w:t>具有1名市政类专业高级工程师及以上职称的得3分；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注：投标文件中提供电子扫描件上传，不提供不得分，证明材料提供职称证书，资格证书证明，及社保机构（或官方网站）打印的由投标人为各人员缴纳的2021年12月-2022年2月的社保缴纳证明材料。</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3</w:t>
            </w:r>
          </w:p>
        </w:tc>
        <w:tc>
          <w:tcPr>
            <w:tcW w:w="458" w:type="pc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01"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项目组人员工种配备</w:t>
            </w:r>
          </w:p>
        </w:tc>
        <w:tc>
          <w:tcPr>
            <w:tcW w:w="2983" w:type="pct"/>
            <w:vAlign w:val="center"/>
          </w:tcPr>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①拟投入人员具有高压电工（持有电工证）、低压电工（持有电工证）各1名的得1分，每增加一人得0.5分，本项满分2分。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②具有测量工、道路养护工、下水道养护工、登高车操作工（需提供相应证书复印件）,每具有一类得0.5分，同一人具有多类证书不累计得分，最高得2分。</w:t>
            </w:r>
          </w:p>
          <w:p>
            <w:pPr>
              <w:spacing w:line="240" w:lineRule="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注：投标文件中提供电子扫描件上传，不提供不得分。提供岗位证书复印件及社保机构（或官方网站）打印的由投标人为各人员缴纳的2021年12月-2022年2月的社保缴纳证明材料</w:t>
            </w:r>
          </w:p>
        </w:tc>
        <w:tc>
          <w:tcPr>
            <w:tcW w:w="458" w:type="pct"/>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4</w:t>
            </w:r>
          </w:p>
        </w:tc>
        <w:tc>
          <w:tcPr>
            <w:tcW w:w="458" w:type="pct"/>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p>
        </w:tc>
        <w:tc>
          <w:tcPr>
            <w:tcW w:w="3684" w:type="pct"/>
            <w:gridSpan w:val="2"/>
            <w:vAlign w:val="center"/>
          </w:tcPr>
          <w:p>
            <w:pPr>
              <w:spacing w:line="240" w:lineRule="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投入本项目的设备情况</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01" w:type="pct"/>
            <w:vAlign w:val="center"/>
          </w:tcPr>
          <w:p>
            <w:pPr>
              <w:spacing w:line="240" w:lineRule="auto"/>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日常所用类</w:t>
            </w:r>
          </w:p>
        </w:tc>
        <w:tc>
          <w:tcPr>
            <w:tcW w:w="2983" w:type="pct"/>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具有工程车≥2辆的得1分；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具有登高车≥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辆的得1分。</w:t>
            </w:r>
          </w:p>
          <w:p>
            <w:pPr>
              <w:pStyle w:val="2"/>
              <w:spacing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证明材料需提供投标人的购置合同、发票和各类车辆行驶证电子扫描件</w:t>
            </w:r>
            <w:r>
              <w:rPr>
                <w:rFonts w:hint="eastAsia" w:ascii="仿宋" w:hAnsi="仿宋" w:eastAsia="仿宋" w:cs="仿宋"/>
                <w:color w:val="auto"/>
                <w:sz w:val="24"/>
                <w:szCs w:val="24"/>
                <w:highlight w:val="none"/>
                <w:lang w:val="en-US" w:eastAsia="zh-CN"/>
              </w:rPr>
              <w:t>。</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1" w:type="pct"/>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w:t>
            </w:r>
          </w:p>
          <w:p>
            <w:pPr>
              <w:spacing w:line="240" w:lineRule="auto"/>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I类</w:t>
            </w:r>
          </w:p>
        </w:tc>
        <w:tc>
          <w:tcPr>
            <w:tcW w:w="2983" w:type="pct"/>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（1）具有隧道侧壁清洗车≥1辆的得1分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w:t>
            </w:r>
            <w:r>
              <w:rPr>
                <w:rFonts w:hint="eastAsia" w:ascii="仿宋" w:hAnsi="仿宋" w:eastAsia="仿宋" w:cs="仿宋"/>
                <w:color w:val="auto"/>
                <w:sz w:val="24"/>
                <w:szCs w:val="24"/>
                <w:highlight w:val="none"/>
                <w:lang w:eastAsia="zh-CN"/>
              </w:rPr>
              <w:t>清障车</w:t>
            </w:r>
            <w:r>
              <w:rPr>
                <w:rFonts w:hint="eastAsia" w:ascii="仿宋" w:hAnsi="仿宋" w:eastAsia="仿宋" w:cs="仿宋"/>
                <w:color w:val="auto"/>
                <w:sz w:val="24"/>
                <w:szCs w:val="24"/>
                <w:highlight w:val="none"/>
              </w:rPr>
              <w:t>≥1辆的得1分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（3）具有防撞缓冲车≥1辆的得1分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（4）具有18t（总质量）洗扫车≥1辆的得1分</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（5）具有洒水车≥1辆的得1分</w:t>
            </w:r>
          </w:p>
          <w:p>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6）具有除雪设备</w:t>
            </w:r>
            <w:r>
              <w:rPr>
                <w:rFonts w:hint="eastAsia" w:ascii="仿宋" w:hAnsi="仿宋" w:eastAsia="仿宋" w:cs="仿宋"/>
                <w:color w:val="auto"/>
                <w:sz w:val="24"/>
                <w:szCs w:val="24"/>
                <w:highlight w:val="none"/>
              </w:rPr>
              <w:t>≥1辆的得1分</w:t>
            </w:r>
          </w:p>
          <w:p>
            <w:pPr>
              <w:pStyle w:val="2"/>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。证明材料需提供</w:t>
            </w:r>
            <w:r>
              <w:rPr>
                <w:rFonts w:hint="eastAsia" w:ascii="仿宋" w:hAnsi="仿宋" w:eastAsia="仿宋" w:cs="仿宋"/>
                <w:color w:val="auto"/>
                <w:sz w:val="24"/>
                <w:szCs w:val="24"/>
                <w:highlight w:val="none"/>
                <w:lang w:eastAsia="zh-CN"/>
              </w:rPr>
              <w:t>投标人的购置合同、</w:t>
            </w:r>
            <w:r>
              <w:rPr>
                <w:rFonts w:hint="eastAsia" w:ascii="仿宋" w:hAnsi="仿宋" w:eastAsia="仿宋" w:cs="仿宋"/>
                <w:color w:val="auto"/>
                <w:sz w:val="24"/>
                <w:szCs w:val="24"/>
                <w:highlight w:val="none"/>
              </w:rPr>
              <w:t>发票和各类车辆行驶证</w:t>
            </w:r>
            <w:r>
              <w:rPr>
                <w:rFonts w:hint="eastAsia" w:ascii="仿宋" w:hAnsi="仿宋" w:eastAsia="仿宋" w:cs="仿宋"/>
                <w:color w:val="auto"/>
                <w:sz w:val="24"/>
                <w:szCs w:val="24"/>
                <w:highlight w:val="none"/>
                <w:lang w:val="en-US" w:eastAsia="zh-CN"/>
              </w:rPr>
              <w:t>电子扫描件；除雪设备提供</w:t>
            </w:r>
            <w:r>
              <w:rPr>
                <w:rFonts w:hint="eastAsia" w:ascii="仿宋" w:hAnsi="仿宋" w:eastAsia="仿宋" w:cs="仿宋"/>
                <w:color w:val="auto"/>
                <w:sz w:val="24"/>
                <w:szCs w:val="24"/>
                <w:highlight w:val="none"/>
                <w:lang w:eastAsia="zh-CN"/>
              </w:rPr>
              <w:t>购置合同及</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val="en-US" w:eastAsia="zh-CN"/>
              </w:rPr>
              <w:t>。</w:t>
            </w:r>
          </w:p>
          <w:p>
            <w:pPr>
              <w:spacing w:line="240" w:lineRule="auto"/>
              <w:jc w:val="left"/>
              <w:rPr>
                <w:rFonts w:hint="eastAsia" w:ascii="仿宋" w:hAnsi="仿宋" w:eastAsia="仿宋" w:cs="仿宋"/>
                <w:color w:val="auto"/>
                <w:kern w:val="2"/>
                <w:sz w:val="24"/>
                <w:szCs w:val="24"/>
                <w:highlight w:val="none"/>
                <w:lang w:val="en-US" w:eastAsia="zh-CN"/>
              </w:rPr>
            </w:pP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3684" w:type="pct"/>
            <w:gridSpan w:val="2"/>
            <w:vAlign w:val="center"/>
          </w:tcPr>
          <w:p>
            <w:pPr>
              <w:spacing w:line="240" w:lineRule="auto"/>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
                <w:color w:val="auto"/>
                <w:kern w:val="0"/>
                <w:sz w:val="24"/>
                <w:szCs w:val="24"/>
                <w:highlight w:val="none"/>
              </w:rPr>
              <w:t>安全生产管理制度</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684" w:type="pct"/>
            <w:gridSpan w:val="2"/>
            <w:vAlign w:val="center"/>
          </w:tcPr>
          <w:p>
            <w:pPr>
              <w:widowControl/>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制订安全生产制度，且有定期安全生产培训计划，得1分；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684" w:type="pct"/>
            <w:gridSpan w:val="2"/>
            <w:vAlign w:val="center"/>
          </w:tcPr>
          <w:p>
            <w:pPr>
              <w:widowControl/>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有投入本项目的专职安全员，得1分；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98" w:type="pct"/>
            <w:vAlign w:val="center"/>
          </w:tcPr>
          <w:p>
            <w:pPr>
              <w:spacing w:line="240" w:lineRule="auto"/>
              <w:jc w:val="center"/>
              <w:rPr>
                <w:rFonts w:hint="eastAsia" w:ascii="仿宋" w:hAnsi="仿宋" w:eastAsia="仿宋" w:cs="仿宋"/>
                <w:color w:val="auto"/>
                <w:sz w:val="24"/>
                <w:szCs w:val="24"/>
                <w:highlight w:val="none"/>
                <w:lang w:val="en-US" w:eastAsia="zh-CN"/>
              </w:rPr>
            </w:pPr>
            <w:bookmarkStart w:id="569" w:name="_GoBack" w:colFirst="1" w:colLast="3"/>
            <w:r>
              <w:rPr>
                <w:rFonts w:hint="eastAsia" w:ascii="仿宋" w:hAnsi="仿宋" w:eastAsia="仿宋" w:cs="仿宋"/>
                <w:color w:val="auto"/>
                <w:sz w:val="24"/>
                <w:szCs w:val="24"/>
                <w:highlight w:val="none"/>
                <w:lang w:val="en-US" w:eastAsia="zh-CN"/>
              </w:rPr>
              <w:t>3</w:t>
            </w:r>
          </w:p>
        </w:tc>
        <w:tc>
          <w:tcPr>
            <w:tcW w:w="3684" w:type="pct"/>
            <w:gridSpan w:val="2"/>
            <w:vAlign w:val="center"/>
          </w:tcPr>
          <w:p>
            <w:pPr>
              <w:widowControl/>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2016年10月1日起发生安全事故，造成人员受伤，受伤程度达到《道路交通事故受伤人员伤残评定》或《职工工伤与职业病致残程度鉴定标准》规定的最低标准，发生1起，得0分；未发生过的，得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58" w:type="pct"/>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bookmarkEnd w:id="5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4083" w:type="pct"/>
            <w:gridSpan w:val="3"/>
            <w:vAlign w:val="center"/>
          </w:tcPr>
          <w:p>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］的计算公式计算。</w:t>
            </w:r>
          </w:p>
          <w:p>
            <w:pPr>
              <w:widowControl/>
              <w:shd w:val="clear" w:color="auto" w:fill="FFFFFF"/>
              <w:adjustRightInd/>
              <w:spacing w:after="225"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widowControl/>
              <w:shd w:val="clear" w:color="auto" w:fill="FFFFFF"/>
              <w:adjustRightInd/>
              <w:spacing w:after="225"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58" w:type="pct"/>
            <w:vAlign w:val="center"/>
          </w:tcPr>
          <w:p>
            <w:pPr>
              <w:spacing w:line="240" w:lineRule="auto"/>
              <w:ind w:firstLine="120" w:firstLineChars="50"/>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18</w:t>
            </w:r>
          </w:p>
        </w:tc>
        <w:tc>
          <w:tcPr>
            <w:tcW w:w="458" w:type="pct"/>
            <w:vAlign w:val="center"/>
          </w:tcPr>
          <w:p>
            <w:pPr>
              <w:spacing w:line="240" w:lineRule="auto"/>
              <w:ind w:firstLine="120" w:firstLineChars="50"/>
              <w:jc w:val="center"/>
              <w:outlineLvl w:val="0"/>
              <w:rPr>
                <w:rFonts w:hint="eastAsia" w:ascii="仿宋" w:hAnsi="仿宋" w:eastAsia="仿宋" w:cs="仿宋"/>
                <w:color w:val="auto"/>
                <w:sz w:val="24"/>
                <w:szCs w:val="24"/>
                <w:highlight w:val="none"/>
                <w:lang w:val="en-US" w:eastAsia="zh-CN"/>
              </w:rPr>
            </w:pP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7"/>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557" w:name="第五部分"/>
      <w:bookmarkStart w:id="558"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说明：合同将由采购人（以下简称甲方）与经评审最终确定的中标人（以下简称乙方）结合本项目具体情况协商后签订，本合同为样稿。</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pStyle w:val="700"/>
        <w:spacing w:after="0"/>
        <w:ind w:firstLine="482"/>
        <w:jc w:val="center"/>
        <w:rPr>
          <w:rFonts w:hint="eastAsia" w:ascii="仿宋" w:hAnsi="仿宋" w:eastAsia="仿宋" w:cs="仿宋"/>
          <w:b/>
          <w:color w:val="auto"/>
          <w:szCs w:val="24"/>
          <w:highlight w:val="none"/>
        </w:rPr>
      </w:pPr>
    </w:p>
    <w:p>
      <w:pPr>
        <w:pStyle w:val="700"/>
        <w:spacing w:after="0"/>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pPr>
        <w:pStyle w:val="700"/>
        <w:spacing w:after="0"/>
        <w:rPr>
          <w:rFonts w:hint="eastAsia" w:ascii="仿宋" w:hAnsi="仿宋" w:eastAsia="仿宋" w:cs="仿宋"/>
          <w:color w:val="auto"/>
          <w:szCs w:val="24"/>
          <w:highlight w:val="none"/>
        </w:rPr>
      </w:pPr>
    </w:p>
    <w:p>
      <w:pPr>
        <w:pStyle w:val="700"/>
        <w:spacing w:after="0"/>
        <w:rPr>
          <w:rFonts w:hint="eastAsia" w:ascii="仿宋" w:hAnsi="仿宋" w:eastAsia="仿宋" w:cs="仿宋"/>
          <w:color w:val="auto"/>
          <w:szCs w:val="24"/>
          <w:highlight w:val="none"/>
        </w:rPr>
      </w:pPr>
    </w:p>
    <w:p>
      <w:pPr>
        <w:spacing w:line="360" w:lineRule="auto"/>
        <w:rPr>
          <w:rFonts w:hint="eastAsia" w:ascii="仿宋" w:hAnsi="仿宋" w:eastAsia="仿宋" w:cs="仿宋"/>
          <w:color w:val="auto"/>
          <w:sz w:val="24"/>
          <w:highlight w:val="none"/>
        </w:rPr>
      </w:pPr>
    </w:p>
    <w:p>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7"/>
        <w:rPr>
          <w:rFonts w:hint="eastAsia" w:ascii="仿宋" w:hAnsi="仿宋" w:eastAsia="仿宋" w:cs="仿宋"/>
          <w:color w:val="auto"/>
          <w:szCs w:val="24"/>
          <w:highlight w:val="none"/>
        </w:rPr>
      </w:pPr>
    </w:p>
    <w:p>
      <w:pPr>
        <w:pStyle w:val="597"/>
        <w:rPr>
          <w:rFonts w:hint="eastAsia" w:ascii="仿宋" w:hAnsi="仿宋" w:eastAsia="仿宋" w:cs="仿宋"/>
          <w:color w:val="auto"/>
          <w:szCs w:val="24"/>
          <w:highlight w:val="none"/>
        </w:rPr>
      </w:pPr>
    </w:p>
    <w:p>
      <w:pPr>
        <w:spacing w:line="360" w:lineRule="auto"/>
        <w:rPr>
          <w:rFonts w:hint="eastAsia" w:ascii="仿宋" w:hAnsi="仿宋" w:eastAsia="仿宋" w:cs="仿宋"/>
          <w:color w:val="auto"/>
          <w:sz w:val="24"/>
          <w:highlight w:val="none"/>
        </w:rPr>
      </w:pPr>
    </w:p>
    <w:p>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p>
    <w:p>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p>
    <w:p>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p>
    <w:p>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autoSpaceDE w:val="0"/>
        <w:autoSpaceDN w:val="0"/>
        <w:spacing w:line="360" w:lineRule="auto"/>
        <w:ind w:firstLine="640"/>
        <w:jc w:val="center"/>
        <w:rPr>
          <w:rFonts w:hint="eastAsia" w:ascii="仿宋" w:hAnsi="仿宋" w:eastAsia="仿宋" w:cs="仿宋"/>
          <w:color w:val="auto"/>
          <w:sz w:val="24"/>
          <w:highlight w:val="none"/>
        </w:rPr>
        <w:sectPr>
          <w:headerReference r:id="rId8" w:type="default"/>
          <w:footerReference r:id="rId9" w:type="default"/>
          <w:pgSz w:w="11907" w:h="16840"/>
          <w:pgMar w:top="1474" w:right="1814" w:bottom="1474" w:left="1814" w:header="851" w:footer="851" w:gutter="0"/>
          <w:cols w:space="720" w:num="1"/>
          <w:docGrid w:linePitch="462" w:charSpace="0"/>
        </w:sectPr>
      </w:pPr>
    </w:p>
    <w:p>
      <w:pPr>
        <w:autoSpaceDE w:val="0"/>
        <w:autoSpaceDN w:val="0"/>
        <w:adjustRightInd w:val="0"/>
        <w:snapToGrid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 xml:space="preserve"> 2022年-2024年滨江区江南大道隧道养护项目</w:t>
      </w:r>
      <w:r>
        <w:rPr>
          <w:rFonts w:hint="eastAsia" w:ascii="仿宋" w:hAnsi="仿宋" w:eastAsia="仿宋" w:cs="仿宋"/>
          <w:b/>
          <w:bCs/>
          <w:color w:val="auto"/>
          <w:kern w:val="0"/>
          <w:sz w:val="24"/>
          <w:highlight w:val="none"/>
        </w:rPr>
        <w:t>合同书</w:t>
      </w:r>
    </w:p>
    <w:p>
      <w:pPr>
        <w:tabs>
          <w:tab w:val="left" w:pos="3255"/>
        </w:tabs>
        <w:snapToGrid w:val="0"/>
        <w:spacing w:line="360" w:lineRule="auto"/>
        <w:ind w:firstLine="240" w:firstLineChars="100"/>
        <w:rPr>
          <w:rFonts w:hint="eastAsia" w:ascii="仿宋" w:hAnsi="仿宋" w:eastAsia="仿宋" w:cs="仿宋"/>
          <w:color w:val="auto"/>
          <w:sz w:val="24"/>
          <w:highlight w:val="none"/>
          <w:u w:val="single"/>
        </w:rPr>
      </w:pPr>
    </w:p>
    <w:p>
      <w:pPr>
        <w:tabs>
          <w:tab w:val="left" w:pos="3255"/>
        </w:tabs>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杭州市滨江区城市管理局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2022年-2024年滨江区江南大道隧道养护项目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杭州市滨江区综合行政执法局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napToGrid w:val="0"/>
        <w:spacing w:line="360" w:lineRule="auto"/>
        <w:ind w:firstLine="480" w:firstLineChars="200"/>
        <w:jc w:val="left"/>
        <w:rPr>
          <w:rFonts w:hint="eastAsia" w:ascii="仿宋" w:hAnsi="仿宋" w:eastAsia="仿宋" w:cs="仿宋"/>
          <w:color w:val="auto"/>
          <w:sz w:val="24"/>
          <w:highlight w:val="none"/>
        </w:rPr>
      </w:pPr>
      <w:bookmarkStart w:id="559" w:name="_Toc3029"/>
      <w:bookmarkStart w:id="560" w:name="_Toc24059"/>
      <w:bookmarkStart w:id="561" w:name="_Toc2232"/>
      <w:r>
        <w:rPr>
          <w:rFonts w:hint="eastAsia" w:ascii="仿宋" w:hAnsi="仿宋" w:eastAsia="仿宋" w:cs="仿宋"/>
          <w:color w:val="auto"/>
          <w:sz w:val="24"/>
          <w:highlight w:val="none"/>
        </w:rPr>
        <w:t>一、合同组成部分</w:t>
      </w:r>
      <w:bookmarkEnd w:id="559"/>
      <w:bookmarkEnd w:id="560"/>
      <w:bookmarkEnd w:id="561"/>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1.1本合同及其补充合同、变更协议；</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1.2中标通知书；</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投标文件（含澄清或者说明文件）；</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招标文件（含澄清或者修改文件）；</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 其他相关采购文件。</w:t>
      </w:r>
    </w:p>
    <w:p>
      <w:pPr>
        <w:overflowPunct w:val="0"/>
        <w:autoSpaceDE w:val="0"/>
        <w:autoSpaceDN w:val="0"/>
        <w:adjustRightInd w:val="0"/>
        <w:spacing w:line="360" w:lineRule="auto"/>
        <w:ind w:right="100" w:firstLine="498" w:firstLineChars="200"/>
        <w:rPr>
          <w:rFonts w:hint="eastAsia" w:ascii="仿宋" w:hAnsi="仿宋" w:eastAsia="仿宋" w:cs="仿宋"/>
          <w:b/>
          <w:color w:val="auto"/>
          <w:spacing w:val="4"/>
          <w:kern w:val="0"/>
          <w:sz w:val="24"/>
          <w:highlight w:val="none"/>
        </w:rPr>
      </w:pPr>
      <w:r>
        <w:rPr>
          <w:rFonts w:hint="eastAsia" w:ascii="仿宋" w:hAnsi="仿宋" w:eastAsia="仿宋" w:cs="仿宋"/>
          <w:b/>
          <w:color w:val="auto"/>
          <w:spacing w:val="4"/>
          <w:kern w:val="0"/>
          <w:sz w:val="24"/>
          <w:highlight w:val="none"/>
        </w:rPr>
        <w:t>二、养护范围及内容：</w:t>
      </w:r>
    </w:p>
    <w:p>
      <w:pPr>
        <w:autoSpaceDE w:val="0"/>
        <w:autoSpaceDN w:val="0"/>
        <w:adjustRightInd w:val="0"/>
        <w:spacing w:line="360" w:lineRule="auto"/>
        <w:ind w:firstLine="472" w:firstLineChars="196"/>
        <w:rPr>
          <w:rFonts w:hint="eastAsia" w:ascii="仿宋" w:hAnsi="仿宋" w:eastAsia="仿宋" w:cs="仿宋"/>
          <w:b/>
          <w:color w:val="auto"/>
          <w:kern w:val="0"/>
          <w:sz w:val="24"/>
          <w:highlight w:val="none"/>
        </w:rPr>
      </w:pPr>
    </w:p>
    <w:p>
      <w:pPr>
        <w:autoSpaceDE w:val="0"/>
        <w:autoSpaceDN w:val="0"/>
        <w:adjustRightInd w:val="0"/>
        <w:spacing w:line="360" w:lineRule="auto"/>
        <w:ind w:firstLine="472" w:firstLineChars="196"/>
        <w:rPr>
          <w:rFonts w:hint="eastAsia" w:ascii="仿宋" w:hAnsi="仿宋" w:eastAsia="仿宋" w:cs="仿宋"/>
          <w:b/>
          <w:color w:val="auto"/>
          <w:kern w:val="0"/>
          <w:sz w:val="24"/>
          <w:highlight w:val="none"/>
        </w:rPr>
      </w:pPr>
    </w:p>
    <w:p>
      <w:pPr>
        <w:autoSpaceDE w:val="0"/>
        <w:autoSpaceDN w:val="0"/>
        <w:adjustRightInd w:val="0"/>
        <w:spacing w:line="360" w:lineRule="auto"/>
        <w:ind w:firstLine="472" w:firstLineChars="196"/>
        <w:rPr>
          <w:rFonts w:hint="eastAsia" w:ascii="仿宋" w:hAnsi="仿宋" w:eastAsia="仿宋" w:cs="仿宋"/>
          <w:b/>
          <w:color w:val="auto"/>
          <w:spacing w:val="4"/>
          <w:kern w:val="0"/>
          <w:sz w:val="24"/>
          <w:highlight w:val="none"/>
        </w:rPr>
      </w:pPr>
      <w:r>
        <w:rPr>
          <w:rFonts w:hint="eastAsia" w:ascii="仿宋" w:hAnsi="仿宋" w:eastAsia="仿宋" w:cs="仿宋"/>
          <w:b/>
          <w:color w:val="auto"/>
          <w:kern w:val="0"/>
          <w:sz w:val="24"/>
          <w:highlight w:val="none"/>
        </w:rPr>
        <w:t>三、</w:t>
      </w:r>
      <w:r>
        <w:rPr>
          <w:rFonts w:hint="eastAsia" w:ascii="仿宋" w:hAnsi="仿宋" w:eastAsia="仿宋" w:cs="仿宋"/>
          <w:b/>
          <w:color w:val="auto"/>
          <w:spacing w:val="4"/>
          <w:kern w:val="0"/>
          <w:sz w:val="24"/>
          <w:highlight w:val="none"/>
        </w:rPr>
        <w:t>养护经费：</w:t>
      </w:r>
    </w:p>
    <w:p>
      <w:pPr>
        <w:snapToGrid w:val="0"/>
        <w:spacing w:line="360" w:lineRule="auto"/>
        <w:ind w:firstLine="498" w:firstLineChars="200"/>
        <w:jc w:val="left"/>
        <w:rPr>
          <w:rFonts w:hint="eastAsia" w:ascii="仿宋" w:hAnsi="仿宋" w:eastAsia="仿宋" w:cs="仿宋"/>
          <w:color w:val="auto"/>
          <w:sz w:val="24"/>
          <w:highlight w:val="none"/>
          <w:lang w:val="zh-CN"/>
        </w:rPr>
      </w:pPr>
      <w:r>
        <w:rPr>
          <w:rFonts w:hint="eastAsia" w:ascii="仿宋" w:hAnsi="仿宋" w:eastAsia="仿宋" w:cs="仿宋"/>
          <w:b/>
          <w:color w:val="auto"/>
          <w:spacing w:val="4"/>
          <w:kern w:val="0"/>
          <w:sz w:val="24"/>
          <w:highlight w:val="none"/>
        </w:rPr>
        <w:t>中标合同价</w:t>
      </w:r>
      <w:r>
        <w:rPr>
          <w:rFonts w:hint="eastAsia" w:ascii="仿宋" w:hAnsi="仿宋" w:eastAsia="仿宋" w:cs="仿宋"/>
          <w:color w:val="auto"/>
          <w:spacing w:val="4"/>
          <w:kern w:val="0"/>
          <w:sz w:val="24"/>
          <w:highlight w:val="none"/>
        </w:rPr>
        <w:t>大写</w:t>
      </w:r>
      <w:r>
        <w:rPr>
          <w:rFonts w:hint="eastAsia" w:ascii="仿宋" w:hAnsi="仿宋" w:eastAsia="仿宋" w:cs="仿宋"/>
          <w:color w:val="auto"/>
          <w:spacing w:val="4"/>
          <w:kern w:val="0"/>
          <w:sz w:val="24"/>
          <w:highlight w:val="none"/>
          <w:u w:val="single"/>
        </w:rPr>
        <w:t xml:space="preserve">         （       元）</w:t>
      </w:r>
      <w:r>
        <w:rPr>
          <w:rFonts w:hint="eastAsia" w:ascii="仿宋" w:hAnsi="仿宋" w:eastAsia="仿宋" w:cs="仿宋"/>
          <w:color w:val="auto"/>
          <w:spacing w:val="4"/>
          <w:kern w:val="0"/>
          <w:sz w:val="24"/>
          <w:highlight w:val="none"/>
        </w:rPr>
        <w:t>。（</w:t>
      </w:r>
      <w:r>
        <w:rPr>
          <w:rFonts w:hint="eastAsia" w:ascii="仿宋" w:hAnsi="仿宋" w:eastAsia="仿宋" w:cs="仿宋"/>
          <w:color w:val="auto"/>
          <w:sz w:val="24"/>
          <w:highlight w:val="none"/>
          <w:lang w:val="zh-CN"/>
        </w:rPr>
        <w:t>总报价应包括人工费（包括人员工资、预计加班费用、社会保障费用、公积金、残疾人保障金等）、车辆/设备的购置/租赁(使用费、折旧费等)、保洁费、</w:t>
      </w:r>
      <w:r>
        <w:rPr>
          <w:rFonts w:hint="eastAsia" w:ascii="仿宋" w:hAnsi="仿宋" w:eastAsia="仿宋" w:cs="仿宋"/>
          <w:color w:val="auto"/>
          <w:sz w:val="24"/>
          <w:highlight w:val="none"/>
        </w:rPr>
        <w:t>设备维护费检测费、电梯维护检测费、</w:t>
      </w:r>
      <w:r>
        <w:rPr>
          <w:rFonts w:hint="eastAsia" w:ascii="仿宋" w:hAnsi="仿宋" w:eastAsia="仿宋" w:cs="仿宋"/>
          <w:color w:val="auto"/>
          <w:sz w:val="24"/>
          <w:highlight w:val="none"/>
          <w:lang w:val="zh-CN"/>
        </w:rPr>
        <w:t>工具耗材费、备品备件费、水费、其他项目费、综合管理费</w:t>
      </w:r>
      <w:r>
        <w:rPr>
          <w:rFonts w:hint="eastAsia" w:ascii="仿宋" w:hAnsi="仿宋" w:eastAsia="仿宋" w:cs="仿宋"/>
          <w:color w:val="auto"/>
          <w:sz w:val="24"/>
          <w:highlight w:val="none"/>
        </w:rPr>
        <w:t>、利润、</w:t>
      </w:r>
      <w:r>
        <w:rPr>
          <w:rFonts w:hint="eastAsia" w:ascii="仿宋" w:hAnsi="仿宋" w:eastAsia="仿宋" w:cs="仿宋"/>
          <w:color w:val="auto"/>
          <w:sz w:val="24"/>
          <w:highlight w:val="none"/>
          <w:lang w:val="zh-CN"/>
        </w:rPr>
        <w:t>税金等供应商认为完成本项目所需的一切费用。政策性文件规定、服务期内人员工资上涨因素及合同包含的所有风险、责任等各项应有费用均应考虑在内。</w:t>
      </w:r>
    </w:p>
    <w:p>
      <w:pPr>
        <w:autoSpaceDE w:val="0"/>
        <w:autoSpaceDN w:val="0"/>
        <w:adjustRightInd w:val="0"/>
        <w:spacing w:line="360" w:lineRule="auto"/>
        <w:ind w:firstLine="498" w:firstLineChars="200"/>
        <w:rPr>
          <w:rFonts w:hint="eastAsia" w:ascii="仿宋" w:hAnsi="仿宋" w:eastAsia="仿宋" w:cs="仿宋"/>
          <w:b/>
          <w:color w:val="auto"/>
          <w:spacing w:val="4"/>
          <w:kern w:val="0"/>
          <w:sz w:val="24"/>
          <w:highlight w:val="none"/>
        </w:rPr>
      </w:pPr>
      <w:r>
        <w:rPr>
          <w:rFonts w:hint="eastAsia" w:ascii="仿宋" w:hAnsi="仿宋" w:eastAsia="仿宋" w:cs="仿宋"/>
          <w:b/>
          <w:color w:val="auto"/>
          <w:spacing w:val="4"/>
          <w:kern w:val="0"/>
          <w:sz w:val="24"/>
          <w:highlight w:val="none"/>
        </w:rPr>
        <w:t>四、养护期限：</w:t>
      </w:r>
    </w:p>
    <w:p>
      <w:pPr>
        <w:snapToGrid w:val="0"/>
        <w:spacing w:line="360" w:lineRule="auto"/>
        <w:ind w:firstLine="496" w:firstLineChars="200"/>
        <w:jc w:val="left"/>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该项目合同期为</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年，自</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年</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月</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日至</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 xml:space="preserve"> 年</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月</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日止。</w:t>
      </w:r>
      <w:r>
        <w:rPr>
          <w:rFonts w:hint="eastAsia" w:ascii="仿宋" w:hAnsi="仿宋" w:eastAsia="仿宋" w:cs="仿宋"/>
          <w:color w:val="auto"/>
          <w:sz w:val="24"/>
          <w:highlight w:val="none"/>
        </w:rPr>
        <w:t>按年度进行考核，考核不合格的，甲方有权终止合同。</w:t>
      </w:r>
    </w:p>
    <w:p>
      <w:pPr>
        <w:snapToGrid w:val="0"/>
        <w:spacing w:line="360" w:lineRule="auto"/>
        <w:ind w:left="124" w:leftChars="59" w:firstLine="495" w:firstLineChars="199"/>
        <w:jc w:val="left"/>
        <w:rPr>
          <w:rFonts w:hint="eastAsia" w:ascii="仿宋" w:hAnsi="仿宋" w:eastAsia="仿宋" w:cs="仿宋"/>
          <w:b/>
          <w:bCs/>
          <w:color w:val="auto"/>
          <w:sz w:val="24"/>
          <w:highlight w:val="none"/>
        </w:rPr>
      </w:pPr>
      <w:r>
        <w:rPr>
          <w:rFonts w:hint="eastAsia" w:ascii="仿宋" w:hAnsi="仿宋" w:eastAsia="仿宋" w:cs="仿宋"/>
          <w:b/>
          <w:color w:val="auto"/>
          <w:spacing w:val="4"/>
          <w:kern w:val="0"/>
          <w:sz w:val="24"/>
          <w:highlight w:val="none"/>
        </w:rPr>
        <w:t>若合同期结束时，下一轮招投标还未完成，</w:t>
      </w:r>
      <w:r>
        <w:rPr>
          <w:rFonts w:hint="eastAsia" w:ascii="仿宋" w:hAnsi="仿宋" w:eastAsia="仿宋" w:cs="仿宋"/>
          <w:b/>
          <w:bCs/>
          <w:color w:val="auto"/>
          <w:sz w:val="24"/>
          <w:highlight w:val="none"/>
        </w:rPr>
        <w:t>超出合同期部分的养护费按实际天数及考核结果结算。</w:t>
      </w:r>
    </w:p>
    <w:p>
      <w:pPr>
        <w:autoSpaceDE w:val="0"/>
        <w:autoSpaceDN w:val="0"/>
        <w:adjustRightInd w:val="0"/>
        <w:spacing w:line="360" w:lineRule="auto"/>
        <w:ind w:firstLine="488" w:firstLineChars="196"/>
        <w:rPr>
          <w:rFonts w:hint="eastAsia" w:ascii="仿宋" w:hAnsi="仿宋" w:eastAsia="仿宋" w:cs="仿宋"/>
          <w:b/>
          <w:color w:val="auto"/>
          <w:spacing w:val="4"/>
          <w:kern w:val="0"/>
          <w:sz w:val="24"/>
          <w:highlight w:val="none"/>
        </w:rPr>
      </w:pPr>
      <w:r>
        <w:rPr>
          <w:rFonts w:hint="eastAsia" w:ascii="仿宋" w:hAnsi="仿宋" w:eastAsia="仿宋" w:cs="仿宋"/>
          <w:b/>
          <w:color w:val="auto"/>
          <w:spacing w:val="4"/>
          <w:kern w:val="0"/>
          <w:sz w:val="24"/>
          <w:highlight w:val="none"/>
        </w:rPr>
        <w:t>五、考核及支付：</w:t>
      </w:r>
    </w:p>
    <w:p>
      <w:pPr>
        <w:pStyle w:val="36"/>
        <w:snapToGrid w:val="0"/>
        <w:spacing w:line="46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1.合同签订后15日内，支付年度合同金额的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0%作为预付款，剩余年度合同金额的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0%按季度进行支付。次年预付款在次年相应月份按年度合同金额的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0%支付。</w:t>
      </w:r>
    </w:p>
    <w:p>
      <w:pPr>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2.每季度按考核结果支付该季度实得养护费用的80%养护费用；剩余20%的养护经费根据年度考核结果进行拨付。养护费核拨时间视财政具体核拨时间为准。</w:t>
      </w:r>
    </w:p>
    <w:p>
      <w:pPr>
        <w:spacing w:line="360" w:lineRule="auto"/>
        <w:ind w:firstLine="472" w:firstLineChars="196"/>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六、投入本项目的养护人员</w:t>
      </w:r>
      <w:r>
        <w:rPr>
          <w:rFonts w:hint="eastAsia" w:ascii="仿宋" w:hAnsi="仿宋" w:eastAsia="仿宋" w:cs="仿宋"/>
          <w:b/>
          <w:bCs/>
          <w:color w:val="auto"/>
          <w:kern w:val="0"/>
          <w:sz w:val="24"/>
          <w:highlight w:val="none"/>
          <w:lang w:eastAsia="zh-CN"/>
        </w:rPr>
        <w:t>数量</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5098"/>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5098"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项目人员配备明细</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项目负责人</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工程技术</w:t>
            </w:r>
            <w:r>
              <w:rPr>
                <w:rFonts w:hint="eastAsia" w:ascii="仿宋" w:hAnsi="仿宋" w:eastAsia="仿宋" w:cs="仿宋"/>
                <w:color w:val="auto"/>
                <w:kern w:val="0"/>
                <w:sz w:val="24"/>
                <w:highlight w:val="none"/>
                <w:lang w:eastAsia="zh-CN"/>
              </w:rPr>
              <w:t>负责</w:t>
            </w:r>
            <w:r>
              <w:rPr>
                <w:rFonts w:hint="eastAsia" w:ascii="仿宋" w:hAnsi="仿宋" w:eastAsia="仿宋" w:cs="仿宋"/>
                <w:color w:val="auto"/>
                <w:kern w:val="0"/>
                <w:sz w:val="24"/>
                <w:highlight w:val="none"/>
              </w:rPr>
              <w:t>人</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合同管理员</w:t>
            </w:r>
            <w:r>
              <w:rPr>
                <w:rFonts w:hint="eastAsia" w:ascii="仿宋" w:hAnsi="仿宋" w:eastAsia="仿宋" w:cs="仿宋"/>
                <w:color w:val="auto"/>
                <w:kern w:val="0"/>
                <w:sz w:val="24"/>
                <w:highlight w:val="none"/>
                <w:lang w:eastAsia="zh-CN"/>
              </w:rPr>
              <w:t>或资料管理员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质量管理员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安全管理员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设备管理员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监控专业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机电专业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消防专业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结构专业</w:t>
            </w:r>
            <w:r>
              <w:rPr>
                <w:rFonts w:hint="eastAsia" w:ascii="仿宋" w:hAnsi="仿宋" w:eastAsia="仿宋" w:cs="仿宋"/>
                <w:color w:val="auto"/>
                <w:kern w:val="0"/>
                <w:sz w:val="24"/>
                <w:highlight w:val="none"/>
                <w:lang w:eastAsia="zh-CN"/>
              </w:rPr>
              <w:t>人员</w:t>
            </w:r>
          </w:p>
        </w:tc>
        <w:tc>
          <w:tcPr>
            <w:tcW w:w="3096" w:type="dxa"/>
          </w:tcPr>
          <w:p>
            <w:pPr>
              <w:widowControl/>
              <w:spacing w:line="360" w:lineRule="auto"/>
              <w:jc w:val="center"/>
              <w:outlineLvl w:val="2"/>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widowControl/>
              <w:spacing w:line="360" w:lineRule="auto"/>
              <w:jc w:val="center"/>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5098" w:type="dxa"/>
          </w:tcPr>
          <w:p>
            <w:pPr>
              <w:widowControl/>
              <w:spacing w:line="360" w:lineRule="auto"/>
              <w:ind w:firstLine="470" w:firstLineChars="196"/>
              <w:jc w:val="center"/>
              <w:outlineLvl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消控值班人员</w:t>
            </w:r>
            <w:r>
              <w:rPr>
                <w:rFonts w:hint="eastAsia" w:ascii="仿宋" w:hAnsi="仿宋" w:eastAsia="仿宋" w:cs="仿宋"/>
                <w:color w:val="auto"/>
                <w:kern w:val="0"/>
                <w:sz w:val="24"/>
                <w:highlight w:val="none"/>
                <w:lang w:eastAsia="zh-CN"/>
              </w:rPr>
              <w:t>（持证上岗）</w:t>
            </w:r>
          </w:p>
        </w:tc>
        <w:tc>
          <w:tcPr>
            <w:tcW w:w="3096" w:type="dxa"/>
          </w:tcPr>
          <w:p>
            <w:pPr>
              <w:widowControl/>
              <w:spacing w:line="360" w:lineRule="auto"/>
              <w:jc w:val="center"/>
              <w:outlineLvl w:val="2"/>
              <w:rPr>
                <w:rFonts w:hint="eastAsia" w:ascii="仿宋" w:hAnsi="仿宋" w:eastAsia="仿宋" w:cs="仿宋"/>
                <w:color w:val="auto"/>
                <w:kern w:val="0"/>
                <w:sz w:val="24"/>
                <w:highlight w:val="none"/>
                <w:lang w:eastAsia="zh-CN"/>
              </w:rPr>
            </w:pPr>
          </w:p>
        </w:tc>
      </w:tr>
    </w:tbl>
    <w:p>
      <w:pPr>
        <w:pStyle w:val="36"/>
        <w:snapToGrid w:val="0"/>
        <w:spacing w:line="360" w:lineRule="auto"/>
        <w:outlineLvl w:val="0"/>
        <w:rPr>
          <w:rFonts w:hint="eastAsia" w:ascii="仿宋" w:hAnsi="仿宋" w:eastAsia="仿宋" w:cs="仿宋"/>
          <w:color w:val="auto"/>
          <w:sz w:val="24"/>
          <w:szCs w:val="24"/>
          <w:highlight w:val="none"/>
        </w:rPr>
      </w:pP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七、验收标准：</w:t>
      </w:r>
    </w:p>
    <w:p>
      <w:pPr>
        <w:pStyle w:val="36"/>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完成全部养护任务，提交符合要求的存档资料后，由甲方组织有关部门</w:t>
      </w:r>
      <w:r>
        <w:rPr>
          <w:rFonts w:hint="eastAsia" w:ascii="仿宋" w:hAnsi="仿宋" w:eastAsia="仿宋" w:cs="仿宋"/>
          <w:color w:val="auto"/>
          <w:sz w:val="24"/>
          <w:szCs w:val="24"/>
          <w:highlight w:val="none"/>
          <w:lang w:eastAsia="zh-CN"/>
        </w:rPr>
        <w:t>按照相关验收管理办法</w:t>
      </w:r>
      <w:r>
        <w:rPr>
          <w:rFonts w:hint="eastAsia" w:ascii="仿宋" w:hAnsi="仿宋" w:eastAsia="仿宋" w:cs="仿宋"/>
          <w:color w:val="auto"/>
          <w:sz w:val="24"/>
          <w:szCs w:val="24"/>
          <w:highlight w:val="none"/>
        </w:rPr>
        <w:t>对项目进行竣工验收。</w:t>
      </w:r>
    </w:p>
    <w:p>
      <w:pPr>
        <w:pStyle w:val="36"/>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验收时乙方必须在现场。 </w:t>
      </w:r>
    </w:p>
    <w:p>
      <w:pPr>
        <w:pStyle w:val="36"/>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验收标准：达到《杭州市城市桥隧管理养护标准》（试行）、《杭州市市管桥隧设施考核办法》（试行）（在养护期内有新文件的按新文件执行）等以及新颁布的相关规程、规范和国家、省、市、区有关强制性标准的规定执行，并确保在国家、省、市各类创建检查中不失责任分。</w:t>
      </w:r>
    </w:p>
    <w:p>
      <w:pPr>
        <w:pStyle w:val="782"/>
        <w:tabs>
          <w:tab w:val="left" w:pos="7335"/>
        </w:tabs>
        <w:spacing w:line="360" w:lineRule="auto"/>
        <w:ind w:firstLine="42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szCs w:val="24"/>
          <w:highlight w:val="none"/>
          <w:lang w:eastAsia="zh-CN"/>
        </w:rPr>
        <w:t>服务要求</w:t>
      </w:r>
    </w:p>
    <w:p>
      <w:pPr>
        <w:widowControl/>
        <w:spacing w:line="360" w:lineRule="auto"/>
        <w:ind w:firstLine="482" w:firstLineChars="200"/>
        <w:jc w:val="left"/>
        <w:outlineLvl w:val="2"/>
        <w:rPr>
          <w:rFonts w:hint="eastAsia" w:ascii="仿宋" w:hAnsi="仿宋" w:eastAsia="仿宋" w:cs="仿宋"/>
          <w:b/>
          <w:bCs/>
          <w:color w:val="auto"/>
          <w:kern w:val="0"/>
          <w:sz w:val="24"/>
          <w:highlight w:val="none"/>
          <w:u w:val="dotted"/>
        </w:rPr>
      </w:pPr>
      <w:r>
        <w:rPr>
          <w:rFonts w:hint="eastAsia" w:ascii="仿宋" w:hAnsi="仿宋" w:eastAsia="仿宋" w:cs="仿宋"/>
          <w:b/>
          <w:bCs/>
          <w:color w:val="auto"/>
          <w:kern w:val="0"/>
          <w:sz w:val="24"/>
          <w:highlight w:val="none"/>
          <w:u w:val="dotted"/>
        </w:rPr>
        <w:t>（一）养护基本要求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1.承包人应根据隧道实际的围岩地质条件、结构和设施状况、交通运行条件、病害程度及隧道类别等制定针对性的详尽科学的养护方案。</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2.养护安全要求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（1）隧道应安全、完好、整洁，隧道进口必须设置限速的交通标志，有限高要求的隧道应设置限高标志，如在养护合同期内出现安全事故由承包人承包全部责任。</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（2）城市隧道的防水、排水、通风、照明、消防和防汛等设施，必须齐全有效。在城市隧道范围内增加静荷载（构筑物、风雨棚、广告牌、管线等）必须满足隧道安全技术要求。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（3）隧道内禁止布设易燃、易爆等危险管线。</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（4）隧道内养护作业不中断交通时，作业区间必须设置明显的安全标志，警示灯等，采取措施、保证安全并减少对交通的干扰。养护作业必须文明养护，做到工完、料清、场净。</w:t>
      </w:r>
    </w:p>
    <w:p>
      <w:pPr>
        <w:widowControl/>
        <w:autoSpaceDE w:val="0"/>
        <w:autoSpaceDN w:val="0"/>
        <w:spacing w:line="360" w:lineRule="auto"/>
        <w:ind w:firstLine="470" w:firstLineChars="196"/>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（4）在养护合同期内养护范围内</w:t>
      </w:r>
      <w:r>
        <w:rPr>
          <w:rFonts w:hint="eastAsia" w:ascii="仿宋" w:hAnsi="仿宋" w:eastAsia="仿宋" w:cs="仿宋"/>
          <w:color w:val="auto"/>
          <w:kern w:val="0"/>
          <w:sz w:val="24"/>
          <w:highlight w:val="none"/>
          <w:lang w:eastAsia="zh-CN"/>
        </w:rPr>
        <w:t>因养护措施不到位而发生的安全事故</w:t>
      </w:r>
      <w:r>
        <w:rPr>
          <w:rFonts w:hint="eastAsia" w:ascii="仿宋" w:hAnsi="仿宋" w:eastAsia="仿宋" w:cs="仿宋"/>
          <w:color w:val="auto"/>
          <w:kern w:val="0"/>
          <w:sz w:val="24"/>
          <w:highlight w:val="none"/>
        </w:rPr>
        <w:t>由养护承包人承担全部责任。</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3.养护维修要求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（1）所使用的原材料、成品、半成品等必须合格</w:t>
      </w:r>
      <w:r>
        <w:rPr>
          <w:rFonts w:hint="eastAsia" w:ascii="仿宋" w:hAnsi="仿宋" w:eastAsia="仿宋" w:cs="仿宋"/>
          <w:color w:val="auto"/>
          <w:kern w:val="0"/>
          <w:sz w:val="24"/>
          <w:highlight w:val="none"/>
          <w:lang w:eastAsia="zh-CN"/>
        </w:rPr>
        <w:t>，包工包料</w:t>
      </w:r>
      <w:r>
        <w:rPr>
          <w:rFonts w:hint="eastAsia" w:ascii="仿宋" w:hAnsi="仿宋" w:eastAsia="仿宋" w:cs="仿宋"/>
          <w:color w:val="auto"/>
          <w:kern w:val="0"/>
          <w:sz w:val="24"/>
          <w:highlight w:val="none"/>
        </w:rPr>
        <w:t>。</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隧道养护作业应不断提高技术装备率和动力装备率，城市隧道养护维修应贯彻国家技术经济政策，积极而谨慎地采用新技术、新材料、新设备、新工艺，使养护维修达到安全实用，质量可靠、经济合理，技术先进的要求。</w:t>
      </w:r>
    </w:p>
    <w:p>
      <w:pPr>
        <w:widowControl/>
        <w:spacing w:line="360" w:lineRule="auto"/>
        <w:ind w:firstLine="470" w:firstLineChars="196"/>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（3）养护维修完成后，应进行跟踪观察和监测，了解处置效果。</w:t>
      </w:r>
    </w:p>
    <w:p>
      <w:pPr>
        <w:widowControl/>
        <w:spacing w:line="360" w:lineRule="auto"/>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（二）土建设施</w:t>
      </w:r>
    </w:p>
    <w:p>
      <w:pPr>
        <w:widowControl/>
        <w:spacing w:line="360" w:lineRule="auto"/>
        <w:ind w:firstLine="480" w:firstLineChars="200"/>
        <w:jc w:val="left"/>
        <w:outlineLvl w:val="2"/>
        <w:rPr>
          <w:rFonts w:hint="eastAsia" w:ascii="仿宋" w:hAnsi="仿宋" w:eastAsia="仿宋" w:cs="仿宋"/>
          <w:color w:val="auto"/>
          <w:highlight w:val="none"/>
        </w:rPr>
      </w:pPr>
      <w:r>
        <w:rPr>
          <w:rFonts w:hint="eastAsia" w:ascii="仿宋" w:hAnsi="仿宋" w:eastAsia="仿宋" w:cs="仿宋"/>
          <w:color w:val="auto"/>
          <w:kern w:val="0"/>
          <w:sz w:val="24"/>
          <w:highlight w:val="none"/>
        </w:rPr>
        <w:t>1.养护内容：分为清扫保洁、保养维修、经常性检查、定期检查、特别检查和专项检测六个部分。</w:t>
      </w:r>
    </w:p>
    <w:p>
      <w:pPr>
        <w:widowControl/>
        <w:spacing w:line="360" w:lineRule="auto"/>
        <w:ind w:firstLine="482" w:firstLineChars="200"/>
        <w:outlineLvl w:val="3"/>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（1）清扫保洁</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①墙体、装饰层基本要求</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A)墙体、装饰层应保持干净、整洁，清洁应不少于1次/2周；</w:t>
      </w:r>
    </w:p>
    <w:p>
      <w:pPr>
        <w:tabs>
          <w:tab w:val="left" w:pos="780"/>
        </w:tabs>
        <w:spacing w:line="360" w:lineRule="auto"/>
        <w:ind w:firstLine="46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B)墙体、装饰层的清洁宜以机械作业为主，以人工作业为辅。</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②隧道内车道的标志灯、交通标志牌、应急指示灯、交通安全标志基本要求</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A)应保持其清晰、醒目；</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B)清洁维护频率应不少于2次/月，当标志牌有污秽，影响其辨认性能，应及时进行清洗，清洗时，应避免损伤其表面覆膜或涂层。</w:t>
      </w:r>
    </w:p>
    <w:p>
      <w:pPr>
        <w:tabs>
          <w:tab w:val="left" w:pos="78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（2）保养维修</w:t>
      </w:r>
    </w:p>
    <w:p>
      <w:pPr>
        <w:tabs>
          <w:tab w:val="left" w:pos="78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①洞口的保养维修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A)要求洞口边仰坡上的无</w:t>
      </w:r>
      <w:r>
        <w:rPr>
          <w:rFonts w:hint="eastAsia" w:ascii="仿宋" w:hAnsi="仿宋" w:eastAsia="仿宋" w:cs="仿宋"/>
          <w:color w:val="auto"/>
          <w:kern w:val="0"/>
          <w:sz w:val="24"/>
          <w:highlight w:val="none"/>
          <w:lang w:eastAsia="zh-CN"/>
        </w:rPr>
        <w:t>碎石</w:t>
      </w:r>
      <w:r>
        <w:rPr>
          <w:rFonts w:hint="eastAsia" w:ascii="仿宋" w:hAnsi="仿宋" w:eastAsia="仿宋" w:cs="仿宋"/>
          <w:color w:val="auto"/>
          <w:kern w:val="0"/>
          <w:sz w:val="24"/>
          <w:highlight w:val="none"/>
        </w:rPr>
        <w:t>；</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B)冬季时应清除积雪和挂冰，保持洞口边沟和仰坡上截（排）水沟的完好、通畅；</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C)要求洞口挡土墙、护坡、排水设施和减光设施等结构物的完好；</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D)挡墙应保持坚固、耐用、完好。挡墙应每季度检查2次，中雨以上降雨时应巡检，挡墙倾斜超过20㎜或鼓胀、移位、下沉20㎜时，应进行维修加固。挡墙折断应及时加固，开裂超过10㎜，应进行局部封闭。</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②洞身的保养维修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A)隧道洞身的养护，要求衬砌起层或剥落破损率小于1‰，且每处不大于0.5㎡；</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B)对衬砌及洞顶的渗漏水要求，渗漏水量不得大于设计规定，及时将水流引入边沟排出。一级防水等级的隧道不允许渗水，围护结构无湿渍。二级防水等级的隧道不允许漏水，围护结构有少量、偶见的湿渍。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③路面的保养维修</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A)路面养护，要求无坑洞、无拥包、无开裂等病害，破损率小于1‰，且每处不大于0.1㎡，平整度小于5㎜；</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B)不得随意增加静荷载。老化的沥青混凝土路面，应进行铣刨更新处理，严禁随意加沥青混凝土结构进行补强；</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C)路面更新后的横坡和纵坡，应满足排水要求；</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D)为了保持路面的抗滑能力，对已磨光的砼路面，用机械刻槽方法，恢复抗滑能力；</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E)路面出现渗漏水时，应及时处理，防止路面积水或结冰；</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F)冬季应及时处理洞口处路面积雪；</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G)砼路面和沥青砼路面的养护维修，应参照《杭州市城市道路养护技术规程》的主干道路部分执行。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④斜（竖）井的保养维修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A)及时清除井内可能损伤通风设施或影响通风效果的异物；</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B)维护井内排水设施的完好，保持水沟（管）的畅通；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C)对井内的检查通道或设施进行保养，防止其锈蚀或损坏。</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⑤风道的保养维修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A)清理送（排）风口的网罩，清除堵塞网眼的杂物；</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B)定期保养风道板吊杆，防止其锈蚀或损坏；</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C)及时修复风口或风道的破坏，更换损坏的风道板。</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⑥排水设施的保养维修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A)维护隧道内外排水设施的完好，发现损坏及时修复；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B)排水管堵塞时，可用高压或压缩空气疏通；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C)横截沟盖板不应有翘起、碎裂、响声，如有上述情况应及时修复；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D)排水设施应保证畅通；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E)排水的金属管道应定期作好防腐处理工作。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⑦墙体、装饰层的保养维修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墙体、装饰层应保持完好和整洁美观，如有破损、缺失应及时修补恢复，不能修复的应及时更新。</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⑧人行道或检修道的保养维修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A)人行道或检修道的养护要求：破损小于1‰，每处不大于0.5㎡，人行道或检修道不得积水；</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B)人行道和检修道要经常保持平整，发现破碎、翘动、松动等局部缺损，要及时修补。</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⑨栏杆和护栏的保养维修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A)栏杆和护栏应保持完好、清洁、坚固，立柱正直无摇动现象，横杆联接牢固，如有缺损，应及时补齐；</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B)栏杆退色严重或有表皮脱落现象时，应清除并维修。对油漆失效部分进行补漆，油漆必须均匀、光滑，不得漏漆、结块、脱皮、起皱等。涂料性能应符合原设计的要求，表面涂层应均匀，不漏刷、不流淌；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C)当栏杆被撞有严重变形、断裂和残损现象时，应及时按照原构造进行恢复，并应安装整齐、牢固。</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⑩交通标志标线（包括坐标牌）保养维修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A)隧道的交通标志标线应保持外观完整、清晰、醒目，保持位置、高度和角度适当，确保交通信息传递无误；</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B)及时清洗标志牌面的脏污，清除遮挡标志的障碍；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C)及时修补变形，破损的标牌，修复弯曲、倾斜的支柱，紧固松动的连接构件；</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D)对锈蚀损坏、老化失效的标志，应及时更换，缺失的应及时补充；</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E)对损坏限高设施应及时维修。</w:t>
      </w:r>
    </w:p>
    <w:p>
      <w:pPr>
        <w:widowControl/>
        <w:spacing w:line="360" w:lineRule="auto"/>
        <w:ind w:firstLine="482" w:firstLineChars="200"/>
        <w:jc w:val="left"/>
        <w:outlineLvl w:val="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（3）经常性检查</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①经常性检查应由经过培训的专职隧道管理人员或有一定经验的工程技术人员负责。</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②经常性检查宜以目测为主，配合以检查工具进行，发现需要改善的设施缺陷和对通行有影响的设施缺陷应作好检查记录，并及时处置。</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③一等养护隧道经常性检查频率为2次/天，二等养护隧道经常性检查频率为1次/天。在遇恶劣天气、汛期、雨季、冰冻、重大活动等特殊情况，应加大检查频率。</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④经常性检查记录应每月定期整理归档，并进行分析提出评价意见。</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⑤经常性检查应包括下列内容：</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A）主要检查各结构部件的功能是否完好、有效，运行是否正常，是否有影响车辆、行人通行等情况：</w:t>
      </w:r>
    </w:p>
    <w:p>
      <w:pPr>
        <w:widowControl/>
        <w:tabs>
          <w:tab w:val="left" w:pos="780"/>
        </w:tabs>
        <w:spacing w:line="360" w:lineRule="auto"/>
        <w:ind w:left="105" w:leftChars="50"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 洞口：边（仰）坡有无危石、积水、积雪，洞口有无挂冰，边沟有无积塞，构造物有无开裂、倾斜、沉陷等；</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 洞身：结构有无开裂、倾斜、沉陷、错台、起层、剥落、渗漏水；</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 衬砌：结构有无裂缝、错台、起层、剥落、渗漏水；</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 挡墙和护坡：是否坚固、耐用、完好；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 路面：有无拱起、坑洞、开裂、错台等；</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 人行道或检修道：结构有无撞坏、破损，盖板有无缺损、平整、松动；</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 栏杆或护栏：有无松动、缺损、变形、损坏；</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h) 排水设施：有无破损、堵塞、积水、结冰；</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i) 墙体、装饰层：有无变形、破损、漏水、脏污；</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j) 隧道内设备箱门、通道门、交通信号、交通标志是否完好。</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k）是否存在城市市政设施管理条例中规定的各类违章现象；</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l）隧道安全保护范围内的施工作业情况。</w:t>
      </w:r>
    </w:p>
    <w:p>
      <w:pPr>
        <w:widowControl/>
        <w:tabs>
          <w:tab w:val="left" w:pos="84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（4）定期检查</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①定期检查应由专职隧道养护工程技术人员或实践丰富的隧道工程技术人员负责，并对每座隧道指定相应的定期检查计划和实施方案。</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②一等养护的隧道定期检查频率为1次/半年，二等养护的隧道定期检查频率为1次/年。</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定期检查宜采用步行方式，配备必要的检查工具或设备，进行量测检查。检查时，应尽量靠近结构，依次检查各个结构部位。注意发现异常情况和原有异常情况的发展变化。对于有异常情况的结构，应在其适当位置作出标记，检查结果宜尽可能量化。</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④定期检查的内容以及判定标准按表3执行。</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⑤定期检查结果应及时记录，应将检查数据及病害应详细、准确地记录，分析病害的成因，给出判定结论。</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⑥定期检查的情况记录以及养护维修管理措施的建议，均应及时整理、归档。 </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⑦定期检查完成后，应提出土建结构定期检查报告，内容包括：</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A)沉降观测点检测，并进行数据对比；</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B)实地判断损坏原因，估计维修范围和方案，需要采取处治措施的建议；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C)对土建结构的技术状况和功能状态的评价；</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D)对土建结构的养护维修状况的评价及建议；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E)对难以判断其损坏程度和原因的构件，需要实施专项检查的建议；</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F)应附上检查记录表以及其他有关检测记录资料。</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⑧定期检查发现重大病害、隐患应立即向主管部门报告，及时处理。</w:t>
      </w:r>
    </w:p>
    <w:p>
      <w:pPr>
        <w:widowControl/>
        <w:autoSpaceDE w:val="0"/>
        <w:autoSpaceDN w:val="0"/>
        <w:spacing w:line="360" w:lineRule="auto"/>
        <w:ind w:firstLine="422" w:firstLineChars="20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表3  定期检查的内容以及判定</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50"/>
        <w:gridCol w:w="288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检查</w:t>
            </w:r>
          </w:p>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部位</w:t>
            </w:r>
          </w:p>
        </w:tc>
        <w:tc>
          <w:tcPr>
            <w:tcW w:w="2850"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检查内容</w:t>
            </w:r>
          </w:p>
        </w:tc>
        <w:tc>
          <w:tcPr>
            <w:tcW w:w="5338" w:type="dxa"/>
            <w:gridSpan w:val="2"/>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80"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A类</w:t>
            </w:r>
          </w:p>
        </w:tc>
        <w:tc>
          <w:tcPr>
            <w:tcW w:w="2458"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洞口</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山体有无滑坡、岩石有无崩塌的征兆；边坡、护坡道等有无缺口、流涌水、沉陷、塌落、变形、位移等；</w:t>
            </w:r>
          </w:p>
        </w:tc>
        <w:tc>
          <w:tcPr>
            <w:tcW w:w="2880"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存在滑坡的初步迹象，尚未危及交通</w:t>
            </w:r>
          </w:p>
        </w:tc>
        <w:tc>
          <w:tcPr>
            <w:tcW w:w="2458"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山体开裂、滑动、岩体开裂、失稳、已危及交通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护坡、挡墙有无裂缝、断缝、倾斜、鼓肚、滑动、下沉或表面风化、泄水孔堵塞，墙后积水、周围地基错台、空隙等</w:t>
            </w:r>
          </w:p>
        </w:tc>
        <w:tc>
          <w:tcPr>
            <w:tcW w:w="2880"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存在此类异常情况，尚未妨碍交通</w:t>
            </w:r>
          </w:p>
        </w:tc>
        <w:tc>
          <w:tcPr>
            <w:tcW w:w="2458"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护坡、挡墙等产生开裂、变形、移位等，可能对交通构成威胁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洞身</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墙身有无开裂、裂缝</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墙身存在轻微的倾斜或下沉等，尚未妨碍交通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由于开裂、衬砌存在剥落的可能，对交通构成威胁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结构有无倾斜、沉降、断裂</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墙身存在轻微的倾斜或下沉等，尚不妨碍交通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通过肉眼观察，即可发现墙身有明显的倾斜、下沉等；或洞门与洞身连接处有明显的环向裂缝，有外倾的趋势，对交通构成威胁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混凝土钢筋有无外露</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存在轻微的外露现象，尚不妨碍交通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混凝土保护层剥落，钢筋外露，受到锈蚀，对交通构成威胁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restart"/>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衬砌有无裂缝、剥落</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在拱顶或拱腰部位，存在裂缝，尚不妨碍交通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衬砌开裂严重，混凝土被分割形成块状，存在掉落的可能，对交通构成威胁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衬砌表层有无起层、剥落</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存在起层、剥落，并有压碎现象，尚不妨碍交通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衬砌严重起层、剥落，对交通构成威胁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墙身施工缝有无开裂、错位</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接缝开口、错位、错台等引起止水板或施工缝砂浆掉落，发展下去可能妨碍交通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vMerge w:val="continue"/>
            <w:vAlign w:val="center"/>
          </w:tcPr>
          <w:p>
            <w:pPr>
              <w:widowControl/>
              <w:tabs>
                <w:tab w:val="left" w:pos="720"/>
              </w:tabs>
              <w:adjustRightInd w:val="0"/>
              <w:snapToGrid w:val="0"/>
              <w:jc w:val="center"/>
              <w:rPr>
                <w:rFonts w:hint="eastAsia" w:ascii="仿宋" w:hAnsi="仿宋" w:eastAsia="仿宋" w:cs="仿宋"/>
                <w:color w:val="auto"/>
                <w:kern w:val="0"/>
                <w:szCs w:val="21"/>
                <w:highlight w:val="none"/>
              </w:rPr>
            </w:pP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洞顶有无渗漏水</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存在漏水、未尚不妨碍交通，但影响隧道内设备的安全</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洞顶大规模漏水，已妨碍交通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路面上有无塌（散）物、油污、滞水、结冰；路面有无拱起、沉陷、错台、坑洞、开裂、溜滑</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路面出现严重的拱起、沉陷、错台、裂缝、溜滑，以及结冰，已妨碍交通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人行道、检修道</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道板和铺装层有无破损、缺失，栏杆和护栏</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道板局部破损，栏杆锈蚀，尚未已妨碍交通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道板损坏多处，栏杆损坏变形，已妨碍交通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排水设施</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结构有无破损；边沟盖板是否完好；沟管有无开裂漏水；排水沟（管）、积水井等有无淤积堵塞、滞水、结冰</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由于结构破损或杂物堵塞，截水沟、排水管（沟）淤积、滞水，已妨碍交通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墙体、装饰层</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有无变形、破损，有无漏水、脏污</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存在严重变形、破损、漏水、污染，已妨碍交通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6" w:type="dxa"/>
            <w:vAlign w:val="center"/>
          </w:tcPr>
          <w:p>
            <w:pPr>
              <w:widowControl/>
              <w:adjustRightInd w:val="0"/>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交通标志</w:t>
            </w:r>
          </w:p>
        </w:tc>
        <w:tc>
          <w:tcPr>
            <w:tcW w:w="285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有无变形、破损、完好、脏污</w:t>
            </w:r>
          </w:p>
        </w:tc>
        <w:tc>
          <w:tcPr>
            <w:tcW w:w="2880"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存在此类异常现象，尚不妨碍交通</w:t>
            </w:r>
          </w:p>
        </w:tc>
        <w:tc>
          <w:tcPr>
            <w:tcW w:w="2458" w:type="dxa"/>
            <w:vAlign w:val="center"/>
          </w:tcPr>
          <w:p>
            <w:pPr>
              <w:widowControl/>
              <w:adjustRightInd w:val="0"/>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存在变形、破损、缺损、脏污，已妨碍交通</w:t>
            </w:r>
          </w:p>
        </w:tc>
      </w:tr>
    </w:tbl>
    <w:p>
      <w:pPr>
        <w:widowControl/>
        <w:tabs>
          <w:tab w:val="left" w:pos="84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（5）特别检查</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①特别检查应由专业人员根据受异常事件影响的结构，决定采取的专门技术办法、工具和设备，并辅以现场和实验室测试等特殊手段进行详细检测和综合分析，检测结果应提交书面报告。</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②特别检查的内容应针对受异常事件影响的结构或结构部位作重点检查，掌握其受损的情况。</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③特别检查应按定期检查的标准判定，当难以判明破损的原因，程度等情况时，应作专项检测。</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④检查结果的记录，与定期检查相同，检查完成后，应提交特别检查报告，包括检查记录，评估异常事件的影响，给出判定结论，确定合理的对策措施。</w:t>
      </w:r>
    </w:p>
    <w:p>
      <w:pPr>
        <w:widowControl/>
        <w:tabs>
          <w:tab w:val="left" w:pos="840"/>
        </w:tabs>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（6）专项检测</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①专项检测应由相应资质的专业单位承但。</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②专项检测的项目、内容及其要求，应根据定期或特别检查的结果有针对性地确定。</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实施专项检测前，检测单位应对竣工资料、历次隧道定期检查和特别检查报告、历次维修资料等有关的技术资料、档案进行调查，并对隧道周围的地质及地表环境等展开实地调查，以充分掌握相关的技术信息，寻找土建结构发展变化的原因，确保专项检查结果的准确性。</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④检测完成后，作出专项检测报告，对结构整体性能、功能状况作分析鉴定，阐述检查部位的损坏原因及程度，并提出结构部件和总体修理、加固或改善相应的结论。</w:t>
      </w:r>
    </w:p>
    <w:p>
      <w:pPr>
        <w:widowControl/>
        <w:spacing w:line="360" w:lineRule="auto"/>
        <w:ind w:firstLine="480" w:firstLineChars="200"/>
        <w:jc w:val="left"/>
        <w:outlineLvl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2.定期检查和特别检查的结果，按表1的规定分为三类判定；专项检测的结果，按表2的规定分为四类判定。</w:t>
      </w:r>
    </w:p>
    <w:p>
      <w:pPr>
        <w:widowControl/>
        <w:autoSpaceDE w:val="0"/>
        <w:autoSpaceDN w:val="0"/>
        <w:spacing w:line="360" w:lineRule="auto"/>
        <w:ind w:firstLine="422" w:firstLineChars="20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表1  定期检查、特别检查结果判定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判定分类</w:t>
            </w:r>
          </w:p>
        </w:tc>
        <w:tc>
          <w:tcPr>
            <w:tcW w:w="7560"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O</w:t>
            </w:r>
          </w:p>
        </w:tc>
        <w:tc>
          <w:tcPr>
            <w:tcW w:w="7560" w:type="dxa"/>
            <w:vAlign w:val="center"/>
          </w:tcPr>
          <w:p>
            <w:pPr>
              <w:widowControl/>
              <w:spacing w:line="360" w:lineRule="auto"/>
              <w:ind w:left="489"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情况正常（无异常情况，或虽有异常情况但很轻微）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w:t>
            </w:r>
          </w:p>
        </w:tc>
        <w:tc>
          <w:tcPr>
            <w:tcW w:w="7560" w:type="dxa"/>
            <w:vAlign w:val="center"/>
          </w:tcPr>
          <w:p>
            <w:pPr>
              <w:widowControl/>
              <w:spacing w:line="360" w:lineRule="auto"/>
              <w:ind w:left="489"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存在异常情况，但不明确，应作进一步检查或观测以确定对策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w:t>
            </w:r>
          </w:p>
        </w:tc>
        <w:tc>
          <w:tcPr>
            <w:tcW w:w="7560" w:type="dxa"/>
            <w:vAlign w:val="center"/>
          </w:tcPr>
          <w:p>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异常情况明显，危及行人、行车安全，应采取处治措施或特别对策</w:t>
            </w:r>
          </w:p>
        </w:tc>
      </w:tr>
    </w:tbl>
    <w:p>
      <w:pPr>
        <w:widowControl/>
        <w:autoSpaceDE w:val="0"/>
        <w:autoSpaceDN w:val="0"/>
        <w:spacing w:line="360"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表2  专项检测结果判定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判定分类</w:t>
            </w:r>
          </w:p>
        </w:tc>
        <w:tc>
          <w:tcPr>
            <w:tcW w:w="7560"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1A</w:t>
            </w:r>
          </w:p>
        </w:tc>
        <w:tc>
          <w:tcPr>
            <w:tcW w:w="7560" w:type="dxa"/>
            <w:vAlign w:val="center"/>
          </w:tcPr>
          <w:p>
            <w:pPr>
              <w:widowControl/>
              <w:spacing w:line="360" w:lineRule="auto"/>
              <w:ind w:left="-25" w:leftChars="-12" w:firstLine="21" w:firstLineChars="1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结构存在轻微破损，现阶段对行人、行车不会有影响，但应进行监测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1B</w:t>
            </w:r>
          </w:p>
        </w:tc>
        <w:tc>
          <w:tcPr>
            <w:tcW w:w="7560" w:type="dxa"/>
            <w:vAlign w:val="center"/>
          </w:tcPr>
          <w:p>
            <w:pPr>
              <w:widowControl/>
              <w:spacing w:line="360" w:lineRule="auto"/>
              <w:ind w:left="489"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结构存在破坏，可能会危及行人、行车安全，应准备采取对策措施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2B</w:t>
            </w:r>
          </w:p>
        </w:tc>
        <w:tc>
          <w:tcPr>
            <w:tcW w:w="7560" w:type="dxa"/>
            <w:vAlign w:val="center"/>
          </w:tcPr>
          <w:p>
            <w:pPr>
              <w:widowControl/>
              <w:spacing w:line="360" w:lineRule="auto"/>
              <w:ind w:left="-70" w:leftChars="-266" w:hanging="489" w:hangingChars="23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结构存在较严重破坏，可能会危及行人、行车安全，应尽早采取对策措施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44" w:type="dxa"/>
            <w:vAlign w:val="center"/>
          </w:tcPr>
          <w:p>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3B</w:t>
            </w:r>
          </w:p>
        </w:tc>
        <w:tc>
          <w:tcPr>
            <w:tcW w:w="7560" w:type="dxa"/>
            <w:vAlign w:val="center"/>
          </w:tcPr>
          <w:p>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结构存在较严重破坏，已危及行人、行车安全，必须立即采取紧急对策措施</w:t>
            </w:r>
          </w:p>
        </w:tc>
      </w:tr>
    </w:tbl>
    <w:p>
      <w:pPr>
        <w:widowControl/>
        <w:tabs>
          <w:tab w:val="left" w:pos="900"/>
        </w:tabs>
        <w:spacing w:line="360" w:lineRule="auto"/>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（三）机电设施（低压配电、应急照明、通风）、水消防系统、监控系统（含消防火灾报警系统）及隧道提速改造部分</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1.一般规定</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养护维修可分为日常检查维护、经常性检修、定期检修。日常检查维护，不少于1次/日。经常性检修不少于1次/月。定期检修宜按1次/年进行。大修（分解性检修）宜按1次/3年进行。</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应充分考虑隧道内运行车辆、养护人员的安全，并按照规定进行。需要中断交通时，应与土建养护作业计划综合考虑。</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机电设施养护应使设备技术状态达到产品说明书、设计文件或有关规范的要求。</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机电设施养护应配备专门的电工工具、测试仪器、清洁工具、安全防护设备及高空作业设备。对配备的专用工具应定期检查，耐高压工具试验1次/半年，测试仪器校对1次/年，安全防护设备及高空作业设备检查1次/季度。</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机电设施养护应真实记录各种设备的检查情况，建立专门的技术档案。</w:t>
      </w:r>
    </w:p>
    <w:p>
      <w:pPr>
        <w:widowControl/>
        <w:numPr>
          <w:ilvl w:val="2"/>
          <w:numId w:val="0"/>
        </w:numPr>
        <w:tabs>
          <w:tab w:val="left" w:pos="720"/>
          <w:tab w:val="left" w:pos="900"/>
          <w:tab w:val="left" w:pos="1080"/>
        </w:tabs>
        <w:spacing w:line="360" w:lineRule="auto"/>
        <w:ind w:firstLine="472"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隧道每年雷雨季节前应进行一次防雷检测，应对防雷缺陷进行整改，每次雷雨后应对防雷设施进行检查、检测。</w:t>
      </w:r>
    </w:p>
    <w:p>
      <w:pPr>
        <w:widowControl/>
        <w:numPr>
          <w:ilvl w:val="2"/>
          <w:numId w:val="0"/>
        </w:numPr>
        <w:tabs>
          <w:tab w:val="left" w:pos="720"/>
          <w:tab w:val="left" w:pos="900"/>
          <w:tab w:val="left" w:pos="1080"/>
        </w:tabs>
        <w:spacing w:line="360" w:lineRule="auto"/>
        <w:ind w:firstLine="475"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2.供配电系统（包括低压电缆、控制电缆、照明系统）</w:t>
      </w:r>
    </w:p>
    <w:p>
      <w:pPr>
        <w:widowControl/>
        <w:numPr>
          <w:ilvl w:val="2"/>
          <w:numId w:val="0"/>
        </w:numPr>
        <w:tabs>
          <w:tab w:val="left" w:pos="720"/>
          <w:tab w:val="left" w:pos="900"/>
          <w:tab w:val="left" w:pos="1080"/>
        </w:tabs>
        <w:spacing w:line="360" w:lineRule="auto"/>
        <w:ind w:firstLine="475" w:firstLineChars="197"/>
        <w:jc w:val="left"/>
        <w:outlineLvl w:val="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（1）运行管理</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①供配电系统养护人员应持有特殊工种上岗证书，并配备专门的电工检修工具；</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②供配电系统的工作电压、工作负荷和控制温度应在额定值的允许变化范围内运行；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供配电系统养护人员应对供配电设施日常检查1次/日，在遇恶劣天气、汛期、雨季、重大活动等特殊情况，应加大检查频率。主要针对变压器、低压配电柜以及变配电室内相关设备运行情况，通过观察异常、声响、发热、气味、火花等现象，及时发现设备故障，及时排除，并做好运行记录；</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④供配电系统在运行中，发现继电保护动作跳闸、电容器的断路器跳闸，在未查明原因前不得重新合闸运行；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⑤供配电设备及周围环境应保持整洁、卫生；</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⑥供配电系统养护人员应及时记录供配电设备的运行参数，并记录有关调度安排，严禁漏记、编造和涂改。</w:t>
      </w:r>
    </w:p>
    <w:p>
      <w:pPr>
        <w:widowControl/>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（2）安全操作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①在供配电设备上进行倒闸操作时，应遵守电力部门安全工作规程，并应严格按照程序操作；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②变压器、电容器等装置在运行中发生异常情况，当不能排除时，应立即停止运行，及时切换，并应立即报告主管部门；</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③电容器在重新合闸前，必须使断路器断开，将电容器放电。</w:t>
      </w:r>
    </w:p>
    <w:p>
      <w:pPr>
        <w:widowControl/>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（3）维护保养</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①供配电系统中低压变配电设备应停电、清扫工作，不应少于1次/季度；</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②按照对电力部门安全工作规程对高压变配电设施进行预防性测试；</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③供电线路的养护按照电力部门的有关规定进行。当供电线路存在异常情况时，采取措施并及时通知电力部门及主管部门；</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④供配电系统需要进行带电作业的项目，应使隧道内、变配电室、中心控制室相互协调、密切配合，并严格按电气操作规程的有关要求进行；</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⑤供配电设施应定期检修1次/年，检修主要内容有：</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A)高压配电房由专业的单位维护，在养护中发现高配房的问题第一时间通知相应的维护单位进行处置。</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B）低压开关柜</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断路器外观有无污染、裂痕；</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断路器触头有无烧伤、接触是否紧密；</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断路器有无明显的噪音；</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断路器脱扣器是否正常；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断路器绝缘是否良好；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断路器整定值是否满足系统保护要求；</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断路器引线接头有无污染、松动；</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热继电器外部检查外壳是否清洁、完整、嵌接良好；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热继电器外壳与底座接合是否紧密牢固、防尘密封是否良好安装是否端正；</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热继电器内部和机械部分检查；</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转换开关外部检查是否清洁、完整、嵌接良好；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转换开关外壳与底座接合是否紧密牢固、防尘密封是否良好安装是否端正；</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转换开关内部和机械部分检查。</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C）风机启动及控制箱</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箱体接地是否良好；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可编控制程序是否正确；</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自动集控手动操作是否正确；</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有无腐蚀及积水。</w:t>
      </w:r>
    </w:p>
    <w:p>
      <w:pPr>
        <w:widowControl/>
        <w:tabs>
          <w:tab w:val="left" w:pos="84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D）电力电缆、电缆托架及支架</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外表有无损伤、变形、断开、腐蚀；</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电缆线间、相间和对地绝缘是否正常；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电缆工作温度是否正常；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接头处是否正常，有无烧焦痕迹；</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电缆沟是否干净，有无杂物垃圾，有无积水、积油、盖板是否完整；</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接地是否良好。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E）变配电室构件、接地装置无腐蚀，接地电阻正常。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F）直流电源、UPS电源</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微机继电保护装置新安装的保护装置全部检验；</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箱体接地应良好；</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电池组外观有无污染损伤，电池的电解液是否正常；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电池的电压是否正常；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电池的绝缘是否正常；</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电池每年进行一次容量恢复试验；</w:t>
      </w:r>
    </w:p>
    <w:p>
      <w:pPr>
        <w:widowControl/>
        <w:tabs>
          <w:tab w:val="left" w:pos="780"/>
        </w:tabs>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 充电机及浮充电机输出直流电压、电流应正常，整流装置应正常。</w:t>
      </w:r>
    </w:p>
    <w:p>
      <w:pPr>
        <w:widowControl/>
        <w:tabs>
          <w:tab w:val="left" w:pos="780"/>
        </w:tabs>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（4）技术指标</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供配电系统的设备完好率不应低于98%。</w:t>
      </w:r>
    </w:p>
    <w:p>
      <w:pPr>
        <w:widowControl/>
        <w:tabs>
          <w:tab w:val="left" w:pos="780"/>
        </w:tabs>
        <w:spacing w:line="360" w:lineRule="auto"/>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3.监控系统、提速改造部分（包括卡口系统、测速系统、变道自动抓拍系统、监控系统、网络广播系统、LED出口指路系统、诱导标系统、隧道LED诱导系统、火灾报警系统、管道及光缆等）</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（1）日常主要巡查、维护内容为：每日需车辆上路对辖区所有设施巡查、维护及时排除故障，对设施整修、拆除、移位、更换、线路故障、电气故障（如漏电等问题）排除。每月一次对全部外场设备进行保洁。</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确保维护点7×24小时正常运行，每天有1辆车辆上路巡查，路口点每周至少巡检一次，发现不安全因素和隐患及时排除。对维护范围内全部设施至少每季度检查1次，对检查中发现不安全因素和隐患及时排除。建立巡检台帐，供业主随时检查。巡检内容为：</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清洁设备，保证外场设备安全、整洁、干净。</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统计遮挡物，如树枝等遮挡设备的情况，及时清理。</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检查检测线圈的工作情况。</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检查外场设备的完整性、牢固性、设备线路的安全性及设备用电安全（是否有漏电等问题），消除人为或自然原因影响安全和功能使用的隐患。</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（3）每年重要节假日（“五一”、“十一”等）、大型活动期间，特定巡检、维修、维护、清洁、保养。</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中标单位必须设立7×24小时服务专用电话，并配备相应的人员、车辆及必要的维护工具，遇到突发事件或紧急情况，接受甲方的维修指令，抢修各种原因引起的故障（包括：①系统本身故障；②系统因受到外力（如车辆碰撞、偷盗等）影响造成故障）白天20分钟内到场，夜间40分钟内到场。</w:t>
      </w:r>
    </w:p>
    <w:p>
      <w:pPr>
        <w:widowControl/>
        <w:tabs>
          <w:tab w:val="left" w:pos="78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（5）遇灾害天气，应提前检查加固外场设备，确保外场设备的安全。</w:t>
      </w:r>
    </w:p>
    <w:p>
      <w:pPr>
        <w:pStyle w:val="25"/>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（6）落实有维护经验的专业人员。</w:t>
      </w:r>
    </w:p>
    <w:p>
      <w:pPr>
        <w:pStyle w:val="26"/>
        <w:ind w:left="0" w:leftChars="0" w:firstLine="0" w:firstLine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highlight w:val="none"/>
        </w:rPr>
        <w:t xml:space="preserve"> </w:t>
      </w:r>
      <w:r>
        <w:rPr>
          <w:rFonts w:hint="eastAsia" w:ascii="仿宋" w:hAnsi="仿宋" w:eastAsia="仿宋" w:cs="仿宋"/>
          <w:b/>
          <w:color w:val="auto"/>
          <w:kern w:val="0"/>
          <w:sz w:val="24"/>
          <w:szCs w:val="24"/>
          <w:highlight w:val="none"/>
        </w:rPr>
        <w:t>机电通用设备系统（低压配电、应急照明、通风）清单</w:t>
      </w:r>
    </w:p>
    <w:tbl>
      <w:tblPr>
        <w:tblStyle w:val="64"/>
        <w:tblW w:w="5000" w:type="pct"/>
        <w:tblInd w:w="0" w:type="dxa"/>
        <w:tblLayout w:type="autofit"/>
        <w:tblCellMar>
          <w:top w:w="0" w:type="dxa"/>
          <w:left w:w="108" w:type="dxa"/>
          <w:bottom w:w="0" w:type="dxa"/>
          <w:right w:w="108" w:type="dxa"/>
        </w:tblCellMar>
      </w:tblPr>
      <w:tblGrid>
        <w:gridCol w:w="904"/>
        <w:gridCol w:w="5773"/>
        <w:gridCol w:w="1126"/>
        <w:gridCol w:w="1483"/>
      </w:tblGrid>
      <w:tr>
        <w:tblPrEx>
          <w:tblCellMar>
            <w:top w:w="0" w:type="dxa"/>
            <w:left w:w="108" w:type="dxa"/>
            <w:bottom w:w="0" w:type="dxa"/>
            <w:right w:w="108" w:type="dxa"/>
          </w:tblCellMar>
        </w:tblPrEx>
        <w:trPr>
          <w:trHeight w:val="364"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序号</w:t>
            </w:r>
          </w:p>
        </w:tc>
        <w:tc>
          <w:tcPr>
            <w:tcW w:w="310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项目名称</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lang w:eastAsia="zh-CN"/>
              </w:rPr>
            </w:pPr>
            <w:r>
              <w:rPr>
                <w:rFonts w:hint="eastAsia" w:ascii="仿宋" w:hAnsi="仿宋" w:eastAsia="仿宋" w:cs="仿宋"/>
                <w:b/>
                <w:bCs/>
                <w:color w:val="auto"/>
                <w:kern w:val="0"/>
                <w:sz w:val="18"/>
                <w:szCs w:val="18"/>
                <w:highlight w:val="none"/>
              </w:rPr>
              <w:t>计量</w:t>
            </w:r>
          </w:p>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工程量</w:t>
            </w:r>
          </w:p>
        </w:tc>
      </w:tr>
      <w:tr>
        <w:tblPrEx>
          <w:tblCellMar>
            <w:top w:w="0" w:type="dxa"/>
            <w:left w:w="108" w:type="dxa"/>
            <w:bottom w:w="0" w:type="dxa"/>
            <w:right w:w="108" w:type="dxa"/>
          </w:tblCellMar>
        </w:tblPrEx>
        <w:trPr>
          <w:trHeight w:val="364" w:hRule="atLeast"/>
        </w:trPr>
        <w:tc>
          <w:tcPr>
            <w:tcW w:w="4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c>
          <w:tcPr>
            <w:tcW w:w="31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c>
          <w:tcPr>
            <w:tcW w:w="60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bCs/>
                <w:color w:val="auto"/>
                <w:kern w:val="0"/>
                <w:sz w:val="18"/>
                <w:szCs w:val="18"/>
                <w:highlight w:val="none"/>
              </w:rPr>
            </w:pP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高、低压配电维修保养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EPS稳压设备维修保养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4</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干式变压器维修保养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4</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配电箱维修保养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421</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应急电源维修保养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防静电地板</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m2</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60.88</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7</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防雷系统</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r>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绝缘地垫</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m2</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180</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9</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亮度仪保养维修</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6</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灯具保养维修-节能灯（LED）</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盏/只</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5790</w:t>
            </w:r>
          </w:p>
        </w:tc>
      </w:tr>
      <w:tr>
        <w:tblPrEx>
          <w:tblCellMar>
            <w:top w:w="0" w:type="dxa"/>
            <w:left w:w="108" w:type="dxa"/>
            <w:bottom w:w="0" w:type="dxa"/>
            <w:right w:w="108" w:type="dxa"/>
          </w:tblCellMar>
        </w:tblPrEx>
        <w:trPr>
          <w:trHeight w:val="48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11</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COVI、风速风向仪维护保养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10</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12</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通风设备日常保养-轴流风机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2</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13</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通风设备日常保养-射流风机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80</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14</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通风设备日常保养-混流风机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38</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通风设备日常保养-壁式风机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9</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16</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通风设备日常保养-屋顶风机</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8</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17</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空调设备维修保养</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台/次</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12</w:t>
            </w:r>
          </w:p>
        </w:tc>
      </w:tr>
      <w:tr>
        <w:tblPrEx>
          <w:tblCellMar>
            <w:top w:w="0" w:type="dxa"/>
            <w:left w:w="108" w:type="dxa"/>
            <w:bottom w:w="0" w:type="dxa"/>
            <w:right w:w="108" w:type="dxa"/>
          </w:tblCellMar>
        </w:tblPrEx>
        <w:trPr>
          <w:trHeight w:val="270" w:hRule="atLeast"/>
        </w:trPr>
        <w:tc>
          <w:tcPr>
            <w:tcW w:w="48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18</w:t>
            </w:r>
          </w:p>
        </w:tc>
        <w:tc>
          <w:tcPr>
            <w:tcW w:w="3107"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通风设备维修</w:t>
            </w:r>
          </w:p>
        </w:tc>
        <w:tc>
          <w:tcPr>
            <w:tcW w:w="606"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项</w:t>
            </w:r>
          </w:p>
        </w:tc>
        <w:tc>
          <w:tcPr>
            <w:tcW w:w="798" w:type="pc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rPr>
              <w:t>1</w:t>
            </w:r>
          </w:p>
        </w:tc>
      </w:tr>
    </w:tbl>
    <w:p>
      <w:pPr>
        <w:widowControl/>
        <w:spacing w:line="360" w:lineRule="auto"/>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（四）其它设施</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1.一般规定</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应经常保持完好、齐全。</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有特殊要求的其他设施应按相关规定进行养护。</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2.环保设施</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（1）隧道洞口绿化与植被应与周围环境协调。 </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（2）及时对树木修剪抚育、树木透光适度、通风良好，减少病虫害的发生。</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（3）隧道污水处理设施的养护应符合以下要求：</w:t>
      </w:r>
    </w:p>
    <w:p>
      <w:pPr>
        <w:widowControl/>
        <w:tabs>
          <w:tab w:val="left" w:pos="840"/>
        </w:tabs>
        <w:spacing w:line="360" w:lineRule="auto"/>
        <w:ind w:left="600" w:leftChars="248" w:hanging="79" w:hangingChars="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①污水处理池和净化池不应渗漏，发现渗漏应查明原因及时处治；</w:t>
      </w:r>
    </w:p>
    <w:p>
      <w:pPr>
        <w:widowControl/>
        <w:tabs>
          <w:tab w:val="left" w:pos="840"/>
        </w:tabs>
        <w:spacing w:line="360" w:lineRule="auto"/>
        <w:ind w:left="600" w:leftChars="248" w:hanging="79" w:hangingChars="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②污水处理池和净化池沉积的泥沙、杂物，应适时清除。</w:t>
      </w:r>
    </w:p>
    <w:p>
      <w:pPr>
        <w:widowControl/>
        <w:spacing w:line="360" w:lineRule="auto"/>
        <w:ind w:firstLine="480" w:firstLineChars="20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3.房屋设施养护</w:t>
      </w:r>
    </w:p>
    <w:p>
      <w:pPr>
        <w:widowControl/>
        <w:spacing w:line="360" w:lineRule="auto"/>
        <w:ind w:left="480"/>
        <w:jc w:val="left"/>
        <w:outlineLvl w:val="3"/>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（1）房屋屋面及墙体如发生渗漏应及时维修。</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（2）屋面墙体粉刷后，起壳、剥落、疏松等损坏部分应凿除并清理干净后重新粉刷。</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（3）变电所、监控中心等主要生产房屋应做到地面无积尘和油污。</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（4）房屋及其周围环境应保持整洁、美观，周围场地应排水通畅。</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（5）房屋防雷接地装置如有损坏、锈蚀应及时养护维修。</w:t>
      </w:r>
    </w:p>
    <w:p>
      <w:pPr>
        <w:widowControl/>
        <w:spacing w:line="360" w:lineRule="auto"/>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（五）档案资料</w:t>
      </w:r>
    </w:p>
    <w:p>
      <w:pPr>
        <w:widowControl/>
        <w:tabs>
          <w:tab w:val="left" w:pos="0"/>
        </w:tabs>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1.城市隧道养护部门应建立养护档案资料，城市隧道的养护档案资料应全面、正确、及时、清晰。</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2.养护档案应包括下列内容：隧道主要技术资料，新建、改造、大修竣工资料、养护运行资料、养护技术文件、检查资料、检测资料、测试资料、隧道内敷设管线等养护技术文件及相关资料。</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3.在各类突发事故或设施损坏严重的处理过程中，必须及时做好记录，要有相片或录像，并应连同分析、处理资料一起归档保存。</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4.养护档案管理工作宜逐步实行电子化、数据化、利用多媒体技术，建立信息管理系统、数据库。</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5.各类养护档案应永久保存。</w:t>
      </w:r>
    </w:p>
    <w:p>
      <w:pPr>
        <w:widowControl/>
        <w:spacing w:line="360" w:lineRule="auto"/>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（六）安全管理</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1.隧道养护单位应及时掌握城市隧道的信息，做出预测，采用必要的预防性安全措施。</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2.超限运输和运送危险品的车辆应报经有关部门批准方可通过。</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3.养护作业的安全防护应包括养护作业机械、人员的安全防护。</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4.养护作业宜选择在交通量较小时段进行。作业现场应设置明显交通标志，并采取有效安全措施，确保隧道的行车安全和作业人员的生命安全。</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5.在进行养护作业前，应做好以下工作。</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（1）制定安全组织计划，确定合理的工作区。</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（2）养护作业人员必须接受专门的安全教育和作业规程训练。</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（3）养护作业人员，进入隧道应身穿反光安全标志服。</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（4）检测隧道内CO浓度是否超标。</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（5）对养护机械、设备及施工信号灯进行全面安全检查。</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6.养护作业时，应遵守以下规定：</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（1）养护作业现场应有专职安全人员进行安全监督和交通疏导，养护作业人员不得随意走出安全保护区。</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（2）严禁将任何工具、材料或其他物品放到作业区外，应防止工具、材料或其他物品在车道上滑移、滚动。  </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（3）在使用化学、有毒物品时应严格遵循相应安全操作规程和操作方法，作好防护措施，防止中毒。存放堵漏化工物品时和施工时严禁明火。</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7.隧道洞口周围保护范围内未经隧道管理机构许可，不得挖沙、采石、取土、倾倒废弃物，不得进行爆破作业及其他危害城市隧道安全的活动。</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8.隧道结构不得敷设高于10KV（不含10KV）高压电缆、煤气管道和其他可燃、易爆、有毒或有腐蚀性液（气）体管道。</w:t>
      </w:r>
    </w:p>
    <w:p>
      <w:pPr>
        <w:widowControl/>
        <w:spacing w:line="360" w:lineRule="auto"/>
        <w:ind w:firstLine="482" w:firstLineChars="200"/>
        <w:outlineLvl w:val="3"/>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（七）其他</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1.做好元旦、春节、清明节、劳动节、端午节、中秋节、国庆节等节假日及重大活动的配合和保障工作。</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2.应急处理:做好桥隧及其附属防汛抗台、抗雪防冻等物资储备、队伍保障等防范工作；做好防汛抗台、抗雪防冻等突发事件应急处理工作，确保突发事件及时处置得当。</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3.养护单位应根据采购人需求做好相关宣传工作。</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4.养护单位在保养范围内，未按采购人要求进行维护保养的，采购人有权委托第三方单位实施养管工作，相关费用经审核后由养护单位承担。</w:t>
      </w:r>
    </w:p>
    <w:p>
      <w:pPr>
        <w:widowControl/>
        <w:spacing w:line="360" w:lineRule="auto"/>
        <w:ind w:firstLine="480" w:firstLineChars="200"/>
        <w:outlineLvl w:val="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积极、妥善处理各类投诉、信访、数字城管案件，对存在问题不推诿扯皮，尽快落实解决。对相关督察发现的问题认真进行整改并在规定时间内进行回复。及时完成“美丽杭州”城市道路两侧环境考核相关任务。</w:t>
      </w:r>
    </w:p>
    <w:p>
      <w:pPr>
        <w:widowControl/>
        <w:overflowPunct w:val="0"/>
        <w:autoSpaceDE w:val="0"/>
        <w:autoSpaceDN w:val="0"/>
        <w:spacing w:line="360" w:lineRule="auto"/>
        <w:ind w:firstLine="424" w:firstLineChars="176"/>
        <w:textAlignment w:val="baseline"/>
        <w:outlineLvl w:val="6"/>
        <w:rPr>
          <w:rFonts w:hint="eastAsia" w:ascii="仿宋" w:hAnsi="仿宋" w:eastAsia="仿宋" w:cs="仿宋"/>
          <w:b/>
          <w:bCs/>
          <w:color w:val="auto"/>
          <w:kern w:val="0"/>
          <w:sz w:val="24"/>
          <w:highlight w:val="none"/>
          <w:u w:val="dotted"/>
        </w:rPr>
      </w:pPr>
      <w:r>
        <w:rPr>
          <w:rFonts w:hint="eastAsia" w:ascii="仿宋" w:hAnsi="仿宋" w:eastAsia="仿宋" w:cs="仿宋"/>
          <w:b/>
          <w:color w:val="auto"/>
          <w:kern w:val="21"/>
          <w:sz w:val="24"/>
          <w:highlight w:val="none"/>
        </w:rPr>
        <w:t>（八）养护规范及质量要求：</w:t>
      </w:r>
      <w:r>
        <w:rPr>
          <w:rFonts w:hint="eastAsia" w:ascii="仿宋" w:hAnsi="仿宋" w:eastAsia="仿宋" w:cs="仿宋"/>
          <w:b/>
          <w:bCs/>
          <w:color w:val="auto"/>
          <w:kern w:val="0"/>
          <w:sz w:val="24"/>
          <w:highlight w:val="none"/>
          <w:u w:val="dotted"/>
        </w:rPr>
        <w:t>符合杭州市城市隧道养护技术规程《杭州市城市隧道养护技术规程  HZCG05-2006》一类城市隧道养护合格要求</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tabs>
          <w:tab w:val="left" w:pos="42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《电气装置安装工程施工及验收规范》（</w:t>
      </w:r>
      <w:r>
        <w:rPr>
          <w:rFonts w:hint="eastAsia" w:ascii="仿宋" w:hAnsi="仿宋" w:eastAsia="仿宋" w:cs="仿宋"/>
          <w:color w:val="auto"/>
          <w:kern w:val="0"/>
          <w:sz w:val="24"/>
          <w:highlight w:val="none"/>
        </w:rPr>
        <w:t>GBJ50254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259—96</w:t>
      </w:r>
      <w:r>
        <w:rPr>
          <w:rFonts w:hint="eastAsia" w:ascii="仿宋" w:hAnsi="仿宋" w:eastAsia="仿宋" w:cs="仿宋"/>
          <w:color w:val="auto"/>
          <w:sz w:val="24"/>
          <w:highlight w:val="none"/>
        </w:rPr>
        <w:t>）</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《公路隧道养护技术规范》（JTG H12—2003）</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《城市桥梁养护技术规范》（CJJ99—2003）</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《公路隧道设计规范》（JTG D70—2004）</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《公路隧道施工技术规程》（JTJ042—1994）</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《杭州市市政设施管理条例》  </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《杭州市城市道路养护技术规程》</w:t>
      </w:r>
    </w:p>
    <w:p>
      <w:pPr>
        <w:widowControl/>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《杭州市排水管渠与泵站养护技术规程》</w:t>
      </w:r>
    </w:p>
    <w:p>
      <w:pPr>
        <w:pStyle w:val="2"/>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城市道路养护规范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(DB3301/T 0314-2020)</w:t>
      </w:r>
    </w:p>
    <w:p>
      <w:pPr>
        <w:autoSpaceDE w:val="0"/>
        <w:autoSpaceDN w:val="0"/>
        <w:adjustRightInd w:val="0"/>
        <w:snapToGrid w:val="0"/>
        <w:spacing w:line="360" w:lineRule="auto"/>
        <w:ind w:firstLine="498" w:firstLineChars="200"/>
        <w:rPr>
          <w:rFonts w:hint="eastAsia" w:ascii="仿宋" w:hAnsi="仿宋" w:eastAsia="仿宋" w:cs="仿宋"/>
          <w:b/>
          <w:color w:val="auto"/>
          <w:spacing w:val="4"/>
          <w:kern w:val="0"/>
          <w:sz w:val="24"/>
          <w:highlight w:val="none"/>
        </w:rPr>
      </w:pPr>
      <w:r>
        <w:rPr>
          <w:rFonts w:hint="eastAsia" w:ascii="仿宋" w:hAnsi="仿宋" w:eastAsia="仿宋" w:cs="仿宋"/>
          <w:b/>
          <w:color w:val="auto"/>
          <w:spacing w:val="4"/>
          <w:kern w:val="0"/>
          <w:sz w:val="24"/>
          <w:highlight w:val="none"/>
        </w:rPr>
        <w:t>九、违约责任</w:t>
      </w:r>
    </w:p>
    <w:p>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（一）双方不得无故终止合同（除合同约定），否则视为违约，由违约方支付对方违约金。</w:t>
      </w:r>
    </w:p>
    <w:p>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（二）甲方不能按合同约定支付款项及发生其它使合同无法履行的行为，应承担违约责任。由甲方支付乙方违约金，赔偿乙方损失。</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（三）乙方在养护管理期间，由于养管措施不力，出现以下情况之一，甲方有权终止合同，并有权要求乙方承担合同总额20%的违约金，若实际损失超过违约金的由乙方承担一切责任。</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1、在省、市各类迎检、考评活动中失责任分或在各类抢险过程中发生重大责任事故，整改不力的；</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2、发生重大质量安全、养护责任事故；</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3、根据考核办法被淘汰；</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4、遇灾害性天气，未听从甲方统一指挥，未按甲方要求进行应急管理；</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5、乙方在养护管理期间，原则上不得更换养护项目负责人。若确需更换，应在经甲方同意后进行，且更换后的项目负责人不得低于原项目负责人标准，否则乙方须向甲方承担违约责任，每次违约金额为合同总金额的5%，发生2次后甲方有权解除合同；</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6、乙方擅自将本合同全部或部分转包的；</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7、乙方存在其他违反本合同约定的行为，经甲方催告后，仍未改正的。</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（四）乙方有下列情况发生的将予以承担违约金：</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1、如乙方未按照甲方整改及时效要求进行整改，每发生一件逾期未整改将承担违约金2000元。当月累计2次的视为当月考核不合格。</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2、由于养护不到位或不文明施工等情况而被新闻媒体曝光或发生有责投诉，每发生一次，承担违约金2000元，发生2次及以上的，甲方有权解除合同，并按第九条第三款约定内容承担违约责任。事后未及时妥善处理造成恶劣社会舆论影响的，视情节轻重扣除当月维护费用的10%-30%直至终止维护合同。</w:t>
      </w:r>
    </w:p>
    <w:p>
      <w:pPr>
        <w:tabs>
          <w:tab w:val="left" w:pos="720"/>
          <w:tab w:val="left" w:pos="1260"/>
        </w:tabs>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3、严格遵守相关部门的安全管理规定。如因乙方未能全面履行本合同义务导致甲方因此遭到行政处罚的，甲方有权向乙方全额追偿，且乙方应向甲方另行承担违约金每次2000元。发生2次及以上情形的或情节严重的视为违约，甲方有权终止合同。</w:t>
      </w:r>
    </w:p>
    <w:p>
      <w:pPr>
        <w:tabs>
          <w:tab w:val="left" w:pos="720"/>
          <w:tab w:val="left" w:pos="1260"/>
        </w:tabs>
        <w:adjustRightInd w:val="0"/>
        <w:snapToGrid w:val="0"/>
        <w:spacing w:line="360" w:lineRule="auto"/>
        <w:ind w:firstLine="496"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color w:val="auto"/>
          <w:spacing w:val="4"/>
          <w:kern w:val="0"/>
          <w:sz w:val="24"/>
          <w:highlight w:val="none"/>
        </w:rPr>
        <w:t>4、桥梁和隧道养护过程中，乙方无条件落实甲方下达的维保（修）任务，并在规定的期限内完成，如落实不力，无特殊原因在规定的期限内未完成的，甲方有权要求乙方承担违约金10万元，甲方有权径直从当季度应付养护费中予以扣除。</w:t>
      </w:r>
    </w:p>
    <w:p>
      <w:pPr>
        <w:tabs>
          <w:tab w:val="left" w:pos="720"/>
          <w:tab w:val="left" w:pos="1260"/>
        </w:tabs>
        <w:adjustRightInd w:val="0"/>
        <w:snapToGrid w:val="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snapToGrid w:val="0"/>
          <w:color w:val="auto"/>
          <w:kern w:val="0"/>
          <w:sz w:val="24"/>
          <w:highlight w:val="none"/>
          <w:lang w:val="en-US" w:eastAsia="zh-CN"/>
        </w:rPr>
        <w:t>（五）根据《滨江区桥隧设施考核办法（试行）》进行考核奖惩。</w:t>
      </w:r>
    </w:p>
    <w:p>
      <w:pPr>
        <w:autoSpaceDE w:val="0"/>
        <w:autoSpaceDN w:val="0"/>
        <w:adjustRightInd w:val="0"/>
        <w:spacing w:line="360" w:lineRule="auto"/>
        <w:ind w:firstLine="373" w:firstLineChars="150"/>
        <w:rPr>
          <w:rFonts w:hint="eastAsia" w:ascii="仿宋" w:hAnsi="仿宋" w:eastAsia="仿宋" w:cs="仿宋"/>
          <w:b/>
          <w:color w:val="auto"/>
          <w:spacing w:val="4"/>
          <w:kern w:val="0"/>
          <w:sz w:val="24"/>
          <w:highlight w:val="none"/>
        </w:rPr>
      </w:pPr>
      <w:r>
        <w:rPr>
          <w:rFonts w:hint="eastAsia" w:ascii="仿宋" w:hAnsi="仿宋" w:eastAsia="仿宋" w:cs="仿宋"/>
          <w:b/>
          <w:color w:val="auto"/>
          <w:spacing w:val="4"/>
          <w:kern w:val="0"/>
          <w:sz w:val="24"/>
          <w:highlight w:val="none"/>
        </w:rPr>
        <w:t>十、履约保证金</w:t>
      </w:r>
    </w:p>
    <w:p>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1、签定合同时乙方需交合同总价的____%的履约保证金，即____（大写</w:t>
      </w:r>
      <w:r>
        <w:rPr>
          <w:rFonts w:hint="eastAsia" w:ascii="仿宋" w:hAnsi="仿宋" w:eastAsia="仿宋" w:cs="仿宋"/>
          <w:color w:val="auto"/>
          <w:spacing w:val="4"/>
          <w:kern w:val="0"/>
          <w:sz w:val="24"/>
          <w:highlight w:val="none"/>
          <w:u w:val="single"/>
        </w:rPr>
        <w:t xml:space="preserve">     </w:t>
      </w:r>
      <w:r>
        <w:rPr>
          <w:rFonts w:hint="eastAsia" w:ascii="仿宋" w:hAnsi="仿宋" w:eastAsia="仿宋" w:cs="仿宋"/>
          <w:color w:val="auto"/>
          <w:spacing w:val="4"/>
          <w:kern w:val="0"/>
          <w:sz w:val="24"/>
          <w:highlight w:val="none"/>
        </w:rPr>
        <w:t>），在养护管理服务期满验收合格后十天内退还（不计息）。</w:t>
      </w:r>
    </w:p>
    <w:p>
      <w:pPr>
        <w:autoSpaceDE w:val="0"/>
        <w:autoSpaceDN w:val="0"/>
        <w:adjustRightInd w:val="0"/>
        <w:spacing w:line="360" w:lineRule="auto"/>
        <w:ind w:firstLine="373" w:firstLineChars="150"/>
        <w:rPr>
          <w:rFonts w:hint="eastAsia" w:ascii="仿宋" w:hAnsi="仿宋" w:eastAsia="仿宋" w:cs="仿宋"/>
          <w:b/>
          <w:color w:val="auto"/>
          <w:spacing w:val="4"/>
          <w:kern w:val="0"/>
          <w:sz w:val="24"/>
          <w:highlight w:val="none"/>
        </w:rPr>
      </w:pPr>
      <w:r>
        <w:rPr>
          <w:rFonts w:hint="eastAsia" w:ascii="仿宋" w:hAnsi="仿宋" w:eastAsia="仿宋" w:cs="仿宋"/>
          <w:b/>
          <w:color w:val="auto"/>
          <w:spacing w:val="4"/>
          <w:kern w:val="0"/>
          <w:sz w:val="24"/>
          <w:highlight w:val="none"/>
        </w:rPr>
        <w:t>十一 、其它</w:t>
      </w:r>
    </w:p>
    <w:p>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1、合同经双方法定代表人或授权代表签字并加盖单位公章，经采购代理公司及政府采购监管部门鉴证备案后生效。</w:t>
      </w:r>
    </w:p>
    <w:p>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lang w:val="en-US" w:eastAsia="zh-CN"/>
        </w:rPr>
        <w:t>2</w:t>
      </w:r>
      <w:r>
        <w:rPr>
          <w:rFonts w:hint="eastAsia" w:ascii="仿宋" w:hAnsi="仿宋" w:eastAsia="仿宋" w:cs="仿宋"/>
          <w:color w:val="auto"/>
          <w:spacing w:val="4"/>
          <w:kern w:val="0"/>
          <w:sz w:val="24"/>
          <w:highlight w:val="none"/>
        </w:rPr>
        <w:t>、本合同未尽事宜，遵照《合同法》有关条文执行。</w:t>
      </w:r>
    </w:p>
    <w:p>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lang w:val="en-US" w:eastAsia="zh-CN"/>
        </w:rPr>
        <w:t>3</w:t>
      </w:r>
      <w:r>
        <w:rPr>
          <w:rFonts w:hint="eastAsia" w:ascii="仿宋" w:hAnsi="仿宋" w:eastAsia="仿宋" w:cs="仿宋"/>
          <w:color w:val="auto"/>
          <w:spacing w:val="4"/>
          <w:kern w:val="0"/>
          <w:sz w:val="24"/>
          <w:highlight w:val="none"/>
        </w:rPr>
        <w:t>、本合同正本一式伍份，具同等法律效力，鉴证方备案一份，甲乙双方各执贰份；副本伍份，代理机构存档一份(用途)。</w:t>
      </w:r>
    </w:p>
    <w:p>
      <w:pPr>
        <w:pStyle w:val="27"/>
        <w:spacing w:line="360" w:lineRule="auto"/>
        <w:ind w:firstLine="488"/>
        <w:rPr>
          <w:rFonts w:hint="eastAsia" w:ascii="仿宋" w:hAnsi="仿宋" w:eastAsia="仿宋" w:cs="仿宋"/>
          <w:color w:val="auto"/>
          <w:highlight w:val="none"/>
        </w:rPr>
      </w:pPr>
      <w:r>
        <w:rPr>
          <w:rFonts w:hint="eastAsia" w:ascii="仿宋" w:hAnsi="仿宋" w:eastAsia="仿宋" w:cs="仿宋"/>
          <w:color w:val="auto"/>
          <w:spacing w:val="4"/>
          <w:kern w:val="0"/>
          <w:highlight w:val="none"/>
          <w:lang w:val="en-US" w:eastAsia="zh-CN"/>
        </w:rPr>
        <w:t>4</w:t>
      </w:r>
      <w:r>
        <w:rPr>
          <w:rFonts w:hint="eastAsia" w:ascii="仿宋" w:hAnsi="仿宋" w:eastAsia="仿宋" w:cs="仿宋"/>
          <w:color w:val="auto"/>
          <w:spacing w:val="4"/>
          <w:kern w:val="0"/>
          <w:highlight w:val="none"/>
        </w:rPr>
        <w:t>、若各方履行本合同发生争议的，任何一方均有权向甲方所在地人民法院提起诉讼。</w:t>
      </w:r>
    </w:p>
    <w:p>
      <w:pPr>
        <w:pStyle w:val="28"/>
        <w:rPr>
          <w:rFonts w:hint="eastAsia" w:ascii="仿宋" w:hAnsi="仿宋" w:eastAsia="仿宋" w:cs="仿宋"/>
          <w:color w:val="auto"/>
          <w:spacing w:val="4"/>
          <w:kern w:val="0"/>
          <w:sz w:val="24"/>
          <w:highlight w:val="none"/>
        </w:rPr>
      </w:pPr>
    </w:p>
    <w:tbl>
      <w:tblPr>
        <w:tblStyle w:val="64"/>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3"/>
        <w:gridCol w:w="3093"/>
        <w:gridCol w:w="3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jc w:val="center"/>
        </w:trPr>
        <w:tc>
          <w:tcPr>
            <w:tcW w:w="3093" w:type="dxa"/>
            <w:noWrap w:val="0"/>
            <w:vAlign w:val="top"/>
          </w:tcPr>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法定（授权）代表人：  </w:t>
            </w:r>
          </w:p>
          <w:p>
            <w:pPr>
              <w:snapToGrid w:val="0"/>
              <w:spacing w:line="360" w:lineRule="exact"/>
              <w:rPr>
                <w:rFonts w:hint="eastAsia" w:ascii="仿宋" w:hAnsi="仿宋" w:eastAsia="仿宋" w:cs="仿宋"/>
                <w:color w:val="auto"/>
                <w:sz w:val="24"/>
                <w:highlight w:val="none"/>
              </w:rPr>
            </w:pP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签字日期：   年  月  日  </w:t>
            </w:r>
          </w:p>
        </w:tc>
        <w:tc>
          <w:tcPr>
            <w:tcW w:w="3093" w:type="dxa"/>
            <w:noWrap w:val="0"/>
            <w:vAlign w:val="top"/>
          </w:tcPr>
          <w:p>
            <w:pPr>
              <w:snapToGrid w:val="0"/>
              <w:spacing w:line="360" w:lineRule="exact"/>
              <w:ind w:left="472"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 </w:t>
            </w: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法定（授权）代表人：</w:t>
            </w:r>
          </w:p>
          <w:p>
            <w:pPr>
              <w:snapToGrid w:val="0"/>
              <w:spacing w:line="360" w:lineRule="exact"/>
              <w:rPr>
                <w:rFonts w:hint="eastAsia" w:ascii="仿宋" w:hAnsi="仿宋" w:eastAsia="仿宋" w:cs="仿宋"/>
                <w:color w:val="auto"/>
                <w:sz w:val="24"/>
                <w:highlight w:val="none"/>
              </w:rPr>
            </w:pP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签字日期：    年  月  日</w:t>
            </w:r>
          </w:p>
        </w:tc>
        <w:tc>
          <w:tcPr>
            <w:tcW w:w="3093" w:type="dxa"/>
            <w:noWrap w:val="0"/>
            <w:vAlign w:val="top"/>
          </w:tcPr>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丙方（采购代理机构）：</w:t>
            </w:r>
          </w:p>
          <w:p>
            <w:pPr>
              <w:snapToGrid w:val="0"/>
              <w:spacing w:line="360" w:lineRule="exact"/>
              <w:rPr>
                <w:rFonts w:hint="eastAsia" w:ascii="仿宋" w:hAnsi="仿宋" w:eastAsia="仿宋" w:cs="仿宋"/>
                <w:color w:val="auto"/>
                <w:sz w:val="24"/>
                <w:highlight w:val="none"/>
              </w:rPr>
            </w:pP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审核人：</w:t>
            </w:r>
          </w:p>
          <w:p>
            <w:pPr>
              <w:snapToGrid w:val="0"/>
              <w:spacing w:line="360" w:lineRule="exact"/>
              <w:rPr>
                <w:rFonts w:hint="eastAsia" w:ascii="仿宋" w:hAnsi="仿宋" w:eastAsia="仿宋" w:cs="仿宋"/>
                <w:color w:val="auto"/>
                <w:sz w:val="24"/>
                <w:highlight w:val="none"/>
              </w:rPr>
            </w:pP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签字日期：    年  月  日</w:t>
            </w:r>
          </w:p>
        </w:tc>
      </w:tr>
    </w:tbl>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557"/>
      <w:r>
        <w:rPr>
          <w:rFonts w:hint="eastAsia" w:ascii="仿宋" w:hAnsi="仿宋" w:eastAsia="仿宋" w:cs="仿宋"/>
          <w:b/>
          <w:color w:val="auto"/>
          <w:sz w:val="36"/>
          <w:szCs w:val="20"/>
          <w:highlight w:val="none"/>
        </w:rPr>
        <w:t xml:space="preserve"> </w:t>
      </w:r>
      <w:bookmarkEnd w:id="558"/>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62" w:name="_Toc465665161"/>
      <w:r>
        <w:rPr>
          <w:rFonts w:hint="eastAsia" w:ascii="仿宋" w:hAnsi="仿宋" w:eastAsia="仿宋" w:cs="仿宋"/>
          <w:color w:val="auto"/>
          <w:highlight w:val="none"/>
        </w:rPr>
        <w:t>附件</w:t>
      </w:r>
      <w:bookmarkEnd w:id="562"/>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63" w:name="OLE_LINK14"/>
      <w:bookmarkStart w:id="564" w:name="OLE_LINK13"/>
      <w:r>
        <w:rPr>
          <w:rFonts w:hint="eastAsia" w:ascii="仿宋" w:hAnsi="仿宋" w:eastAsia="仿宋" w:cs="仿宋"/>
          <w:b/>
          <w:color w:val="auto"/>
          <w:spacing w:val="6"/>
          <w:sz w:val="32"/>
          <w:szCs w:val="32"/>
          <w:highlight w:val="none"/>
        </w:rPr>
        <w:t>残疾人福利性单位声明函</w:t>
      </w:r>
    </w:p>
    <w:bookmarkEnd w:id="563"/>
    <w:bookmarkEnd w:id="564"/>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5" w:name="_Toc36110187"/>
    <w:bookmarkStart w:id="566" w:name="_Toc91899912"/>
    <w:bookmarkStart w:id="567" w:name="_Toc164085800"/>
    <w:bookmarkStart w:id="568" w:name="_Toc131845147"/>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p>
    <w:pPr>
      <w:pStyle w:val="4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tabs>
        <w:tab w:val="right" w:pos="8279"/>
        <w:tab w:val="clear" w:pos="8306"/>
      </w:tabs>
      <w:jc w:val="right"/>
    </w:pPr>
    <w:r>
      <w:rPr>
        <w:rFonts w:hint="eastAsia"/>
        <w:lang w:val="zh-CN"/>
      </w:rPr>
      <w:t xml:space="preserve"> </w:t>
    </w:r>
    <w:r>
      <w:tab/>
    </w:r>
    <w:r>
      <w:rPr>
        <w:rFonts w:hint="eastAsia"/>
        <w:lang w:val="zh-CN"/>
      </w:rPr>
      <w:t xml:space="preserve"> </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C0C0E"/>
    <w:rsid w:val="16F234AA"/>
    <w:rsid w:val="1D3E78F2"/>
    <w:rsid w:val="20C02AD3"/>
    <w:rsid w:val="22F84521"/>
    <w:rsid w:val="29FA0F90"/>
    <w:rsid w:val="2D6F37A1"/>
    <w:rsid w:val="45EC718C"/>
    <w:rsid w:val="65867DC0"/>
    <w:rsid w:val="70DD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2">
    <w:name w:val="List Paragraph"/>
    <w:basedOn w:val="1"/>
    <w:qFormat/>
    <w:uiPriority w:val="34"/>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3"/>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eastAsia="宋体" w:cs="Arial"/>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1"/>
    <w:qFormat/>
    <w:uiPriority w:val="99"/>
    <w:pPr>
      <w:tabs>
        <w:tab w:val="center" w:pos="4153"/>
        <w:tab w:val="right" w:pos="8306"/>
      </w:tabs>
      <w:snapToGrid w:val="0"/>
      <w:jc w:val="left"/>
    </w:pPr>
    <w:rPr>
      <w:sz w:val="18"/>
      <w:szCs w:val="18"/>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b138e07f-9145-4666-8f27-4808d01a5c75"/>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8af0c328-bbe8-4d2a-82ad-3d84f16bdf5d"/>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af64ad99-7345-403f-ba22-848528848f01"/>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e09dd7a6-0dc0-4e2a-9639-84cebdbb2ed3"/>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9"/>
    <w:qFormat/>
    <w:uiPriority w:val="0"/>
    <w:rPr>
      <w:rFonts w:ascii="黑体" w:hAnsi="Courier New" w:eastAsia="黑体"/>
    </w:rPr>
  </w:style>
  <w:style w:type="character" w:customStyle="1" w:styleId="300">
    <w:name w:val="正文文本 2 Char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40"/>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3"/>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43769</Words>
  <Characters>45920</Characters>
  <Paragraphs>2199</Paragraphs>
  <TotalTime>26</TotalTime>
  <ScaleCrop>false</ScaleCrop>
  <LinksUpToDate>false</LinksUpToDate>
  <CharactersWithSpaces>51792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1</cp:lastModifiedBy>
  <cp:lastPrinted>2022-02-16T04:58:00Z</cp:lastPrinted>
  <dcterms:modified xsi:type="dcterms:W3CDTF">2022-03-21T10:19:48Z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14481659DD634A1EA8FFE12E769DB993</vt:lpwstr>
  </property>
</Properties>
</file>