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p>
    <w:p>
      <w:pPr>
        <w:spacing w:line="360" w:lineRule="auto"/>
        <w:jc w:val="both"/>
        <w:rPr>
          <w:rFonts w:hint="eastAsia" w:ascii="仿宋" w:hAnsi="仿宋" w:eastAsia="仿宋" w:cs="仿宋"/>
          <w:b/>
          <w:color w:val="auto"/>
          <w:sz w:val="44"/>
          <w:szCs w:val="44"/>
        </w:rPr>
      </w:pPr>
    </w:p>
    <w:p>
      <w:pPr>
        <w:adjustRightInd/>
        <w:spacing w:line="360" w:lineRule="auto"/>
        <w:jc w:val="center"/>
        <w:rPr>
          <w:rFonts w:hint="eastAsia" w:ascii="仿宋" w:hAnsi="仿宋" w:eastAsia="仿宋" w:cs="仿宋"/>
          <w:b/>
          <w:color w:val="auto"/>
          <w:sz w:val="48"/>
          <w:szCs w:val="48"/>
        </w:rPr>
      </w:pPr>
    </w:p>
    <w:p>
      <w:pPr>
        <w:adjustRightInd/>
        <w:spacing w:line="360" w:lineRule="auto"/>
        <w:jc w:val="center"/>
        <w:rPr>
          <w:rFonts w:hint="eastAsia" w:ascii="仿宋" w:hAnsi="仿宋" w:eastAsia="仿宋" w:cs="仿宋"/>
          <w:color w:val="auto"/>
          <w:sz w:val="40"/>
          <w:szCs w:val="40"/>
        </w:rPr>
      </w:pPr>
      <w:r>
        <w:rPr>
          <w:rFonts w:hint="eastAsia" w:ascii="仿宋" w:hAnsi="仿宋" w:eastAsia="仿宋" w:cs="仿宋"/>
          <w:b/>
          <w:color w:val="auto"/>
          <w:sz w:val="40"/>
          <w:szCs w:val="40"/>
          <w:lang w:val="en-US" w:eastAsia="zh-CN"/>
        </w:rPr>
        <w:t>新街街道亚运安保全域感知建设服务采购项目</w:t>
      </w: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（电子招投标）</w:t>
      </w:r>
    </w:p>
    <w:p>
      <w:pPr>
        <w:snapToGrid w:val="0"/>
        <w:spacing w:line="360" w:lineRule="auto"/>
        <w:jc w:val="center"/>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编号:XZCGDL2022-GK-ZCY004</w:t>
      </w: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杭州市萧山区人民政府新街街道办事处</w:t>
      </w:r>
    </w:p>
    <w:p>
      <w:pPr>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浙江华域高宇项目管理有限公司</w:t>
      </w:r>
    </w:p>
    <w:p>
      <w:pPr>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二〇二</w:t>
      </w:r>
      <w:r>
        <w:rPr>
          <w:rFonts w:hint="eastAsia" w:ascii="仿宋" w:hAnsi="仿宋" w:eastAsia="仿宋" w:cs="仿宋"/>
          <w:bCs/>
          <w:color w:val="auto"/>
          <w:sz w:val="32"/>
          <w:szCs w:val="32"/>
          <w:lang w:val="en-US" w:eastAsia="zh-CN"/>
        </w:rPr>
        <w:t>二</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eastAsia="zh-CN"/>
        </w:rPr>
        <w:t>三十</w:t>
      </w:r>
      <w:r>
        <w:rPr>
          <w:rFonts w:hint="eastAsia" w:ascii="仿宋" w:hAnsi="仿宋" w:eastAsia="仿宋" w:cs="仿宋"/>
          <w:bCs/>
          <w:color w:val="auto"/>
          <w:sz w:val="32"/>
          <w:szCs w:val="32"/>
        </w:rPr>
        <w:t>日</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本招标文件为20</w:t>
      </w:r>
      <w:r>
        <w:rPr>
          <w:rFonts w:hint="eastAsia" w:ascii="仿宋" w:hAnsi="仿宋" w:eastAsia="仿宋" w:cs="仿宋"/>
          <w:color w:val="auto"/>
          <w:sz w:val="24"/>
          <w:lang w:val="en-US" w:eastAsia="zh-CN"/>
        </w:rPr>
        <w:t>22</w:t>
      </w:r>
      <w:r>
        <w:rPr>
          <w:rFonts w:hint="eastAsia" w:ascii="仿宋" w:hAnsi="仿宋" w:eastAsia="仿宋" w:cs="仿宋"/>
          <w:color w:val="auto"/>
          <w:sz w:val="24"/>
        </w:rPr>
        <w:t>年</w:t>
      </w:r>
      <w:r>
        <w:rPr>
          <w:rFonts w:hint="eastAsia" w:ascii="仿宋" w:hAnsi="仿宋" w:eastAsia="仿宋" w:cs="仿宋"/>
          <w:color w:val="auto"/>
          <w:sz w:val="24"/>
          <w:lang w:val="en-US" w:eastAsia="zh-CN"/>
        </w:rPr>
        <w:t>2</w:t>
      </w:r>
      <w:r>
        <w:rPr>
          <w:rFonts w:hint="eastAsia" w:ascii="仿宋" w:hAnsi="仿宋" w:eastAsia="仿宋" w:cs="仿宋"/>
          <w:color w:val="auto"/>
          <w:sz w:val="24"/>
        </w:rPr>
        <w:t>月新制版本，请各位投标人详细阅读各项条款</w:t>
      </w:r>
      <w:r>
        <w:rPr>
          <w:rFonts w:hint="eastAsia" w:ascii="仿宋" w:hAnsi="仿宋" w:eastAsia="仿宋" w:cs="仿宋"/>
          <w:color w:val="auto"/>
          <w:sz w:val="24"/>
        </w:rPr>
        <w:br w:type="page"/>
      </w:r>
      <w:bookmarkStart w:id="0" w:name="_Hlt67893495"/>
      <w:bookmarkEnd w:id="0"/>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rPr>
        <w:t>（</w:t>
      </w:r>
      <w:r>
        <w:rPr>
          <w:rFonts w:hint="eastAsia" w:ascii="仿宋" w:hAnsi="仿宋" w:eastAsia="仿宋" w:cs="仿宋"/>
          <w:color w:val="auto"/>
          <w:sz w:val="24"/>
          <w:u w:val="single"/>
          <w:lang w:eastAsia="zh-CN"/>
        </w:rPr>
        <w:t>新街街道亚运安保全域感知建设服务采购项目</w:t>
      </w:r>
      <w:r>
        <w:rPr>
          <w:rFonts w:hint="eastAsia" w:ascii="仿宋" w:hAnsi="仿宋" w:eastAsia="仿宋" w:cs="仿宋"/>
          <w:color w:val="auto"/>
          <w:sz w:val="24"/>
          <w:u w:val="single"/>
        </w:rPr>
        <w:t>）</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Style w:val="76"/>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lang w:eastAsia="zh-CN"/>
        </w:rPr>
        <w:t>XZCGDL2022-GK-ZCY004</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lang w:eastAsia="zh-CN"/>
        </w:rPr>
        <w:t>新街街道亚运安保全域感知建设服务采购项目</w:t>
      </w:r>
    </w:p>
    <w:p>
      <w:pPr>
        <w:spacing w:line="360" w:lineRule="auto"/>
        <w:ind w:left="420" w:leftChars="200"/>
        <w:jc w:val="left"/>
        <w:rPr>
          <w:rFonts w:hint="eastAsia" w:ascii="仿宋" w:hAnsi="仿宋" w:eastAsia="仿宋" w:cs="仿宋"/>
          <w:color w:val="auto"/>
          <w:sz w:val="24"/>
          <w:szCs w:val="28"/>
          <w:highlight w:val="none"/>
          <w:lang w:val="en-US" w:eastAsia="zh-CN"/>
        </w:rPr>
      </w:pPr>
      <w:r>
        <w:rPr>
          <w:rFonts w:hint="eastAsia" w:ascii="仿宋" w:hAnsi="仿宋" w:eastAsia="仿宋" w:cs="仿宋"/>
          <w:color w:val="auto"/>
          <w:sz w:val="24"/>
          <w:szCs w:val="28"/>
          <w:highlight w:val="none"/>
        </w:rPr>
        <w:t>预算金额：</w:t>
      </w:r>
      <w:r>
        <w:rPr>
          <w:rFonts w:hint="eastAsia" w:ascii="仿宋" w:hAnsi="仿宋" w:eastAsia="仿宋" w:cs="仿宋"/>
          <w:color w:val="auto"/>
          <w:sz w:val="24"/>
          <w:szCs w:val="28"/>
          <w:highlight w:val="none"/>
          <w:lang w:eastAsia="zh-CN"/>
        </w:rPr>
        <w:t>标项一：</w:t>
      </w:r>
      <w:r>
        <w:rPr>
          <w:rFonts w:hint="eastAsia" w:ascii="仿宋" w:hAnsi="仿宋" w:eastAsia="仿宋" w:cs="仿宋"/>
          <w:color w:val="auto"/>
          <w:sz w:val="24"/>
          <w:szCs w:val="28"/>
          <w:highlight w:val="none"/>
        </w:rPr>
        <w:t>5798674.00元</w:t>
      </w:r>
      <w:r>
        <w:rPr>
          <w:rFonts w:hint="eastAsia" w:ascii="仿宋" w:hAnsi="仿宋" w:eastAsia="仿宋" w:cs="仿宋"/>
          <w:color w:val="auto"/>
          <w:sz w:val="24"/>
          <w:szCs w:val="28"/>
          <w:highlight w:val="none"/>
          <w:lang w:val="en-US" w:eastAsia="zh-CN"/>
        </w:rPr>
        <w:t xml:space="preserve">  </w:t>
      </w:r>
      <w:r>
        <w:rPr>
          <w:rFonts w:hint="eastAsia" w:ascii="仿宋" w:hAnsi="仿宋" w:eastAsia="仿宋" w:cs="仿宋"/>
          <w:color w:val="auto"/>
          <w:sz w:val="24"/>
          <w:szCs w:val="28"/>
          <w:highlight w:val="none"/>
          <w:lang w:eastAsia="zh-CN"/>
        </w:rPr>
        <w:t>标项二：</w:t>
      </w:r>
      <w:r>
        <w:rPr>
          <w:rFonts w:hint="eastAsia" w:ascii="仿宋" w:hAnsi="仿宋" w:eastAsia="仿宋" w:cs="仿宋"/>
          <w:color w:val="auto"/>
          <w:sz w:val="24"/>
          <w:szCs w:val="28"/>
          <w:highlight w:val="none"/>
        </w:rPr>
        <w:t>5180267</w:t>
      </w:r>
      <w:r>
        <w:rPr>
          <w:rFonts w:hint="eastAsia" w:ascii="仿宋" w:hAnsi="仿宋" w:eastAsia="仿宋" w:cs="仿宋"/>
          <w:color w:val="auto"/>
          <w:sz w:val="24"/>
          <w:szCs w:val="28"/>
          <w:highlight w:val="none"/>
          <w:lang w:val="en-US" w:eastAsia="zh-CN"/>
        </w:rPr>
        <w:t>.00</w:t>
      </w:r>
      <w:r>
        <w:rPr>
          <w:rFonts w:hint="eastAsia" w:ascii="仿宋" w:hAnsi="仿宋" w:eastAsia="仿宋" w:cs="仿宋"/>
          <w:color w:val="auto"/>
          <w:sz w:val="24"/>
          <w:szCs w:val="28"/>
          <w:highlight w:val="none"/>
        </w:rPr>
        <w:t xml:space="preserve"> 元</w:t>
      </w:r>
    </w:p>
    <w:p>
      <w:pPr>
        <w:spacing w:line="360" w:lineRule="auto"/>
        <w:ind w:left="420" w:leftChars="200"/>
        <w:jc w:val="left"/>
        <w:rPr>
          <w:rFonts w:hint="eastAsia" w:ascii="仿宋" w:hAnsi="仿宋" w:eastAsia="仿宋" w:cs="仿宋"/>
          <w:color w:val="auto"/>
          <w:sz w:val="24"/>
        </w:rPr>
      </w:pPr>
      <w:r>
        <w:rPr>
          <w:rFonts w:hint="eastAsia" w:ascii="仿宋" w:hAnsi="仿宋" w:eastAsia="仿宋" w:cs="仿宋"/>
          <w:color w:val="auto"/>
          <w:sz w:val="24"/>
          <w:szCs w:val="28"/>
          <w:highlight w:val="none"/>
        </w:rPr>
        <w:t>最高限价：</w:t>
      </w:r>
      <w:r>
        <w:rPr>
          <w:rFonts w:hint="eastAsia" w:ascii="仿宋" w:hAnsi="仿宋" w:eastAsia="仿宋" w:cs="仿宋"/>
          <w:color w:val="auto"/>
          <w:sz w:val="24"/>
          <w:szCs w:val="28"/>
          <w:highlight w:val="none"/>
          <w:lang w:eastAsia="zh-CN"/>
        </w:rPr>
        <w:t>标项一：</w:t>
      </w:r>
      <w:r>
        <w:rPr>
          <w:rFonts w:hint="eastAsia" w:ascii="仿宋" w:hAnsi="仿宋" w:eastAsia="仿宋" w:cs="仿宋"/>
          <w:color w:val="auto"/>
          <w:sz w:val="24"/>
          <w:szCs w:val="28"/>
          <w:highlight w:val="none"/>
        </w:rPr>
        <w:t>5798674.00元</w:t>
      </w:r>
      <w:r>
        <w:rPr>
          <w:rFonts w:hint="eastAsia" w:ascii="仿宋" w:hAnsi="仿宋" w:eastAsia="仿宋" w:cs="仿宋"/>
          <w:color w:val="auto"/>
          <w:sz w:val="24"/>
          <w:szCs w:val="28"/>
          <w:highlight w:val="none"/>
          <w:lang w:val="en-US" w:eastAsia="zh-CN"/>
        </w:rPr>
        <w:t xml:space="preserve">  </w:t>
      </w:r>
      <w:r>
        <w:rPr>
          <w:rFonts w:hint="eastAsia" w:ascii="仿宋" w:hAnsi="仿宋" w:eastAsia="仿宋" w:cs="仿宋"/>
          <w:color w:val="auto"/>
          <w:sz w:val="24"/>
          <w:szCs w:val="28"/>
          <w:highlight w:val="none"/>
          <w:lang w:eastAsia="zh-CN"/>
        </w:rPr>
        <w:t>标项二：</w:t>
      </w:r>
      <w:r>
        <w:rPr>
          <w:rFonts w:hint="eastAsia" w:ascii="仿宋" w:hAnsi="仿宋" w:eastAsia="仿宋" w:cs="仿宋"/>
          <w:color w:val="auto"/>
          <w:sz w:val="24"/>
          <w:szCs w:val="28"/>
          <w:highlight w:val="none"/>
        </w:rPr>
        <w:t>5180267</w:t>
      </w:r>
      <w:r>
        <w:rPr>
          <w:rFonts w:hint="eastAsia" w:ascii="仿宋" w:hAnsi="仿宋" w:eastAsia="仿宋" w:cs="仿宋"/>
          <w:color w:val="auto"/>
          <w:sz w:val="24"/>
          <w:szCs w:val="28"/>
          <w:highlight w:val="none"/>
          <w:lang w:val="en-US" w:eastAsia="zh-CN"/>
        </w:rPr>
        <w:t>.00</w:t>
      </w:r>
      <w:r>
        <w:rPr>
          <w:rFonts w:hint="eastAsia" w:ascii="仿宋" w:hAnsi="仿宋" w:eastAsia="仿宋" w:cs="仿宋"/>
          <w:color w:val="auto"/>
          <w:sz w:val="24"/>
          <w:szCs w:val="28"/>
          <w:highlight w:val="none"/>
        </w:rPr>
        <w:t xml:space="preserve"> 元</w:t>
      </w:r>
    </w:p>
    <w:p>
      <w:pPr>
        <w:pStyle w:val="15"/>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color w:val="auto"/>
          <w:sz w:val="24"/>
          <w:szCs w:val="28"/>
          <w:highlight w:val="none"/>
          <w:lang w:eastAsia="zh-CN"/>
        </w:rPr>
        <w:t>新街街道亚运安保全域感知建设服务采购项目，</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color w:val="auto"/>
          <w:sz w:val="24"/>
          <w:szCs w:val="28"/>
          <w:highlight w:val="none"/>
          <w:lang w:eastAsia="zh-CN"/>
        </w:rPr>
        <w:t>亚运安保全域感知建设服务</w:t>
      </w:r>
      <w:r>
        <w:rPr>
          <w:rFonts w:hint="eastAsia" w:ascii="仿宋" w:hAnsi="仿宋" w:eastAsia="仿宋" w:cs="仿宋"/>
          <w:bCs/>
          <w:snapToGrid/>
          <w:color w:val="auto"/>
          <w:kern w:val="2"/>
          <w:sz w:val="24"/>
          <w:szCs w:val="24"/>
          <w:highlight w:val="none"/>
        </w:rPr>
        <w:t>。详见招标文件第三部分采购需求。</w:t>
      </w:r>
    </w:p>
    <w:p>
      <w:pPr>
        <w:pStyle w:val="128"/>
        <w:ind w:firstLine="482"/>
        <w:outlineLvl w:val="2"/>
        <w:rPr>
          <w:rFonts w:hint="default" w:ascii="仿宋" w:hAnsi="仿宋" w:eastAsia="仿宋" w:cs="仿宋"/>
          <w:color w:val="auto"/>
          <w:lang w:val="en-US" w:eastAsia="zh-CN"/>
        </w:rPr>
      </w:pPr>
      <w:r>
        <w:rPr>
          <w:rFonts w:hint="eastAsia" w:ascii="仿宋" w:hAnsi="仿宋" w:eastAsia="仿宋" w:cs="仿宋"/>
          <w:b/>
          <w:color w:val="auto"/>
        </w:rPr>
        <w:t>合同履约期限：</w:t>
      </w:r>
      <w:r>
        <w:rPr>
          <w:rFonts w:hint="eastAsia" w:ascii="仿宋" w:hAnsi="仿宋" w:eastAsia="仿宋" w:cs="仿宋"/>
          <w:b/>
          <w:color w:val="auto"/>
          <w:lang w:val="en-US" w:eastAsia="zh-CN"/>
        </w:rPr>
        <w:t>详见招标文件</w:t>
      </w:r>
    </w:p>
    <w:p>
      <w:pPr>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 xml:space="preserve">本项目接受联合体投标：（ ）是；（√）否 </w:t>
      </w:r>
      <w:r>
        <w:rPr>
          <w:rFonts w:hint="eastAsia" w:ascii="仿宋" w:hAnsi="仿宋" w:eastAsia="仿宋" w:cs="仿宋"/>
          <w:color w:val="auto"/>
          <w:kern w:val="0"/>
          <w:sz w:val="24"/>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w:t>
      </w:r>
      <w:r>
        <w:rPr>
          <w:rFonts w:hint="eastAsia" w:ascii="仿宋" w:hAnsi="仿宋" w:eastAsia="仿宋" w:cs="仿宋"/>
          <w:color w:val="auto"/>
          <w:sz w:val="24"/>
        </w:rPr>
        <w:t>）无；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）专门面向中小企业</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）货物全部由符合政策要求的中小企业制造，提供中小企业声明函；</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）货物全部由符合政策要求的小微企业制造，提供中小企业声明函；</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）服务全部由符合政策要求的中小企业承接，提供中小企业声明函；</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）服务全部由符合政策要求的小微企业承接，提供中小企业声明函；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3.本项目的特定资格要求：无；</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20</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r>
        <w:rPr>
          <w:rFonts w:hint="eastAsia" w:ascii="仿宋" w:hAnsi="仿宋" w:eastAsia="仿宋" w:cs="仿宋"/>
          <w:color w:val="auto"/>
          <w:sz w:val="24"/>
          <w:szCs w:val="28"/>
        </w:rPr>
        <w:t>[杭州市萧山区博学路618号科创中心B幢行政服务中心4楼404室。]</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widowControl/>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rPr>
        <w:t xml:space="preserve">   </w:t>
      </w:r>
      <w:r>
        <w:rPr>
          <w:rFonts w:hint="eastAsia" w:ascii="仿宋" w:hAnsi="仿宋" w:eastAsia="仿宋" w:cs="仿宋"/>
          <w:color w:val="auto"/>
          <w:sz w:val="24"/>
          <w:szCs w:val="28"/>
        </w:rPr>
        <w:t>1.采购人信息</w:t>
      </w:r>
    </w:p>
    <w:p>
      <w:pPr>
        <w:spacing w:line="360" w:lineRule="auto"/>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名 称：</w:t>
      </w:r>
      <w:r>
        <w:rPr>
          <w:rFonts w:hint="eastAsia" w:ascii="仿宋" w:hAnsi="仿宋" w:eastAsia="仿宋" w:cs="仿宋"/>
          <w:color w:val="auto"/>
          <w:sz w:val="24"/>
          <w:szCs w:val="28"/>
          <w:lang w:eastAsia="zh-CN"/>
        </w:rPr>
        <w:t>杭州市萧山区人民政府新街街道办事处</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地址：萧山区新街街道北塘东路900号办事服务中心</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传真：\</w:t>
      </w:r>
    </w:p>
    <w:p>
      <w:pPr>
        <w:spacing w:line="360" w:lineRule="auto"/>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项目联系人（询问）：</w:t>
      </w:r>
      <w:r>
        <w:rPr>
          <w:rFonts w:hint="eastAsia" w:ascii="仿宋" w:hAnsi="仿宋" w:eastAsia="仿宋" w:cs="仿宋"/>
          <w:color w:val="auto"/>
          <w:sz w:val="24"/>
          <w:szCs w:val="28"/>
          <w:highlight w:val="none"/>
        </w:rPr>
        <w:t>苗国兴</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项目联系方式（询问）：</w:t>
      </w:r>
      <w:r>
        <w:rPr>
          <w:rFonts w:hint="eastAsia" w:ascii="仿宋" w:hAnsi="仿宋" w:eastAsia="仿宋" w:cs="仿宋"/>
          <w:color w:val="auto"/>
          <w:sz w:val="24"/>
          <w:szCs w:val="28"/>
          <w:highlight w:val="none"/>
        </w:rPr>
        <w:t>0571-83686237</w:t>
      </w:r>
      <w:r>
        <w:rPr>
          <w:rFonts w:hint="eastAsia" w:ascii="仿宋" w:hAnsi="仿宋" w:eastAsia="仿宋" w:cs="仿宋"/>
          <w:color w:val="auto"/>
          <w:sz w:val="24"/>
          <w:szCs w:val="28"/>
        </w:rPr>
        <w:t xml:space="preserve">    </w:t>
      </w:r>
    </w:p>
    <w:p>
      <w:pPr>
        <w:spacing w:line="360" w:lineRule="auto"/>
        <w:jc w:val="left"/>
        <w:rPr>
          <w:rFonts w:hint="eastAsia" w:ascii="仿宋" w:hAnsi="仿宋" w:eastAsia="仿宋" w:cs="仿宋"/>
          <w:color w:val="auto"/>
          <w:sz w:val="24"/>
          <w:szCs w:val="28"/>
          <w:highlight w:val="none"/>
        </w:rPr>
      </w:pPr>
      <w:bookmarkStart w:id="11" w:name="_Toc28359009"/>
      <w:bookmarkStart w:id="12" w:name="_Toc28359086"/>
      <w:r>
        <w:rPr>
          <w:rFonts w:hint="eastAsia" w:ascii="仿宋" w:hAnsi="仿宋" w:eastAsia="仿宋" w:cs="仿宋"/>
          <w:color w:val="auto"/>
          <w:sz w:val="24"/>
          <w:szCs w:val="28"/>
          <w:highlight w:val="none"/>
        </w:rPr>
        <w:t xml:space="preserve">质疑联系人：倪建波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highlight w:val="none"/>
        </w:rPr>
        <w:t>质疑联系方式：0571-82609950</w:t>
      </w:r>
      <w:r>
        <w:rPr>
          <w:rFonts w:hint="eastAsia" w:ascii="仿宋" w:hAnsi="仿宋" w:eastAsia="仿宋" w:cs="仿宋"/>
          <w:color w:val="auto"/>
          <w:sz w:val="24"/>
          <w:szCs w:val="28"/>
        </w:rPr>
        <w:t xml:space="preserve">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2.采购代理机构信息</w:t>
      </w:r>
      <w:bookmarkEnd w:id="11"/>
      <w:bookmarkEnd w:id="12"/>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名 称：浙江华域高宇项目管理有限公司</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地址：萧山区北干街道金城路560号心意广场2幢1101室</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传真：0571-22866657</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项目联系人（询问）：陈超</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项目联系方式（询问）：0571-22816663/13738195695</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质疑联系人：高天宇</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质疑联系方式：0571-22816663</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3.同级政府采购监督管理部门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名    称：萧山区财政局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地    址：萧山区人民路318号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传   真：0571-82752687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联系人 ：陈先生             </w:t>
      </w:r>
    </w:p>
    <w:p>
      <w:pPr>
        <w:spacing w:line="360" w:lineRule="auto"/>
        <w:rPr>
          <w:rFonts w:hint="eastAsia" w:ascii="仿宋" w:hAnsi="仿宋" w:eastAsia="仿宋" w:cs="仿宋"/>
          <w:color w:val="auto"/>
          <w:sz w:val="24"/>
        </w:rPr>
      </w:pPr>
      <w:r>
        <w:rPr>
          <w:rFonts w:hint="eastAsia" w:ascii="仿宋" w:hAnsi="仿宋" w:eastAsia="仿宋" w:cs="仿宋"/>
          <w:color w:val="auto"/>
          <w:sz w:val="24"/>
          <w:szCs w:val="28"/>
        </w:rPr>
        <w:t xml:space="preserve">监督投诉电话：0571-82752687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w:t>
      </w:r>
    </w:p>
    <w:p>
      <w:pPr>
        <w:pStyle w:val="33"/>
        <w:spacing w:line="360" w:lineRule="auto"/>
        <w:ind w:firstLine="480" w:firstLineChars="200"/>
        <w:rPr>
          <w:rFonts w:hint="eastAsia" w:ascii="仿宋" w:hAnsi="仿宋" w:eastAsia="仿宋" w:cs="仿宋"/>
          <w:color w:val="auto"/>
          <w:sz w:val="24"/>
        </w:rPr>
      </w:pP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 xml:space="preserve">              </w:t>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8"/>
      <w:r>
        <w:rPr>
          <w:rFonts w:hint="eastAsia" w:ascii="仿宋" w:hAnsi="仿宋" w:eastAsia="仿宋" w:cs="仿宋"/>
          <w:b/>
          <w:color w:val="auto"/>
          <w:sz w:val="36"/>
          <w:szCs w:val="20"/>
        </w:rPr>
        <w:t xml:space="preserve"> 投标人须知</w:t>
      </w:r>
      <w:bookmarkEnd w:id="9"/>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6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lang w:val="en-US" w:eastAsia="zh-CN"/>
              </w:rPr>
              <w:t>(   )</w:t>
            </w:r>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kern w:val="0"/>
                <w:sz w:val="24"/>
                <w:lang w:val="en-US" w:eastAsia="zh-CN"/>
              </w:rPr>
              <w:t>(</w:t>
            </w:r>
            <w:r>
              <w:rPr>
                <w:rFonts w:hint="eastAsia" w:ascii="仿宋" w:hAnsi="仿宋" w:eastAsia="仿宋" w:cs="仿宋"/>
                <w:b/>
                <w:color w:val="auto"/>
                <w:sz w:val="24"/>
              </w:rPr>
              <w:t>√</w:t>
            </w:r>
            <w:r>
              <w:rPr>
                <w:rFonts w:hint="eastAsia" w:ascii="仿宋" w:hAnsi="仿宋" w:eastAsia="仿宋" w:cs="仿宋"/>
                <w:b/>
                <w:color w:val="auto"/>
                <w:sz w:val="24"/>
                <w:lang w:val="en-US" w:eastAsia="zh-CN"/>
              </w:rPr>
              <w:t xml:space="preserve"> </w:t>
            </w:r>
            <w:r>
              <w:rPr>
                <w:rFonts w:hint="eastAsia" w:ascii="仿宋" w:hAnsi="仿宋" w:eastAsia="仿宋" w:cs="仿宋"/>
                <w:color w:val="auto"/>
                <w:kern w:val="0"/>
                <w:sz w:val="24"/>
                <w:lang w:val="en-US" w:eastAsia="zh-CN"/>
              </w:rPr>
              <w:t>)</w:t>
            </w:r>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仿宋" w:hAnsi="仿宋" w:eastAsia="仿宋" w:cs="仿宋"/>
                <w:color w:val="auto"/>
                <w:kern w:val="0"/>
                <w:sz w:val="24"/>
              </w:rPr>
            </w:pPr>
            <w:r>
              <w:rPr>
                <w:rFonts w:hint="eastAsia" w:ascii="仿宋" w:hAnsi="仿宋" w:eastAsia="仿宋" w:cs="仿宋"/>
                <w:color w:val="auto"/>
                <w:kern w:val="0"/>
                <w:sz w:val="24"/>
              </w:rPr>
              <w:t>（1）标的：</w:t>
            </w:r>
            <w:r>
              <w:rPr>
                <w:rFonts w:hint="eastAsia" w:ascii="仿宋" w:hAnsi="仿宋" w:eastAsia="仿宋" w:cs="仿宋"/>
                <w:color w:val="auto"/>
                <w:sz w:val="24"/>
                <w:u w:val="single"/>
                <w:lang w:eastAsia="zh-CN"/>
              </w:rPr>
              <w:t>新街街道亚运安保全域感知建设服务采购项目</w:t>
            </w:r>
            <w:r>
              <w:rPr>
                <w:rFonts w:hint="eastAsia" w:ascii="仿宋" w:hAnsi="仿宋" w:eastAsia="仿宋" w:cs="仿宋"/>
                <w:color w:val="auto"/>
                <w:kern w:val="0"/>
                <w:sz w:val="24"/>
              </w:rPr>
              <w:t>，属于</w:t>
            </w:r>
            <w:r>
              <w:rPr>
                <w:rFonts w:hint="eastAsia" w:ascii="仿宋" w:hAnsi="仿宋" w:eastAsia="仿宋" w:cs="仿宋"/>
                <w:color w:val="auto"/>
                <w:sz w:val="24"/>
                <w:highlight w:val="none"/>
                <w:u w:val="single"/>
                <w:lang w:eastAsia="zh-CN"/>
              </w:rPr>
              <w:t>其他未列明</w:t>
            </w:r>
            <w:r>
              <w:rPr>
                <w:rFonts w:hint="eastAsia" w:ascii="仿宋" w:hAnsi="仿宋" w:eastAsia="仿宋" w:cs="仿宋"/>
                <w:color w:val="auto"/>
                <w:sz w:val="24"/>
                <w:highlight w:val="none"/>
                <w:u w:val="single"/>
                <w:lang w:val="en-US" w:eastAsia="zh-CN"/>
              </w:rPr>
              <w:t>行业</w:t>
            </w:r>
            <w:r>
              <w:rPr>
                <w:rFonts w:hint="eastAsia" w:ascii="仿宋" w:hAnsi="仿宋" w:eastAsia="仿宋" w:cs="仿宋"/>
                <w:color w:val="auto"/>
                <w:kern w:val="0"/>
                <w:sz w:val="24"/>
              </w:rPr>
              <w:t>；</w:t>
            </w:r>
          </w:p>
          <w:p>
            <w:pPr>
              <w:rPr>
                <w:rFonts w:hint="eastAsia" w:ascii="仿宋" w:hAnsi="仿宋" w:eastAsia="仿宋" w:cs="仿宋"/>
                <w:color w:val="auto"/>
                <w:kern w:val="0"/>
                <w:sz w:val="24"/>
                <w:lang w:val="en-US"/>
              </w:rPr>
            </w:pPr>
            <w:r>
              <w:rPr>
                <w:rFonts w:hint="eastAsia" w:ascii="仿宋" w:hAnsi="仿宋" w:eastAsia="仿宋" w:cs="仿宋"/>
                <w:color w:val="auto"/>
                <w:kern w:val="0"/>
                <w:sz w:val="24"/>
                <w:lang w:val="en-US"/>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行业划分标准：</w:t>
            </w:r>
          </w:p>
          <w:p>
            <w:pPr>
              <w:rPr>
                <w:rFonts w:hint="eastAsia" w:ascii="仿宋" w:hAnsi="仿宋" w:eastAsia="仿宋" w:cs="仿宋"/>
                <w:color w:val="auto"/>
                <w:lang w:val="en-US"/>
              </w:rPr>
            </w:pPr>
            <w:r>
              <w:rPr>
                <w:rFonts w:hint="eastAsia" w:ascii="仿宋" w:hAnsi="仿宋" w:eastAsia="仿宋" w:cs="仿宋"/>
                <w:color w:val="auto"/>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32"/>
              </w:rPr>
            </w:pPr>
            <w:r>
              <w:rPr>
                <w:rFonts w:hint="eastAsia" w:ascii="仿宋" w:hAnsi="仿宋" w:eastAsia="仿宋" w:cs="仿宋"/>
                <w:color w:val="auto"/>
                <w:kern w:val="0"/>
                <w:sz w:val="24"/>
                <w:lang w:val="en-US" w:eastAsia="zh-CN"/>
              </w:rPr>
              <w:t>(</w:t>
            </w:r>
            <w:r>
              <w:rPr>
                <w:rFonts w:hint="eastAsia" w:ascii="仿宋" w:hAnsi="仿宋" w:eastAsia="仿宋" w:cs="仿宋"/>
                <w:b/>
                <w:color w:val="auto"/>
                <w:sz w:val="24"/>
              </w:rPr>
              <w:t>√</w:t>
            </w:r>
            <w:r>
              <w:rPr>
                <w:rFonts w:hint="eastAsia" w:ascii="仿宋" w:hAnsi="仿宋" w:eastAsia="仿宋" w:cs="仿宋"/>
                <w:b/>
                <w:color w:val="auto"/>
                <w:sz w:val="24"/>
                <w:lang w:val="en-US" w:eastAsia="zh-CN"/>
              </w:rPr>
              <w:t xml:space="preserve"> </w:t>
            </w:r>
            <w:r>
              <w:rPr>
                <w:rFonts w:hint="eastAsia" w:ascii="仿宋" w:hAnsi="仿宋" w:eastAsia="仿宋" w:cs="仿宋"/>
                <w:color w:val="auto"/>
                <w:kern w:val="0"/>
                <w:sz w:val="24"/>
                <w:lang w:val="en-US" w:eastAsia="zh-CN"/>
              </w:rPr>
              <w:t>)</w:t>
            </w:r>
            <w:r>
              <w:rPr>
                <w:rFonts w:hint="eastAsia" w:ascii="仿宋" w:hAnsi="仿宋" w:eastAsia="仿宋" w:cs="仿宋"/>
                <w:color w:val="auto"/>
                <w:sz w:val="24"/>
                <w:szCs w:val="32"/>
              </w:rPr>
              <w:t>本项目不允许采购进口产品。</w:t>
            </w:r>
          </w:p>
          <w:p>
            <w:pPr>
              <w:spacing w:line="360" w:lineRule="auto"/>
              <w:rPr>
                <w:rFonts w:hint="eastAsia" w:ascii="仿宋" w:hAnsi="仿宋" w:eastAsia="仿宋" w:cs="仿宋"/>
                <w:color w:val="auto"/>
                <w:sz w:val="24"/>
                <w:szCs w:val="32"/>
              </w:rPr>
            </w:pPr>
            <w:r>
              <w:rPr>
                <w:rFonts w:hint="eastAsia" w:ascii="仿宋" w:hAnsi="仿宋" w:eastAsia="仿宋" w:cs="仿宋"/>
                <w:color w:val="auto"/>
                <w:kern w:val="0"/>
                <w:sz w:val="24"/>
                <w:lang w:val="en-US" w:eastAsia="zh-CN"/>
              </w:rPr>
              <w:t>(   )</w:t>
            </w:r>
            <w:r>
              <w:rPr>
                <w:rFonts w:hint="eastAsia" w:ascii="仿宋" w:hAnsi="仿宋" w:eastAsia="仿宋" w:cs="仿宋"/>
                <w:color w:val="auto"/>
                <w:sz w:val="24"/>
                <w:szCs w:val="32"/>
              </w:rPr>
              <w:t>可以就    采购进口产品。</w:t>
            </w:r>
          </w:p>
          <w:p>
            <w:pPr>
              <w:pStyle w:val="4"/>
              <w:rPr>
                <w:rFonts w:hint="eastAsia" w:ascii="仿宋" w:hAnsi="仿宋" w:eastAsia="仿宋" w:cs="仿宋"/>
                <w:color w:val="auto"/>
                <w:lang w:val="en-US" w:eastAsia="zh-CN"/>
              </w:rPr>
            </w:pPr>
            <w:r>
              <w:rPr>
                <w:rFonts w:hint="eastAsia" w:ascii="仿宋" w:hAnsi="仿宋" w:eastAsia="仿宋" w:cs="仿宋"/>
                <w:color w:val="auto"/>
                <w:kern w:val="0"/>
                <w:sz w:val="24"/>
                <w:lang w:val="en-US" w:eastAsia="zh-CN"/>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rPr>
            </w:pPr>
            <w:r>
              <w:rPr>
                <w:rFonts w:hint="eastAsia" w:ascii="仿宋" w:hAnsi="仿宋" w:eastAsia="仿宋" w:cs="仿宋"/>
                <w:b/>
                <w:color w:val="auto"/>
                <w:sz w:val="24"/>
              </w:rPr>
              <w:t>（ ）</w:t>
            </w:r>
            <w:r>
              <w:rPr>
                <w:rFonts w:hint="eastAsia" w:ascii="仿宋" w:hAnsi="仿宋" w:eastAsia="仿宋" w:cs="仿宋"/>
                <w:color w:val="auto"/>
                <w:kern w:val="0"/>
                <w:sz w:val="24"/>
              </w:rPr>
              <w:t>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w:t>
            </w:r>
            <w:r>
              <w:rPr>
                <w:rFonts w:hint="eastAsia" w:ascii="仿宋" w:hAnsi="仿宋" w:eastAsia="仿宋" w:cs="仿宋"/>
                <w:color w:val="auto"/>
                <w:kern w:val="0"/>
                <w:sz w:val="24"/>
              </w:rPr>
              <w:t>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b/>
                <w:color w:val="auto"/>
                <w:sz w:val="24"/>
              </w:rPr>
              <w:t>（√）</w:t>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w:t>
            </w:r>
            <w:r>
              <w:rPr>
                <w:rFonts w:hint="eastAsia" w:ascii="仿宋" w:hAnsi="仿宋" w:eastAsia="仿宋" w:cs="仿宋"/>
                <w:color w:val="auto"/>
                <w:kern w:val="0"/>
                <w:sz w:val="24"/>
              </w:rPr>
              <w:t>B组织</w:t>
            </w:r>
            <w:r>
              <w:rPr>
                <w:rFonts w:hint="eastAsia" w:ascii="仿宋" w:hAnsi="仿宋" w:eastAsia="仿宋" w:cs="仿宋"/>
                <w:color w:val="auto"/>
                <w:kern w:val="0"/>
                <w:sz w:val="24"/>
                <w:lang w:eastAsia="zh-CN"/>
              </w:rPr>
              <w:t>，</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rPr>
                <w:rFonts w:hint="eastAsia" w:ascii="仿宋" w:hAnsi="仿宋" w:eastAsia="仿宋" w:cs="仿宋"/>
                <w:color w:val="auto"/>
                <w:sz w:val="24"/>
                <w:szCs w:val="20"/>
                <w:lang w:val="en-US" w:eastAsia="zh-CN"/>
              </w:rPr>
            </w:pP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u w:val="none"/>
                <w:lang w:eastAsia="zh-CN"/>
              </w:rPr>
              <w:t>；</w:t>
            </w:r>
            <w:r>
              <w:rPr>
                <w:rFonts w:hint="eastAsia" w:ascii="仿宋" w:hAnsi="仿宋" w:eastAsia="仿宋" w:cs="仿宋"/>
                <w:color w:val="auto"/>
                <w:sz w:val="24"/>
                <w:u w:val="none"/>
                <w:lang w:val="en-US" w:eastAsia="zh-CN"/>
              </w:rPr>
              <w:t>其他说明：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val="0"/>
                <w:bCs/>
                <w:color w:val="auto"/>
                <w:sz w:val="24"/>
              </w:rPr>
            </w:pPr>
            <w:r>
              <w:rPr>
                <w:rFonts w:hint="eastAsia" w:ascii="仿宋" w:hAnsi="仿宋" w:eastAsia="仿宋" w:cs="仿宋"/>
                <w:b w:val="0"/>
                <w:bCs/>
                <w:color w:val="auto"/>
                <w:sz w:val="24"/>
              </w:rPr>
              <w:t>（√）A不要求提供。</w:t>
            </w:r>
          </w:p>
          <w:p>
            <w:pPr>
              <w:spacing w:line="360" w:lineRule="auto"/>
              <w:rPr>
                <w:rFonts w:hint="eastAsia" w:ascii="仿宋" w:hAnsi="仿宋" w:eastAsia="仿宋" w:cs="仿宋"/>
                <w:b w:val="0"/>
                <w:bCs/>
                <w:color w:val="auto"/>
                <w:sz w:val="24"/>
              </w:rPr>
            </w:pPr>
            <w:r>
              <w:rPr>
                <w:rFonts w:hint="eastAsia" w:ascii="仿宋" w:hAnsi="仿宋" w:eastAsia="仿宋" w:cs="仿宋"/>
                <w:b w:val="0"/>
                <w:bCs/>
                <w:color w:val="auto"/>
                <w:sz w:val="24"/>
              </w:rPr>
              <w:t>（  ）B要求提供，</w:t>
            </w:r>
          </w:p>
          <w:p>
            <w:pPr>
              <w:spacing w:line="360" w:lineRule="auto"/>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）A不组织。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（√）B组织。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（1）在评标时安排每个投标人进行方案讲解演示。每个投标人时间不超过</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分钟，讲解次序以投标文件解密时间先后次序为准，讲解演示人员不超过2人。讲解演示结束后按要求解答评标委员会提问。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（√）现场演示。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1、现场演示：在评标时安排每个投标人现场演示，每个投标人演示时间不超过</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分钟。人员不超过2人，且必须包含法定代表人或其授权代表；现场演示人员进场时携带身份证、授权委托书（详见招标文件格式范例附件5，法人代表可不携带，携带身份证及营业执照复印件），否则不得进场。现场演示后按要求解答评标委员会的提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2、现场演示到场时间：开标当天8：30分至9：</w:t>
            </w:r>
            <w:r>
              <w:rPr>
                <w:rFonts w:hint="eastAsia" w:ascii="仿宋" w:hAnsi="仿宋" w:eastAsia="仿宋" w:cs="仿宋"/>
                <w:color w:val="auto"/>
                <w:sz w:val="24"/>
                <w:highlight w:val="none"/>
                <w:lang w:val="en-US" w:eastAsia="zh-CN"/>
              </w:rPr>
              <w:t>00</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至杭州市萧山区博学路618号科创中心B幢行政服务中心4楼404室</w:t>
            </w:r>
            <w:r>
              <w:rPr>
                <w:rFonts w:hint="eastAsia" w:ascii="仿宋" w:hAnsi="仿宋" w:eastAsia="仿宋" w:cs="仿宋"/>
                <w:color w:val="auto"/>
                <w:sz w:val="24"/>
                <w:highlight w:val="none"/>
              </w:rPr>
              <w:t>等候。</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请投标人做好疫情防控，进场时戴好口罩，出示健康码。</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sz w:val="24"/>
                <w:highlight w:val="none"/>
              </w:rPr>
              <w:t>授权代表准备好健康码及行程码。近期去往过风险区域的经办人自行回避，勿作为授权代表!同时行程码带有其他地区*号的授权代表，请提供48小时核酸检测阴性证明，有健康管理要求或其他防疫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val="0"/>
                <w:bCs/>
                <w:color w:val="auto"/>
                <w:sz w:val="24"/>
              </w:rPr>
            </w:pPr>
            <w:r>
              <w:rPr>
                <w:rFonts w:hint="eastAsia" w:ascii="仿宋" w:hAnsi="仿宋" w:eastAsia="仿宋" w:cs="仿宋"/>
                <w:b/>
                <w:bCs w:val="0"/>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有关本项目实施所需的所有费用（含税费）均计入报价。</w:t>
            </w:r>
            <w:r>
              <w:rPr>
                <w:rFonts w:hint="eastAsia" w:ascii="仿宋" w:hAnsi="仿宋" w:eastAsia="仿宋" w:cs="仿宋"/>
                <w:b w:val="0"/>
                <w:bCs/>
                <w:color w:val="auto"/>
                <w:kern w:val="0"/>
                <w:sz w:val="24"/>
              </w:rPr>
              <w:t>开标一览表（报价表）是报价的唯一载体</w:t>
            </w:r>
            <w:r>
              <w:rPr>
                <w:rFonts w:hint="eastAsia" w:ascii="仿宋" w:hAnsi="仿宋" w:eastAsia="仿宋" w:cs="仿宋"/>
                <w:b w:val="0"/>
                <w:bCs/>
                <w:color w:val="auto"/>
                <w:kern w:val="0"/>
                <w:sz w:val="24"/>
                <w:lang w:val="zh-CN"/>
              </w:rPr>
              <w:t>。投标文件中价格全部采用人民币报价。招标文件未列明，而投标人认为必需的费用也需列入报价。提醒：验收时检测费用由采购人承担，不包含在投标总价中。</w:t>
            </w:r>
          </w:p>
          <w:p>
            <w:pPr>
              <w:spacing w:line="360" w:lineRule="auto"/>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投标报价出现下列情形的，投标无效：</w:t>
            </w:r>
          </w:p>
          <w:p>
            <w:pPr>
              <w:spacing w:line="360" w:lineRule="auto"/>
              <w:ind w:firstLine="480" w:firstLineChars="2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投标文件出现不是唯一的、有选择性投标报价的；</w:t>
            </w:r>
          </w:p>
          <w:p>
            <w:pPr>
              <w:spacing w:line="360" w:lineRule="auto"/>
              <w:ind w:firstLine="480" w:firstLineChars="2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投标报价超过招标文件中规定的预算金额或者最高限价的;</w:t>
            </w:r>
          </w:p>
          <w:p>
            <w:pPr>
              <w:spacing w:line="360" w:lineRule="auto"/>
              <w:ind w:firstLine="480" w:firstLineChars="200"/>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0" w:firstLineChars="200"/>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投标人对根据修正原则修正后的报价不确认的。</w:t>
            </w:r>
          </w:p>
          <w:p>
            <w:pPr>
              <w:spacing w:line="360" w:lineRule="auto"/>
              <w:ind w:firstLine="480" w:firstLineChars="200"/>
              <w:rPr>
                <w:rFonts w:hint="eastAsia" w:ascii="仿宋" w:hAnsi="仿宋" w:eastAsia="仿宋" w:cs="仿宋"/>
                <w:b w:val="0"/>
                <w:bCs/>
                <w:color w:val="auto"/>
                <w:sz w:val="24"/>
              </w:rPr>
            </w:pPr>
            <w:r>
              <w:rPr>
                <w:rFonts w:hint="eastAsia" w:ascii="仿宋" w:hAnsi="仿宋" w:eastAsia="仿宋" w:cs="仿宋"/>
                <w:b w:val="0"/>
                <w:bCs/>
                <w:color w:val="auto"/>
                <w:kern w:val="0"/>
                <w:sz w:val="24"/>
              </w:rPr>
              <w:t>资格文件、商务技术文件与报价文件未分开制作</w:t>
            </w:r>
            <w:r>
              <w:rPr>
                <w:rFonts w:hint="eastAsia" w:ascii="仿宋" w:hAnsi="仿宋" w:eastAsia="仿宋" w:cs="仿宋"/>
                <w:b w:val="0"/>
                <w:bCs/>
                <w:color w:val="auto"/>
                <w:sz w:val="24"/>
              </w:rPr>
              <w:t>。</w:t>
            </w:r>
          </w:p>
          <w:p>
            <w:pPr>
              <w:pStyle w:val="4"/>
              <w:rPr>
                <w:rFonts w:hint="eastAsia" w:ascii="仿宋" w:hAnsi="仿宋" w:eastAsia="仿宋" w:cs="仿宋"/>
                <w:b w:val="0"/>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color w:val="auto"/>
              </w:rPr>
            </w:pPr>
            <w:r>
              <w:rPr>
                <w:rFonts w:hint="eastAsia" w:ascii="仿宋" w:hAnsi="仿宋" w:eastAsia="仿宋" w:cs="仿宋"/>
                <w:color w:val="auto"/>
                <w:sz w:val="24"/>
              </w:rPr>
              <w:t>本项目支持《杭州市萧山区政府采购支持中小企业信用融资暂行办法》。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有融资需求的中标供应商可参照相关规定及银行方案凭政府采购合同向相关合作银行提出信用融资（贷款）申请。详见</w:t>
            </w:r>
            <w:r>
              <w:rPr>
                <w:rFonts w:hint="eastAsia" w:ascii="仿宋" w:hAnsi="仿宋" w:eastAsia="仿宋" w:cs="仿宋"/>
                <w:color w:val="auto"/>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备份投标文件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color w:val="auto"/>
                <w:kern w:val="28"/>
                <w:sz w:val="24"/>
                <w:lang w:val="en-US" w:eastAsia="zh-CN"/>
              </w:rPr>
            </w:pPr>
            <w:r>
              <w:rPr>
                <w:rFonts w:hint="eastAsia" w:ascii="仿宋" w:hAnsi="仿宋" w:eastAsia="仿宋" w:cs="仿宋"/>
                <w:color w:val="auto"/>
                <w:kern w:val="28"/>
                <w:sz w:val="24"/>
                <w:szCs w:val="24"/>
                <w:lang w:val="en-US" w:eastAsia="zh-CN"/>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5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采购机构代理费用由中标人支付。</w:t>
            </w:r>
          </w:p>
          <w:p>
            <w:pPr>
              <w:snapToGrid w:val="0"/>
              <w:spacing w:line="5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招标代理费按计价格〔2002〕1980号文件收费标准计取。</w:t>
            </w:r>
          </w:p>
          <w:p>
            <w:pPr>
              <w:snapToGrid w:val="0"/>
              <w:spacing w:line="5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缴纳账号：33001617092053005082 </w:t>
            </w:r>
          </w:p>
          <w:p>
            <w:pPr>
              <w:snapToGrid w:val="0"/>
              <w:spacing w:line="5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开户银行：萧山建行时代广场支行 </w:t>
            </w:r>
          </w:p>
          <w:p>
            <w:pPr>
              <w:snapToGrid w:val="0"/>
              <w:spacing w:line="5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帐户名称：浙江华域高宇项目管理有限公司</w:t>
            </w:r>
          </w:p>
          <w:p>
            <w:pPr>
              <w:pStyle w:val="33"/>
              <w:spacing w:line="360" w:lineRule="auto"/>
              <w:ind w:left="0" w:leftChars="0" w:hanging="4" w:firstLineChars="0"/>
              <w:rPr>
                <w:rFonts w:hint="eastAsia" w:ascii="仿宋" w:hAnsi="仿宋" w:eastAsia="仿宋" w:cs="仿宋"/>
                <w:b/>
                <w:color w:val="auto"/>
                <w:sz w:val="24"/>
                <w:szCs w:val="24"/>
              </w:rPr>
            </w:pPr>
            <w:r>
              <w:rPr>
                <w:rFonts w:hint="eastAsia" w:ascii="仿宋" w:hAnsi="仿宋" w:eastAsia="仿宋" w:cs="仿宋"/>
                <w:color w:val="auto"/>
                <w:sz w:val="24"/>
                <w:highlight w:val="none"/>
              </w:rPr>
              <w:t>银行帐号：33001617092053005082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17"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val="0"/>
                <w:bCs/>
                <w:color w:val="auto"/>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lang w:val="en-US" w:eastAsia="zh-CN"/>
              </w:rPr>
            </w:pPr>
          </w:p>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履约保证金：收取2.5%，合同签订后支付，履约完成后无息退还。</w:t>
            </w:r>
          </w:p>
          <w:p>
            <w:pPr>
              <w:pStyle w:val="15"/>
              <w:spacing w:line="360" w:lineRule="auto"/>
              <w:ind w:firstLine="0"/>
              <w:rPr>
                <w:rFonts w:hint="eastAsia" w:ascii="仿宋" w:hAnsi="仿宋" w:eastAsia="仿宋" w:cs="仿宋"/>
                <w:color w:val="auto"/>
                <w:sz w:val="24"/>
                <w:lang w:val="en-US" w:eastAsia="zh-CN"/>
              </w:rPr>
            </w:pPr>
            <w:r>
              <w:rPr>
                <w:rFonts w:hint="eastAsia" w:ascii="仿宋" w:hAnsi="仿宋" w:eastAsia="仿宋" w:cs="仿宋"/>
                <w:color w:val="auto"/>
                <w:sz w:val="24"/>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color w:val="auto"/>
                <w:sz w:val="24"/>
                <w:lang w:val="en-US" w:eastAsia="zh-CN"/>
              </w:rPr>
            </w:pPr>
            <w:r>
              <w:rPr>
                <w:rFonts w:hint="eastAsia" w:ascii="仿宋" w:hAnsi="仿宋" w:eastAsia="仿宋" w:cs="仿宋"/>
                <w:color w:val="auto"/>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Arial"/>
                <w:bCs/>
                <w:snapToGrid w:val="0"/>
                <w:color w:val="auto"/>
                <w:kern w:val="28"/>
                <w:sz w:val="24"/>
                <w:highlight w:val="none"/>
                <w:u w:val="single"/>
              </w:rPr>
            </w:pPr>
            <w:r>
              <w:rPr>
                <w:rFonts w:hint="eastAsia" w:ascii="仿宋" w:hAnsi="仿宋" w:eastAsia="仿宋" w:cs="仿宋"/>
                <w:color w:val="auto"/>
                <w:sz w:val="24"/>
                <w:highlight w:val="none"/>
              </w:rPr>
              <w:t>采购人质疑接收人：</w:t>
            </w:r>
            <w:r>
              <w:rPr>
                <w:rFonts w:hint="eastAsia" w:ascii="仿宋" w:hAnsi="仿宋" w:eastAsia="仿宋" w:cs="Arial"/>
                <w:bCs/>
                <w:snapToGrid w:val="0"/>
                <w:color w:val="auto"/>
                <w:kern w:val="28"/>
                <w:sz w:val="24"/>
                <w:highlight w:val="none"/>
                <w:u w:val="single"/>
              </w:rPr>
              <w:t xml:space="preserve">倪建波  </w:t>
            </w:r>
            <w:r>
              <w:rPr>
                <w:rFonts w:hint="eastAsia" w:ascii="仿宋" w:hAnsi="仿宋" w:eastAsia="仿宋" w:cs="仿宋"/>
                <w:color w:val="auto"/>
                <w:sz w:val="24"/>
                <w:highlight w:val="none"/>
              </w:rPr>
              <w:t>联系方式：</w:t>
            </w:r>
            <w:r>
              <w:rPr>
                <w:rFonts w:hint="eastAsia" w:ascii="仿宋" w:hAnsi="仿宋" w:eastAsia="仿宋" w:cs="仿宋"/>
                <w:color w:val="auto"/>
                <w:sz w:val="24"/>
                <w:szCs w:val="28"/>
                <w:highlight w:val="none"/>
                <w:u w:val="single"/>
              </w:rPr>
              <w:t>0571-82609950</w:t>
            </w:r>
          </w:p>
          <w:p>
            <w:pPr>
              <w:spacing w:line="360" w:lineRule="auto"/>
              <w:jc w:val="left"/>
              <w:rPr>
                <w:rFonts w:ascii="仿宋" w:hAnsi="仿宋" w:eastAsia="仿宋" w:cs="仿宋"/>
                <w:color w:val="auto"/>
                <w:sz w:val="24"/>
                <w:szCs w:val="28"/>
                <w:highlight w:val="none"/>
                <w:u w:val="single"/>
              </w:rPr>
            </w:pPr>
            <w:r>
              <w:rPr>
                <w:rFonts w:hint="eastAsia" w:ascii="仿宋" w:hAnsi="仿宋" w:eastAsia="仿宋" w:cs="仿宋"/>
                <w:color w:val="auto"/>
                <w:sz w:val="24"/>
                <w:highlight w:val="none"/>
              </w:rPr>
              <w:t>地址：</w:t>
            </w:r>
            <w:r>
              <w:rPr>
                <w:rFonts w:hint="eastAsia" w:ascii="仿宋" w:hAnsi="仿宋" w:eastAsia="仿宋" w:cs="仿宋"/>
                <w:color w:val="auto"/>
                <w:sz w:val="24"/>
                <w:szCs w:val="28"/>
                <w:highlight w:val="none"/>
                <w:u w:val="single"/>
              </w:rPr>
              <w:t>杭州市萧山区府前路1号</w:t>
            </w:r>
            <w:r>
              <w:rPr>
                <w:rFonts w:ascii="仿宋" w:hAnsi="仿宋" w:eastAsia="仿宋" w:cs="仿宋"/>
                <w:color w:val="auto"/>
                <w:sz w:val="24"/>
                <w:szCs w:val="28"/>
                <w:highlight w:val="none"/>
                <w:u w:val="single"/>
              </w:rPr>
              <w:t xml:space="preserve"> </w:t>
            </w:r>
          </w:p>
          <w:p>
            <w:pPr>
              <w:snapToGrid w:val="0"/>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邮箱：</w:t>
            </w:r>
            <w:r>
              <w:rPr>
                <w:rFonts w:hint="eastAsia" w:ascii="仿宋" w:hAnsi="仿宋" w:eastAsia="仿宋" w:cs="仿宋"/>
                <w:color w:val="auto"/>
                <w:sz w:val="24"/>
                <w:highlight w:val="none"/>
                <w:u w:val="single"/>
              </w:rPr>
              <w:t>691463475</w:t>
            </w:r>
            <w:r>
              <w:rPr>
                <w:rFonts w:ascii="仿宋" w:hAnsi="仿宋" w:eastAsia="仿宋" w:cs="仿宋"/>
                <w:color w:val="auto"/>
                <w:sz w:val="24"/>
                <w:highlight w:val="none"/>
                <w:u w:val="single"/>
              </w:rPr>
              <w:t>@qq.com</w:t>
            </w:r>
          </w:p>
          <w:p>
            <w:pPr>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采购机构质疑接收人</w:t>
            </w:r>
            <w:r>
              <w:rPr>
                <w:rFonts w:hint="eastAsia" w:ascii="仿宋" w:hAnsi="仿宋" w:eastAsia="仿宋" w:cs="仿宋"/>
                <w:color w:val="auto"/>
                <w:sz w:val="24"/>
                <w:highlight w:val="none"/>
                <w:u w:val="single"/>
              </w:rPr>
              <w:t xml:space="preserve">：高天宇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0571-22816663</w:t>
            </w:r>
          </w:p>
          <w:p>
            <w:pPr>
              <w:snapToGrid w:val="0"/>
              <w:spacing w:line="360" w:lineRule="auto"/>
              <w:rPr>
                <w:rFonts w:hint="eastAsia" w:ascii="仿宋" w:hAnsi="仿宋" w:eastAsia="仿宋" w:cs="仿宋"/>
                <w:color w:val="auto"/>
                <w:sz w:val="24"/>
                <w:u w:val="single"/>
              </w:rPr>
            </w:pPr>
            <w:r>
              <w:rPr>
                <w:rFonts w:hint="eastAsia" w:ascii="仿宋" w:hAnsi="仿宋" w:eastAsia="仿宋" w:cs="仿宋"/>
                <w:color w:val="auto"/>
                <w:sz w:val="24"/>
                <w:highlight w:val="none"/>
                <w:u w:val="single"/>
              </w:rPr>
              <w:t>地址：萧山区北干街道金城路560号心意广场2幢1101室    邮箱：</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"mailto:249268371@qq.com" </w:instrText>
            </w:r>
            <w:r>
              <w:rPr>
                <w:rFonts w:hint="eastAsia" w:ascii="仿宋" w:hAnsi="仿宋" w:eastAsia="仿宋" w:cs="仿宋"/>
                <w:color w:val="auto"/>
                <w:highlight w:val="none"/>
              </w:rPr>
              <w:fldChar w:fldCharType="separate"/>
            </w:r>
            <w:r>
              <w:rPr>
                <w:rStyle w:val="76"/>
                <w:rFonts w:hint="eastAsia" w:ascii="仿宋" w:hAnsi="仿宋" w:eastAsia="仿宋" w:cs="仿宋"/>
                <w:color w:val="auto"/>
                <w:sz w:val="24"/>
                <w:highlight w:val="none"/>
                <w:u w:val="single"/>
              </w:rPr>
              <w:t>249268371@qq.com</w:t>
            </w:r>
            <w:r>
              <w:rPr>
                <w:rStyle w:val="76"/>
                <w:rFonts w:hint="eastAsia" w:ascii="仿宋" w:hAnsi="仿宋" w:eastAsia="仿宋" w:cs="仿宋"/>
                <w:color w:val="auto"/>
                <w:sz w:val="24"/>
                <w:highlight w:val="none"/>
                <w:u w:val="single"/>
              </w:rPr>
              <w:fldChar w:fldCharType="end"/>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如通过邮箱方式发送质疑，须提交符合法规及招标文件要求的质疑文件（参考附件2），盖章扫描后发送，质疑的受理按答复主体划分以采购人或采购机构邮箱回复确认受理为准。</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本项目涉及资格条件、采购需求、评分办法及采购过程中有关现场考察或开标前答疑会事项由采购人进行答复。</w:t>
            </w:r>
          </w:p>
          <w:p>
            <w:pPr>
              <w:pStyle w:val="33"/>
              <w:spacing w:line="360" w:lineRule="auto"/>
              <w:ind w:left="0" w:leftChars="0" w:hanging="4" w:firstLineChars="0"/>
              <w:rPr>
                <w:rFonts w:hint="eastAsia" w:ascii="仿宋" w:hAnsi="仿宋" w:eastAsia="仿宋" w:cs="仿宋"/>
                <w:color w:val="auto"/>
                <w:sz w:val="24"/>
              </w:rPr>
            </w:pPr>
            <w:r>
              <w:rPr>
                <w:rFonts w:hint="eastAsia" w:ascii="仿宋" w:hAnsi="仿宋" w:eastAsia="仿宋" w:cs="仿宋"/>
                <w:color w:val="auto"/>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hint="eastAsia" w:ascii="仿宋" w:hAnsi="仿宋" w:eastAsia="仿宋" w:cs="仿宋"/>
                <w:snapToGrid w:val="0"/>
                <w:color w:val="auto"/>
                <w:kern w:val="28"/>
                <w:sz w:val="24"/>
              </w:rPr>
            </w:pPr>
            <w:r>
              <w:rPr>
                <w:rFonts w:hint="eastAsia" w:ascii="仿宋" w:hAnsi="仿宋" w:eastAsia="仿宋" w:cs="仿宋"/>
                <w:b/>
                <w:color w:val="auto"/>
                <w:sz w:val="24"/>
              </w:rPr>
              <w:t>本项目通用总则条款与前附表等专用特别规定有冲突之处，以专用条款（特别规定）为准</w:t>
            </w:r>
          </w:p>
        </w:tc>
      </w:tr>
    </w:tbl>
    <w:p>
      <w:pPr>
        <w:snapToGrid w:val="0"/>
        <w:spacing w:line="360" w:lineRule="auto"/>
        <w:jc w:val="center"/>
        <w:rPr>
          <w:rFonts w:hint="eastAsia" w:ascii="仿宋" w:hAnsi="仿宋" w:eastAsia="仿宋" w:cs="仿宋"/>
          <w:b/>
          <w:color w:val="auto"/>
          <w:sz w:val="32"/>
          <w:szCs w:val="20"/>
        </w:rPr>
      </w:pPr>
    </w:p>
    <w:bookmarkEnd w:id="10"/>
    <w:p>
      <w:pPr>
        <w:rPr>
          <w:rFonts w:hint="eastAsia" w:ascii="仿宋" w:hAnsi="仿宋" w:eastAsia="仿宋" w:cs="仿宋"/>
          <w:b/>
          <w:color w:val="auto"/>
          <w:sz w:val="32"/>
          <w:szCs w:val="20"/>
        </w:rPr>
      </w:pPr>
      <w:bookmarkStart w:id="13" w:name="第三部分"/>
      <w:bookmarkStart w:id="14" w:name="_Toc164416483"/>
      <w:r>
        <w:rPr>
          <w:rFonts w:hint="eastAsia" w:ascii="仿宋" w:hAnsi="仿宋" w:eastAsia="仿宋" w:cs="仿宋"/>
          <w:b/>
          <w:color w:val="auto"/>
          <w:sz w:val="32"/>
          <w:szCs w:val="20"/>
        </w:rPr>
        <w:br w:type="page"/>
      </w: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投标人电子签名指投标人电子公章</w:t>
      </w:r>
      <w:r>
        <w:rPr>
          <w:rFonts w:hint="eastAsia" w:ascii="仿宋" w:hAnsi="仿宋" w:eastAsia="仿宋" w:cs="仿宋"/>
          <w:color w:val="auto"/>
          <w:sz w:val="24"/>
        </w:rPr>
        <w:t>；“公章”系指单位法定名称章。因特殊原因需要使用冠以法定名称的业务专用章的，投标时须提供《业务专用章使用说明函》（附件4）。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w:t>
      </w:r>
      <w:r>
        <w:rPr>
          <w:rFonts w:hint="eastAsia" w:ascii="仿宋" w:hAnsi="仿宋" w:eastAsia="仿宋" w:cs="仿宋"/>
          <w:b w:val="0"/>
          <w:bCs/>
          <w:color w:val="auto"/>
          <w:sz w:val="24"/>
        </w:rPr>
        <w:t>√</w:t>
      </w:r>
      <w:r>
        <w:rPr>
          <w:rFonts w:hint="eastAsia" w:ascii="仿宋" w:hAnsi="仿宋" w:eastAsia="仿宋" w:cs="仿宋"/>
          <w:color w:val="auto"/>
          <w:sz w:val="24"/>
        </w:rPr>
        <w:t>）” 系指适用本项目的要求，“（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33"/>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128"/>
        <w:snapToGrid w:val="0"/>
        <w:spacing w:before="0"/>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1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11.1.2落实政府采购政策需满足的资格要求；</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11.1.3本项目的特定资格要求。</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11.2.3联合协议；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11.2.4分包意向协议；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11.2.5符合性审查资料；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11.2.6评标标准相应的商务技术资料；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11.2.7投标标的清单；</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11.2.8商务技术偏离表；</w:t>
      </w:r>
    </w:p>
    <w:p>
      <w:pPr>
        <w:snapToGrid w:val="0"/>
        <w:spacing w:line="360" w:lineRule="auto"/>
        <w:ind w:firstLine="960" w:firstLineChars="4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9</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28"/>
        <w:snapToGrid w:val="0"/>
        <w:spacing w:before="0"/>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128"/>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28"/>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3"/>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15.5投标人仅提交备份投标文件，未在电子交易平台传输递交投标文件的，投标无效。</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5"/>
        <w:spacing w:line="36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highlight w:val="yellow"/>
        </w:rPr>
        <w:t>4.2规定</w:t>
      </w:r>
      <w:r>
        <w:rPr>
          <w:rFonts w:hint="eastAsia" w:ascii="仿宋" w:hAnsi="仿宋" w:eastAsia="仿宋" w:cs="仿宋"/>
          <w:color w:val="auto"/>
          <w:szCs w:val="21"/>
        </w:rPr>
        <w:t>的情形之一的，投标无效：</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28"/>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28"/>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color w:val="auto"/>
          <w:sz w:val="32"/>
        </w:rPr>
      </w:pPr>
    </w:p>
    <w:p>
      <w:pPr>
        <w:pStyle w:val="128"/>
        <w:spacing w:before="0"/>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4"/>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4"/>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28"/>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28"/>
        <w:spacing w:before="0"/>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hint="eastAsia" w:ascii="仿宋" w:hAnsi="仿宋" w:eastAsia="仿宋" w:cs="仿宋"/>
          <w:b/>
          <w:color w:val="auto"/>
          <w:sz w:val="24"/>
        </w:rPr>
      </w:pPr>
      <w:bookmarkStart w:id="15"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22. 确定中标供应商</w:t>
      </w:r>
    </w:p>
    <w:p>
      <w:pPr>
        <w:pStyle w:val="128"/>
        <w:snapToGrid w:val="0"/>
        <w:spacing w:before="0"/>
        <w:ind w:firstLine="480"/>
        <w:rPr>
          <w:rFonts w:hint="eastAsia"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hint="eastAsia" w:ascii="仿宋" w:hAnsi="仿宋" w:eastAsia="仿宋" w:cs="仿宋"/>
          <w:b/>
          <w:color w:val="auto"/>
          <w:sz w:val="24"/>
          <w:lang w:eastAsia="zh-CN"/>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w:t>
      </w:r>
      <w:r>
        <w:rPr>
          <w:rFonts w:hint="eastAsia" w:ascii="仿宋" w:hAnsi="仿宋" w:eastAsia="仿宋" w:cs="仿宋"/>
          <w:color w:val="auto"/>
          <w:sz w:val="24"/>
          <w:lang w:val="en-US" w:eastAsia="zh-CN"/>
        </w:rPr>
        <w:t>2.5</w:t>
      </w:r>
      <w:r>
        <w:rPr>
          <w:rFonts w:hint="eastAsia" w:ascii="仿宋" w:hAnsi="仿宋" w:eastAsia="仿宋" w:cs="仿宋"/>
          <w:color w:val="auto"/>
          <w:sz w:val="24"/>
        </w:rPr>
        <w:t>%。鼓励和支持供应商以银行、保险公司出具的保函形式提供履约保证金。</w:t>
      </w:r>
      <w:r>
        <w:rPr>
          <w:rFonts w:hint="eastAsia" w:ascii="仿宋" w:hAnsi="仿宋" w:eastAsia="仿宋" w:cs="仿宋"/>
          <w:b/>
          <w:color w:val="auto"/>
          <w:sz w:val="24"/>
        </w:rPr>
        <w:t>采购人不得拒收履约保函</w:t>
      </w:r>
      <w:r>
        <w:rPr>
          <w:rFonts w:hint="eastAsia" w:ascii="仿宋" w:hAnsi="仿宋" w:eastAsia="仿宋" w:cs="仿宋"/>
          <w:b/>
          <w:color w:val="auto"/>
          <w:sz w:val="24"/>
          <w:lang w:eastAsia="zh-CN"/>
        </w:rPr>
        <w:t>，</w:t>
      </w:r>
      <w:r>
        <w:rPr>
          <w:rFonts w:hint="eastAsia" w:ascii="仿宋" w:hAnsi="仿宋" w:eastAsia="仿宋" w:cs="仿宋"/>
          <w:b/>
          <w:color w:val="auto"/>
          <w:sz w:val="24"/>
        </w:rPr>
        <w:t>项目验收结束后应及时退还</w:t>
      </w:r>
      <w:r>
        <w:rPr>
          <w:rFonts w:hint="eastAsia" w:ascii="仿宋" w:hAnsi="仿宋" w:eastAsia="仿宋" w:cs="仿宋"/>
          <w:b/>
          <w:color w:val="auto"/>
          <w:sz w:val="24"/>
          <w:lang w:eastAsia="zh-CN"/>
        </w:rPr>
        <w:t>。</w:t>
      </w:r>
    </w:p>
    <w:p>
      <w:pPr>
        <w:tabs>
          <w:tab w:val="left" w:pos="0"/>
        </w:tabs>
        <w:spacing w:line="360" w:lineRule="auto"/>
        <w:ind w:firstLine="482"/>
        <w:rPr>
          <w:rFonts w:hint="eastAsia" w:ascii="仿宋" w:hAnsi="仿宋" w:eastAsia="仿宋" w:cs="仿宋"/>
          <w:color w:val="auto"/>
          <w:sz w:val="24"/>
          <w:szCs w:val="20"/>
        </w:rPr>
      </w:pPr>
      <w:r>
        <w:rPr>
          <w:rFonts w:hint="eastAsia" w:ascii="仿宋" w:hAnsi="仿宋" w:eastAsia="仿宋" w:cs="仿宋"/>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color w:val="auto"/>
          <w:sz w:val="24"/>
          <w:szCs w:val="20"/>
          <w:highlight w:val="yellow"/>
          <w:lang w:val="en-US" w:eastAsia="zh-CN"/>
        </w:rPr>
        <w:t>2.5</w:t>
      </w:r>
      <w:r>
        <w:rPr>
          <w:rFonts w:hint="eastAsia" w:ascii="仿宋" w:hAnsi="仿宋" w:eastAsia="仿宋" w:cs="仿宋"/>
          <w:color w:val="auto"/>
          <w:sz w:val="24"/>
          <w:szCs w:val="20"/>
          <w:highlight w:val="yellow"/>
        </w:rPr>
        <w:t>%</w:t>
      </w:r>
      <w:r>
        <w:rPr>
          <w:rFonts w:hint="eastAsia" w:ascii="仿宋" w:hAnsi="仿宋" w:eastAsia="仿宋" w:cs="仿宋"/>
          <w:color w:val="auto"/>
          <w:sz w:val="24"/>
          <w:szCs w:val="20"/>
        </w:rPr>
        <w:t>。</w:t>
      </w:r>
    </w:p>
    <w:p>
      <w:pPr>
        <w:pStyle w:val="4"/>
        <w:ind w:left="0" w:firstLine="480" w:firstLineChars="200"/>
        <w:rPr>
          <w:rFonts w:hint="eastAsia" w:ascii="仿宋" w:hAnsi="仿宋" w:eastAsia="仿宋" w:cs="仿宋"/>
          <w:color w:val="auto"/>
          <w:lang w:val="en-US"/>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28"/>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28"/>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5"/>
        <w:spacing w:line="360" w:lineRule="auto"/>
        <w:ind w:firstLine="0" w:firstLineChars="0"/>
        <w:rPr>
          <w:rFonts w:hint="eastAsia"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kern w:val="0"/>
          <w:sz w:val="24"/>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联系电话: 0571-83587785/0571-82816012  联系地址: 萧山区通惠北路2-1号302室</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29.2</w:t>
      </w:r>
      <w:r>
        <w:rPr>
          <w:rFonts w:hint="eastAsia" w:ascii="仿宋" w:hAnsi="仿宋" w:eastAsia="仿宋" w:cs="仿宋"/>
          <w:color w:val="auto"/>
          <w:kern w:val="0"/>
          <w:sz w:val="24"/>
        </w:rPr>
        <w:t>采购人组织对供应商履约的验收。</w:t>
      </w:r>
      <w:r>
        <w:rPr>
          <w:rFonts w:hint="eastAsia" w:ascii="仿宋" w:hAnsi="仿宋" w:eastAsia="仿宋" w:cs="仿宋"/>
          <w:color w:val="auto"/>
          <w:kern w:val="0"/>
          <w:sz w:val="24"/>
          <w:lang w:val="en-US" w:eastAsia="zh-CN"/>
        </w:rPr>
        <w:t>除29.1情形外，</w:t>
      </w:r>
      <w:r>
        <w:rPr>
          <w:rFonts w:hint="eastAsia" w:ascii="仿宋" w:hAnsi="仿宋" w:eastAsia="仿宋" w:cs="仿宋"/>
          <w:color w:val="auto"/>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3"/>
    <w:bookmarkEnd w:id="14"/>
    <w:bookmarkEnd w:id="15"/>
    <w:p>
      <w:pPr>
        <w:spacing w:line="360" w:lineRule="auto"/>
        <w:jc w:val="center"/>
        <w:outlineLvl w:val="0"/>
        <w:rPr>
          <w:rFonts w:hint="eastAsia" w:ascii="仿宋" w:hAnsi="仿宋" w:eastAsia="仿宋" w:cs="仿宋"/>
          <w:b/>
          <w:color w:val="auto"/>
          <w:sz w:val="36"/>
          <w:szCs w:val="36"/>
        </w:rPr>
      </w:pPr>
      <w:bookmarkStart w:id="16" w:name="第四部分"/>
    </w:p>
    <w:p>
      <w:pPr>
        <w:spacing w:line="360" w:lineRule="auto"/>
        <w:jc w:val="center"/>
        <w:outlineLvl w:val="0"/>
        <w:rPr>
          <w:rFonts w:hint="eastAsia" w:ascii="仿宋" w:hAnsi="仿宋" w:eastAsia="仿宋" w:cs="仿宋"/>
          <w:b/>
          <w:color w:val="auto"/>
          <w:sz w:val="36"/>
          <w:szCs w:val="36"/>
        </w:rPr>
      </w:pPr>
    </w:p>
    <w:p>
      <w:pPr>
        <w:spacing w:line="360" w:lineRule="auto"/>
        <w:jc w:val="center"/>
        <w:outlineLvl w:val="0"/>
        <w:rPr>
          <w:rFonts w:hint="eastAsia" w:ascii="仿宋" w:hAnsi="仿宋" w:eastAsia="仿宋" w:cs="仿宋"/>
          <w:b/>
          <w:color w:val="auto"/>
          <w:sz w:val="36"/>
          <w:szCs w:val="36"/>
        </w:rPr>
      </w:pPr>
    </w:p>
    <w:p>
      <w:pPr>
        <w:pStyle w:val="23"/>
        <w:rPr>
          <w:rFonts w:hint="eastAsia" w:ascii="仿宋" w:hAnsi="仿宋" w:eastAsia="仿宋" w:cs="仿宋"/>
          <w:b/>
          <w:color w:val="auto"/>
          <w:sz w:val="36"/>
          <w:szCs w:val="36"/>
        </w:rPr>
      </w:pPr>
    </w:p>
    <w:p>
      <w:pPr>
        <w:pStyle w:val="24"/>
        <w:rPr>
          <w:rFonts w:hint="eastAsia" w:ascii="仿宋" w:hAnsi="仿宋" w:eastAsia="仿宋" w:cs="仿宋"/>
          <w:b/>
          <w:color w:val="auto"/>
          <w:sz w:val="36"/>
          <w:szCs w:val="36"/>
        </w:rPr>
      </w:pPr>
    </w:p>
    <w:p>
      <w:pPr>
        <w:rPr>
          <w:rFonts w:hint="eastAsia" w:ascii="仿宋" w:hAnsi="仿宋" w:eastAsia="仿宋" w:cs="仿宋"/>
          <w:b/>
          <w:color w:val="auto"/>
          <w:sz w:val="36"/>
          <w:szCs w:val="36"/>
        </w:rPr>
      </w:pPr>
    </w:p>
    <w:p>
      <w:pPr>
        <w:pStyle w:val="23"/>
        <w:rPr>
          <w:rFonts w:hint="eastAsia" w:ascii="仿宋" w:hAnsi="仿宋" w:eastAsia="仿宋" w:cs="仿宋"/>
          <w:b/>
          <w:color w:val="auto"/>
          <w:sz w:val="36"/>
          <w:szCs w:val="36"/>
        </w:rPr>
      </w:pPr>
    </w:p>
    <w:p>
      <w:pPr>
        <w:pStyle w:val="24"/>
        <w:rPr>
          <w:rFonts w:hint="eastAsia" w:ascii="仿宋" w:hAnsi="仿宋" w:eastAsia="仿宋" w:cs="仿宋"/>
          <w:b/>
          <w:color w:val="auto"/>
          <w:sz w:val="36"/>
          <w:szCs w:val="36"/>
        </w:rPr>
      </w:pPr>
    </w:p>
    <w:p>
      <w:pPr>
        <w:rPr>
          <w:rFonts w:hint="eastAsia" w:ascii="仿宋" w:hAnsi="仿宋" w:eastAsia="仿宋" w:cs="仿宋"/>
          <w:b/>
          <w:color w:val="auto"/>
          <w:sz w:val="36"/>
          <w:szCs w:val="36"/>
        </w:rPr>
      </w:pPr>
    </w:p>
    <w:p>
      <w:pPr>
        <w:pStyle w:val="23"/>
        <w:rPr>
          <w:rFonts w:hint="eastAsia" w:ascii="仿宋" w:hAnsi="仿宋" w:eastAsia="仿宋" w:cs="仿宋"/>
          <w:b/>
          <w:color w:val="auto"/>
          <w:sz w:val="36"/>
          <w:szCs w:val="36"/>
        </w:rPr>
      </w:pPr>
    </w:p>
    <w:p>
      <w:pPr>
        <w:pStyle w:val="24"/>
        <w:rPr>
          <w:rFonts w:hint="eastAsia" w:ascii="仿宋" w:hAnsi="仿宋" w:eastAsia="仿宋" w:cs="仿宋"/>
          <w:b/>
          <w:color w:val="auto"/>
          <w:sz w:val="36"/>
          <w:szCs w:val="36"/>
        </w:rPr>
      </w:pPr>
    </w:p>
    <w:p>
      <w:pPr>
        <w:rPr>
          <w:rFonts w:hint="eastAsia" w:ascii="仿宋" w:hAnsi="仿宋" w:eastAsia="仿宋" w:cs="仿宋"/>
          <w:b/>
          <w:color w:val="auto"/>
          <w:sz w:val="36"/>
          <w:szCs w:val="36"/>
        </w:rPr>
      </w:pPr>
    </w:p>
    <w:p>
      <w:pPr>
        <w:pStyle w:val="23"/>
        <w:rPr>
          <w:rFonts w:hint="eastAsia" w:ascii="仿宋" w:hAnsi="仿宋" w:eastAsia="仿宋" w:cs="仿宋"/>
          <w:b/>
          <w:color w:val="auto"/>
          <w:sz w:val="36"/>
          <w:szCs w:val="36"/>
        </w:rPr>
      </w:pPr>
    </w:p>
    <w:p>
      <w:pPr>
        <w:pStyle w:val="24"/>
        <w:rPr>
          <w:rFonts w:hint="eastAsia" w:ascii="仿宋" w:hAnsi="仿宋" w:eastAsia="仿宋" w:cs="仿宋"/>
          <w:b/>
          <w:color w:val="auto"/>
          <w:sz w:val="36"/>
          <w:szCs w:val="36"/>
        </w:rPr>
      </w:pPr>
    </w:p>
    <w:p>
      <w:pPr>
        <w:rPr>
          <w:rFonts w:hint="eastAsia"/>
        </w:rPr>
      </w:pPr>
    </w:p>
    <w:p>
      <w:pPr>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第三部分   采购需求</w:t>
      </w:r>
    </w:p>
    <w:p>
      <w:pPr>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属于实质性要求条款的，请用符号“▲”标明，否则属于非实质性要求。</w:t>
      </w: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“★”系产品采购项目中单一产品或核心产品。</w:t>
      </w:r>
    </w:p>
    <w:p>
      <w:pPr>
        <w:numPr>
          <w:ilvl w:val="0"/>
          <w:numId w:val="1"/>
        </w:numPr>
        <w:autoSpaceDE w:val="0"/>
        <w:autoSpaceDN w:val="0"/>
        <w:spacing w:after="120" w:afterLines="50" w:line="440" w:lineRule="exact"/>
        <w:jc w:val="center"/>
        <w:rPr>
          <w:rFonts w:hint="eastAsia" w:ascii="仿宋" w:hAnsi="仿宋" w:eastAsia="仿宋" w:cs="仿宋"/>
          <w:b/>
          <w:color w:val="auto"/>
          <w:sz w:val="24"/>
        </w:rPr>
      </w:pPr>
      <w:r>
        <w:rPr>
          <w:rFonts w:hint="eastAsia" w:ascii="仿宋" w:hAnsi="仿宋" w:eastAsia="仿宋" w:cs="仿宋"/>
          <w:b/>
          <w:color w:val="auto"/>
          <w:sz w:val="24"/>
        </w:rPr>
        <w:t>招标一览表</w:t>
      </w:r>
    </w:p>
    <w:p>
      <w:pPr>
        <w:autoSpaceDE w:val="0"/>
        <w:autoSpaceDN w:val="0"/>
        <w:spacing w:after="120" w:afterLines="50" w:line="440" w:lineRule="exact"/>
        <w:rPr>
          <w:rFonts w:hint="eastAsia" w:ascii="仿宋" w:hAnsi="仿宋" w:eastAsia="仿宋" w:cs="仿宋"/>
          <w:b/>
          <w:color w:val="auto"/>
          <w:sz w:val="24"/>
        </w:rPr>
      </w:pPr>
      <w:r>
        <w:rPr>
          <w:rFonts w:hint="eastAsia" w:ascii="仿宋" w:hAnsi="仿宋" w:eastAsia="仿宋" w:cs="仿宋"/>
          <w:b/>
          <w:color w:val="auto"/>
          <w:sz w:val="24"/>
        </w:rPr>
        <w:t>标项：</w:t>
      </w:r>
    </w:p>
    <w:tbl>
      <w:tblPr>
        <w:tblStyle w:val="62"/>
        <w:tblW w:w="49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8"/>
        <w:gridCol w:w="2357"/>
        <w:gridCol w:w="1784"/>
        <w:gridCol w:w="654"/>
        <w:gridCol w:w="741"/>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1" w:hRule="atLeast"/>
          <w:jc w:val="center"/>
        </w:trPr>
        <w:tc>
          <w:tcPr>
            <w:tcW w:w="558"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标项号</w:t>
            </w:r>
          </w:p>
        </w:tc>
        <w:tc>
          <w:tcPr>
            <w:tcW w:w="1431"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名称</w:t>
            </w:r>
          </w:p>
        </w:tc>
        <w:tc>
          <w:tcPr>
            <w:tcW w:w="1083"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规格型号与参数</w:t>
            </w:r>
          </w:p>
        </w:tc>
        <w:tc>
          <w:tcPr>
            <w:tcW w:w="39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单位</w:t>
            </w:r>
          </w:p>
        </w:tc>
        <w:tc>
          <w:tcPr>
            <w:tcW w:w="45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数量</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0" w:hRule="atLeast"/>
          <w:jc w:val="center"/>
        </w:trPr>
        <w:tc>
          <w:tcPr>
            <w:tcW w:w="558"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5"/>
              <w:spacing w:line="360" w:lineRule="auto"/>
              <w:ind w:firstLine="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标项1</w:t>
            </w:r>
          </w:p>
        </w:tc>
        <w:tc>
          <w:tcPr>
            <w:tcW w:w="1431"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5"/>
              <w:spacing w:line="360" w:lineRule="auto"/>
              <w:ind w:firstLine="0" w:firstLineChars="0"/>
              <w:jc w:val="center"/>
              <w:rPr>
                <w:rFonts w:hint="default" w:ascii="仿宋" w:hAnsi="仿宋" w:eastAsia="仿宋" w:cs="仿宋"/>
                <w:b/>
                <w:snapToGrid w:val="0"/>
                <w:color w:val="auto"/>
                <w:kern w:val="28"/>
                <w:sz w:val="24"/>
                <w:szCs w:val="20"/>
                <w:highlight w:val="none"/>
                <w:lang w:val="en-US" w:eastAsia="zh-CN" w:bidi="ar-SA"/>
              </w:rPr>
            </w:pPr>
            <w:r>
              <w:rPr>
                <w:rFonts w:hint="eastAsia" w:ascii="仿宋" w:hAnsi="仿宋" w:eastAsia="仿宋" w:cs="仿宋"/>
                <w:color w:val="auto"/>
                <w:sz w:val="24"/>
                <w:highlight w:val="none"/>
                <w:lang w:val="en-US" w:eastAsia="zh-CN"/>
              </w:rPr>
              <w:t>新街街道</w:t>
            </w:r>
            <w:r>
              <w:rPr>
                <w:rFonts w:hint="eastAsia" w:ascii="仿宋" w:hAnsi="仿宋" w:eastAsia="仿宋" w:cs="仿宋"/>
                <w:color w:val="auto"/>
                <w:sz w:val="24"/>
                <w:highlight w:val="none"/>
              </w:rPr>
              <w:t>辖区范围内感知点位服务采购</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公安等部分</w:t>
            </w:r>
            <w:r>
              <w:rPr>
                <w:rFonts w:hint="eastAsia" w:ascii="仿宋" w:hAnsi="仿宋" w:eastAsia="仿宋" w:cs="仿宋"/>
                <w:color w:val="auto"/>
                <w:sz w:val="24"/>
                <w:highlight w:val="none"/>
                <w:lang w:eastAsia="zh-CN"/>
              </w:rPr>
              <w:t>）</w:t>
            </w:r>
          </w:p>
        </w:tc>
        <w:tc>
          <w:tcPr>
            <w:tcW w:w="1083"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详见招标需求</w:t>
            </w:r>
          </w:p>
        </w:tc>
        <w:tc>
          <w:tcPr>
            <w:tcW w:w="39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套</w:t>
            </w:r>
          </w:p>
        </w:tc>
        <w:tc>
          <w:tcPr>
            <w:tcW w:w="45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val="en-US" w:eastAsia="zh-CN"/>
              </w:rPr>
              <w:t>11</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主要涵盖公安感知点位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5" w:hRule="atLeast"/>
          <w:jc w:val="center"/>
        </w:trPr>
        <w:tc>
          <w:tcPr>
            <w:tcW w:w="558"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5"/>
              <w:spacing w:line="360" w:lineRule="auto"/>
              <w:ind w:firstLine="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标项2</w:t>
            </w:r>
          </w:p>
        </w:tc>
        <w:tc>
          <w:tcPr>
            <w:tcW w:w="1431"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5"/>
              <w:spacing w:line="360" w:lineRule="auto"/>
              <w:ind w:firstLine="0" w:firstLineChars="0"/>
              <w:jc w:val="center"/>
              <w:rPr>
                <w:rFonts w:hint="eastAsia" w:ascii="仿宋" w:hAnsi="仿宋" w:eastAsia="仿宋" w:cs="仿宋"/>
                <w:b/>
                <w:snapToGrid w:val="0"/>
                <w:color w:val="auto"/>
                <w:kern w:val="28"/>
                <w:sz w:val="24"/>
                <w:szCs w:val="20"/>
                <w:highlight w:val="none"/>
                <w:lang w:val="en-US" w:eastAsia="zh-CN" w:bidi="ar-SA"/>
              </w:rPr>
            </w:pPr>
            <w:r>
              <w:rPr>
                <w:rFonts w:hint="eastAsia" w:ascii="仿宋" w:hAnsi="仿宋" w:eastAsia="仿宋" w:cs="仿宋"/>
                <w:color w:val="auto"/>
                <w:sz w:val="24"/>
                <w:highlight w:val="none"/>
                <w:lang w:val="en-US" w:eastAsia="zh-CN"/>
              </w:rPr>
              <w:t>新街街道</w:t>
            </w:r>
            <w:r>
              <w:rPr>
                <w:rFonts w:hint="eastAsia" w:ascii="仿宋" w:hAnsi="仿宋" w:eastAsia="仿宋" w:cs="仿宋"/>
                <w:color w:val="auto"/>
                <w:sz w:val="24"/>
                <w:highlight w:val="none"/>
              </w:rPr>
              <w:t>辖区范围内感知点位服务采购</w:t>
            </w:r>
            <w:r>
              <w:rPr>
                <w:rFonts w:hint="eastAsia" w:ascii="仿宋" w:hAnsi="仿宋" w:eastAsia="仿宋" w:cs="仿宋"/>
                <w:color w:val="auto"/>
                <w:sz w:val="24"/>
                <w:highlight w:val="none"/>
                <w:lang w:val="en-US" w:eastAsia="zh-CN"/>
              </w:rPr>
              <w:t>(交警等部分）</w:t>
            </w:r>
          </w:p>
        </w:tc>
        <w:tc>
          <w:tcPr>
            <w:tcW w:w="1083"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详见招标需求</w:t>
            </w:r>
          </w:p>
        </w:tc>
        <w:tc>
          <w:tcPr>
            <w:tcW w:w="39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套</w:t>
            </w:r>
          </w:p>
        </w:tc>
        <w:tc>
          <w:tcPr>
            <w:tcW w:w="45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kern w:val="0"/>
                <w:sz w:val="24"/>
                <w:highlight w:val="none"/>
                <w:lang w:val="en-US" w:eastAsia="zh-CN"/>
              </w:rPr>
              <w:t>89</w:t>
            </w:r>
          </w:p>
        </w:tc>
        <w:tc>
          <w:tcPr>
            <w:tcW w:w="107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涵盖部分公安、交警、城管感知点位</w:t>
            </w:r>
          </w:p>
        </w:tc>
      </w:tr>
    </w:tbl>
    <w:p>
      <w:pPr>
        <w:spacing w:line="360" w:lineRule="auto"/>
        <w:ind w:firstLine="487" w:firstLineChars="20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w:t>
      </w:r>
    </w:p>
    <w:p>
      <w:pPr>
        <w:spacing w:line="360" w:lineRule="auto"/>
        <w:ind w:firstLine="487" w:firstLineChars="202"/>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1、本项目不接受进口产品投标（进口产品是指通过中国海关报关进入中国境内且产自关境外的产品）。</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2、本项目共分两个标项，投标人可以</w:t>
      </w:r>
      <w:r>
        <w:rPr>
          <w:rFonts w:hint="eastAsia" w:ascii="仿宋" w:hAnsi="仿宋" w:eastAsia="仿宋" w:cs="仿宋"/>
          <w:b/>
          <w:bCs/>
          <w:color w:val="auto"/>
          <w:sz w:val="24"/>
          <w:highlight w:val="none"/>
          <w:lang w:val="en-US" w:eastAsia="zh-CN"/>
        </w:rPr>
        <w:t>同时参与</w:t>
      </w:r>
      <w:r>
        <w:rPr>
          <w:rFonts w:hint="eastAsia" w:ascii="仿宋" w:hAnsi="仿宋" w:eastAsia="仿宋" w:cs="仿宋"/>
          <w:b/>
          <w:bCs/>
          <w:color w:val="auto"/>
          <w:sz w:val="24"/>
          <w:highlight w:val="none"/>
        </w:rPr>
        <w:t>两个标项</w:t>
      </w:r>
      <w:r>
        <w:rPr>
          <w:rFonts w:hint="eastAsia" w:ascii="仿宋" w:hAnsi="仿宋" w:eastAsia="仿宋" w:cs="仿宋"/>
          <w:b/>
          <w:bCs/>
          <w:color w:val="auto"/>
          <w:sz w:val="24"/>
          <w:highlight w:val="none"/>
          <w:lang w:val="en-US" w:eastAsia="zh-CN"/>
        </w:rPr>
        <w:t>的</w:t>
      </w:r>
      <w:r>
        <w:rPr>
          <w:rFonts w:hint="eastAsia" w:ascii="仿宋" w:hAnsi="仿宋" w:eastAsia="仿宋" w:cs="仿宋"/>
          <w:b/>
          <w:bCs/>
          <w:color w:val="auto"/>
          <w:sz w:val="24"/>
          <w:highlight w:val="none"/>
        </w:rPr>
        <w:t>投标，但不得</w:t>
      </w:r>
      <w:r>
        <w:rPr>
          <w:rFonts w:hint="eastAsia" w:ascii="仿宋" w:hAnsi="仿宋" w:eastAsia="仿宋" w:cs="仿宋"/>
          <w:b/>
          <w:bCs/>
          <w:color w:val="auto"/>
          <w:sz w:val="24"/>
          <w:highlight w:val="none"/>
          <w:lang w:val="en-US" w:eastAsia="zh-CN"/>
        </w:rPr>
        <w:t>同时兼中</w:t>
      </w:r>
      <w:r>
        <w:rPr>
          <w:rFonts w:hint="eastAsia" w:ascii="仿宋" w:hAnsi="仿宋" w:eastAsia="仿宋" w:cs="仿宋"/>
          <w:b/>
          <w:bCs/>
          <w:color w:val="auto"/>
          <w:sz w:val="24"/>
          <w:highlight w:val="none"/>
        </w:rPr>
        <w:t>，即投标人若其中一个标段中标，则自动放弃另一个标项的中标资格。</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标项一、标项二的投标文件均须分开制作，并注明标项号。</w:t>
      </w:r>
    </w:p>
    <w:p>
      <w:pPr>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每个标项的投标文件制作要求按招标文件要求执行。</w:t>
      </w:r>
    </w:p>
    <w:p>
      <w:pPr>
        <w:autoSpaceDE w:val="0"/>
        <w:autoSpaceDN w:val="0"/>
        <w:spacing w:after="120" w:afterLines="50" w:line="440" w:lineRule="exact"/>
        <w:rPr>
          <w:rFonts w:hint="eastAsia" w:ascii="仿宋" w:hAnsi="仿宋" w:eastAsia="仿宋" w:cs="仿宋"/>
          <w:b/>
          <w:color w:val="auto"/>
          <w:sz w:val="24"/>
        </w:rPr>
      </w:pPr>
    </w:p>
    <w:p>
      <w:pPr>
        <w:numPr>
          <w:ilvl w:val="0"/>
          <w:numId w:val="2"/>
        </w:num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招标需求</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招标需求综述：</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1、中标人应与采购人签订保密协议，并严格按照协议要求落实。</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2、本项目的所有软件、硬件、承载网络需构成一套完整的系统，如有遗漏，由中标人免费补齐。</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3、接电要求一网一表，电费纳入服务费用中。</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4、中标人要支持接入视频专网平台的所有点位的上墙工作。</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2"/>
        <w:numPr>
          <w:ilvl w:val="2"/>
          <w:numId w:val="0"/>
        </w:numPr>
        <w:bidi w:val="0"/>
        <w:ind w:leftChars="0"/>
        <w:rPr>
          <w:rFonts w:hint="eastAsia" w:ascii="仿宋" w:hAnsi="仿宋" w:eastAsia="仿宋" w:cs="仿宋"/>
          <w:color w:val="auto"/>
          <w:highlight w:val="none"/>
        </w:rPr>
      </w:pPr>
      <w:r>
        <w:rPr>
          <w:rFonts w:hint="eastAsia" w:ascii="仿宋" w:hAnsi="仿宋" w:eastAsia="仿宋" w:cs="仿宋"/>
          <w:color w:val="auto"/>
          <w:highlight w:val="none"/>
        </w:rPr>
        <w:t>（一）项目概况</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1.项目背景</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以习近平新时代中国特色社会主义思想为引领，秉承着勤劳和智慧，</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街道在高规格数智治理上勇于争先，面临着智慧感知基础弱，发展不平衡等问题，急需补充前端感知建设，丰富场景应用数据源。</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当前，萧山正着力发展“数字经济”，打造“智慧城市”。</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街道驶入创新发展快车道，人口、车辆快速增长，房屋、道路等基础设施发展无法匹配城市快速发展要求，由此带来一系列社会治理问题逐步显现，如何利用科技手段持续赋能打造优质、安全的营商环境，系当下一大管理难题。</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因此，本项目主要以实施</w:t>
      </w:r>
      <w:r>
        <w:rPr>
          <w:rFonts w:hint="eastAsia" w:ascii="仿宋" w:hAnsi="仿宋" w:eastAsia="仿宋" w:cs="仿宋"/>
          <w:color w:val="auto"/>
          <w:sz w:val="24"/>
          <w:highlight w:val="none"/>
          <w:lang w:val="en-US" w:eastAsia="zh-CN"/>
        </w:rPr>
        <w:t>亚运安保</w:t>
      </w:r>
      <w:r>
        <w:rPr>
          <w:rFonts w:hint="eastAsia" w:ascii="仿宋" w:hAnsi="仿宋" w:eastAsia="仿宋" w:cs="仿宋"/>
          <w:color w:val="auto"/>
          <w:sz w:val="24"/>
          <w:highlight w:val="none"/>
        </w:rPr>
        <w:t>综合工程为抓手，全面布局数字赋能基础设施。加快新一代信息基础设施建设，构建面向未来、泛在感知、开放互联的数字新型基础设施体系。为</w:t>
      </w:r>
      <w:r>
        <w:rPr>
          <w:rFonts w:hint="eastAsia" w:ascii="仿宋" w:hAnsi="仿宋" w:eastAsia="仿宋" w:cs="仿宋"/>
          <w:color w:val="auto"/>
          <w:sz w:val="24"/>
          <w:highlight w:val="none"/>
          <w:lang w:val="en-US" w:eastAsia="zh-CN"/>
        </w:rPr>
        <w:t>新街街道</w:t>
      </w:r>
      <w:r>
        <w:rPr>
          <w:rFonts w:hint="eastAsia" w:ascii="仿宋" w:hAnsi="仿宋" w:eastAsia="仿宋" w:cs="仿宋"/>
          <w:color w:val="auto"/>
          <w:sz w:val="24"/>
          <w:highlight w:val="none"/>
        </w:rPr>
        <w:t>智慧</w:t>
      </w:r>
      <w:r>
        <w:rPr>
          <w:rFonts w:hint="eastAsia" w:ascii="仿宋" w:hAnsi="仿宋" w:eastAsia="仿宋" w:cs="仿宋"/>
          <w:color w:val="auto"/>
          <w:sz w:val="24"/>
          <w:highlight w:val="none"/>
          <w:lang w:val="en-US" w:eastAsia="zh-CN"/>
        </w:rPr>
        <w:t>镇街</w:t>
      </w:r>
      <w:r>
        <w:rPr>
          <w:rFonts w:hint="eastAsia" w:ascii="仿宋" w:hAnsi="仿宋" w:eastAsia="仿宋" w:cs="仿宋"/>
          <w:color w:val="auto"/>
          <w:sz w:val="24"/>
          <w:highlight w:val="none"/>
        </w:rPr>
        <w:t>样板工程建设进行全域赋能，打造</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街道小城市建设“重要窗口”神经末梢，将本项目建设成为</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街道“智慧亚运安保、数字城市赋能”的重点工程。</w:t>
      </w:r>
    </w:p>
    <w:p>
      <w:pPr>
        <w:pStyle w:val="2"/>
        <w:numPr>
          <w:ilvl w:val="2"/>
          <w:numId w:val="0"/>
        </w:numPr>
        <w:bidi w:val="0"/>
        <w:ind w:leftChars="0"/>
        <w:rPr>
          <w:rFonts w:hint="eastAsia" w:ascii="仿宋" w:hAnsi="仿宋" w:eastAsia="仿宋" w:cs="仿宋"/>
          <w:color w:val="auto"/>
          <w:highlight w:val="none"/>
        </w:rPr>
      </w:pPr>
      <w:r>
        <w:rPr>
          <w:rFonts w:hint="eastAsia" w:ascii="仿宋" w:hAnsi="仿宋" w:eastAsia="仿宋" w:cs="仿宋"/>
          <w:color w:val="auto"/>
          <w:highlight w:val="none"/>
        </w:rPr>
        <w:t>（二）项目主要内容</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特别说明：</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（1）若设备清单中的设备及设备数量尚不足以实现招标要求的，应自行增加，费用包含在投标总价中。</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（2）招标文件中未列明但项目实施过程中又实际需要的材料由供应商自行考虑补齐，费用含在投标总价中。</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采用总价包干方式，投标报价是履行合同的最终价格，应包括本次项目所涉及前期建设费和感知设备每月运行服务等一切费用，包括不限于所有系统（包括设备、材料、施工）的设计、制造、运输、调试、搬迁、系统集成、配套设施的施工、验收配合、第三方检测（若有抽检）、运行服务、免费质保服务、税金、人工、管理、合理利润、采购咨询服务费等一切成本及费用。</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标项1：</w:t>
      </w:r>
      <w:r>
        <w:rPr>
          <w:rFonts w:hint="eastAsia" w:ascii="仿宋" w:hAnsi="仿宋" w:eastAsia="仿宋" w:cs="仿宋"/>
          <w:bCs/>
          <w:color w:val="auto"/>
          <w:sz w:val="24"/>
          <w:highlight w:val="none"/>
        </w:rPr>
        <w:t>本标项拟在</w:t>
      </w:r>
      <w:r>
        <w:rPr>
          <w:rFonts w:hint="eastAsia" w:ascii="仿宋" w:hAnsi="仿宋" w:eastAsia="仿宋" w:cs="仿宋"/>
          <w:color w:val="auto"/>
          <w:sz w:val="24"/>
          <w:highlight w:val="none"/>
          <w:lang w:val="en-US" w:eastAsia="zh-CN"/>
        </w:rPr>
        <w:t>新街街道辖区范围</w:t>
      </w:r>
      <w:r>
        <w:rPr>
          <w:rFonts w:hint="eastAsia" w:ascii="仿宋" w:hAnsi="仿宋" w:eastAsia="仿宋" w:cs="仿宋"/>
          <w:color w:val="auto"/>
          <w:sz w:val="24"/>
          <w:highlight w:val="none"/>
        </w:rPr>
        <w:t>部署全域感知设备共</w:t>
      </w:r>
      <w:r>
        <w:rPr>
          <w:rFonts w:hint="eastAsia" w:ascii="仿宋" w:hAnsi="仿宋" w:eastAsia="仿宋" w:cs="仿宋"/>
          <w:color w:val="auto"/>
          <w:sz w:val="24"/>
          <w:highlight w:val="none"/>
          <w:lang w:val="en-US" w:eastAsia="zh-CN"/>
        </w:rPr>
        <w:t>211</w:t>
      </w:r>
      <w:r>
        <w:rPr>
          <w:rFonts w:hint="eastAsia" w:ascii="仿宋" w:hAnsi="仿宋" w:eastAsia="仿宋" w:cs="仿宋"/>
          <w:color w:val="auto"/>
          <w:sz w:val="24"/>
          <w:highlight w:val="none"/>
        </w:rPr>
        <w:t>套</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详细建设内容如下：</w:t>
      </w:r>
    </w:p>
    <w:tbl>
      <w:tblPr>
        <w:tblStyle w:val="62"/>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067"/>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13"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序号</w:t>
            </w:r>
          </w:p>
        </w:tc>
        <w:tc>
          <w:tcPr>
            <w:tcW w:w="3067"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系统名称</w:t>
            </w:r>
          </w:p>
        </w:tc>
        <w:tc>
          <w:tcPr>
            <w:tcW w:w="2240"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13"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067"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治安枪机</w:t>
            </w:r>
          </w:p>
        </w:tc>
        <w:tc>
          <w:tcPr>
            <w:tcW w:w="2240"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13"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067"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人脸抓拍单元</w:t>
            </w:r>
          </w:p>
        </w:tc>
        <w:tc>
          <w:tcPr>
            <w:tcW w:w="2240" w:type="dxa"/>
            <w:noWrap/>
            <w:vAlign w:val="center"/>
          </w:tcPr>
          <w:p>
            <w:pPr>
              <w:widowControl/>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13"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3067"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高点监控</w:t>
            </w:r>
          </w:p>
        </w:tc>
        <w:tc>
          <w:tcPr>
            <w:tcW w:w="2240" w:type="dxa"/>
            <w:noWrap/>
            <w:vAlign w:val="center"/>
          </w:tcPr>
          <w:p>
            <w:pPr>
              <w:widowControl/>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13"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3067"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结构化枪机</w:t>
            </w:r>
          </w:p>
        </w:tc>
        <w:tc>
          <w:tcPr>
            <w:tcW w:w="2240"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30</w:t>
            </w:r>
          </w:p>
        </w:tc>
      </w:tr>
    </w:tbl>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b/>
          <w:color w:val="auto"/>
          <w:highlight w:val="none"/>
        </w:rPr>
        <w:t>特别注意：此标项的中标人需要提供所有需要和后台平台对接的相关设备，所有存储设备需要放置在专用机房。</w:t>
      </w:r>
    </w:p>
    <w:p>
      <w:pPr>
        <w:spacing w:line="360" w:lineRule="auto"/>
        <w:ind w:firstLine="482" w:firstLineChars="200"/>
        <w:rPr>
          <w:rFonts w:hint="eastAsia" w:ascii="仿宋" w:hAnsi="仿宋" w:eastAsia="仿宋" w:cs="仿宋"/>
          <w:b/>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标项2：</w:t>
      </w:r>
      <w:r>
        <w:rPr>
          <w:rFonts w:hint="eastAsia" w:ascii="仿宋" w:hAnsi="仿宋" w:eastAsia="仿宋" w:cs="仿宋"/>
          <w:color w:val="auto"/>
          <w:sz w:val="24"/>
          <w:highlight w:val="none"/>
        </w:rPr>
        <w:t>本标项拟在</w:t>
      </w:r>
      <w:r>
        <w:rPr>
          <w:rFonts w:hint="eastAsia" w:ascii="仿宋" w:hAnsi="仿宋" w:eastAsia="仿宋" w:cs="仿宋"/>
          <w:color w:val="auto"/>
          <w:sz w:val="24"/>
          <w:highlight w:val="none"/>
          <w:lang w:val="en-US" w:eastAsia="zh-CN"/>
        </w:rPr>
        <w:t>新街街道辖区范围</w:t>
      </w:r>
      <w:r>
        <w:rPr>
          <w:rFonts w:hint="eastAsia" w:ascii="仿宋" w:hAnsi="仿宋" w:eastAsia="仿宋" w:cs="仿宋"/>
          <w:color w:val="auto"/>
          <w:sz w:val="24"/>
          <w:highlight w:val="none"/>
        </w:rPr>
        <w:t>部署全域感知设备共</w:t>
      </w:r>
      <w:r>
        <w:rPr>
          <w:rFonts w:hint="eastAsia" w:ascii="仿宋" w:hAnsi="仿宋" w:eastAsia="仿宋" w:cs="仿宋"/>
          <w:color w:val="auto"/>
          <w:sz w:val="24"/>
          <w:highlight w:val="none"/>
          <w:lang w:val="en-US" w:eastAsia="zh-CN"/>
        </w:rPr>
        <w:t>89</w:t>
      </w:r>
      <w:r>
        <w:rPr>
          <w:rFonts w:hint="eastAsia" w:ascii="仿宋" w:hAnsi="仿宋" w:eastAsia="仿宋" w:cs="仿宋"/>
          <w:color w:val="auto"/>
          <w:sz w:val="24"/>
          <w:highlight w:val="none"/>
        </w:rPr>
        <w:t>套，详细建设内容如下：</w:t>
      </w:r>
    </w:p>
    <w:tbl>
      <w:tblPr>
        <w:tblStyle w:val="62"/>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26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9" w:type="dxa"/>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3261" w:type="dxa"/>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系统名称</w:t>
            </w:r>
          </w:p>
        </w:tc>
        <w:tc>
          <w:tcPr>
            <w:tcW w:w="2330" w:type="dxa"/>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9"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261"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治安枪机</w:t>
            </w:r>
          </w:p>
        </w:tc>
        <w:tc>
          <w:tcPr>
            <w:tcW w:w="2330"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9"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261"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道路监控球机</w:t>
            </w:r>
          </w:p>
        </w:tc>
        <w:tc>
          <w:tcPr>
            <w:tcW w:w="2330"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9"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3261"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卡口抓拍单元</w:t>
            </w:r>
          </w:p>
        </w:tc>
        <w:tc>
          <w:tcPr>
            <w:tcW w:w="2330"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9" w:type="dxa"/>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3261"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城管球</w:t>
            </w:r>
          </w:p>
        </w:tc>
        <w:tc>
          <w:tcPr>
            <w:tcW w:w="2330" w:type="dxa"/>
            <w:noWrap/>
            <w:vAlign w:val="center"/>
          </w:tcPr>
          <w:p>
            <w:pPr>
              <w:widowControl/>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34</w:t>
            </w:r>
          </w:p>
        </w:tc>
      </w:tr>
    </w:tbl>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特别注意：此标项的中标人需要提供所有需要和后台平台对接的相关设备，所有存储设备需要放置在专用机房。</w:t>
      </w:r>
    </w:p>
    <w:p>
      <w:pPr>
        <w:spacing w:line="360" w:lineRule="auto"/>
        <w:ind w:firstLine="480" w:firstLineChars="200"/>
        <w:rPr>
          <w:rFonts w:hint="eastAsia" w:ascii="仿宋" w:hAnsi="仿宋" w:eastAsia="仿宋" w:cs="仿宋"/>
          <w:bCs/>
          <w:color w:val="auto"/>
          <w:sz w:val="24"/>
          <w:highlight w:val="none"/>
        </w:rPr>
      </w:pPr>
    </w:p>
    <w:p>
      <w:pPr>
        <w:pStyle w:val="2"/>
        <w:numPr>
          <w:ilvl w:val="2"/>
          <w:numId w:val="0"/>
        </w:numPr>
        <w:bidi w:val="0"/>
        <w:ind w:leftChars="0"/>
        <w:rPr>
          <w:rFonts w:hint="eastAsia" w:ascii="仿宋" w:hAnsi="仿宋" w:eastAsia="仿宋" w:cs="仿宋"/>
          <w:color w:val="auto"/>
          <w:highlight w:val="none"/>
        </w:rPr>
      </w:pPr>
      <w:r>
        <w:rPr>
          <w:rFonts w:hint="eastAsia" w:ascii="仿宋" w:hAnsi="仿宋" w:eastAsia="仿宋" w:cs="仿宋"/>
          <w:color w:val="auto"/>
          <w:highlight w:val="none"/>
        </w:rPr>
        <w:t>（三）主要设备清单和技术指标</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1、系统的性能要求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（1）前端人脸抓拍支持在现有萧山区公安分局人脸识别比对系统中完成实时对比分析及应用。</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（2）系统支持视频7x24小时存储30天，人脸图片存储180天，结构化数据存储2年。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采用分布式架构，服务器节点可根据实际需求线性扩展，同时系统支持上亿级别人脸注册库/人脸抓拍库、动态比对支持实时人脸布控，支持将黑名单库分为最多999个库分别管理，每个库设置不同报警阈值或关联相机；</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（4）动态人脸识别性能符合部省市关于人脸识别的相关标准规范要求；</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rPr>
        <w:t>项目的管理要求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本项目应按照全区项目实施和政府采购的有关规定要求，做好该项目的规划、方案设计、项目招标、实施、项目验收以及合同签订等工作，确保系统建设工作规范、有序，对项目的整个实施过程进行监督管理。</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项目方案制定</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在制订项目实施方案的过程中，要坚持将实战放在首位，根据萧山区政府和萧山区公安分局总体规划和相关技术要求，从实战角度出发，结合</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街道具体治安和经济情况，制订切实可行的实施方案。</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项目实施</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建设单位应严格按照合同所规定的要求和相关技术标准规范实施。同时，建设单位需对系统建设的进展情况定期总结，发现问题及时解决。</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在项目实施过程中，根据项目实际情况，若需要对合同内容、技术要求作相应变更，应由建设单位和施工单位共同确认协商一致后，向设计单位递交书面变更申请，经批准后方可进行施工。</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项目验收</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本次项目所有设备安装到位，软硬件正常运行，达到用户的性能要求和产品技术规格中的参数要求，试运行满30天后进入验收流程。</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（1）设备及软件的验收要求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按照技术规范要求对全部设备的型号、规格、数量、外型、包装及资料（如保修单、随箱介质）的验收。</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测试中出现性能指标或功能上不符合技术规范要求时，用户有拒收的权利。</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如果出现不符合技术规范要求的严重质量问题时，用户保留索赔权利。</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（2）技术文档需求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中标方在项目开始和结束时应向用户提供下述技术文档：</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2)施工深化相关图纸；</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3)系统试运行记录和报告；</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4)系统竣工报告；</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5)初验报告（附隐蔽工程随工验收单）；</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6)第三方检测报告</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如有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7)系统及产品使用说明书（含操作说明及日常简单维护说明）；</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8)售后服务条款；</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9)培训记录；</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（3）项目验收必须在公安技术部门的统一协调下实施，符合技防工程建设总体技术要求。</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3、主要设备技术指标要求</w:t>
      </w:r>
    </w:p>
    <w:p>
      <w:pPr>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标项一</w:t>
      </w:r>
    </w:p>
    <w:tbl>
      <w:tblPr>
        <w:tblStyle w:val="62"/>
        <w:tblW w:w="5345" w:type="pct"/>
        <w:jc w:val="center"/>
        <w:shd w:val="clear" w:color="auto" w:fill="auto"/>
        <w:tblLayout w:type="autofit"/>
        <w:tblCellMar>
          <w:top w:w="0" w:type="dxa"/>
          <w:left w:w="108" w:type="dxa"/>
          <w:bottom w:w="0" w:type="dxa"/>
          <w:right w:w="108" w:type="dxa"/>
        </w:tblCellMar>
      </w:tblPr>
      <w:tblGrid>
        <w:gridCol w:w="698"/>
        <w:gridCol w:w="1416"/>
        <w:gridCol w:w="7296"/>
        <w:gridCol w:w="698"/>
        <w:gridCol w:w="698"/>
      </w:tblGrid>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设备名称</w:t>
            </w:r>
          </w:p>
        </w:tc>
        <w:tc>
          <w:tcPr>
            <w:tcW w:w="3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设备参数</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一、前端感知设备</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公安</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治安枪机</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像素：400万；</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最低照度：0.002Lux（彩色模式）；0.0002Lux（黑白模式）；0Lux（补光灯开启）；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最大补光距离：60m；</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镜头类型：电动变焦；</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镜头焦距：2.7-13.5mm；</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通用行为分析：绊线入侵；区域入侵；快速移动；物品遗留；物品搬移；徘徊检测；人员聚集；停车检测；人脸检测；</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视频压缩标准：H.265；H.264H；MJPEG；</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智能编码：H.264：支持H.265：支持；</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宽动态：120dB；</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报警事件：支持无SD卡；SD卡空间不足；SD卡出错；网络断开；IP冲突；非法访问；</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接入标准：ONVIF；GB/T28181；CGI；</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音频输入：1路（RCA头）；</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音频输出：1路（RCA头）；</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报警输入：2路；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报警输出：2路；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供电方式：DC12V/POE；</w:t>
            </w:r>
          </w:p>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防护等级：IP66</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人脸抓拍单元</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像素400万；</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最大分辨率2688×1520；</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最低照度0.001Lux（彩色模式）；0.0001Lux（黑白模式）；0Lux（补光灯开启）；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最大补光距离人脸检测距离：20m视频监控距离：60m；</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镜头类型电动变焦；镜头焦距10mm~40mm；</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通用行为分析物品遗留；</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周界防范绊线入侵；区域入侵；快速移动；徘徊检测；人员聚集；停车检测；</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支持人脸检测；支持跟踪；支持优选；支持抓拍；</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支持10万人脸底库的人脸比对；</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视频压缩标准H.265；H.264；H.264H；MJPEG；</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智能编码H.264:支持；H.265:支持；</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宽动态120dB；</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透雾功能支持；</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音频异常侦测；虚焦侦测；人脸检测；视频结构化；区域内人数统计；人数统计；排队管理；</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接入标准ONVIF（ProfileS/ProfileG/ProfileT）；CGI；GB/T28181（双国标）；GA/T1400；</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GB/35114A；最大MicroSD卡256GB；</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音频输入1路；音频输出1路；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报警输入2路；报警输出2路；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供电方式AC24V3A；</w:t>
            </w:r>
          </w:p>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防护等级IP66</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高点监控</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传感器类型：1/1.8英寸CMOS</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最低照度：全景：0.001Lux（彩色模式）</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0.0001Lux（黑白模式）</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球机：0. 001Lux（彩色模式）</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0.0001Lux（黑白模式）</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0Lux（补光灯开启）</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镜头焦距：全景：2.8mm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球机：6mm~220mm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周界防范：绊线入侵</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区域入侵</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视频压缩标准：H.265、H.264、MJPEG（仅辅码流支持）</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宽动态：球机：120dB</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报警事件：非法访问；动态检测；视频遮挡；绊线入侵；区域入侵；</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接入标准：GA/35114</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最大Micro SD卡：256 GB</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音频输入：1路</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音频输出：1路</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报警输入：7路</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报警输出：2路</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供电方式：DC36V</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结构化枪机</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传感器类型1/1.8英寸CMOS</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最低照度0.002Lux(彩色模式)；0.0002Lux(黑白模式)；0Lux(补光灯开启)。</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最大补光距离80m（视频监控距离）30m（人脸检测距离）；</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镜头焦距：8~32mm；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通用行为分析周界防范绊线入侵；区域入侵；快速移动；徘徊检测；人员聚集；停车检测；</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人脸识别支持人脸检测；支持跟踪；支持优选；支持抓拍；</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支持添加5个人脸库；</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支持10万人脸底库的人脸比对；</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视频压缩标准H.265；H.264；MJPEG；</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智能编码H.264:支持；H.265:支持；</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宽动态120dB；</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透雾功能支持；</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事件无SD卡；SD卡空间不足；SD卡出错；网络断开；IP冲突；非法访问；动态检测；视频遮挡；绊线入侵；区域入侵；快速移动；物品遗留；物品搬移；徘徊检测；人员聚集；停车检测；场景变更；音频异常侦测；电压检测；虚焦侦测；外部报警；人脸检测；人脸识别；视频结构化；人群密度；</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接入标准GB/35114；</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最大MicroSD卡256GB；</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RS-485接口1个；</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音频输入2路（RCA头）；音频输出1路（RCA头）；</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报警输入3路；报警输出2路；</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供电方式DC12V；</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防护等级IP66；</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治安补光灯</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铝合金材质进口20颗CREE光源，超远补光支持光敏控制方式</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启动阈值30Lux</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照射距离可达30米</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色温5500-6500K</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适应温度-30~70℃</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湿度＜90%的环境应用</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支持IP66防护等级</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额定功率16W</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支持DC12V供电</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支持壁装、吊装、面装安装方式</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二、后端存储设备</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元数据服务器</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2U机架，双路64位多核处理器，LINUX系统，64GB DDR4，1+1冗余电源，550W，CRPS白金级能效，带2G缓存RAID卡，8个千兆数据电口，2块 3.5英寸 SATA 2TB 企业级机械硬盘，2块 2.5英寸 SATA 960GB 数据中心级固态硬盘，功耗满负荷小于450W；基础存储和管理模块：云存储软件模块，文件生命周期管理模块，智能恢复模块，图片处理模块，多租户模块；基础PaaS服务模块：视频设备接入模块，卡口设备接入模块，视频图片存储模块，流媒体转发模块，统一图片访问网关模块，中心智能调度模块，消息队列模块，MYSQL高可靠模块，规则引擎模块。</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云存储节点</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云存储系统采用主流的对象存储架构、先进的容错算法、智能化的资源调度技术，提供了基于分布式文件系统的数据存储能力，具备大容量、高可靠、高性能、使用简单、自动化管理等特点，保障数据的电信级安全可靠，支持集群横向扩展，满足海量大数据、云计算业务的庞大需求；</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采用Erasure Code冗余技术，数据分片后存储至多台节点中，支持设备级、硬盘级容错；</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支持N+M多种容错模式（N+1，N+2，N+3，N+4），磁盘利用率为N/（N+M）；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支持录像业务级别按空间、时间的循环覆盖；</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支持融合存储，支持视频、图片、文档等数据混合存储；</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支持视频录像能以文件方式被第三方应用从云存储中直接读取；</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支持存储节点间基于性能和容量的负载均衡，节点内部基于硬盘性能和容量的负载均衡；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在80%磁盘利用率下，最大容忍四台存储节点同时故障，历史录像不丢失。</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高性能六核处理器，嵌入式LINUX系统，单控制器，16GB DDR4 主频2666MHz，1+1冗余电源，4个千兆数据电口，2个万兆数据光口，1个eSATA接口，1个RS-232接口，2个USB 3.0接口，2个USB 2.0接口，内置1块2.5英寸SATA 240G 企业级固态硬盘，最大支持36个2.5"或3.5"的SATA硬盘或者SAS硬盘，4U机架式，产品尺寸：737mm*483mm*175mm（长*宽*高），功耗不大于600W（含硬盘）。支持云基础存储和管理软件服务：云存储软件服务、文件生命周期管理服务、文件智能恢复服务、图片处理模块、多租户服务。支持云基础PaaS服务模块: 视频设备接入服务、卡口设备接入服务、视图存储服务、流媒体转发服务。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硬盘</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6000G；7200RPM；256M；SATA</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108</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云计算一体机</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2U4节点高密服务器|Intel至强双路处理器E5-2640*2*4节点|128GBDDR4*4节点|1TBSATA7200RPM2.5寸硬盘*4节点|2TB2.5寸Sata盘*4节点|480GBSSD2.5英寸硬盘*3*4节点|4千兆网口（RJ45接口）*4节点|1600W1+1钛金冗余电源。</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光模块</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多模双纤LC接口850nm发送，850nm接收传输距离300m</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三、网络传输</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机架式标准机箱</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支持288X200路高清数字非压缩视频全交叉交换；系统主要可支持各种高清网络视频信号的接入及输出，系统支持扩容，单机箱可实现288输入*200输出交换。</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系统CPU管理卡</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含1个调试RJ45口，2个控制RJ45口，2个键盘连接RJ45口，1个网络接口，6个可扩展接口；负责完成系统初始化、业务板卡配置、系统网管信息收集、系统控制、业务调度、音视频路由计算。</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背板交换卡</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支持288X200路高清数字非压缩视频全交叉交换；系统主要可支持各种高清网络视频信号的接入及输出，并支持大屏控制功能，系统支持扩容，单机箱可实现288输入*200输出交换，支持网管功能。</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24千兆光口卡</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支持12/24个视频输入接口；输入视频分辨率 1080p@24Hz,1080p@25Hz, 1080p@30Hz,1080p@50Hz,1080p@60Hz实现24路高清网络视频输入，支持24个千兆 SFP光口实现24路千兆光接入，2/4个100/1000M自适应电口。传输距离：20KM(标准)、40KM、60KM、80KM、100KM光学 光 功 率： ≥-15dBm 灵 敏 度； ≤-33dBm</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千兆光模块</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SFP-BI-T1310-1.25G-(-3~1)-R1.25G-(&lt;-26)-20KM-(-40~85)-3.3、SFP-BI-T1550-1.25G-(-5~0)-R1.25G-(&lt;-26)-20KM-(-40~75)-3.3</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264</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千兆远端接入模块</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光口速率 1.5G；光接口 LC/SC视频通道；以太网通道 5路1000M视频标准 1080p@25Hz,1080p@30Hz视频速率 1.485Gps、155Mps；视频接口 1000M以太网数据格式 RS485；通信速率 DC～115.2Kbps（典型值）；误码率 ≤10E-13；传输距离：20KM/40KM/60/KM/80KM可选</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132</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四、施工杆件箱体</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立杆及基础</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1）监控立杆主要由杆体、连接法兰、挑臂、安装法兰及预埋钢结构构成；</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监控立杆钢材材质为国家标准低硅低碳高强度Q235，壁厚度≥4mm，底法兰厚度≥8mm。监控墙装、抱装挑臂杆材质为国家标准低硅低碳高强度Q235，壁厚度≥3mm。监控杆结构用钢不得有影响材料和机械性能的裂纹、分层、重皮、夹渣等缺陷，麻点或划痕的深度不得大于钢材厚度负公差的½，且不大于0.5m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3）监控杆构造参数按照抗震5级、抗风力8级、疲劳寿命30年进行设计；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4）监控立杆杆体部分采用等径圆杆结构。杆体圆度标准≤1.0mm。杆体表面光滑一致，无横向焊纹；</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5）立杆垂直度偏差不大于杆身高度的1/1000；</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杆体焊接采用电焊接，焊接材料应符合现行国家标准的规定。整个杆体无漏焊，焊缝平整，无影响强度的裂纹、焊瘤、烧穿、未溶合，无褶皱和中断等缺陷。焊缝区咬肉深度不得超过0.5mm，累计总长不得超过焊缝总长的10%。焊缝宽度小于20mm，焊角余高为1.5-2.5mm，焊角尺寸不允许小于设计尺寸；</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杆体防腐处理采用热浸锌，在进行防腐处理前，应对构件进行有效的除锈，热浸锌厚度不小于55μm，锌层应均匀，与金属本体结合牢固，经锤击实验，锌层不剥离、不凸起。浸锌完毕后应进行钝化处理。杆体外部根据需要上色漆；</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8）基础结构件材质采用Q235钢，钢板厚度为δ5，地脚螺栓规格为≥M20。基础钢板上钢筋配镀锌螺母、平光垫圈；</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9）监控杆须配备接地扁铁，其接地电阻小于10Ω；</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10）监控立杆预埋件混凝土为C25砼，所配钢筋符合国标及受风要求。其中水泥为425号普通硅酸盐水泥。混凝土的配比和最小水泥用量应符合GBJ204-83的规定；</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11）监控立杆基础的混凝土浇注面平整度小于5mm/m尽量保持立杆预埋件水平。监控杆预埋件法兰盘低出周围地面20-30mm，再用C25细石砼把加强肋盖住，以防止积水；</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12）特殊区域以立杆、抱杆配套安装感知设备，杆件样式需考虑与周边环境的一致性、协调性，具体点位根据深化设计结果而定；</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13）其他杆件根据实际应用场景需求定制。</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39</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抱杆</w:t>
            </w:r>
          </w:p>
        </w:tc>
        <w:tc>
          <w:tcPr>
            <w:tcW w:w="3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根据实际情况而定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设备机箱</w:t>
            </w:r>
          </w:p>
        </w:tc>
        <w:tc>
          <w:tcPr>
            <w:tcW w:w="3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设备箱选用有质量认证的优质不锈钢板，其材质性能应符合国家标准要求及招标文件要求。抱杆设备箱尺寸为460高×300宽×210深×1.2厚mm；落地设备箱尺寸为700高×560宽×360深×1.5厚mm。</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结构、型式：设备箱由箱体、帽盖，门板、内部隔、接地铜牌组成。安装形式为抱杆、壁装安装；</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119</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接地装置</w:t>
            </w:r>
          </w:p>
        </w:tc>
        <w:tc>
          <w:tcPr>
            <w:tcW w:w="3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根据实际情况而定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39</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0" w:hRule="atLeast"/>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配套线缆</w:t>
            </w:r>
          </w:p>
        </w:tc>
        <w:tc>
          <w:tcPr>
            <w:tcW w:w="3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根据实际情况而定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211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批</w:t>
            </w:r>
          </w:p>
        </w:tc>
      </w:tr>
    </w:tbl>
    <w:p>
      <w:pPr>
        <w:bidi w:val="0"/>
        <w:rPr>
          <w:rFonts w:hint="eastAsia" w:ascii="仿宋" w:hAnsi="仿宋" w:eastAsia="仿宋" w:cs="仿宋"/>
          <w:b/>
          <w:bCs/>
          <w:color w:val="auto"/>
          <w:highlight w:val="none"/>
          <w:lang w:val="en-US" w:eastAsia="zh-CN"/>
        </w:rPr>
      </w:pPr>
    </w:p>
    <w:p>
      <w:pP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br w:type="page"/>
      </w:r>
    </w:p>
    <w:p>
      <w:pPr>
        <w:bidi w:val="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标项二</w:t>
      </w:r>
    </w:p>
    <w:tbl>
      <w:tblPr>
        <w:tblStyle w:val="62"/>
        <w:tblW w:w="5422" w:type="pct"/>
        <w:jc w:val="center"/>
        <w:shd w:val="clear" w:color="auto" w:fill="auto"/>
        <w:tblLayout w:type="autofit"/>
        <w:tblCellMar>
          <w:top w:w="0" w:type="dxa"/>
          <w:left w:w="108" w:type="dxa"/>
          <w:bottom w:w="0" w:type="dxa"/>
          <w:right w:w="108" w:type="dxa"/>
        </w:tblCellMar>
      </w:tblPr>
      <w:tblGrid>
        <w:gridCol w:w="698"/>
        <w:gridCol w:w="1416"/>
        <w:gridCol w:w="7296"/>
        <w:gridCol w:w="698"/>
        <w:gridCol w:w="698"/>
      </w:tblGrid>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设备名称</w:t>
            </w:r>
          </w:p>
        </w:tc>
        <w:tc>
          <w:tcPr>
            <w:tcW w:w="3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设备参数</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一、前端感知设备</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公安</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治安枪机</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像素：400万；</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最低照度：0.002Lux（彩色模式）；0.0002Lux（黑白模式）；0Lux（补光灯开启）；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最大补光距离：60m；</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镜头类型：电动变焦；</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镜头焦距：2.7-13.5mm；</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通用行为分析：绊线入侵；区域入侵；快速移动；物品遗留；物品搬移；徘徊检测；人员聚集；停车检测；人脸检测；</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视频压缩标准：H.265；H.264H；MJPEG；</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智能编码：H.264：支持H.265：支持；</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宽动态：120dB；</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报警事件：支持无SD卡；SD卡空间不足；SD卡出错；网络断开；IP冲突；非法访问；</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接入标准：ONVIF；GB/T28181；CGI；</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音频输入：1路（RCA头）；</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音频输出：1路（RCA头）；</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报警输入：2路；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报警输出：2路；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供电方式：DC12V/POE；</w:t>
            </w:r>
          </w:p>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防护等级：IP66</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22</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交警</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道路监控球机</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内置GPU芯片，支持深度学习算法，有效提升检测准确率</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支持35倍光学变倍</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采用400万像素1/1.8英寸CMOS传感器</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照度，彩色：0.001Lux；黑白：0.0001Lux；0Lux（红外灯开启）</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支持H.265编码</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内置250米红外灯补光</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水平方向360°</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垂直方向-20°～90°</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支持1路音频输入和1路音频输出</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内置7路报警输入和2路报警输出</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支持IP67防护等级</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8000V防雷、防浪涌和防突波保护</w:t>
            </w:r>
          </w:p>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支持AC24V±25%宽电压输入</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卡口抓拍单元</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 900万像素点；图像分辨率4096×2160（不包含OSD黑边）；</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 视频帧率25fps；</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 视频压缩标准支持H.265/H.264；</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 具有抓拍快门、视频快门、识别快门等三种模式，支持快门自适应，1/1s~1/100000s可调；</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 具有2 个100M/1000M 以太网口，1 个RS232 接口，2 个RS485 接口，1个TF卡槽；</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6）主副驾驶人脸抓拍功能：在实时记录通行车辆的同时，支持主/副驾驶员人脸检测以及抠图功能，单车道场景下，主副驾驶员人脸抠图120×120像素点；</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 支持非机动车、行人捕获功能，白天捕获率≥99%，晚上捕获率≥99%；</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 支持逆行抓拍功能，白天准确率≥99%，晚上准确率≥99%；支持350种车标识别，白天准确率≥98%，晚上准确率≥98%</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 支持车辆捕获功能，白天准确率≥99.9%，夜间准确率≥99.9%；支持车牌识别功能，白天准确率≥99.9%，晚上准确率≥99.9%</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10）平整度调整：支持平整度和后焦手动调整。</w:t>
            </w:r>
          </w:p>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11）软件升级功能：支持给外设备进行软件升级控制，如雷达、外置灯等。</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多功能补光灯</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1、高度集成：集暖光LED频闪、爆闪和氙气白光、红外爆闪于一体，有效降低光污染、避免麻雀杆现象；</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2、自动调节：内置光敏，根据环境光自动切换白天/夜晚模式，自动调节氙气灯亮度和切换LED灯亮灭，灵活方便；</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3、红外白光：支持红外/白光闪光，可自动切换红外和白光模式；</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4、视频同步：支持LED频闪同步相机视频补光，车牌补光效果更好；</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5、抓拍同步：支持LED爆闪或氙气爆闪同步相机抓拍补光，车窗内人脸和细节效果更优；</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6、亮度可调：支持相机WEB或客户端设置LED频闪灯和氙气爆闪灯亮度；</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7、脉宽可调：支持相机WEB或者客户端设置LED频闪脉宽时间0~3ms；</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8、频率可调：支持相机WEB或者客户端设置LED频闪频率50Hz/60Hz/75Hz/90Hz/100Hz/120Hz；</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9、回电时间：爆闪回电时间＜60ms，满足交通摄像机连抓两张的需求；</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10、触发方式：支持通过开关量触发方式检测闪光是否正常；</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11、频闪统计：支持统计频闪持续时间，方便计算设备寿命；</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12、爆闪计数：支持统计爆闪次数和触发次数，可快速定位现场信号干扰问题；</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13、防干扰：支持脉宽检测触发，保证设备正常工作，提高设备可靠性;</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14、屏蔽误触发：支持屏蔽误触发干扰信号，保证设备正常使用，提高设备使用寿命；</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15、结构创新：流线型设计，外观明朗，饱和度高，有效提升防水、防尘、防护等级，且内部良好的散热设计可有效防止闪光灯因高频闪光过热而损坏。</w:t>
            </w:r>
          </w:p>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16、防眩光设计：采用独特的防眩光学设计，有效地将非功能区的光照度降低至中心光照度的10%以下</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镜头</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定焦镜头（手动光圈）</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支架</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三维万向节支架</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24</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终端管理盒</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高性能嵌入式处理器，8GB内存；</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内置16个10M/100M自适应以太网口；</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支持H.265/H.264编码格式；</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支持2个12V、1个5V电源反送；</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标配4个4T硬盘，</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支持图片合成、断网续传、自动注册、黑白名单导入导出、数据防删改功能；</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支持按时间、通道查询录像功能；</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支持按时间、通道查询电子车牌功能；</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支持按时间、文件，下载数据，图片下载命名格式支持自定义；</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支持3个FTP同时传输，原始图片、合成图片、车牌图片、关联录像、主驾驶图片、副驾驶图片、行人人脸图片、非机动车图片上传类型可选；</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支持跨网段远程升级、配置前端摄像机；</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支持RTSP流媒体、国标28181、国标35114等协议接入；</w:t>
            </w:r>
          </w:p>
          <w:p>
            <w:pPr>
              <w:keepNext w:val="0"/>
              <w:keepLines w:val="0"/>
              <w:widowControl/>
              <w:suppressLineNumbers w:val="0"/>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支持存储已满、外部报警、车辆黑名单、非法访问、安全异常等事件报警功能</w:t>
            </w:r>
          </w:p>
          <w:p>
            <w:pPr>
              <w:keepNext w:val="0"/>
              <w:keepLines w:val="0"/>
              <w:widowControl/>
              <w:suppressLineNumbers w:val="0"/>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支持按时间、通道查询车流量功能，支持CSV格式导出查询结果；</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城管</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城管球</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传感器类型：1/2.8英寸CMOS；</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像素：400万；</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最大分辨率：2560*1440；</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最低照度：彩色：0.005lux黑白：0.0005lux，0Lux（红外灯开启）；</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镜头焦距：6~115mm；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光学变倍：23倍；</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可视域功能：支持；</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周界防范：支持绊线入侵、区域入侵、穿越围栏、徘徊、物品遗留、物品搬移、快速移动、停车、人员聚集检测；支持人车分类报警；</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二、后端存储设备</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元数据服务器</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2U机架，双路64位多核处理器，LINUX系统，64GB DDR4，1+1冗余电源，550W，CRPS白金级能效，带2G缓存RAID卡，8个千兆数据电口，2块 3.5英寸 SATA 2TB 企业级机械硬盘，2块 2.5英寸 SATA 960GB 数据中心级固态硬盘，功耗满负荷小于450W；基础存储和管理模块：云存储软件模块，文件生命周期管理模块，智能恢复模块，图片处理模块，多租户模块；基础PaaS服务模块：视频设备接入模块，卡口设备接入模块，视频图片存储模块，流媒体转发模块，统一图片访问网关模块，中心智能调度模块，消息队列模块，MYSQL高可靠模块，规则引擎模块。</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云存储节点</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云存储系统采用主流的对象存储架构、先进的容错算法、智能化的资源调度技术，提供了基于分布式文件系统的数据存储能力，具备大容量、高可靠、高性能、使用简单、自动化管理等特点，保障数据的电信级安全可靠，支持集群横向扩展，满足海量大数据、云计算业务的庞大需求；</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采用Erasure Code冗余技术，数据分片后存储至多台节点中，支持设备级、硬盘级容错；</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支持N+M多种容错模式（N+1，N+2，N+3，N+4），磁盘利用率为N/（N+M）；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支持录像业务级别按空间、时间的循环覆盖；</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支持融合存储，支持视频、图片、文档等数据混合存储；</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支持视频录像能以文件方式被第三方应用从云存储中直接读取；</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支持存储节点间基于性能和容量的负载均衡，节点内部基于硬盘性能和容量的负载均衡；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在80%磁盘利用率下，最大容忍四台存储节点同时故障，历史录像不丢失。</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高性能六核处理器，嵌入式LINUX系统，单控制器，16GB DDR4 主频2666MHz，1+1冗余电源，4个千兆数据电口，2个万兆数据光口，1个eSATA接口，1个RS-232接口，2个USB 3.0接口，2个USB 2.0接口，内置1块2.5英寸SATA 240G 企业级固态硬盘，最大支持36个2.5"或3.5"的SATA硬盘或者SAS硬盘，4U机架式，产品尺寸：737mm*483mm*175mm（长*宽*高），功耗不大于600W（含硬盘）。支持云基础存储和管理软件服务：云存储软件服务、文件生命周期管理服务、文件智能恢复服务、图片处理模块、多租户服务。支持云基础PaaS服务模块: 视频设备接入服务、卡口设备接入服务、视图存储服务、流媒体转发服务。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硬盘</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6000G；7200RPM；256M；SATA</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108</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云计算一体机</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2U4节点高密服务器|Intel至强双路处理器E5-2640*2*4节点|128GBDDR4*4节点|1TBSATA7200RPM2.5寸硬盘*4节点|2TB2.5寸Sata盘*4节点|480GBSSD2.5英寸硬盘*3*4节点|4千兆网口（RJ45接口）*4节点|1600W1+1钛金冗余电源。</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光模块</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多模双纤LC接口850nm发送，850nm接收传输距离300m</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24</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三、应用平台设备</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视频云综合应用平台</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场景1：支持1W通道管理汇聚</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1、业务功能：支持视频、云台、录像、上墙、设备报警、智能报警、地图、视频分享等功能；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2、管理功能：设备管理、组织管理、角色管理、部门管理、用户管理、录像计划、报警预案、级联管理等基础功能；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3、平台运维功能：支持物理设备运维管理，服务运维管理，业务运维管理</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4、统一门户：统一鉴权、统一门户登录功能；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5、产品配套：人像大数据，车辆大数据，AR，实战，情指勤，多维大数据，多维仪表盘，智能云存储，云数据库，视图库，智能运维</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6、设备接入：不支持本机接入，支持管理配套节点设备接入、数据的汇总、存储和转发，支持级联下级；</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场景2：一体机：含管理节点功能</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1、设备本机接入：支持数据类型包括视频、人、车、Mac、报警设备等以不同厂家、不同协议设备接入；</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2、级联管理：不支持级联下级</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流媒体服务器</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配合管理节点，做设备及数据的接入、存储和转发功能CPU：1颗Hygon31353.2G8M4核75WCPU内存：1条16GB DDR42666 REG内存硬盘：1块1T，3.5吋6GbSATA 企业级机械硬盘网口：8个千兆网口</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数据对接网关服务器</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纯硬件服务器，配置概览：CPU：1颗IntelXeonE3 内存：1条16GBDDR4内存硬盘：1块1T3.5英寸6GbSATA热插拔硬盘网口：4个千兆网口，1个BMC管理网口</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数据对接网关授权</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提供数据同步必须的抽取，协议转换，清洗，上传，等基础能力；为非标定制模块提供运行载体；满足性能指标，并可根据数据源的不同做调整优化；非ARM系统基础模块，必选不支持视频数据处理。【规格】：带大小图（500K+50K）数据：400W条/日，带一小图（50K）数据：600W/日，不带图数据：1000W条/日</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四、网络传输</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机架式标准机箱</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支持288X200路高清数字非压缩视频全交叉交换；系统主要可支持各种高清网络视频信号的接入及输出，系统支持扩容，单机箱可实现288输入*200输出交换。</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系统CPU管理卡</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含1个调试RJ45口，2个控制RJ45口，2个键盘连接RJ45口，1个网络接口，6个可扩展接口；负责完成系统初始化、业务板卡配置、系统网管信息收集、系统控制、业务调度、音视频路由计算。</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背板交换卡</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支持288X200路高清数字非压缩视频全交叉交换；系统主要可支持各种高清网络视频信号的接入及输出，并支持大屏控制功能，系统支持扩容，单机箱可实现288输入*200输出交换，支持网管功能。</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24千兆光口卡</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支持12/24个视频输入接口；输入视频分辨率 1080p@24Hz,1080p@25Hz, 1080p@30Hz,1080p@50Hz,1080p@60Hz实现24路高清网络视频输入，支持24个千兆 SFP光口实现24路千兆光接入，2/4个100/1000M自适应电口。传输距离：20KM(标准)、40KM、60KM、80KM、100KM光学 光 功 率： ≥-15dBm 灵 敏 度； ≤-33dBm</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16光口光纤接入卡</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光接入卡-16路光通道接入-2通道1000M以太网输出-支持字符叠加-支持背板交换-支持大屏输出</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块</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千兆光模块</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SFP-BI-T1310-1.25G-(-3~1)-R1.25G-(&lt;-26)-20KM-(-40~85)-3.3、SFP-BI-T1550-1.25G-(-5~0)-R1.25G-(&lt;-26)-20KM-(-40~75)-3.3</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106</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千兆远端接入模块</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光口速率 1.5G；光接口 LC/SC视频通道；以太网通道 5路1000M视频标准 1080p@25Hz,1080p@30Hz视频速率 1.485Gps、155Mps；视频接口 1000M以太网数据格式 RS485；通信速率 DC～115.2Kbps（典型值）；误码率 ≤10E-13；传输距离：20KM/40KM/60/KM/80KM可选</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远端光接入模块</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光口速率 1.5G；光接口 LC/SC视频通道；以太网通道 5路1000M视频标准 1080p@25Hz,1080p@30Hz视频速率 1.485Gps、155Mps；视频接口 1000M以太网数据格式 RS485；通信速率 DC～115.2Kbps（典型值）；误码率 ≤10E-13；传输距离：20KM/40KM/60/KM/80KM可选</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五、安全准入</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安全准入</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机框式插卡设备，具有专用操作系统，稳定可靠；</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主控槽位2个，业务槽位4个，AC 冗余电源，</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 xml:space="preserve">交换容量51.2Tbps，包转发率7800Mpps；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单台设备配置2个万兆光口， 6个光口， 2个千兆Combo口；</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最大处理能力≥800路高清视频（4M码流）安全管控；</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设备本身不能出现对视频业务产生如视频抖动、卡顿等现象，基于SIP的视音频传输时延＜20微秒；</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支持策略路由、二层透明模式等部署方式；</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支持基于MAC地址,IP地址，设备指纹的准入机制；</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支持基于协议特征的白名单视频控制机制，可自动识别视频协议，对非法流量和协议进行阻断，并支持自定义协议报名单；</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系统应允许以GB/T 28181标准协议接入网络的终端进行通信；采用非GB/T 28181标准协议接入网络进行通信的设备应被系统阻断，并产生告警日志；</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支持符合GB35114标准的终端接入检测功能，能够对不符合GB35114的终端接入进行阻断并告警；</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支持视频调阅审计功能，能够对平台调取视频流的源、目的IP及调取时间进行记录；</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设备支持基于Portal认证的实名制违规外联检测机制，基于portal认证入网的设备，存在违规外联行为的终端，通讯会被阻断；</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设备支持无感知方式的违规外联检测机制，存在违规外联行为的终端，通讯会被阻断；</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 xml:space="preserve">系统应能支持基于IP地址、协议和端口的终端接入控制，对合法接入的终端允许其正常通信，非法接入的终端进行告警提示并生成非法仿冒日志；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支持IPv6环境下的安全准入功能；</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支持与现有萧山区公安分局准入平台级联管理，统一认证、策略同步，数据集中展示。</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六、施工杆件箱体</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立杆及基础</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1）监控立杆主要由杆体、连接法兰、挑臂、安装法兰及预埋钢结构构成；</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监控立杆钢材材质为国家标准低硅低碳高强度Q235，壁厚度≥4mm，底法兰厚度≥8mm。监控墙装、抱装挑臂杆材质为国家标准低硅低碳高强度Q235，壁厚度≥3mm。监控杆结构用钢不得有影响材料和机械性能的裂纹、分层、重皮、夹渣等缺陷，麻点或划痕的深度不得大于钢材厚度负公差的½，且不大于0.5mm；</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3）监控杆构造参数按照抗震5级、抗风力8级、疲劳寿命30年进行设计；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4）监控立杆杆体部分采用等径圆杆结构。杆体圆度标准≤1.0mm。杆体表面光滑一致，无横向焊纹；</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5）立杆垂直度偏差不大于杆身高度的1/1000；</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杆体焊接采用电焊接，焊接材料应符合现行国家标准的规定。整个杆体无漏焊，焊缝平整，无影响强度的裂纹、焊瘤、烧穿、未溶合，无褶皱和中断等缺陷。焊缝区咬肉深度不得超过0.5mm，累计总长不得超过焊缝总长的10%。焊缝宽度小于20mm，焊角余高为1.5-2.5mm，焊角尺寸不允许小于设计尺寸；</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杆体防腐处理采用热浸锌，在进行防腐处理前，应对构件进行有效的除锈，热浸锌厚度不小于55μm，锌层应均匀，与金属本体结合牢固，经锤击实验，锌层不剥离、不凸起。浸锌完毕后应进行钝化处理。杆体外部根据需要上色漆；</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8）基础结构件材质采用Q235钢，钢板厚度为δ5，地脚螺栓规格为≥M20。基础钢板上钢筋配镀锌螺母、平光垫圈；</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9）监控杆须配备接地扁铁，其接地电阻小于10Ω；</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10）监控立杆预埋件混凝土为C25砼，所配钢筋符合国标及受风要求。其中水泥为425号普通硅酸盐水泥。混凝土的配比和最小水泥用量应符合GBJ204-83的规定；</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11）监控立杆基础的混凝土浇注面平整度小于5mm/m尽量保持立杆预埋件水平。监控杆预埋件法兰盘低出周围地面20-30mm，再用C25细石砼把加强肋盖住，以防止积水；</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12）特殊区域以立杆、抱杆配套安装感知设备，杆件样式需考虑与周边环境的一致性、协调性，具体点位根据深化设计结果而定；</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13）其他杆件根据实际应用场景需求定制。</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29</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抱杆</w:t>
            </w:r>
          </w:p>
        </w:tc>
        <w:tc>
          <w:tcPr>
            <w:tcW w:w="3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根据实际情况而定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64</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shd w:val="clear" w:color="auto" w:fill="auto"/>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设备机箱</w:t>
            </w:r>
          </w:p>
        </w:tc>
        <w:tc>
          <w:tcPr>
            <w:tcW w:w="3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设备箱选用有质量认证的优质不锈钢板，其材质性能应符合国家标准要求及招标文件要求。抱杆设备箱尺寸为460高×300宽×210深×1.2厚mm；落地设备箱尺寸为700高×560宽×360深×1.5厚mm。</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结构、型式：设备箱由箱体、帽盖，门板、内部隔、接地铜牌组成。安装形式为抱杆、壁装安装；</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85</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接地装置</w:t>
            </w:r>
          </w:p>
        </w:tc>
        <w:tc>
          <w:tcPr>
            <w:tcW w:w="3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根据实际情况而定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29</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r>
      <w:tr>
        <w:tblPrEx>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配套线缆</w:t>
            </w:r>
          </w:p>
        </w:tc>
        <w:tc>
          <w:tcPr>
            <w:tcW w:w="3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根据实际情况而定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89</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批</w:t>
            </w:r>
          </w:p>
        </w:tc>
      </w:tr>
    </w:tbl>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4、网络架构要求</w:t>
      </w:r>
    </w:p>
    <w:p>
      <w:pPr>
        <w:pStyle w:val="82"/>
        <w:numPr>
          <w:ilvl w:val="0"/>
          <w:numId w:val="3"/>
        </w:numPr>
        <w:ind w:firstLineChars="0"/>
        <w:rPr>
          <w:rFonts w:hint="eastAsia" w:ascii="仿宋" w:hAnsi="仿宋" w:eastAsia="仿宋" w:cs="仿宋"/>
          <w:b/>
          <w:color w:val="auto"/>
          <w:highlight w:val="none"/>
        </w:rPr>
      </w:pPr>
      <w:r>
        <w:rPr>
          <w:rFonts w:hint="eastAsia" w:ascii="仿宋" w:hAnsi="仿宋" w:eastAsia="仿宋" w:cs="仿宋"/>
          <w:b/>
          <w:color w:val="auto"/>
          <w:highlight w:val="none"/>
          <w:lang w:val="en-US" w:eastAsia="zh-CN"/>
        </w:rPr>
        <w:t>汇</w:t>
      </w:r>
      <w:r>
        <w:rPr>
          <w:rFonts w:hint="eastAsia" w:ascii="仿宋" w:hAnsi="仿宋" w:eastAsia="仿宋" w:cs="仿宋"/>
          <w:b/>
          <w:color w:val="auto"/>
          <w:highlight w:val="none"/>
        </w:rPr>
        <w:t>聚传输网络架构</w:t>
      </w:r>
    </w:p>
    <w:p>
      <w:pPr>
        <w:pStyle w:val="82"/>
        <w:ind w:firstLine="480"/>
        <w:rPr>
          <w:rFonts w:hint="eastAsia" w:ascii="仿宋" w:hAnsi="仿宋" w:eastAsia="仿宋" w:cs="仿宋"/>
          <w:color w:val="auto"/>
          <w:highlight w:val="none"/>
        </w:rPr>
      </w:pPr>
      <w:r>
        <w:rPr>
          <w:rFonts w:hint="eastAsia" w:ascii="仿宋" w:hAnsi="仿宋" w:eastAsia="仿宋" w:cs="仿宋"/>
          <w:color w:val="auto"/>
          <w:highlight w:val="none"/>
        </w:rPr>
        <w:t>根据建设需求本次视频传输汇聚网络建设分为二层构架：一层为接入层，二层为局端传输汇聚层。</w:t>
      </w:r>
    </w:p>
    <w:p>
      <w:pPr>
        <w:jc w:val="center"/>
        <w:rPr>
          <w:rFonts w:hint="eastAsia"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5095875" cy="2371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5095875" cy="2371725"/>
                    </a:xfrm>
                    <a:prstGeom prst="rect">
                      <a:avLst/>
                    </a:prstGeom>
                    <a:noFill/>
                    <a:ln>
                      <a:noFill/>
                    </a:ln>
                  </pic:spPr>
                </pic:pic>
              </a:graphicData>
            </a:graphic>
          </wp:inline>
        </w:drawing>
      </w:r>
    </w:p>
    <w:p>
      <w:pPr>
        <w:pStyle w:val="82"/>
        <w:numPr>
          <w:ilvl w:val="0"/>
          <w:numId w:val="3"/>
        </w:numPr>
        <w:ind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萧山区公安分局中心机房网络架构</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萧山区公安分局中心机房承担平台服务器接入、社会面监控接入等接入功能。与原有视频专网互联互通。</w:t>
      </w:r>
    </w:p>
    <w:p>
      <w:pPr>
        <w:bidi w:val="0"/>
        <w:jc w:val="center"/>
        <w:rPr>
          <w:rFonts w:hint="eastAsia"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5162550" cy="3505200"/>
            <wp:effectExtent l="0" t="0" r="0" b="0"/>
            <wp:docPr id="2" name="图片 2" descr="C:\Users\程艳丽\AppData\Local\Temp\WeChat Files\f570d3f8ad379c94e891014a285f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程艳丽\AppData\Local\Temp\WeChat Files\f570d3f8ad379c94e891014a285f271.png"/>
                    <pic:cNvPicPr>
                      <a:picLocks noChangeAspect="1"/>
                    </pic:cNvPicPr>
                  </pic:nvPicPr>
                  <pic:blipFill>
                    <a:blip r:embed="rId24"/>
                    <a:stretch>
                      <a:fillRect/>
                    </a:stretch>
                  </pic:blipFill>
                  <pic:spPr>
                    <a:xfrm>
                      <a:off x="0" y="0"/>
                      <a:ext cx="5162550" cy="3505200"/>
                    </a:xfrm>
                    <a:prstGeom prst="rect">
                      <a:avLst/>
                    </a:prstGeom>
                    <a:noFill/>
                    <a:ln>
                      <a:noFill/>
                    </a:ln>
                  </pic:spPr>
                </pic:pic>
              </a:graphicData>
            </a:graphic>
          </wp:inline>
        </w:drawing>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5、施工要求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根据萧山区城市管理相关要求，</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街道所有点位在施工过程中涉及到道路、绿化带等区域开挖破坏的，需由萧山区城市管理局指定单位进行修复，产生费用由中标单位支付，涉及相关费用应考虑在报价中。</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6</w:t>
      </w:r>
      <w:r>
        <w:rPr>
          <w:rFonts w:hint="eastAsia" w:ascii="仿宋" w:hAnsi="仿宋" w:eastAsia="仿宋" w:cs="仿宋"/>
          <w:b/>
          <w:bCs/>
          <w:color w:val="auto"/>
          <w:sz w:val="24"/>
          <w:highlight w:val="none"/>
        </w:rPr>
        <w:t>、监控点取电及照明</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本次采购新建的监控点电源接入相应费用（包括补光灯、摄像机、管道、线缆、施工等所有费用）和每月运行电费均包含在服务费用当中，不得额外计算费用。</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应标单位在光源设备选择上应充分考虑环保因素，避免造成光污染。并承诺项目实施及运营阶段，积极处理因补光设备功率、光照强度、照射角度等因素造成的民众投诉，通过调试或免费更换相应光源产品直至符合民众生活需求及相关系统功能要求。</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7</w:t>
      </w:r>
      <w:r>
        <w:rPr>
          <w:rFonts w:hint="eastAsia" w:ascii="仿宋" w:hAnsi="仿宋" w:eastAsia="仿宋" w:cs="仿宋"/>
          <w:b/>
          <w:bCs/>
          <w:color w:val="auto"/>
          <w:sz w:val="24"/>
          <w:highlight w:val="none"/>
        </w:rPr>
        <w:t>、其他要求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1.前端设备应具有抗风、抗震、防雷、防雨、防尘、防盐雾、防锈蚀、防变形的功能。</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2.电磁干扰≤126dB时应能保持正常工作。</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3.前端所有设备应具有-10℃～60℃环境温度范围正常工作。</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4.中标单位须结合自身项目实施经验，对前端点位进行深化勘查，以确保项目报价的合理性，否则由此造成的损失由中标单位自行承担。</w:t>
      </w:r>
    </w:p>
    <w:p>
      <w:pPr>
        <w:snapToGrid w:val="0"/>
        <w:spacing w:line="360" w:lineRule="auto"/>
        <w:ind w:firstLine="643" w:firstLineChars="20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三、服务要求</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1、服务期限及服务期内要求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▲（1）服务期为3年。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（2）于合同签订后</w:t>
      </w:r>
      <w:r>
        <w:rPr>
          <w:rFonts w:hint="eastAsia" w:ascii="仿宋" w:hAnsi="仿宋" w:eastAsia="仿宋" w:cs="仿宋"/>
          <w:color w:val="auto"/>
          <w:sz w:val="24"/>
          <w:highlight w:val="none"/>
          <w:lang w:val="en-US" w:eastAsia="zh-CN"/>
        </w:rPr>
        <w:t>2个月内</w:t>
      </w:r>
      <w:r>
        <w:rPr>
          <w:rFonts w:hint="eastAsia" w:ascii="仿宋" w:hAnsi="仿宋" w:eastAsia="仿宋" w:cs="仿宋"/>
          <w:color w:val="auto"/>
          <w:sz w:val="24"/>
          <w:highlight w:val="none"/>
        </w:rPr>
        <w:t>完成项目全部设备安装、调试等一切工作。项目通过验收后进入为期3年的服务期，服务期内运行维护包括前端设备维护、光纤</w:t>
      </w:r>
      <w:r>
        <w:rPr>
          <w:rFonts w:hint="eastAsia" w:ascii="仿宋" w:hAnsi="仿宋" w:eastAsia="仿宋" w:cs="仿宋"/>
          <w:color w:val="auto"/>
          <w:sz w:val="24"/>
          <w:highlight w:val="none"/>
          <w:lang w:val="en-US" w:eastAsia="zh-CN"/>
        </w:rPr>
        <w:t>链</w:t>
      </w:r>
      <w:r>
        <w:rPr>
          <w:rFonts w:hint="eastAsia" w:ascii="仿宋" w:hAnsi="仿宋" w:eastAsia="仿宋" w:cs="仿宋"/>
          <w:color w:val="auto"/>
          <w:sz w:val="24"/>
          <w:highlight w:val="none"/>
        </w:rPr>
        <w:t>路维护、系统监控与维护。运维单位确保监控系统的正常运行和维护工作，确保各点分别正常运行率96%以上。</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（3）维护单位提供充足的备品备件，满足日常维护需求。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（4）维护单位建立详实可行运维方案、制度以及应急措施。</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（5）维护单位建立专业治安监控运维团队，配备不少于2组的日常巡检和维护队伍。</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（6）每天中心针对各前端设备巡检，并建立巡检台帐。每季度各前端巡检和卫生清理、系统微调一次。每半年对各前端系统进行一次全系统调试。</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（7）建立运行维护汇报制度，每月形成治安监控运维月报和每年形成治安监控运维年报。</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（8）要求服务期内所投主要产品提供原厂质保服务（质保期为3年）。（主要设备包括前端监控设备，存储管理设备、智能分析设备、网络传输设备、安全准入设备等。）</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2、项目服务要求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（1）建立完善的维护机制，使之具有调度、协调、监督、培训等管理功能，具体包括：</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a.委派不少于一个会管理、有经验的人员担任调度员；</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b.制定维修维护操作规程及工作要求；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c.做好详细维修记录台帐，定期汇总向业主书面汇报；</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d.调度人员实时了解维修维护情况，进行指导、协调，督察维护进展。</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e.确保维护范围内维护点7×24小时正常运行，数据的安全存储、备份。</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2、各前端点位每月至少巡检一次，并建立巡检台帐，每周上报一次，供甲方随时检查。巡检内容为：</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a.清洁工作，保证内外场设备及机房的安全、整洁、干净。</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b.统计遮挡物，如树枝等遮挡设备的情况，并每周统计上报，协助清理。</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c.安全检查，保证外场设备用电、防雷、防锈、防水等设施安全。</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d.调整光圈、焦距、白平衡等参数，保证图像清晰。</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e.检查外场设备的完整性和牢固性，消除人为或自然原因影响安全和功能使用的隐患。</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f.对监控设备选型、安装、调试、维修等情况进行全面汇总研究，定期提出建议和改进意见。</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g.做好基础资料编辑修改工作,编写基础资料电子资料库。</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（3）遇灾害天气，应提前检查加固外场设备，确保外场设备的安全。因灾害天气造成的损失以及后果，由中标人承担。</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（4）每年重要节假日（“五一”、“十一”等）、大型活动期间，特定巡检、维修、维护、清洁、保养。重大活动现场保障人员定期到萧山区公安分局中心机房或</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驻点保障。</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（5）日常维护故障点维修时间要求：外场点位系统故障，1小时响应，4小时内到达现场，48小时恢复系统正常运行。</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（6）外场设施遇偷盗、人为破坏等外力因素，造成设备丢失或无法继续使用，应及时报警备案。</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（7）前端系统维修包含但不仅限于以下内容：</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a.感知单元的维修、更新、调试；</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b.管道、线缆及相关网络设备维修、铺设。</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3、培训要求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项目试运行期间，需对用户集中培训一次，培训地点在</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街道人民政府或</w:t>
      </w:r>
      <w:r>
        <w:rPr>
          <w:rFonts w:hint="eastAsia" w:ascii="仿宋" w:hAnsi="仿宋" w:eastAsia="仿宋" w:cs="仿宋"/>
          <w:color w:val="auto"/>
          <w:sz w:val="24"/>
          <w:highlight w:val="none"/>
          <w:lang w:val="en-US" w:eastAsia="zh-CN"/>
        </w:rPr>
        <w:t>新街</w:t>
      </w:r>
      <w:r>
        <w:rPr>
          <w:rFonts w:hint="eastAsia" w:ascii="仿宋" w:hAnsi="仿宋" w:eastAsia="仿宋" w:cs="仿宋"/>
          <w:color w:val="auto"/>
          <w:sz w:val="24"/>
          <w:highlight w:val="none"/>
        </w:rPr>
        <w:t>***，并做好培训记录。</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4、施工安装和调试要求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需要提供详细的调试部署方案，项目进行中，严格按照方案进行调试，并做好记录。</w:t>
      </w:r>
    </w:p>
    <w:p>
      <w:pPr>
        <w:snapToGrid w:val="0"/>
        <w:spacing w:line="360" w:lineRule="auto"/>
        <w:ind w:firstLine="480" w:firstLineChars="200"/>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5、付款方式</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本项目服务期为3年，项目完成经验收合格后，按季度支付费用，最终费用支付根据服务过程中考核结果按实结算。</w:t>
      </w:r>
    </w:p>
    <w:p>
      <w:pPr>
        <w:snapToGrid w:val="0"/>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6、其他说明</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投标人需在投标文件中填报暂定投标总价和每套前端感知系统每月服务费综合单价，结算货款为最终实际完成前端感知系统数量乘以中标单价，投标人应自行承担报价风险。</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价和投标综合单价包含服务期内前端感知系统的正常安装、维修、管理、运行，相关人员培训，数据汇总、维护、传输，成果的展示、售后服务，3年7X24小时的终端、系统运维保障、前端感知相机使用费、前端感知系统集成服务、前端感知系统维护费以及税费等相关一切费用。</w:t>
      </w:r>
    </w:p>
    <w:p>
      <w:pPr>
        <w:rPr>
          <w:rFonts w:hint="eastAsia" w:ascii="仿宋" w:hAnsi="仿宋" w:eastAsia="仿宋" w:cs="仿宋"/>
          <w:b/>
          <w:color w:val="auto"/>
          <w:sz w:val="36"/>
          <w:szCs w:val="36"/>
        </w:rPr>
      </w:pPr>
      <w:r>
        <w:rPr>
          <w:rFonts w:hint="eastAsia" w:ascii="仿宋" w:hAnsi="仿宋" w:eastAsia="仿宋" w:cs="仿宋"/>
          <w:b/>
          <w:color w:val="auto"/>
          <w:sz w:val="36"/>
          <w:szCs w:val="36"/>
        </w:rPr>
        <w:br w:type="page"/>
      </w:r>
      <w:bookmarkStart w:id="548" w:name="_GoBack"/>
      <w:bookmarkEnd w:id="548"/>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17" w:name="_Toc184313270"/>
      <w:bookmarkEnd w:id="17"/>
      <w:bookmarkStart w:id="18" w:name="_Toc184308052"/>
      <w:bookmarkEnd w:id="18"/>
      <w:bookmarkStart w:id="19" w:name="_Toc184312127"/>
      <w:bookmarkEnd w:id="19"/>
      <w:bookmarkStart w:id="20" w:name="_Toc184312100"/>
      <w:bookmarkEnd w:id="20"/>
      <w:bookmarkStart w:id="21" w:name="_Toc184310331"/>
      <w:bookmarkEnd w:id="21"/>
      <w:bookmarkStart w:id="22" w:name="_Toc184308105"/>
      <w:bookmarkEnd w:id="22"/>
      <w:bookmarkStart w:id="23" w:name="_Toc184314467"/>
      <w:bookmarkEnd w:id="23"/>
      <w:bookmarkStart w:id="24" w:name="_Toc184312126"/>
      <w:bookmarkEnd w:id="24"/>
      <w:bookmarkStart w:id="25" w:name="_Toc184310304"/>
      <w:bookmarkEnd w:id="25"/>
      <w:bookmarkStart w:id="26" w:name="_Toc184313289"/>
      <w:bookmarkEnd w:id="26"/>
      <w:bookmarkStart w:id="27" w:name="_Toc184310335"/>
      <w:bookmarkEnd w:id="27"/>
      <w:bookmarkStart w:id="28" w:name="_Toc184313292"/>
      <w:bookmarkEnd w:id="28"/>
      <w:bookmarkStart w:id="29" w:name="_Toc184308108"/>
      <w:bookmarkEnd w:id="29"/>
      <w:bookmarkStart w:id="30" w:name="_Toc184313242"/>
      <w:bookmarkEnd w:id="30"/>
      <w:bookmarkStart w:id="31" w:name="_Toc184313250"/>
      <w:bookmarkEnd w:id="31"/>
      <w:bookmarkStart w:id="32" w:name="_Toc184312072"/>
      <w:bookmarkEnd w:id="32"/>
      <w:bookmarkStart w:id="33" w:name="_Toc184312076"/>
      <w:bookmarkEnd w:id="33"/>
      <w:bookmarkStart w:id="34" w:name="_Toc184312084"/>
      <w:bookmarkEnd w:id="34"/>
      <w:bookmarkStart w:id="35" w:name="_Toc184314470"/>
      <w:bookmarkEnd w:id="35"/>
      <w:bookmarkStart w:id="36" w:name="_Toc184310290"/>
      <w:bookmarkEnd w:id="36"/>
      <w:bookmarkStart w:id="37" w:name="_Toc184308101"/>
      <w:bookmarkEnd w:id="37"/>
      <w:bookmarkStart w:id="38" w:name="_Toc184312137"/>
      <w:bookmarkEnd w:id="38"/>
      <w:bookmarkStart w:id="39" w:name="_Toc184313252"/>
      <w:bookmarkEnd w:id="39"/>
      <w:bookmarkStart w:id="40" w:name="_Toc184312087"/>
      <w:bookmarkEnd w:id="40"/>
      <w:bookmarkStart w:id="41" w:name="_Toc184313274"/>
      <w:bookmarkEnd w:id="41"/>
      <w:bookmarkStart w:id="42" w:name="_Toc184308050"/>
      <w:bookmarkEnd w:id="42"/>
      <w:bookmarkStart w:id="43" w:name="_Toc184312081"/>
      <w:bookmarkEnd w:id="43"/>
      <w:bookmarkStart w:id="44" w:name="_Toc184308097"/>
      <w:bookmarkEnd w:id="44"/>
      <w:bookmarkStart w:id="45" w:name="_Toc184310328"/>
      <w:bookmarkEnd w:id="45"/>
      <w:bookmarkStart w:id="46" w:name="_Toc184310295"/>
      <w:bookmarkEnd w:id="46"/>
      <w:bookmarkStart w:id="47" w:name="_Toc184314418"/>
      <w:bookmarkEnd w:id="47"/>
      <w:bookmarkStart w:id="48" w:name="_Toc184312133"/>
      <w:bookmarkEnd w:id="48"/>
      <w:bookmarkStart w:id="49" w:name="_Toc184314430"/>
      <w:bookmarkEnd w:id="49"/>
      <w:bookmarkStart w:id="50" w:name="_Toc184310307"/>
      <w:bookmarkEnd w:id="50"/>
      <w:bookmarkStart w:id="51" w:name="_Toc184312093"/>
      <w:bookmarkEnd w:id="51"/>
      <w:bookmarkStart w:id="52" w:name="_Toc184308107"/>
      <w:bookmarkEnd w:id="52"/>
      <w:bookmarkStart w:id="53" w:name="_Toc184314433"/>
      <w:bookmarkEnd w:id="53"/>
      <w:bookmarkStart w:id="54" w:name="_Toc184313307"/>
      <w:bookmarkEnd w:id="54"/>
      <w:bookmarkStart w:id="55" w:name="_Toc184313262"/>
      <w:bookmarkEnd w:id="55"/>
      <w:bookmarkStart w:id="56" w:name="_Toc184313240"/>
      <w:bookmarkEnd w:id="56"/>
      <w:bookmarkStart w:id="57" w:name="_Toc184313246"/>
      <w:bookmarkEnd w:id="57"/>
      <w:bookmarkStart w:id="58" w:name="_Toc184314474"/>
      <w:bookmarkEnd w:id="58"/>
      <w:bookmarkStart w:id="59" w:name="_Toc184310319"/>
      <w:bookmarkEnd w:id="59"/>
      <w:bookmarkStart w:id="60" w:name="_Toc184313267"/>
      <w:bookmarkEnd w:id="60"/>
      <w:bookmarkStart w:id="61" w:name="_Toc184308054"/>
      <w:bookmarkEnd w:id="61"/>
      <w:bookmarkStart w:id="62" w:name="_Toc184310314"/>
      <w:bookmarkEnd w:id="62"/>
      <w:bookmarkStart w:id="63" w:name="_Toc184308067"/>
      <w:bookmarkEnd w:id="63"/>
      <w:bookmarkStart w:id="64" w:name="_Toc184313266"/>
      <w:bookmarkEnd w:id="64"/>
      <w:bookmarkStart w:id="65" w:name="_Toc184314422"/>
      <w:bookmarkEnd w:id="65"/>
      <w:bookmarkStart w:id="66" w:name="_Toc184314458"/>
      <w:bookmarkEnd w:id="66"/>
      <w:bookmarkStart w:id="67" w:name="_Toc184313299"/>
      <w:bookmarkEnd w:id="67"/>
      <w:bookmarkStart w:id="68" w:name="_Toc184313248"/>
      <w:bookmarkEnd w:id="68"/>
      <w:bookmarkStart w:id="69" w:name="_Toc184313253"/>
      <w:bookmarkEnd w:id="69"/>
      <w:bookmarkStart w:id="70" w:name="_Toc184308088"/>
      <w:bookmarkEnd w:id="70"/>
      <w:bookmarkStart w:id="71" w:name="_Toc184312123"/>
      <w:bookmarkEnd w:id="71"/>
      <w:bookmarkStart w:id="72" w:name="_Toc184308082"/>
      <w:bookmarkEnd w:id="72"/>
      <w:bookmarkStart w:id="73" w:name="_Toc184308085"/>
      <w:bookmarkEnd w:id="73"/>
      <w:bookmarkStart w:id="74" w:name="_Toc184313288"/>
      <w:bookmarkEnd w:id="74"/>
      <w:bookmarkStart w:id="75" w:name="_Toc184310278"/>
      <w:bookmarkEnd w:id="75"/>
      <w:bookmarkStart w:id="76" w:name="_Toc184312101"/>
      <w:bookmarkEnd w:id="76"/>
      <w:bookmarkStart w:id="77" w:name="_Toc184308049"/>
      <w:bookmarkEnd w:id="77"/>
      <w:bookmarkStart w:id="78" w:name="_Toc184312068"/>
      <w:bookmarkEnd w:id="78"/>
      <w:bookmarkStart w:id="79" w:name="_Toc184310276"/>
      <w:bookmarkEnd w:id="79"/>
      <w:bookmarkStart w:id="80" w:name="_Toc184314419"/>
      <w:bookmarkEnd w:id="80"/>
      <w:bookmarkStart w:id="81" w:name="_Toc184308092"/>
      <w:bookmarkEnd w:id="81"/>
      <w:bookmarkStart w:id="82" w:name="_Toc184314426"/>
      <w:bookmarkEnd w:id="82"/>
      <w:bookmarkStart w:id="83" w:name="_Toc184310303"/>
      <w:bookmarkEnd w:id="83"/>
      <w:bookmarkStart w:id="84" w:name="_Toc184313283"/>
      <w:bookmarkEnd w:id="84"/>
      <w:bookmarkStart w:id="85" w:name="_Toc184314428"/>
      <w:bookmarkEnd w:id="85"/>
      <w:bookmarkStart w:id="86" w:name="_Toc184314446"/>
      <w:bookmarkEnd w:id="86"/>
      <w:bookmarkStart w:id="87" w:name="_Toc184308051"/>
      <w:bookmarkEnd w:id="87"/>
      <w:bookmarkStart w:id="88" w:name="_Toc184312111"/>
      <w:bookmarkEnd w:id="88"/>
      <w:bookmarkStart w:id="89" w:name="_Toc184313304"/>
      <w:bookmarkEnd w:id="89"/>
      <w:bookmarkStart w:id="90" w:name="_Toc184310286"/>
      <w:bookmarkEnd w:id="90"/>
      <w:bookmarkStart w:id="91" w:name="_Toc184313249"/>
      <w:bookmarkEnd w:id="91"/>
      <w:bookmarkStart w:id="92" w:name="_Toc184313256"/>
      <w:bookmarkEnd w:id="92"/>
      <w:bookmarkStart w:id="93" w:name="_Toc184312077"/>
      <w:bookmarkEnd w:id="93"/>
      <w:bookmarkStart w:id="94" w:name="_Toc184312132"/>
      <w:bookmarkEnd w:id="94"/>
      <w:bookmarkStart w:id="95" w:name="_Toc184310327"/>
      <w:bookmarkEnd w:id="95"/>
      <w:bookmarkStart w:id="96" w:name="_Toc184310281"/>
      <w:bookmarkEnd w:id="96"/>
      <w:bookmarkStart w:id="97" w:name="_Toc184312128"/>
      <w:bookmarkEnd w:id="97"/>
      <w:bookmarkStart w:id="98" w:name="_Toc184310310"/>
      <w:bookmarkEnd w:id="98"/>
      <w:bookmarkStart w:id="99" w:name="_Toc184313238"/>
      <w:bookmarkEnd w:id="99"/>
      <w:bookmarkStart w:id="100" w:name="_Toc184312106"/>
      <w:bookmarkEnd w:id="100"/>
      <w:bookmarkStart w:id="101" w:name="_Toc184314432"/>
      <w:bookmarkEnd w:id="101"/>
      <w:bookmarkStart w:id="102" w:name="_Toc184310340"/>
      <w:bookmarkEnd w:id="102"/>
      <w:bookmarkStart w:id="103" w:name="_Toc184308045"/>
      <w:bookmarkEnd w:id="103"/>
      <w:bookmarkStart w:id="104" w:name="_Toc184308056"/>
      <w:bookmarkEnd w:id="104"/>
      <w:bookmarkStart w:id="105" w:name="_Toc184308095"/>
      <w:bookmarkEnd w:id="105"/>
      <w:bookmarkStart w:id="106" w:name="_Toc184312138"/>
      <w:bookmarkEnd w:id="106"/>
      <w:bookmarkStart w:id="107" w:name="_Toc184312074"/>
      <w:bookmarkEnd w:id="107"/>
      <w:bookmarkStart w:id="108" w:name="_Toc184313239"/>
      <w:bookmarkEnd w:id="108"/>
      <w:bookmarkStart w:id="109" w:name="_Toc184308043"/>
      <w:bookmarkEnd w:id="109"/>
      <w:bookmarkStart w:id="110" w:name="_Toc184308078"/>
      <w:bookmarkEnd w:id="110"/>
      <w:bookmarkStart w:id="111" w:name="_Toc184313264"/>
      <w:bookmarkEnd w:id="111"/>
      <w:bookmarkStart w:id="112" w:name="_Toc184310275"/>
      <w:bookmarkEnd w:id="112"/>
      <w:bookmarkStart w:id="113" w:name="_Toc184313285"/>
      <w:bookmarkEnd w:id="113"/>
      <w:bookmarkStart w:id="114" w:name="_Toc184308064"/>
      <w:bookmarkEnd w:id="114"/>
      <w:bookmarkStart w:id="115" w:name="_Toc184314452"/>
      <w:bookmarkEnd w:id="115"/>
      <w:bookmarkStart w:id="116" w:name="_Toc184308086"/>
      <w:bookmarkEnd w:id="116"/>
      <w:bookmarkStart w:id="117" w:name="_Toc184308081"/>
      <w:bookmarkEnd w:id="117"/>
      <w:bookmarkStart w:id="118" w:name="_Toc184310337"/>
      <w:bookmarkEnd w:id="118"/>
      <w:bookmarkStart w:id="119" w:name="_Toc184314445"/>
      <w:bookmarkEnd w:id="119"/>
      <w:bookmarkStart w:id="120" w:name="_Toc184313258"/>
      <w:bookmarkEnd w:id="120"/>
      <w:bookmarkStart w:id="121" w:name="_Toc184308070"/>
      <w:bookmarkEnd w:id="121"/>
      <w:bookmarkStart w:id="122" w:name="_Toc184313286"/>
      <w:bookmarkEnd w:id="122"/>
      <w:bookmarkStart w:id="123" w:name="_Toc184308091"/>
      <w:bookmarkEnd w:id="123"/>
      <w:bookmarkStart w:id="124" w:name="_Toc184314438"/>
      <w:bookmarkEnd w:id="124"/>
      <w:bookmarkStart w:id="125" w:name="_Toc184308059"/>
      <w:bookmarkEnd w:id="125"/>
      <w:bookmarkStart w:id="126" w:name="_Toc184308061"/>
      <w:bookmarkEnd w:id="126"/>
      <w:bookmarkStart w:id="127" w:name="_Toc184313281"/>
      <w:bookmarkEnd w:id="127"/>
      <w:bookmarkStart w:id="128" w:name="_Toc184312073"/>
      <w:bookmarkEnd w:id="128"/>
      <w:bookmarkStart w:id="129" w:name="_Toc184312125"/>
      <w:bookmarkEnd w:id="129"/>
      <w:bookmarkStart w:id="130" w:name="_Toc184312108"/>
      <w:bookmarkEnd w:id="130"/>
      <w:bookmarkStart w:id="131" w:name="_Toc184308080"/>
      <w:bookmarkEnd w:id="131"/>
      <w:bookmarkStart w:id="132" w:name="_Toc184308068"/>
      <w:bookmarkEnd w:id="132"/>
      <w:bookmarkStart w:id="133" w:name="_Toc184313257"/>
      <w:bookmarkEnd w:id="133"/>
      <w:bookmarkStart w:id="134" w:name="_Toc184313243"/>
      <w:bookmarkEnd w:id="134"/>
      <w:bookmarkStart w:id="135" w:name="_Toc184308072"/>
      <w:bookmarkEnd w:id="135"/>
      <w:bookmarkStart w:id="136" w:name="_Toc184312097"/>
      <w:bookmarkEnd w:id="136"/>
      <w:bookmarkStart w:id="137" w:name="_Toc184314459"/>
      <w:bookmarkEnd w:id="137"/>
      <w:bookmarkStart w:id="138" w:name="_Toc184313251"/>
      <w:bookmarkEnd w:id="138"/>
      <w:bookmarkStart w:id="139" w:name="_Toc184314451"/>
      <w:bookmarkEnd w:id="139"/>
      <w:bookmarkStart w:id="140" w:name="_Toc184314456"/>
      <w:bookmarkEnd w:id="140"/>
      <w:bookmarkStart w:id="141" w:name="_Toc184313280"/>
      <w:bookmarkEnd w:id="141"/>
      <w:bookmarkStart w:id="142" w:name="_Toc184313269"/>
      <w:bookmarkEnd w:id="142"/>
      <w:bookmarkStart w:id="143" w:name="_Toc184314415"/>
      <w:bookmarkEnd w:id="143"/>
      <w:bookmarkStart w:id="144" w:name="_Toc184310317"/>
      <w:bookmarkEnd w:id="144"/>
      <w:bookmarkStart w:id="145" w:name="_Toc184312104"/>
      <w:bookmarkEnd w:id="145"/>
      <w:bookmarkStart w:id="146" w:name="_Toc184308075"/>
      <w:bookmarkEnd w:id="146"/>
      <w:bookmarkStart w:id="147" w:name="_Toc184314434"/>
      <w:bookmarkEnd w:id="147"/>
      <w:bookmarkStart w:id="148" w:name="_Toc184308040"/>
      <w:bookmarkEnd w:id="148"/>
      <w:bookmarkStart w:id="149" w:name="_Toc184314411"/>
      <w:bookmarkEnd w:id="149"/>
      <w:bookmarkStart w:id="150" w:name="_Toc184314429"/>
      <w:bookmarkEnd w:id="150"/>
      <w:bookmarkStart w:id="151" w:name="_Toc184310333"/>
      <w:bookmarkEnd w:id="151"/>
      <w:bookmarkStart w:id="152" w:name="_Toc184308048"/>
      <w:bookmarkEnd w:id="152"/>
      <w:bookmarkStart w:id="153" w:name="_Toc184314450"/>
      <w:bookmarkEnd w:id="153"/>
      <w:bookmarkStart w:id="154" w:name="_Toc184312115"/>
      <w:bookmarkEnd w:id="154"/>
      <w:bookmarkStart w:id="155" w:name="_Toc184314442"/>
      <w:bookmarkEnd w:id="155"/>
      <w:bookmarkStart w:id="156" w:name="_Toc184313282"/>
      <w:bookmarkEnd w:id="156"/>
      <w:bookmarkStart w:id="157" w:name="_Toc184310280"/>
      <w:bookmarkEnd w:id="157"/>
      <w:bookmarkStart w:id="158" w:name="_Toc184312095"/>
      <w:bookmarkEnd w:id="158"/>
      <w:bookmarkStart w:id="159" w:name="_Toc184310321"/>
      <w:bookmarkEnd w:id="159"/>
      <w:bookmarkStart w:id="160" w:name="_Toc184314473"/>
      <w:bookmarkEnd w:id="160"/>
      <w:bookmarkStart w:id="161" w:name="_Toc184312130"/>
      <w:bookmarkEnd w:id="161"/>
      <w:bookmarkStart w:id="162" w:name="_Toc184308066"/>
      <w:bookmarkEnd w:id="162"/>
      <w:bookmarkStart w:id="163" w:name="_Toc184313303"/>
      <w:bookmarkEnd w:id="163"/>
      <w:bookmarkStart w:id="164" w:name="_Toc184314466"/>
      <w:bookmarkEnd w:id="164"/>
      <w:bookmarkStart w:id="165" w:name="_Toc184314414"/>
      <w:bookmarkEnd w:id="165"/>
      <w:bookmarkStart w:id="166" w:name="_Toc184308099"/>
      <w:bookmarkEnd w:id="166"/>
      <w:bookmarkStart w:id="167" w:name="_Toc184313284"/>
      <w:bookmarkEnd w:id="167"/>
      <w:bookmarkStart w:id="168" w:name="_Toc184308044"/>
      <w:bookmarkEnd w:id="168"/>
      <w:bookmarkStart w:id="169" w:name="_Toc184308087"/>
      <w:bookmarkEnd w:id="169"/>
      <w:bookmarkStart w:id="170" w:name="_Toc184314441"/>
      <w:bookmarkEnd w:id="170"/>
      <w:bookmarkStart w:id="171" w:name="_Toc184313310"/>
      <w:bookmarkEnd w:id="171"/>
      <w:bookmarkStart w:id="172" w:name="_Toc184313306"/>
      <w:bookmarkEnd w:id="172"/>
      <w:bookmarkStart w:id="173" w:name="_Toc184314421"/>
      <w:bookmarkEnd w:id="173"/>
      <w:bookmarkStart w:id="174" w:name="_Toc184310323"/>
      <w:bookmarkEnd w:id="174"/>
      <w:bookmarkStart w:id="175" w:name="_Toc184308069"/>
      <w:bookmarkEnd w:id="175"/>
      <w:bookmarkStart w:id="176" w:name="_Toc184312089"/>
      <w:bookmarkEnd w:id="176"/>
      <w:bookmarkStart w:id="177" w:name="_Toc184312105"/>
      <w:bookmarkEnd w:id="177"/>
      <w:bookmarkStart w:id="178" w:name="_Toc184312079"/>
      <w:bookmarkEnd w:id="178"/>
      <w:bookmarkStart w:id="179" w:name="_Toc184313305"/>
      <w:bookmarkEnd w:id="179"/>
      <w:bookmarkStart w:id="180" w:name="_Toc184312099"/>
      <w:bookmarkEnd w:id="180"/>
      <w:bookmarkStart w:id="181" w:name="_Toc184310326"/>
      <w:bookmarkEnd w:id="181"/>
      <w:bookmarkStart w:id="182" w:name="_Toc184312092"/>
      <w:bookmarkEnd w:id="182"/>
      <w:bookmarkStart w:id="183" w:name="_Toc184314469"/>
      <w:bookmarkEnd w:id="183"/>
      <w:bookmarkStart w:id="184" w:name="_Toc184310329"/>
      <w:bookmarkEnd w:id="184"/>
      <w:bookmarkStart w:id="185" w:name="_Toc184313276"/>
      <w:bookmarkEnd w:id="185"/>
      <w:bookmarkStart w:id="186" w:name="_Toc184313308"/>
      <w:bookmarkEnd w:id="186"/>
      <w:bookmarkStart w:id="187" w:name="_Toc184312129"/>
      <w:bookmarkEnd w:id="187"/>
      <w:bookmarkStart w:id="188" w:name="_Toc184312071"/>
      <w:bookmarkEnd w:id="188"/>
      <w:bookmarkStart w:id="189" w:name="_Toc184314448"/>
      <w:bookmarkEnd w:id="189"/>
      <w:bookmarkStart w:id="190" w:name="_Toc184314440"/>
      <w:bookmarkEnd w:id="190"/>
      <w:bookmarkStart w:id="191" w:name="_Toc184312086"/>
      <w:bookmarkEnd w:id="191"/>
      <w:bookmarkStart w:id="192" w:name="_Toc184310273"/>
      <w:bookmarkEnd w:id="192"/>
      <w:bookmarkStart w:id="193" w:name="_Toc184314449"/>
      <w:bookmarkEnd w:id="193"/>
      <w:bookmarkStart w:id="194" w:name="_Toc184314420"/>
      <w:bookmarkEnd w:id="194"/>
      <w:bookmarkStart w:id="195" w:name="_Toc184313298"/>
      <w:bookmarkEnd w:id="195"/>
      <w:bookmarkStart w:id="196" w:name="_Toc184312118"/>
      <w:bookmarkEnd w:id="196"/>
      <w:bookmarkStart w:id="197" w:name="_Toc184310298"/>
      <w:bookmarkEnd w:id="197"/>
      <w:bookmarkStart w:id="198" w:name="_Toc184314457"/>
      <w:bookmarkEnd w:id="198"/>
      <w:bookmarkStart w:id="199" w:name="_Toc184312114"/>
      <w:bookmarkEnd w:id="199"/>
      <w:bookmarkStart w:id="200" w:name="_Toc184310309"/>
      <w:bookmarkEnd w:id="200"/>
      <w:bookmarkStart w:id="201" w:name="_Toc184313263"/>
      <w:bookmarkEnd w:id="201"/>
      <w:bookmarkStart w:id="202" w:name="_Toc184310301"/>
      <w:bookmarkEnd w:id="202"/>
      <w:bookmarkStart w:id="203" w:name="_Toc184314480"/>
      <w:bookmarkEnd w:id="203"/>
      <w:bookmarkStart w:id="204" w:name="_Toc184308039"/>
      <w:bookmarkEnd w:id="204"/>
      <w:bookmarkStart w:id="205" w:name="_Toc184314454"/>
      <w:bookmarkEnd w:id="205"/>
      <w:bookmarkStart w:id="206" w:name="_Toc184308104"/>
      <w:bookmarkEnd w:id="206"/>
      <w:bookmarkStart w:id="207" w:name="_Toc184314479"/>
      <w:bookmarkEnd w:id="207"/>
      <w:bookmarkStart w:id="208" w:name="_Toc184312082"/>
      <w:bookmarkEnd w:id="208"/>
      <w:bookmarkStart w:id="209" w:name="_Toc184312096"/>
      <w:bookmarkEnd w:id="209"/>
      <w:bookmarkStart w:id="210" w:name="_Toc184312085"/>
      <w:bookmarkEnd w:id="210"/>
      <w:bookmarkStart w:id="211" w:name="_Toc184312116"/>
      <w:bookmarkEnd w:id="211"/>
      <w:bookmarkStart w:id="212" w:name="_Toc184312117"/>
      <w:bookmarkEnd w:id="212"/>
      <w:bookmarkStart w:id="213" w:name="_Toc184314412"/>
      <w:bookmarkEnd w:id="213"/>
      <w:bookmarkStart w:id="214" w:name="_Toc184312103"/>
      <w:bookmarkEnd w:id="214"/>
      <w:bookmarkStart w:id="215" w:name="_Toc184310277"/>
      <w:bookmarkEnd w:id="215"/>
      <w:bookmarkStart w:id="216" w:name="_Toc184313277"/>
      <w:bookmarkEnd w:id="216"/>
      <w:bookmarkStart w:id="217" w:name="_Toc184313287"/>
      <w:bookmarkEnd w:id="217"/>
      <w:bookmarkStart w:id="218" w:name="_Toc184314443"/>
      <w:bookmarkEnd w:id="218"/>
      <w:bookmarkStart w:id="219" w:name="_Toc184313275"/>
      <w:bookmarkEnd w:id="219"/>
      <w:bookmarkStart w:id="220" w:name="_Toc184312135"/>
      <w:bookmarkEnd w:id="220"/>
      <w:bookmarkStart w:id="221" w:name="_Toc184314410"/>
      <w:bookmarkEnd w:id="221"/>
      <w:bookmarkStart w:id="222" w:name="_Toc184310312"/>
      <w:bookmarkEnd w:id="222"/>
      <w:bookmarkStart w:id="223" w:name="_Toc184314481"/>
      <w:bookmarkEnd w:id="223"/>
      <w:bookmarkStart w:id="224" w:name="_Toc184314425"/>
      <w:bookmarkEnd w:id="224"/>
      <w:bookmarkStart w:id="225" w:name="_Toc184310296"/>
      <w:bookmarkEnd w:id="225"/>
      <w:bookmarkStart w:id="226" w:name="_Toc184313279"/>
      <w:bookmarkEnd w:id="226"/>
      <w:bookmarkStart w:id="227" w:name="_Toc184312139"/>
      <w:bookmarkEnd w:id="227"/>
      <w:bookmarkStart w:id="228" w:name="_Toc184308063"/>
      <w:bookmarkEnd w:id="228"/>
      <w:bookmarkStart w:id="229" w:name="_Toc184313245"/>
      <w:bookmarkEnd w:id="229"/>
      <w:bookmarkStart w:id="230" w:name="_Toc184310282"/>
      <w:bookmarkEnd w:id="230"/>
      <w:bookmarkStart w:id="231" w:name="_Toc184314453"/>
      <w:bookmarkEnd w:id="231"/>
      <w:bookmarkStart w:id="232" w:name="_Toc184313301"/>
      <w:bookmarkEnd w:id="232"/>
      <w:bookmarkStart w:id="233" w:name="_Toc184313272"/>
      <w:bookmarkEnd w:id="233"/>
      <w:bookmarkStart w:id="234" w:name="_Toc184314437"/>
      <w:bookmarkEnd w:id="234"/>
      <w:bookmarkStart w:id="235" w:name="_Toc184314413"/>
      <w:bookmarkEnd w:id="235"/>
      <w:bookmarkStart w:id="236" w:name="_Toc184308058"/>
      <w:bookmarkEnd w:id="236"/>
      <w:bookmarkStart w:id="237" w:name="_Toc184310300"/>
      <w:bookmarkEnd w:id="237"/>
      <w:bookmarkStart w:id="238" w:name="_Toc184312070"/>
      <w:bookmarkEnd w:id="238"/>
      <w:bookmarkStart w:id="239" w:name="_Toc184308093"/>
      <w:bookmarkEnd w:id="239"/>
      <w:bookmarkStart w:id="240" w:name="_Toc184310318"/>
      <w:bookmarkEnd w:id="240"/>
      <w:bookmarkStart w:id="241" w:name="_Toc184310324"/>
      <w:bookmarkEnd w:id="241"/>
      <w:bookmarkStart w:id="242" w:name="_Toc184310343"/>
      <w:bookmarkEnd w:id="242"/>
      <w:bookmarkStart w:id="243" w:name="_Toc184310332"/>
      <w:bookmarkEnd w:id="243"/>
      <w:bookmarkStart w:id="244" w:name="_Toc184310288"/>
      <w:bookmarkEnd w:id="244"/>
      <w:bookmarkStart w:id="245" w:name="_Toc184312120"/>
      <w:bookmarkEnd w:id="245"/>
      <w:bookmarkStart w:id="246" w:name="_Toc184313261"/>
      <w:bookmarkEnd w:id="246"/>
      <w:bookmarkStart w:id="247" w:name="_Toc184314471"/>
      <w:bookmarkEnd w:id="247"/>
      <w:bookmarkStart w:id="248" w:name="_Toc184308096"/>
      <w:bookmarkEnd w:id="248"/>
      <w:bookmarkStart w:id="249" w:name="_Toc184312131"/>
      <w:bookmarkEnd w:id="249"/>
      <w:bookmarkStart w:id="250" w:name="_Toc184310336"/>
      <w:bookmarkEnd w:id="250"/>
      <w:bookmarkStart w:id="251" w:name="_Toc184308041"/>
      <w:bookmarkEnd w:id="251"/>
      <w:bookmarkStart w:id="252" w:name="_Toc184308071"/>
      <w:bookmarkEnd w:id="252"/>
      <w:bookmarkStart w:id="253" w:name="_Toc184314417"/>
      <w:bookmarkEnd w:id="253"/>
      <w:bookmarkStart w:id="254" w:name="_Toc184308094"/>
      <w:bookmarkEnd w:id="254"/>
      <w:bookmarkStart w:id="255" w:name="_Toc184312110"/>
      <w:bookmarkEnd w:id="255"/>
      <w:bookmarkStart w:id="256" w:name="_Toc184314447"/>
      <w:bookmarkEnd w:id="256"/>
      <w:bookmarkStart w:id="257" w:name="_Toc184312136"/>
      <w:bookmarkEnd w:id="257"/>
      <w:bookmarkStart w:id="258" w:name="_Toc184312119"/>
      <w:bookmarkEnd w:id="258"/>
      <w:bookmarkStart w:id="259" w:name="_Toc184310330"/>
      <w:bookmarkEnd w:id="259"/>
      <w:bookmarkStart w:id="260" w:name="_Toc184308079"/>
      <w:bookmarkEnd w:id="260"/>
      <w:bookmarkStart w:id="261" w:name="_Toc184308036"/>
      <w:bookmarkEnd w:id="261"/>
      <w:bookmarkStart w:id="262" w:name="_Toc184313309"/>
      <w:bookmarkEnd w:id="262"/>
      <w:bookmarkStart w:id="263" w:name="_Toc184308073"/>
      <w:bookmarkEnd w:id="263"/>
      <w:bookmarkStart w:id="264" w:name="_Toc184314462"/>
      <w:bookmarkEnd w:id="264"/>
      <w:bookmarkStart w:id="265" w:name="_Toc184310322"/>
      <w:bookmarkEnd w:id="265"/>
      <w:bookmarkStart w:id="266" w:name="_Toc184312098"/>
      <w:bookmarkEnd w:id="266"/>
      <w:bookmarkStart w:id="267" w:name="_Toc184314460"/>
      <w:bookmarkEnd w:id="267"/>
      <w:bookmarkStart w:id="268" w:name="_Toc184308037"/>
      <w:bookmarkEnd w:id="268"/>
      <w:bookmarkStart w:id="269" w:name="_Toc184313268"/>
      <w:bookmarkEnd w:id="269"/>
      <w:bookmarkStart w:id="270" w:name="_Toc184312094"/>
      <w:bookmarkEnd w:id="270"/>
      <w:bookmarkStart w:id="271" w:name="_Toc184312078"/>
      <w:bookmarkEnd w:id="271"/>
      <w:bookmarkStart w:id="272" w:name="_Toc184313273"/>
      <w:bookmarkEnd w:id="272"/>
      <w:bookmarkStart w:id="273" w:name="_Toc184314461"/>
      <w:bookmarkEnd w:id="273"/>
      <w:bookmarkStart w:id="274" w:name="_Toc184314424"/>
      <w:bookmarkEnd w:id="274"/>
      <w:bookmarkStart w:id="275" w:name="_Toc184313293"/>
      <w:bookmarkEnd w:id="275"/>
      <w:bookmarkStart w:id="276" w:name="_Toc184314436"/>
      <w:bookmarkEnd w:id="276"/>
      <w:bookmarkStart w:id="277" w:name="_Toc184312122"/>
      <w:bookmarkEnd w:id="277"/>
      <w:bookmarkStart w:id="278" w:name="_Toc184314464"/>
      <w:bookmarkEnd w:id="278"/>
      <w:bookmarkStart w:id="279" w:name="_Toc184314465"/>
      <w:bookmarkEnd w:id="279"/>
      <w:bookmarkStart w:id="280" w:name="_Toc184314427"/>
      <w:bookmarkEnd w:id="280"/>
      <w:bookmarkStart w:id="281" w:name="_Toc184314431"/>
      <w:bookmarkEnd w:id="281"/>
      <w:bookmarkStart w:id="282" w:name="_Toc184310287"/>
      <w:bookmarkEnd w:id="282"/>
      <w:bookmarkStart w:id="283" w:name="_Toc184313302"/>
      <w:bookmarkEnd w:id="283"/>
      <w:bookmarkStart w:id="284" w:name="_Toc184308038"/>
      <w:bookmarkEnd w:id="284"/>
      <w:bookmarkStart w:id="285" w:name="_Toc184308065"/>
      <w:bookmarkEnd w:id="285"/>
      <w:bookmarkStart w:id="286" w:name="_Toc184312083"/>
      <w:bookmarkEnd w:id="286"/>
      <w:bookmarkStart w:id="287" w:name="_Toc184310313"/>
      <w:bookmarkEnd w:id="287"/>
      <w:bookmarkStart w:id="288" w:name="_Toc184313290"/>
      <w:bookmarkEnd w:id="288"/>
      <w:bookmarkStart w:id="289" w:name="_Toc184308098"/>
      <w:bookmarkEnd w:id="289"/>
      <w:bookmarkStart w:id="290" w:name="_Toc184313259"/>
      <w:bookmarkEnd w:id="290"/>
      <w:bookmarkStart w:id="291" w:name="_Toc184314475"/>
      <w:bookmarkEnd w:id="291"/>
      <w:bookmarkStart w:id="292" w:name="_Toc184310274"/>
      <w:bookmarkEnd w:id="292"/>
      <w:bookmarkStart w:id="293" w:name="_Toc184308055"/>
      <w:bookmarkEnd w:id="293"/>
      <w:bookmarkStart w:id="294" w:name="_Toc184314482"/>
      <w:bookmarkEnd w:id="294"/>
      <w:bookmarkStart w:id="295" w:name="_Toc184312121"/>
      <w:bookmarkEnd w:id="295"/>
      <w:bookmarkStart w:id="296" w:name="_Toc184308042"/>
      <w:bookmarkEnd w:id="296"/>
      <w:bookmarkStart w:id="297" w:name="_Toc184310308"/>
      <w:bookmarkEnd w:id="297"/>
      <w:bookmarkStart w:id="298" w:name="_Toc184312102"/>
      <w:bookmarkEnd w:id="298"/>
      <w:bookmarkStart w:id="299" w:name="_Toc184312113"/>
      <w:bookmarkEnd w:id="299"/>
      <w:bookmarkStart w:id="300" w:name="_Toc184314472"/>
      <w:bookmarkEnd w:id="300"/>
      <w:bookmarkStart w:id="301" w:name="_Toc184310338"/>
      <w:bookmarkEnd w:id="301"/>
      <w:bookmarkStart w:id="302" w:name="_Toc184313244"/>
      <w:bookmarkEnd w:id="302"/>
      <w:bookmarkStart w:id="303" w:name="_Toc184308047"/>
      <w:bookmarkEnd w:id="303"/>
      <w:bookmarkStart w:id="304" w:name="_Toc184313294"/>
      <w:bookmarkEnd w:id="304"/>
      <w:bookmarkStart w:id="305" w:name="_Toc184308057"/>
      <w:bookmarkEnd w:id="305"/>
      <w:bookmarkStart w:id="306" w:name="_Toc184310284"/>
      <w:bookmarkEnd w:id="306"/>
      <w:bookmarkStart w:id="307" w:name="_Toc184310315"/>
      <w:bookmarkEnd w:id="307"/>
      <w:bookmarkStart w:id="308" w:name="_Toc184313300"/>
      <w:bookmarkEnd w:id="308"/>
      <w:bookmarkStart w:id="309" w:name="_Toc184313295"/>
      <w:bookmarkEnd w:id="309"/>
      <w:bookmarkStart w:id="310" w:name="_Toc184313296"/>
      <w:bookmarkEnd w:id="310"/>
      <w:bookmarkStart w:id="311" w:name="_Toc184313241"/>
      <w:bookmarkEnd w:id="311"/>
      <w:bookmarkStart w:id="312" w:name="_Toc184312124"/>
      <w:bookmarkEnd w:id="312"/>
      <w:bookmarkStart w:id="313" w:name="_Toc184312091"/>
      <w:bookmarkEnd w:id="313"/>
      <w:bookmarkStart w:id="314" w:name="_Toc184312112"/>
      <w:bookmarkEnd w:id="314"/>
      <w:bookmarkStart w:id="315" w:name="_Toc184313247"/>
      <w:bookmarkEnd w:id="315"/>
      <w:bookmarkStart w:id="316" w:name="_Toc184313265"/>
      <w:bookmarkEnd w:id="316"/>
      <w:bookmarkStart w:id="317" w:name="_Toc184312107"/>
      <w:bookmarkEnd w:id="317"/>
      <w:bookmarkStart w:id="318" w:name="_Toc184314468"/>
      <w:bookmarkEnd w:id="318"/>
      <w:bookmarkStart w:id="319" w:name="_Toc184308084"/>
      <w:bookmarkEnd w:id="319"/>
      <w:bookmarkStart w:id="320" w:name="_Toc184313260"/>
      <w:bookmarkEnd w:id="320"/>
      <w:bookmarkStart w:id="321" w:name="_Toc184308076"/>
      <w:bookmarkEnd w:id="321"/>
      <w:bookmarkStart w:id="322" w:name="_Toc184314478"/>
      <w:bookmarkEnd w:id="322"/>
      <w:bookmarkStart w:id="323" w:name="_Toc184310272"/>
      <w:bookmarkEnd w:id="323"/>
      <w:bookmarkStart w:id="324" w:name="_Toc184308100"/>
      <w:bookmarkEnd w:id="324"/>
      <w:bookmarkStart w:id="325" w:name="_Toc184310285"/>
      <w:bookmarkEnd w:id="325"/>
      <w:bookmarkStart w:id="326" w:name="_Toc184310297"/>
      <w:bookmarkEnd w:id="326"/>
      <w:bookmarkStart w:id="327" w:name="_Toc184312075"/>
      <w:bookmarkEnd w:id="327"/>
      <w:bookmarkStart w:id="328" w:name="_Toc184313254"/>
      <w:bookmarkEnd w:id="328"/>
      <w:bookmarkStart w:id="329" w:name="_Toc184314444"/>
      <w:bookmarkEnd w:id="329"/>
      <w:bookmarkStart w:id="330" w:name="_Toc184308060"/>
      <w:bookmarkEnd w:id="330"/>
      <w:bookmarkStart w:id="331" w:name="_Toc184308077"/>
      <w:bookmarkEnd w:id="331"/>
      <w:bookmarkStart w:id="332" w:name="_Toc184310294"/>
      <w:bookmarkEnd w:id="332"/>
      <w:bookmarkStart w:id="333" w:name="_Toc184312069"/>
      <w:bookmarkEnd w:id="333"/>
      <w:bookmarkStart w:id="334" w:name="_Toc184313297"/>
      <w:bookmarkEnd w:id="334"/>
      <w:bookmarkStart w:id="335" w:name="_Toc184313271"/>
      <w:bookmarkEnd w:id="335"/>
      <w:bookmarkStart w:id="336" w:name="_Toc184312088"/>
      <w:bookmarkEnd w:id="336"/>
      <w:bookmarkStart w:id="337" w:name="_Toc184308103"/>
      <w:bookmarkEnd w:id="337"/>
      <w:bookmarkStart w:id="338" w:name="_Toc184308074"/>
      <w:bookmarkEnd w:id="338"/>
      <w:bookmarkStart w:id="339" w:name="_Toc184308046"/>
      <w:bookmarkEnd w:id="339"/>
      <w:bookmarkStart w:id="340" w:name="_Toc184310292"/>
      <w:bookmarkEnd w:id="340"/>
      <w:bookmarkStart w:id="341" w:name="_Toc184310344"/>
      <w:bookmarkEnd w:id="341"/>
      <w:bookmarkStart w:id="342" w:name="_Toc184310342"/>
      <w:bookmarkEnd w:id="342"/>
      <w:bookmarkStart w:id="343" w:name="_Toc184310283"/>
      <w:bookmarkEnd w:id="343"/>
      <w:bookmarkStart w:id="344" w:name="_Toc184314439"/>
      <w:bookmarkEnd w:id="344"/>
      <w:bookmarkStart w:id="345" w:name="_Toc184312134"/>
      <w:bookmarkEnd w:id="345"/>
      <w:bookmarkStart w:id="346" w:name="_Toc184314416"/>
      <w:bookmarkEnd w:id="346"/>
      <w:bookmarkStart w:id="347" w:name="_Toc184310293"/>
      <w:bookmarkEnd w:id="347"/>
      <w:bookmarkStart w:id="348" w:name="_Toc184313291"/>
      <w:bookmarkEnd w:id="348"/>
      <w:bookmarkStart w:id="349" w:name="_Toc184310311"/>
      <w:bookmarkEnd w:id="349"/>
      <w:bookmarkStart w:id="350" w:name="_Toc184314455"/>
      <w:bookmarkEnd w:id="350"/>
      <w:bookmarkStart w:id="351" w:name="_Toc184308106"/>
      <w:bookmarkEnd w:id="351"/>
      <w:bookmarkStart w:id="352" w:name="_Toc184308083"/>
      <w:bookmarkEnd w:id="352"/>
      <w:bookmarkStart w:id="353" w:name="_Toc184310306"/>
      <w:bookmarkEnd w:id="353"/>
      <w:bookmarkStart w:id="354" w:name="_Toc184310291"/>
      <w:bookmarkEnd w:id="354"/>
      <w:bookmarkStart w:id="355" w:name="_Toc184312090"/>
      <w:bookmarkEnd w:id="355"/>
      <w:bookmarkStart w:id="356" w:name="_Toc184313278"/>
      <w:bookmarkEnd w:id="356"/>
      <w:bookmarkStart w:id="357" w:name="_Toc184312067"/>
      <w:bookmarkEnd w:id="357"/>
      <w:bookmarkStart w:id="358" w:name="_Toc184310339"/>
      <w:bookmarkEnd w:id="358"/>
      <w:bookmarkStart w:id="359" w:name="_Toc184310289"/>
      <w:bookmarkEnd w:id="359"/>
      <w:bookmarkStart w:id="360" w:name="_Toc184310305"/>
      <w:bookmarkEnd w:id="360"/>
      <w:bookmarkStart w:id="361" w:name="_Toc184312109"/>
      <w:bookmarkEnd w:id="361"/>
      <w:bookmarkStart w:id="362" w:name="_Toc184308089"/>
      <w:bookmarkEnd w:id="362"/>
      <w:bookmarkStart w:id="363" w:name="_Toc184314423"/>
      <w:bookmarkEnd w:id="363"/>
      <w:bookmarkStart w:id="364" w:name="_Toc184310334"/>
      <w:bookmarkEnd w:id="364"/>
      <w:bookmarkStart w:id="365" w:name="_Toc184310341"/>
      <w:bookmarkEnd w:id="365"/>
      <w:bookmarkStart w:id="366" w:name="_Toc184308090"/>
      <w:bookmarkEnd w:id="366"/>
      <w:bookmarkStart w:id="367" w:name="_Toc184310299"/>
      <w:bookmarkEnd w:id="367"/>
      <w:bookmarkStart w:id="368" w:name="_Toc184310325"/>
      <w:bookmarkEnd w:id="368"/>
      <w:bookmarkStart w:id="369" w:name="_Toc184310320"/>
      <w:bookmarkEnd w:id="369"/>
      <w:bookmarkStart w:id="370" w:name="_Toc184308053"/>
      <w:bookmarkEnd w:id="370"/>
      <w:bookmarkStart w:id="371" w:name="_Toc184314476"/>
      <w:bookmarkEnd w:id="371"/>
      <w:bookmarkStart w:id="372" w:name="_Toc184314435"/>
      <w:bookmarkEnd w:id="372"/>
      <w:bookmarkStart w:id="373" w:name="_Toc184310316"/>
      <w:bookmarkEnd w:id="373"/>
      <w:bookmarkStart w:id="374" w:name="_Toc184312080"/>
      <w:bookmarkEnd w:id="374"/>
      <w:bookmarkStart w:id="375" w:name="_Toc184308062"/>
      <w:bookmarkEnd w:id="375"/>
      <w:bookmarkStart w:id="376" w:name="_Toc184308102"/>
      <w:bookmarkEnd w:id="376"/>
      <w:bookmarkStart w:id="377" w:name="_Toc184313255"/>
      <w:bookmarkEnd w:id="377"/>
      <w:bookmarkStart w:id="378" w:name="_Toc184310279"/>
      <w:bookmarkEnd w:id="378"/>
      <w:bookmarkStart w:id="379" w:name="_Toc184314463"/>
      <w:bookmarkEnd w:id="379"/>
      <w:bookmarkStart w:id="380" w:name="_Toc184310302"/>
      <w:bookmarkEnd w:id="380"/>
      <w:bookmarkStart w:id="381" w:name="_Toc184314477"/>
      <w:bookmarkEnd w:id="381"/>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p>
      <w:pPr>
        <w:widowControl/>
        <w:spacing w:line="360" w:lineRule="auto"/>
        <w:ind w:firstLine="422" w:firstLineChars="200"/>
        <w:jc w:val="left"/>
        <w:rPr>
          <w:rFonts w:hint="default" w:ascii="仿宋" w:hAnsi="仿宋" w:eastAsia="仿宋" w:cs="仿宋"/>
          <w:b/>
          <w:color w:val="auto"/>
          <w:highlight w:val="none"/>
          <w:lang w:val="en-US" w:eastAsia="zh-CN"/>
        </w:rPr>
      </w:pPr>
      <w:r>
        <w:rPr>
          <w:rFonts w:hint="eastAsia" w:ascii="仿宋" w:hAnsi="仿宋" w:eastAsia="仿宋" w:cs="仿宋"/>
          <w:b/>
          <w:color w:val="auto"/>
          <w:highlight w:val="none"/>
          <w:lang w:eastAsia="zh-CN"/>
        </w:rPr>
        <w:t>标项</w:t>
      </w:r>
      <w:r>
        <w:rPr>
          <w:rFonts w:hint="eastAsia" w:ascii="仿宋" w:hAnsi="仿宋" w:eastAsia="仿宋" w:cs="仿宋"/>
          <w:b/>
          <w:color w:val="auto"/>
          <w:highlight w:val="none"/>
          <w:lang w:val="en-US" w:eastAsia="zh-CN"/>
        </w:rPr>
        <w:t>1-2</w:t>
      </w:r>
    </w:p>
    <w:p>
      <w:pPr>
        <w:widowControl/>
        <w:spacing w:line="360" w:lineRule="auto"/>
        <w:ind w:firstLine="422" w:firstLineChars="200"/>
        <w:jc w:val="left"/>
        <w:rPr>
          <w:rFonts w:hint="eastAsia" w:ascii="仿宋" w:hAnsi="仿宋" w:eastAsia="仿宋" w:cs="仿宋"/>
          <w:b/>
          <w:color w:val="auto"/>
          <w:highlight w:val="none"/>
        </w:rPr>
      </w:pPr>
      <w:r>
        <w:rPr>
          <w:rFonts w:hint="eastAsia" w:ascii="仿宋" w:hAnsi="仿宋" w:eastAsia="仿宋" w:cs="仿宋"/>
          <w:b/>
          <w:color w:val="auto"/>
          <w:highlight w:val="none"/>
        </w:rPr>
        <w:t>1、商务资信（</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0分）</w:t>
      </w:r>
    </w:p>
    <w:tbl>
      <w:tblPr>
        <w:tblStyle w:val="62"/>
        <w:tblW w:w="9168" w:type="dxa"/>
        <w:jc w:val="center"/>
        <w:tblLayout w:type="fixed"/>
        <w:tblCellMar>
          <w:top w:w="0" w:type="dxa"/>
          <w:left w:w="108" w:type="dxa"/>
          <w:bottom w:w="0" w:type="dxa"/>
          <w:right w:w="108" w:type="dxa"/>
        </w:tblCellMar>
      </w:tblPr>
      <w:tblGrid>
        <w:gridCol w:w="672"/>
        <w:gridCol w:w="555"/>
        <w:gridCol w:w="6225"/>
        <w:gridCol w:w="735"/>
        <w:gridCol w:w="981"/>
      </w:tblGrid>
      <w:tr>
        <w:tblPrEx>
          <w:tblCellMar>
            <w:top w:w="0" w:type="dxa"/>
            <w:left w:w="108" w:type="dxa"/>
            <w:bottom w:w="0" w:type="dxa"/>
            <w:right w:w="108" w:type="dxa"/>
          </w:tblCellMar>
        </w:tblPrEx>
        <w:trPr>
          <w:trHeight w:val="506" w:hRule="atLeast"/>
          <w:jc w:val="center"/>
        </w:trPr>
        <w:tc>
          <w:tcPr>
            <w:tcW w:w="672"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序号</w:t>
            </w:r>
          </w:p>
        </w:tc>
        <w:tc>
          <w:tcPr>
            <w:tcW w:w="6780" w:type="dxa"/>
            <w:gridSpan w:val="2"/>
            <w:tcBorders>
              <w:top w:val="single" w:color="auto" w:sz="8"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评分内容和标准</w:t>
            </w:r>
          </w:p>
        </w:tc>
        <w:tc>
          <w:tcPr>
            <w:tcW w:w="735" w:type="dxa"/>
            <w:tcBorders>
              <w:top w:val="single" w:color="auto" w:sz="8"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分值</w:t>
            </w:r>
          </w:p>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区间</w:t>
            </w:r>
          </w:p>
        </w:tc>
        <w:tc>
          <w:tcPr>
            <w:tcW w:w="981" w:type="dxa"/>
            <w:tcBorders>
              <w:top w:val="single" w:color="auto" w:sz="8"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主观/客观分</w:t>
            </w:r>
          </w:p>
        </w:tc>
      </w:tr>
      <w:tr>
        <w:tblPrEx>
          <w:tblCellMar>
            <w:top w:w="0" w:type="dxa"/>
            <w:left w:w="108" w:type="dxa"/>
            <w:bottom w:w="0" w:type="dxa"/>
            <w:right w:w="108" w:type="dxa"/>
          </w:tblCellMar>
        </w:tblPrEx>
        <w:trPr>
          <w:trHeight w:val="411" w:hRule="atLeast"/>
          <w:jc w:val="center"/>
        </w:trPr>
        <w:tc>
          <w:tcPr>
            <w:tcW w:w="672"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商务资信（</w:t>
            </w:r>
            <w:r>
              <w:rPr>
                <w:rFonts w:hint="eastAsia" w:ascii="仿宋" w:hAnsi="仿宋" w:eastAsia="仿宋" w:cs="仿宋"/>
                <w:b w:val="0"/>
                <w:bCs/>
                <w:color w:val="auto"/>
                <w:kern w:val="0"/>
                <w:sz w:val="24"/>
                <w:szCs w:val="24"/>
                <w:highlight w:val="none"/>
                <w:lang w:val="en-US" w:eastAsia="zh-CN"/>
              </w:rPr>
              <w:t>1</w:t>
            </w:r>
            <w:r>
              <w:rPr>
                <w:rFonts w:hint="eastAsia" w:ascii="仿宋" w:hAnsi="仿宋" w:eastAsia="仿宋" w:cs="仿宋"/>
                <w:b w:val="0"/>
                <w:bCs/>
                <w:color w:val="auto"/>
                <w:kern w:val="0"/>
                <w:sz w:val="24"/>
                <w:szCs w:val="24"/>
                <w:highlight w:val="none"/>
              </w:rPr>
              <w:t>0分）</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1</w:t>
            </w:r>
          </w:p>
        </w:tc>
        <w:tc>
          <w:tcPr>
            <w:tcW w:w="6225" w:type="dxa"/>
            <w:tcBorders>
              <w:top w:val="single" w:color="auto" w:sz="4" w:space="0"/>
              <w:left w:val="nil"/>
              <w:bottom w:val="single" w:color="auto" w:sz="4" w:space="0"/>
              <w:right w:val="single" w:color="auto" w:sz="4" w:space="0"/>
            </w:tcBorders>
            <w:vAlign w:val="center"/>
          </w:tcPr>
          <w:p>
            <w:pPr>
              <w:pStyle w:val="25"/>
              <w:snapToGrid w:val="0"/>
              <w:spacing w:line="240" w:lineRule="auto"/>
              <w:ind w:firstLine="0" w:firstLineChars="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投标人201</w:t>
            </w:r>
            <w:r>
              <w:rPr>
                <w:rFonts w:hint="eastAsia" w:ascii="仿宋" w:hAnsi="仿宋" w:eastAsia="仿宋" w:cs="仿宋"/>
                <w:b w:val="0"/>
                <w:bCs/>
                <w:color w:val="auto"/>
                <w:sz w:val="24"/>
                <w:szCs w:val="24"/>
                <w:highlight w:val="none"/>
                <w:lang w:val="en-US" w:eastAsia="zh-CN"/>
              </w:rPr>
              <w:t>5</w:t>
            </w:r>
            <w:r>
              <w:rPr>
                <w:rFonts w:hint="eastAsia" w:ascii="仿宋" w:hAnsi="仿宋" w:eastAsia="仿宋" w:cs="仿宋"/>
                <w:b w:val="0"/>
                <w:bCs/>
                <w:color w:val="auto"/>
                <w:sz w:val="24"/>
                <w:szCs w:val="24"/>
                <w:highlight w:val="none"/>
              </w:rPr>
              <w:t>年1月1日至今（以合同签订时间为准）同类业绩，每个业绩得</w:t>
            </w:r>
            <w:r>
              <w:rPr>
                <w:rFonts w:hint="eastAsia" w:ascii="仿宋" w:hAnsi="仿宋" w:eastAsia="仿宋" w:cs="仿宋"/>
                <w:b w:val="0"/>
                <w:bCs/>
                <w:color w:val="auto"/>
                <w:sz w:val="24"/>
                <w:szCs w:val="24"/>
                <w:highlight w:val="none"/>
                <w:lang w:val="en-US" w:eastAsia="zh-CN"/>
              </w:rPr>
              <w:t>0.5</w:t>
            </w:r>
            <w:r>
              <w:rPr>
                <w:rFonts w:hint="eastAsia" w:ascii="仿宋" w:hAnsi="仿宋" w:eastAsia="仿宋" w:cs="仿宋"/>
                <w:b w:val="0"/>
                <w:bCs/>
                <w:color w:val="auto"/>
                <w:sz w:val="24"/>
                <w:szCs w:val="24"/>
                <w:highlight w:val="none"/>
              </w:rPr>
              <w:t>分，最高得</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分。</w:t>
            </w:r>
          </w:p>
          <w:p>
            <w:pPr>
              <w:pStyle w:val="25"/>
              <w:snapToGrid w:val="0"/>
              <w:spacing w:line="240" w:lineRule="auto"/>
              <w:ind w:firstLine="0" w:firstLine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rPr>
              <w:t>（同类业绩：指平安城市或天网工程或雪亮工程等社会公共区域监控类业绩。证明材料：投标文件中同时提供项目合同和项目验收意见材料，未按要求提供证明材料的不得分。）</w:t>
            </w:r>
          </w:p>
        </w:tc>
        <w:tc>
          <w:tcPr>
            <w:tcW w:w="735"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2</w:t>
            </w:r>
          </w:p>
        </w:tc>
        <w:tc>
          <w:tcPr>
            <w:tcW w:w="98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客观分</w:t>
            </w:r>
          </w:p>
        </w:tc>
      </w:tr>
      <w:tr>
        <w:tblPrEx>
          <w:tblCellMar>
            <w:top w:w="0" w:type="dxa"/>
            <w:left w:w="108" w:type="dxa"/>
            <w:bottom w:w="0" w:type="dxa"/>
            <w:right w:w="108" w:type="dxa"/>
          </w:tblCellMar>
        </w:tblPrEx>
        <w:trPr>
          <w:trHeight w:val="404" w:hRule="atLeast"/>
          <w:jc w:val="center"/>
        </w:trPr>
        <w:tc>
          <w:tcPr>
            <w:tcW w:w="67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color w:val="auto"/>
                <w:kern w:val="0"/>
                <w:sz w:val="24"/>
                <w:szCs w:val="24"/>
                <w:highlight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2</w:t>
            </w:r>
          </w:p>
        </w:tc>
        <w:tc>
          <w:tcPr>
            <w:tcW w:w="6225" w:type="dxa"/>
            <w:tcBorders>
              <w:top w:val="single" w:color="auto" w:sz="4" w:space="0"/>
              <w:left w:val="nil"/>
              <w:bottom w:val="single" w:color="auto" w:sz="4" w:space="0"/>
              <w:right w:val="single" w:color="auto" w:sz="4" w:space="0"/>
            </w:tcBorders>
            <w:vAlign w:val="center"/>
          </w:tcPr>
          <w:p>
            <w:pPr>
              <w:pStyle w:val="25"/>
              <w:snapToGrid w:val="0"/>
              <w:spacing w:line="240" w:lineRule="auto"/>
              <w:ind w:firstLine="0" w:firstLineChars="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）投标人具有质量管理体系认证证书的得1分，</w:t>
            </w:r>
          </w:p>
          <w:p>
            <w:pPr>
              <w:pStyle w:val="25"/>
              <w:snapToGrid w:val="0"/>
              <w:spacing w:line="240" w:lineRule="auto"/>
              <w:ind w:firstLine="0" w:firstLineChars="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）投标人具有环境管理体系认证证书的得1分。</w:t>
            </w:r>
          </w:p>
          <w:p>
            <w:pP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sz w:val="24"/>
                <w:szCs w:val="24"/>
                <w:highlight w:val="none"/>
              </w:rPr>
              <w:t>）投标人具有</w:t>
            </w:r>
            <w:r>
              <w:rPr>
                <w:rFonts w:hint="eastAsia" w:ascii="仿宋" w:hAnsi="仿宋" w:eastAsia="仿宋" w:cs="仿宋"/>
                <w:bCs/>
                <w:color w:val="auto"/>
                <w:sz w:val="24"/>
                <w:szCs w:val="24"/>
                <w:highlight w:val="none"/>
              </w:rPr>
              <w:t>信息安全管理体系认证证书</w:t>
            </w:r>
            <w:r>
              <w:rPr>
                <w:rFonts w:hint="eastAsia" w:ascii="仿宋" w:hAnsi="仿宋" w:eastAsia="仿宋" w:cs="仿宋"/>
                <w:b w:val="0"/>
                <w:bCs/>
                <w:color w:val="auto"/>
                <w:sz w:val="24"/>
                <w:szCs w:val="24"/>
                <w:highlight w:val="none"/>
              </w:rPr>
              <w:t>得1分</w:t>
            </w:r>
          </w:p>
          <w:p>
            <w:pPr>
              <w:rPr>
                <w:rFonts w:hint="eastAsia" w:ascii="仿宋" w:hAnsi="仿宋" w:eastAsia="仿宋" w:cs="仿宋"/>
                <w:color w:val="auto"/>
                <w:sz w:val="24"/>
                <w:szCs w:val="24"/>
                <w:highlight w:val="none"/>
              </w:rPr>
            </w:pPr>
            <w:r>
              <w:rPr>
                <w:rFonts w:hint="eastAsia" w:ascii="仿宋" w:hAnsi="仿宋" w:eastAsia="仿宋" w:cs="仿宋"/>
                <w:b w:val="0"/>
                <w:bCs/>
                <w:color w:val="auto"/>
                <w:sz w:val="24"/>
                <w:szCs w:val="24"/>
                <w:highlight w:val="none"/>
                <w:lang w:val="en-US" w:eastAsia="zh-CN"/>
              </w:rPr>
              <w:t>4</w:t>
            </w:r>
            <w:r>
              <w:rPr>
                <w:rFonts w:hint="eastAsia" w:ascii="仿宋" w:hAnsi="仿宋" w:eastAsia="仿宋" w:cs="仿宋"/>
                <w:b w:val="0"/>
                <w:bCs/>
                <w:color w:val="auto"/>
                <w:sz w:val="24"/>
                <w:szCs w:val="24"/>
                <w:highlight w:val="none"/>
              </w:rPr>
              <w:t>）投标人具有</w:t>
            </w:r>
            <w:r>
              <w:rPr>
                <w:rFonts w:hint="eastAsia" w:ascii="仿宋" w:hAnsi="仿宋" w:eastAsia="仿宋" w:cs="仿宋"/>
                <w:bCs/>
                <w:color w:val="auto"/>
                <w:sz w:val="24"/>
                <w:szCs w:val="24"/>
                <w:highlight w:val="none"/>
              </w:rPr>
              <w:t>信息技术服务管理体系认证证书</w:t>
            </w:r>
            <w:r>
              <w:rPr>
                <w:rFonts w:hint="eastAsia" w:ascii="仿宋" w:hAnsi="仿宋" w:eastAsia="仿宋" w:cs="仿宋"/>
                <w:b w:val="0"/>
                <w:bCs/>
                <w:color w:val="auto"/>
                <w:sz w:val="24"/>
                <w:szCs w:val="24"/>
                <w:highlight w:val="none"/>
              </w:rPr>
              <w:t>得1分</w:t>
            </w:r>
          </w:p>
          <w:p>
            <w:pPr>
              <w:pStyle w:val="25"/>
              <w:snapToGrid w:val="0"/>
              <w:spacing w:line="240" w:lineRule="auto"/>
              <w:ind w:firstLine="0" w:firstLineChars="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5</w:t>
            </w:r>
            <w:r>
              <w:rPr>
                <w:rFonts w:hint="eastAsia" w:ascii="仿宋" w:hAnsi="仿宋" w:eastAsia="仿宋" w:cs="仿宋"/>
                <w:b w:val="0"/>
                <w:bCs/>
                <w:color w:val="auto"/>
                <w:sz w:val="24"/>
                <w:szCs w:val="24"/>
                <w:highlight w:val="none"/>
              </w:rPr>
              <w:t>）投标人具有ITSS信息技术服务运行维护资质证书的得1.5分。</w:t>
            </w:r>
            <w:r>
              <w:rPr>
                <w:rFonts w:hint="eastAsia" w:ascii="仿宋" w:hAnsi="仿宋" w:eastAsia="仿宋" w:cs="仿宋"/>
                <w:b w:val="0"/>
                <w:bCs/>
                <w:color w:val="auto"/>
                <w:sz w:val="24"/>
                <w:szCs w:val="24"/>
                <w:highlight w:val="none"/>
                <w:lang w:val="en-US" w:eastAsia="zh-CN"/>
              </w:rPr>
              <w:t>6</w:t>
            </w:r>
            <w:r>
              <w:rPr>
                <w:rFonts w:hint="eastAsia" w:ascii="仿宋" w:hAnsi="仿宋" w:eastAsia="仿宋" w:cs="仿宋"/>
                <w:b w:val="0"/>
                <w:bCs/>
                <w:color w:val="auto"/>
                <w:sz w:val="24"/>
                <w:szCs w:val="24"/>
                <w:highlight w:val="none"/>
              </w:rPr>
              <w:t>）投标人具有增值电信业务许可证的得1.5分。</w:t>
            </w:r>
          </w:p>
          <w:p>
            <w:pPr>
              <w:pStyle w:val="25"/>
              <w:snapToGrid w:val="0"/>
              <w:spacing w:line="240" w:lineRule="auto"/>
              <w:ind w:firstLine="0" w:firstLineChars="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7</w:t>
            </w:r>
            <w:r>
              <w:rPr>
                <w:rFonts w:hint="eastAsia" w:ascii="仿宋" w:hAnsi="仿宋" w:eastAsia="仿宋" w:cs="仿宋"/>
                <w:b w:val="0"/>
                <w:bCs/>
                <w:color w:val="auto"/>
                <w:sz w:val="24"/>
                <w:szCs w:val="24"/>
                <w:highlight w:val="none"/>
              </w:rPr>
              <w:t>）投标人具有基础电信业务许可证的，得1分。</w:t>
            </w:r>
          </w:p>
          <w:p>
            <w:pPr>
              <w:pStyle w:val="25"/>
              <w:snapToGrid w:val="0"/>
              <w:spacing w:line="240" w:lineRule="auto"/>
              <w:ind w:firstLine="0" w:firstLineChars="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rPr>
              <w:t>（证明材料：投标文件中提供相应证书材料，证书须在有效期内，未按要求提供证明材料的不得分。）</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0-8</w:t>
            </w:r>
          </w:p>
        </w:tc>
        <w:tc>
          <w:tcPr>
            <w:tcW w:w="98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客观分</w:t>
            </w:r>
          </w:p>
        </w:tc>
      </w:tr>
    </w:tbl>
    <w:p>
      <w:pPr>
        <w:rPr>
          <w:rFonts w:hint="eastAsia" w:ascii="仿宋" w:hAnsi="仿宋" w:eastAsia="仿宋" w:cs="仿宋"/>
          <w:b/>
          <w:color w:val="auto"/>
          <w:sz w:val="24"/>
          <w:szCs w:val="24"/>
          <w:highlight w:val="none"/>
        </w:rPr>
      </w:pPr>
    </w:p>
    <w:p>
      <w:pPr>
        <w:widowControl/>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2、技术部分（</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0分）</w:t>
      </w:r>
    </w:p>
    <w:tbl>
      <w:tblPr>
        <w:tblStyle w:val="62"/>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555"/>
        <w:gridCol w:w="1500"/>
        <w:gridCol w:w="4725"/>
        <w:gridCol w:w="735"/>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673"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序号</w:t>
            </w:r>
          </w:p>
        </w:tc>
        <w:tc>
          <w:tcPr>
            <w:tcW w:w="2055" w:type="dxa"/>
            <w:gridSpan w:val="2"/>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评分内容和标准</w:t>
            </w:r>
          </w:p>
        </w:tc>
        <w:tc>
          <w:tcPr>
            <w:tcW w:w="4725"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具体描述</w:t>
            </w:r>
          </w:p>
        </w:tc>
        <w:tc>
          <w:tcPr>
            <w:tcW w:w="735"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分值</w:t>
            </w:r>
          </w:p>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区间</w:t>
            </w:r>
          </w:p>
        </w:tc>
        <w:tc>
          <w:tcPr>
            <w:tcW w:w="982" w:type="dxa"/>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73" w:type="dxa"/>
            <w:vMerge w:val="restart"/>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技术分</w:t>
            </w:r>
          </w:p>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w:t>
            </w:r>
            <w:r>
              <w:rPr>
                <w:rFonts w:hint="eastAsia" w:ascii="仿宋" w:hAnsi="仿宋" w:eastAsia="仿宋" w:cs="仿宋"/>
                <w:b w:val="0"/>
                <w:bCs/>
                <w:color w:val="auto"/>
                <w:kern w:val="0"/>
                <w:sz w:val="24"/>
                <w:szCs w:val="24"/>
                <w:highlight w:val="none"/>
                <w:lang w:val="en-US" w:eastAsia="zh-CN"/>
              </w:rPr>
              <w:t>7</w:t>
            </w:r>
            <w:r>
              <w:rPr>
                <w:rFonts w:hint="eastAsia" w:ascii="仿宋" w:hAnsi="仿宋" w:eastAsia="仿宋" w:cs="仿宋"/>
                <w:b w:val="0"/>
                <w:bCs/>
                <w:color w:val="auto"/>
                <w:kern w:val="0"/>
                <w:sz w:val="24"/>
                <w:szCs w:val="24"/>
                <w:highlight w:val="none"/>
              </w:rPr>
              <w:t>0分）</w:t>
            </w:r>
          </w:p>
        </w:tc>
        <w:tc>
          <w:tcPr>
            <w:tcW w:w="555" w:type="dxa"/>
            <w:vMerge w:val="restart"/>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1</w:t>
            </w:r>
          </w:p>
        </w:tc>
        <w:tc>
          <w:tcPr>
            <w:tcW w:w="1500" w:type="dxa"/>
            <w:vMerge w:val="restart"/>
            <w:shd w:val="clear" w:color="auto" w:fill="FFFFFF"/>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投标方案的合理性、科学性、全面性（根据对投标项目的理解程度、总体设计等情况综合评定）</w:t>
            </w:r>
          </w:p>
        </w:tc>
        <w:tc>
          <w:tcPr>
            <w:tcW w:w="4725" w:type="dxa"/>
            <w:vAlign w:val="center"/>
          </w:tcPr>
          <w:p>
            <w:pPr>
              <w:widowControl/>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投标人提供①投标技术方案总体设计：详细阐述系统的体系架构、功能模块、实现思路和关键技术（0-3分）；②保证本项目实施的光纤资源和网络组网的思路（0-</w:t>
            </w:r>
            <w:r>
              <w:rPr>
                <w:rFonts w:hint="eastAsia" w:ascii="仿宋" w:hAnsi="仿宋" w:eastAsia="仿宋" w:cs="仿宋"/>
                <w:b w:val="0"/>
                <w:bCs/>
                <w:color w:val="auto"/>
                <w:kern w:val="0"/>
                <w:sz w:val="24"/>
                <w:szCs w:val="24"/>
                <w:highlight w:val="none"/>
                <w:lang w:val="en-US" w:eastAsia="zh-CN"/>
              </w:rPr>
              <w:t>2</w:t>
            </w:r>
            <w:r>
              <w:rPr>
                <w:rFonts w:hint="eastAsia" w:ascii="仿宋" w:hAnsi="仿宋" w:eastAsia="仿宋" w:cs="仿宋"/>
                <w:b w:val="0"/>
                <w:bCs/>
                <w:color w:val="auto"/>
                <w:kern w:val="0"/>
                <w:sz w:val="24"/>
                <w:szCs w:val="24"/>
                <w:highlight w:val="none"/>
              </w:rPr>
              <w:t>分）。</w:t>
            </w:r>
          </w:p>
        </w:tc>
        <w:tc>
          <w:tcPr>
            <w:tcW w:w="73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5</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73" w:type="dxa"/>
            <w:vMerge w:val="continue"/>
            <w:shd w:val="clear" w:color="auto" w:fill="auto"/>
            <w:vAlign w:val="center"/>
          </w:tcPr>
          <w:p>
            <w:pPr>
              <w:widowControl/>
              <w:jc w:val="center"/>
              <w:rPr>
                <w:rFonts w:hint="eastAsia" w:ascii="仿宋" w:hAnsi="仿宋" w:eastAsia="仿宋" w:cs="仿宋"/>
                <w:b w:val="0"/>
                <w:bCs/>
                <w:color w:val="auto"/>
                <w:kern w:val="0"/>
                <w:sz w:val="24"/>
                <w:szCs w:val="24"/>
                <w:highlight w:val="none"/>
              </w:rPr>
            </w:pPr>
          </w:p>
        </w:tc>
        <w:tc>
          <w:tcPr>
            <w:tcW w:w="555" w:type="dxa"/>
            <w:vMerge w:val="continue"/>
            <w:shd w:val="clear" w:color="auto" w:fill="auto"/>
            <w:vAlign w:val="center"/>
          </w:tcPr>
          <w:p>
            <w:pPr>
              <w:widowControl/>
              <w:jc w:val="center"/>
              <w:rPr>
                <w:rFonts w:hint="eastAsia" w:ascii="仿宋" w:hAnsi="仿宋" w:eastAsia="仿宋" w:cs="仿宋"/>
                <w:b w:val="0"/>
                <w:bCs/>
                <w:color w:val="auto"/>
                <w:kern w:val="0"/>
                <w:sz w:val="24"/>
                <w:szCs w:val="24"/>
                <w:highlight w:val="none"/>
              </w:rPr>
            </w:pPr>
          </w:p>
        </w:tc>
        <w:tc>
          <w:tcPr>
            <w:tcW w:w="1500" w:type="dxa"/>
            <w:vMerge w:val="continue"/>
            <w:shd w:val="clear" w:color="auto" w:fill="FFFFFF"/>
            <w:vAlign w:val="center"/>
          </w:tcPr>
          <w:p>
            <w:pPr>
              <w:widowControl/>
              <w:jc w:val="center"/>
              <w:rPr>
                <w:rFonts w:hint="eastAsia" w:ascii="仿宋" w:hAnsi="仿宋" w:eastAsia="仿宋" w:cs="仿宋"/>
                <w:b w:val="0"/>
                <w:bCs/>
                <w:color w:val="auto"/>
                <w:kern w:val="0"/>
                <w:sz w:val="24"/>
                <w:szCs w:val="24"/>
                <w:highlight w:val="none"/>
              </w:rPr>
            </w:pPr>
          </w:p>
        </w:tc>
        <w:tc>
          <w:tcPr>
            <w:tcW w:w="4725" w:type="dxa"/>
            <w:vAlign w:val="center"/>
          </w:tcPr>
          <w:p>
            <w:pPr>
              <w:widowControl/>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投标人对于</w:t>
            </w:r>
            <w:r>
              <w:rPr>
                <w:rFonts w:hint="eastAsia" w:ascii="仿宋" w:hAnsi="仿宋" w:eastAsia="仿宋" w:cs="仿宋"/>
                <w:b w:val="0"/>
                <w:bCs/>
                <w:color w:val="auto"/>
                <w:kern w:val="0"/>
                <w:sz w:val="24"/>
                <w:szCs w:val="24"/>
                <w:highlight w:val="none"/>
                <w:lang w:eastAsia="zh-CN"/>
              </w:rPr>
              <w:t>新街</w:t>
            </w:r>
            <w:r>
              <w:rPr>
                <w:rFonts w:hint="eastAsia" w:ascii="仿宋" w:hAnsi="仿宋" w:eastAsia="仿宋" w:cs="仿宋"/>
                <w:b w:val="0"/>
                <w:bCs/>
                <w:color w:val="auto"/>
                <w:kern w:val="0"/>
                <w:sz w:val="24"/>
                <w:szCs w:val="24"/>
                <w:highlight w:val="none"/>
              </w:rPr>
              <w:t>街道安防系统现状熟悉情况的描述：①</w:t>
            </w:r>
            <w:r>
              <w:rPr>
                <w:rFonts w:hint="eastAsia" w:ascii="仿宋" w:hAnsi="仿宋" w:eastAsia="仿宋" w:cs="仿宋"/>
                <w:b w:val="0"/>
                <w:bCs/>
                <w:color w:val="auto"/>
                <w:kern w:val="0"/>
                <w:sz w:val="24"/>
                <w:szCs w:val="24"/>
                <w:highlight w:val="none"/>
                <w:lang w:eastAsia="zh-CN"/>
              </w:rPr>
              <w:t>新街</w:t>
            </w:r>
            <w:r>
              <w:rPr>
                <w:rFonts w:hint="eastAsia" w:ascii="仿宋" w:hAnsi="仿宋" w:eastAsia="仿宋" w:cs="仿宋"/>
                <w:b w:val="0"/>
                <w:bCs/>
                <w:color w:val="auto"/>
                <w:kern w:val="0"/>
                <w:sz w:val="24"/>
                <w:szCs w:val="24"/>
                <w:highlight w:val="none"/>
              </w:rPr>
              <w:t>街道公安的建设现状（0-2）；②</w:t>
            </w:r>
            <w:r>
              <w:rPr>
                <w:rFonts w:hint="eastAsia" w:ascii="仿宋" w:hAnsi="仿宋" w:eastAsia="仿宋" w:cs="仿宋"/>
                <w:b w:val="0"/>
                <w:bCs/>
                <w:color w:val="auto"/>
                <w:kern w:val="0"/>
                <w:sz w:val="24"/>
                <w:szCs w:val="24"/>
                <w:highlight w:val="none"/>
                <w:lang w:eastAsia="zh-CN"/>
              </w:rPr>
              <w:t>新街</w:t>
            </w:r>
            <w:r>
              <w:rPr>
                <w:rFonts w:hint="eastAsia" w:ascii="仿宋" w:hAnsi="仿宋" w:eastAsia="仿宋" w:cs="仿宋"/>
                <w:b w:val="0"/>
                <w:bCs/>
                <w:color w:val="auto"/>
                <w:kern w:val="0"/>
                <w:sz w:val="24"/>
                <w:szCs w:val="24"/>
                <w:highlight w:val="none"/>
              </w:rPr>
              <w:t>街道安防需求分析（0-</w:t>
            </w:r>
            <w:r>
              <w:rPr>
                <w:rFonts w:hint="eastAsia" w:ascii="仿宋" w:hAnsi="仿宋" w:eastAsia="仿宋" w:cs="仿宋"/>
                <w:b w:val="0"/>
                <w:bCs/>
                <w:color w:val="auto"/>
                <w:kern w:val="0"/>
                <w:sz w:val="24"/>
                <w:szCs w:val="24"/>
                <w:highlight w:val="none"/>
                <w:lang w:val="en-US" w:eastAsia="zh-CN"/>
              </w:rPr>
              <w:t>3</w:t>
            </w:r>
            <w:r>
              <w:rPr>
                <w:rFonts w:hint="eastAsia" w:ascii="仿宋" w:hAnsi="仿宋" w:eastAsia="仿宋" w:cs="仿宋"/>
                <w:b w:val="0"/>
                <w:bCs/>
                <w:color w:val="auto"/>
                <w:kern w:val="0"/>
                <w:sz w:val="24"/>
                <w:szCs w:val="24"/>
                <w:highlight w:val="none"/>
              </w:rPr>
              <w:t>）。</w:t>
            </w:r>
          </w:p>
        </w:tc>
        <w:tc>
          <w:tcPr>
            <w:tcW w:w="735" w:type="dxa"/>
            <w:vAlign w:val="center"/>
          </w:tcPr>
          <w:p>
            <w:pPr>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5</w:t>
            </w:r>
          </w:p>
        </w:tc>
        <w:tc>
          <w:tcPr>
            <w:tcW w:w="982"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673" w:type="dxa"/>
            <w:vMerge w:val="continue"/>
            <w:shd w:val="clear" w:color="auto" w:fill="auto"/>
            <w:vAlign w:val="center"/>
          </w:tcPr>
          <w:p>
            <w:pPr>
              <w:widowControl/>
              <w:jc w:val="center"/>
              <w:rPr>
                <w:rFonts w:hint="eastAsia" w:ascii="仿宋" w:hAnsi="仿宋" w:eastAsia="仿宋" w:cs="仿宋"/>
                <w:b w:val="0"/>
                <w:bCs/>
                <w:color w:val="auto"/>
                <w:kern w:val="0"/>
                <w:sz w:val="24"/>
                <w:szCs w:val="24"/>
                <w:highlight w:val="none"/>
              </w:rPr>
            </w:pPr>
          </w:p>
        </w:tc>
        <w:tc>
          <w:tcPr>
            <w:tcW w:w="555" w:type="dxa"/>
            <w:vMerge w:val="continue"/>
            <w:shd w:val="clear" w:color="auto" w:fill="auto"/>
            <w:vAlign w:val="center"/>
          </w:tcPr>
          <w:p>
            <w:pPr>
              <w:widowControl/>
              <w:jc w:val="center"/>
              <w:rPr>
                <w:rFonts w:hint="eastAsia" w:ascii="仿宋" w:hAnsi="仿宋" w:eastAsia="仿宋" w:cs="仿宋"/>
                <w:b w:val="0"/>
                <w:bCs/>
                <w:color w:val="auto"/>
                <w:kern w:val="0"/>
                <w:sz w:val="24"/>
                <w:szCs w:val="24"/>
                <w:highlight w:val="none"/>
              </w:rPr>
            </w:pPr>
          </w:p>
        </w:tc>
        <w:tc>
          <w:tcPr>
            <w:tcW w:w="1500" w:type="dxa"/>
            <w:vMerge w:val="continue"/>
            <w:shd w:val="clear" w:color="auto" w:fill="FFFFFF"/>
            <w:vAlign w:val="center"/>
          </w:tcPr>
          <w:p>
            <w:pPr>
              <w:widowControl/>
              <w:jc w:val="center"/>
              <w:rPr>
                <w:rFonts w:hint="eastAsia" w:ascii="仿宋" w:hAnsi="仿宋" w:eastAsia="仿宋" w:cs="仿宋"/>
                <w:b w:val="0"/>
                <w:bCs/>
                <w:color w:val="auto"/>
                <w:kern w:val="0"/>
                <w:sz w:val="24"/>
                <w:szCs w:val="24"/>
                <w:highlight w:val="none"/>
              </w:rPr>
            </w:pPr>
          </w:p>
        </w:tc>
        <w:tc>
          <w:tcPr>
            <w:tcW w:w="4725" w:type="dxa"/>
            <w:vAlign w:val="center"/>
          </w:tcPr>
          <w:p>
            <w:pPr>
              <w:widowControl/>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投标人对本项目关键技术的理解：①投标人对本项目中区公安的接入方式的阐述（0-</w:t>
            </w:r>
            <w:r>
              <w:rPr>
                <w:rFonts w:hint="eastAsia" w:ascii="仿宋" w:hAnsi="仿宋" w:eastAsia="仿宋" w:cs="仿宋"/>
                <w:b w:val="0"/>
                <w:bCs/>
                <w:color w:val="auto"/>
                <w:kern w:val="0"/>
                <w:sz w:val="24"/>
                <w:szCs w:val="24"/>
                <w:highlight w:val="none"/>
                <w:lang w:val="en-US" w:eastAsia="zh-CN"/>
              </w:rPr>
              <w:t>3</w:t>
            </w:r>
            <w:r>
              <w:rPr>
                <w:rFonts w:hint="eastAsia" w:ascii="仿宋" w:hAnsi="仿宋" w:eastAsia="仿宋" w:cs="仿宋"/>
                <w:b w:val="0"/>
                <w:bCs/>
                <w:color w:val="auto"/>
                <w:kern w:val="0"/>
                <w:sz w:val="24"/>
                <w:szCs w:val="24"/>
                <w:highlight w:val="none"/>
              </w:rPr>
              <w:t>分）；②详细描述安全准入设备与萧山区分局现有安全准入系统联动的具体架构及相应措施（0-</w:t>
            </w:r>
            <w:r>
              <w:rPr>
                <w:rFonts w:hint="eastAsia" w:ascii="仿宋" w:hAnsi="仿宋" w:eastAsia="仿宋" w:cs="仿宋"/>
                <w:b w:val="0"/>
                <w:bCs/>
                <w:color w:val="auto"/>
                <w:kern w:val="0"/>
                <w:sz w:val="24"/>
                <w:szCs w:val="24"/>
                <w:highlight w:val="none"/>
                <w:lang w:val="en-US" w:eastAsia="zh-CN"/>
              </w:rPr>
              <w:t>3</w:t>
            </w:r>
            <w:r>
              <w:rPr>
                <w:rFonts w:hint="eastAsia" w:ascii="仿宋" w:hAnsi="仿宋" w:eastAsia="仿宋" w:cs="仿宋"/>
                <w:b w:val="0"/>
                <w:bCs/>
                <w:color w:val="auto"/>
                <w:kern w:val="0"/>
                <w:sz w:val="24"/>
                <w:szCs w:val="24"/>
                <w:highlight w:val="none"/>
              </w:rPr>
              <w:t>分）。</w:t>
            </w:r>
          </w:p>
        </w:tc>
        <w:tc>
          <w:tcPr>
            <w:tcW w:w="735" w:type="dxa"/>
            <w:vAlign w:val="center"/>
          </w:tcPr>
          <w:p>
            <w:pPr>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6</w:t>
            </w:r>
          </w:p>
        </w:tc>
        <w:tc>
          <w:tcPr>
            <w:tcW w:w="982"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2</w:t>
            </w:r>
          </w:p>
        </w:tc>
        <w:tc>
          <w:tcPr>
            <w:tcW w:w="1500" w:type="dxa"/>
            <w:shd w:val="clear" w:color="auto" w:fill="FFFFFF"/>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投标方案中提供或使用主要设备的优劣</w:t>
            </w:r>
          </w:p>
        </w:tc>
        <w:tc>
          <w:tcPr>
            <w:tcW w:w="4725" w:type="dxa"/>
            <w:vAlign w:val="center"/>
          </w:tcPr>
          <w:p>
            <w:pPr>
              <w:widowControl/>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根据投标产品技术指标及功能符合招标需求，完全满足招标要求的得10分，如技术指标出现负偏离情况，“●”每出现一项扣1分，扣完为止。</w:t>
            </w:r>
          </w:p>
        </w:tc>
        <w:tc>
          <w:tcPr>
            <w:tcW w:w="735"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0-10</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3</w:t>
            </w:r>
          </w:p>
        </w:tc>
        <w:tc>
          <w:tcPr>
            <w:tcW w:w="1500" w:type="dxa"/>
            <w:shd w:val="clear" w:color="auto" w:fill="FFFFFF"/>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保证进度和项目完成的方案和措施等综合评定</w:t>
            </w:r>
          </w:p>
        </w:tc>
        <w:tc>
          <w:tcPr>
            <w:tcW w:w="4725" w:type="dxa"/>
            <w:vAlign w:val="center"/>
          </w:tcPr>
          <w:p>
            <w:pPr>
              <w:widowControl/>
              <w:jc w:val="left"/>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根据投标人提交的组织施工方案及按照物资投入情况、施工进度保证、施工现场管理、项目质量保证、项目风险应对等方面综合评定；（0-</w:t>
            </w:r>
            <w:r>
              <w:rPr>
                <w:rFonts w:hint="eastAsia" w:ascii="仿宋" w:hAnsi="仿宋" w:eastAsia="仿宋" w:cs="仿宋"/>
                <w:b w:val="0"/>
                <w:bCs/>
                <w:color w:val="auto"/>
                <w:kern w:val="0"/>
                <w:sz w:val="24"/>
                <w:szCs w:val="24"/>
                <w:highlight w:val="none"/>
                <w:lang w:val="en-US" w:eastAsia="zh-CN"/>
              </w:rPr>
              <w:t>4</w:t>
            </w:r>
            <w:r>
              <w:rPr>
                <w:rFonts w:hint="eastAsia" w:ascii="仿宋" w:hAnsi="仿宋" w:eastAsia="仿宋" w:cs="仿宋"/>
                <w:b w:val="0"/>
                <w:bCs/>
                <w:color w:val="auto"/>
                <w:kern w:val="0"/>
                <w:sz w:val="24"/>
                <w:szCs w:val="24"/>
                <w:highlight w:val="none"/>
              </w:rPr>
              <w:t>）</w:t>
            </w:r>
          </w:p>
          <w:p>
            <w:pPr>
              <w:widowControl/>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阐述投标人利用信息化、专业化的管理工具进行项目全生命周期管理。（0-</w:t>
            </w:r>
            <w:r>
              <w:rPr>
                <w:rFonts w:hint="eastAsia" w:ascii="仿宋" w:hAnsi="仿宋" w:eastAsia="仿宋" w:cs="仿宋"/>
                <w:b w:val="0"/>
                <w:bCs/>
                <w:color w:val="auto"/>
                <w:kern w:val="0"/>
                <w:sz w:val="24"/>
                <w:szCs w:val="24"/>
                <w:highlight w:val="none"/>
                <w:lang w:val="en-US" w:eastAsia="zh-CN"/>
              </w:rPr>
              <w:t>4</w:t>
            </w:r>
            <w:r>
              <w:rPr>
                <w:rFonts w:hint="eastAsia" w:ascii="仿宋" w:hAnsi="仿宋" w:eastAsia="仿宋" w:cs="仿宋"/>
                <w:b w:val="0"/>
                <w:bCs/>
                <w:color w:val="auto"/>
                <w:kern w:val="0"/>
                <w:sz w:val="24"/>
                <w:szCs w:val="24"/>
                <w:highlight w:val="none"/>
              </w:rPr>
              <w:t>）</w:t>
            </w:r>
          </w:p>
        </w:tc>
        <w:tc>
          <w:tcPr>
            <w:tcW w:w="73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8</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4</w:t>
            </w:r>
          </w:p>
        </w:tc>
        <w:tc>
          <w:tcPr>
            <w:tcW w:w="1500" w:type="dxa"/>
            <w:shd w:val="clear" w:color="auto" w:fill="FFFFFF"/>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项目负责人及技术力量安排等（综合评定）</w:t>
            </w:r>
          </w:p>
        </w:tc>
        <w:tc>
          <w:tcPr>
            <w:tcW w:w="4725" w:type="dxa"/>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  项目技术负责人同时具备PMP资质认证、NPDP认证、阿里云ACE认证的得4分的得4分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缺项不得分</w:t>
            </w:r>
            <w:r>
              <w:rPr>
                <w:rFonts w:hint="eastAsia" w:ascii="仿宋" w:hAnsi="仿宋" w:eastAsia="仿宋" w:cs="仿宋"/>
                <w:color w:val="auto"/>
                <w:kern w:val="0"/>
                <w:sz w:val="24"/>
                <w:szCs w:val="24"/>
                <w:highlight w:val="none"/>
              </w:rPr>
              <w:t>。（4分）</w:t>
            </w:r>
          </w:p>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2.项目负责人同时具备PMP资质认证、IPMA资质认证证书、信息系统项目管理师（高级）的得</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缺项不得分</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分）</w:t>
            </w:r>
          </w:p>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 拟投入本项目的施工技术人员：</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名及以上人员具备中级及以上工程师资质证书的，每名得1分，最高得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分。（0-</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w:t>
            </w:r>
          </w:p>
          <w:p>
            <w:pPr>
              <w:widowControl/>
              <w:jc w:val="left"/>
              <w:rPr>
                <w:rFonts w:hint="eastAsia" w:ascii="仿宋" w:hAnsi="仿宋" w:eastAsia="仿宋" w:cs="仿宋"/>
                <w:b w:val="0"/>
                <w:bCs/>
                <w:color w:val="auto"/>
                <w:kern w:val="0"/>
                <w:sz w:val="24"/>
                <w:szCs w:val="24"/>
                <w:highlight w:val="none"/>
              </w:rPr>
            </w:pPr>
            <w:r>
              <w:rPr>
                <w:rFonts w:hint="eastAsia" w:ascii="仿宋" w:hAnsi="仿宋" w:eastAsia="仿宋" w:cs="仿宋"/>
                <w:color w:val="auto"/>
                <w:kern w:val="0"/>
                <w:sz w:val="24"/>
                <w:szCs w:val="24"/>
                <w:highlight w:val="none"/>
              </w:rPr>
              <w:t>注：证明材料须提供所有人员证书及</w:t>
            </w:r>
            <w:r>
              <w:rPr>
                <w:rFonts w:hint="eastAsia" w:ascii="仿宋" w:hAnsi="仿宋" w:eastAsia="仿宋" w:cs="仿宋"/>
                <w:color w:val="auto"/>
                <w:kern w:val="0"/>
                <w:sz w:val="24"/>
                <w:szCs w:val="24"/>
                <w:highlight w:val="none"/>
                <w:lang w:val="en-US" w:eastAsia="zh-CN"/>
              </w:rPr>
              <w:t>2022年1月-3月</w:t>
            </w:r>
            <w:r>
              <w:rPr>
                <w:rFonts w:hint="eastAsia" w:ascii="仿宋" w:hAnsi="仿宋" w:eastAsia="仿宋" w:cs="仿宋"/>
                <w:color w:val="auto"/>
                <w:kern w:val="0"/>
                <w:sz w:val="24"/>
                <w:szCs w:val="24"/>
                <w:highlight w:val="none"/>
              </w:rPr>
              <w:t>社保证明复印件。</w:t>
            </w:r>
          </w:p>
        </w:tc>
        <w:tc>
          <w:tcPr>
            <w:tcW w:w="73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0-1</w:t>
            </w:r>
            <w:r>
              <w:rPr>
                <w:rFonts w:hint="eastAsia" w:ascii="仿宋" w:hAnsi="仿宋" w:eastAsia="仿宋" w:cs="仿宋"/>
                <w:b w:val="0"/>
                <w:bCs/>
                <w:color w:val="auto"/>
                <w:kern w:val="0"/>
                <w:sz w:val="24"/>
                <w:szCs w:val="24"/>
                <w:highlight w:val="none"/>
                <w:lang w:val="en-US" w:eastAsia="zh-CN"/>
              </w:rPr>
              <w:t>1</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5</w:t>
            </w:r>
          </w:p>
        </w:tc>
        <w:tc>
          <w:tcPr>
            <w:tcW w:w="1500" w:type="dxa"/>
            <w:shd w:val="clear" w:color="auto" w:fill="FFFFFF"/>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对本项目的合理化建议及优惠措施</w:t>
            </w:r>
          </w:p>
        </w:tc>
        <w:tc>
          <w:tcPr>
            <w:tcW w:w="4725" w:type="dxa"/>
            <w:vAlign w:val="center"/>
          </w:tcPr>
          <w:p>
            <w:pP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针对本项目建设，投标人提供符合</w:t>
            </w:r>
            <w:r>
              <w:rPr>
                <w:rFonts w:hint="eastAsia" w:ascii="仿宋" w:hAnsi="仿宋" w:eastAsia="仿宋" w:cs="仿宋"/>
                <w:b w:val="0"/>
                <w:bCs/>
                <w:color w:val="auto"/>
                <w:kern w:val="0"/>
                <w:sz w:val="24"/>
                <w:szCs w:val="24"/>
                <w:highlight w:val="none"/>
                <w:lang w:eastAsia="zh-CN"/>
              </w:rPr>
              <w:t>新街</w:t>
            </w:r>
            <w:r>
              <w:rPr>
                <w:rFonts w:hint="eastAsia" w:ascii="仿宋" w:hAnsi="仿宋" w:eastAsia="仿宋" w:cs="仿宋"/>
                <w:b w:val="0"/>
                <w:bCs/>
                <w:color w:val="auto"/>
                <w:kern w:val="0"/>
                <w:sz w:val="24"/>
                <w:szCs w:val="24"/>
                <w:highlight w:val="none"/>
              </w:rPr>
              <w:t>街道实战业务需求的合理化建议，由评委进行综合评定（0-2分）；针对优惠措施进行综合评定（0-</w:t>
            </w:r>
            <w:r>
              <w:rPr>
                <w:rFonts w:hint="eastAsia" w:ascii="仿宋" w:hAnsi="仿宋" w:eastAsia="仿宋" w:cs="仿宋"/>
                <w:b w:val="0"/>
                <w:bCs/>
                <w:color w:val="auto"/>
                <w:kern w:val="0"/>
                <w:sz w:val="24"/>
                <w:szCs w:val="24"/>
                <w:highlight w:val="none"/>
                <w:lang w:val="en-US" w:eastAsia="zh-CN"/>
              </w:rPr>
              <w:t>1</w:t>
            </w:r>
            <w:r>
              <w:rPr>
                <w:rFonts w:hint="eastAsia" w:ascii="仿宋" w:hAnsi="仿宋" w:eastAsia="仿宋" w:cs="仿宋"/>
                <w:b w:val="0"/>
                <w:bCs/>
                <w:color w:val="auto"/>
                <w:kern w:val="0"/>
                <w:sz w:val="24"/>
                <w:szCs w:val="24"/>
                <w:highlight w:val="none"/>
              </w:rPr>
              <w:t>分）。</w:t>
            </w:r>
          </w:p>
        </w:tc>
        <w:tc>
          <w:tcPr>
            <w:tcW w:w="73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3</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6</w:t>
            </w:r>
          </w:p>
        </w:tc>
        <w:tc>
          <w:tcPr>
            <w:tcW w:w="1500" w:type="dxa"/>
            <w:shd w:val="clear" w:color="auto" w:fill="FFFFFF"/>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服务质量保证情况</w:t>
            </w:r>
          </w:p>
        </w:tc>
        <w:tc>
          <w:tcPr>
            <w:tcW w:w="4725" w:type="dxa"/>
            <w:vAlign w:val="center"/>
          </w:tcPr>
          <w:p>
            <w:pP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根据投标人服务质量保证情况，提供服务承诺函（质保期限、可实现程度等情况综合评定）。</w:t>
            </w:r>
          </w:p>
        </w:tc>
        <w:tc>
          <w:tcPr>
            <w:tcW w:w="73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3</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vMerge w:val="restart"/>
            <w:shd w:val="clear" w:color="auto" w:fill="auto"/>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7</w:t>
            </w:r>
          </w:p>
        </w:tc>
        <w:tc>
          <w:tcPr>
            <w:tcW w:w="1500" w:type="dxa"/>
            <w:vMerge w:val="restart"/>
            <w:shd w:val="clear" w:color="auto" w:fill="FFFFFF"/>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服务承诺（根据服务能力、运维服务方案、措施、响应等情况综合评定）</w:t>
            </w:r>
          </w:p>
        </w:tc>
        <w:tc>
          <w:tcPr>
            <w:tcW w:w="4725" w:type="dxa"/>
            <w:vAlign w:val="center"/>
          </w:tcPr>
          <w:p>
            <w:pPr>
              <w:rPr>
                <w:rFonts w:hint="eastAsia" w:ascii="仿宋" w:hAnsi="仿宋" w:eastAsia="仿宋" w:cs="仿宋"/>
                <w:b w:val="0"/>
                <w:bCs/>
                <w:color w:val="auto"/>
                <w:kern w:val="0"/>
                <w:sz w:val="24"/>
                <w:szCs w:val="24"/>
                <w:highlight w:val="none"/>
              </w:rPr>
            </w:pPr>
            <w:r>
              <w:rPr>
                <w:rFonts w:hint="eastAsia" w:ascii="仿宋" w:hAnsi="仿宋" w:eastAsia="仿宋" w:cs="仿宋"/>
                <w:color w:val="auto"/>
                <w:kern w:val="0"/>
                <w:sz w:val="24"/>
                <w:szCs w:val="24"/>
                <w:highlight w:val="none"/>
              </w:rPr>
              <w:t>根据响应人需针对项目制定售后维护及应急响应方案，提供本地化售后服务团队，有完善的售后服务流程及规章制度、故障分级处理流程、网络抢修方案、应急预案等方面综合评定。（0-2分）</w:t>
            </w:r>
          </w:p>
        </w:tc>
        <w:tc>
          <w:tcPr>
            <w:tcW w:w="735"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0-2</w:t>
            </w:r>
          </w:p>
        </w:tc>
        <w:tc>
          <w:tcPr>
            <w:tcW w:w="982"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vMerge w:val="continue"/>
            <w:shd w:val="clear" w:color="auto" w:fill="auto"/>
            <w:vAlign w:val="center"/>
          </w:tcPr>
          <w:p>
            <w:pPr>
              <w:widowControl/>
              <w:jc w:val="center"/>
              <w:rPr>
                <w:rFonts w:hint="eastAsia" w:ascii="仿宋" w:hAnsi="仿宋" w:eastAsia="仿宋" w:cs="仿宋"/>
                <w:b w:val="0"/>
                <w:bCs/>
                <w:color w:val="auto"/>
                <w:kern w:val="0"/>
                <w:sz w:val="24"/>
                <w:szCs w:val="24"/>
                <w:highlight w:val="none"/>
              </w:rPr>
            </w:pPr>
          </w:p>
        </w:tc>
        <w:tc>
          <w:tcPr>
            <w:tcW w:w="1500" w:type="dxa"/>
            <w:vMerge w:val="continue"/>
            <w:shd w:val="clear" w:color="auto" w:fill="FFFFFF"/>
            <w:vAlign w:val="center"/>
          </w:tcPr>
          <w:p>
            <w:pPr>
              <w:widowControl/>
              <w:jc w:val="center"/>
              <w:rPr>
                <w:rFonts w:hint="eastAsia" w:ascii="仿宋" w:hAnsi="仿宋" w:eastAsia="仿宋" w:cs="仿宋"/>
                <w:b w:val="0"/>
                <w:bCs/>
                <w:color w:val="auto"/>
                <w:kern w:val="0"/>
                <w:sz w:val="24"/>
                <w:szCs w:val="24"/>
                <w:highlight w:val="none"/>
              </w:rPr>
            </w:pPr>
          </w:p>
        </w:tc>
        <w:tc>
          <w:tcPr>
            <w:tcW w:w="4725" w:type="dxa"/>
            <w:vAlign w:val="center"/>
          </w:tcPr>
          <w:p>
            <w:pPr>
              <w:rPr>
                <w:rFonts w:hint="eastAsia" w:ascii="仿宋" w:hAnsi="仿宋" w:eastAsia="仿宋" w:cs="仿宋"/>
                <w:b w:val="0"/>
                <w:bCs/>
                <w:color w:val="auto"/>
                <w:kern w:val="0"/>
                <w:sz w:val="24"/>
                <w:szCs w:val="24"/>
                <w:highlight w:val="none"/>
              </w:rPr>
            </w:pPr>
            <w:r>
              <w:rPr>
                <w:rFonts w:hint="eastAsia" w:ascii="仿宋" w:hAnsi="仿宋" w:eastAsia="仿宋" w:cs="仿宋"/>
                <w:color w:val="auto"/>
                <w:kern w:val="0"/>
                <w:sz w:val="24"/>
                <w:szCs w:val="24"/>
                <w:highlight w:val="none"/>
              </w:rPr>
              <w:t>根据投标人在本地光纤皮长、纤芯和光交等涉及本项目裸纤实施所需相关资源的现状描述，综合评定</w:t>
            </w: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4</w:t>
            </w:r>
            <w:r>
              <w:rPr>
                <w:rFonts w:hint="eastAsia" w:ascii="仿宋" w:hAnsi="仿宋" w:eastAsia="仿宋" w:cs="仿宋"/>
                <w:b w:val="0"/>
                <w:bCs/>
                <w:color w:val="auto"/>
                <w:kern w:val="0"/>
                <w:sz w:val="24"/>
                <w:szCs w:val="24"/>
                <w:highlight w:val="none"/>
              </w:rPr>
              <w:t>分）</w:t>
            </w:r>
            <w:r>
              <w:rPr>
                <w:rFonts w:hint="eastAsia" w:ascii="仿宋" w:hAnsi="仿宋" w:eastAsia="仿宋" w:cs="仿宋"/>
                <w:color w:val="auto"/>
                <w:kern w:val="0"/>
                <w:sz w:val="24"/>
                <w:szCs w:val="24"/>
                <w:highlight w:val="none"/>
              </w:rPr>
              <w:t>。（投标人提供本项目裸纤实施所需相关资源的相关证明。）</w:t>
            </w:r>
          </w:p>
        </w:tc>
        <w:tc>
          <w:tcPr>
            <w:tcW w:w="73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4</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673" w:type="dxa"/>
            <w:vMerge w:val="continue"/>
            <w:shd w:val="clear" w:color="auto" w:fill="auto"/>
            <w:vAlign w:val="center"/>
          </w:tcPr>
          <w:p>
            <w:pPr>
              <w:widowControl/>
              <w:jc w:val="left"/>
              <w:rPr>
                <w:rFonts w:hint="eastAsia" w:ascii="仿宋" w:hAnsi="仿宋" w:eastAsia="仿宋" w:cs="仿宋"/>
                <w:b w:val="0"/>
                <w:bCs/>
                <w:color w:val="auto"/>
                <w:kern w:val="0"/>
                <w:sz w:val="24"/>
                <w:szCs w:val="24"/>
                <w:highlight w:val="none"/>
              </w:rPr>
            </w:pPr>
          </w:p>
        </w:tc>
        <w:tc>
          <w:tcPr>
            <w:tcW w:w="555" w:type="dxa"/>
            <w:vMerge w:val="continue"/>
            <w:shd w:val="clear" w:color="auto" w:fill="auto"/>
            <w:vAlign w:val="center"/>
          </w:tcPr>
          <w:p>
            <w:pPr>
              <w:widowControl/>
              <w:jc w:val="center"/>
              <w:rPr>
                <w:rFonts w:hint="eastAsia" w:ascii="仿宋" w:hAnsi="仿宋" w:eastAsia="仿宋" w:cs="仿宋"/>
                <w:b w:val="0"/>
                <w:bCs/>
                <w:color w:val="auto"/>
                <w:kern w:val="0"/>
                <w:sz w:val="24"/>
                <w:szCs w:val="24"/>
                <w:highlight w:val="none"/>
              </w:rPr>
            </w:pPr>
          </w:p>
        </w:tc>
        <w:tc>
          <w:tcPr>
            <w:tcW w:w="1500" w:type="dxa"/>
            <w:vMerge w:val="continue"/>
            <w:shd w:val="clear" w:color="auto" w:fill="FFFFFF"/>
            <w:vAlign w:val="center"/>
          </w:tcPr>
          <w:p>
            <w:pPr>
              <w:widowControl/>
              <w:jc w:val="center"/>
              <w:rPr>
                <w:rFonts w:hint="eastAsia" w:ascii="仿宋" w:hAnsi="仿宋" w:eastAsia="仿宋" w:cs="仿宋"/>
                <w:b w:val="0"/>
                <w:bCs/>
                <w:color w:val="auto"/>
                <w:kern w:val="0"/>
                <w:sz w:val="24"/>
                <w:szCs w:val="24"/>
                <w:highlight w:val="none"/>
              </w:rPr>
            </w:pPr>
          </w:p>
        </w:tc>
        <w:tc>
          <w:tcPr>
            <w:tcW w:w="4725" w:type="dxa"/>
            <w:vAlign w:val="center"/>
          </w:tcPr>
          <w:p>
            <w:pPr>
              <w:rPr>
                <w:rFonts w:hint="eastAsia" w:ascii="仿宋" w:hAnsi="仿宋" w:eastAsia="仿宋" w:cs="仿宋"/>
                <w:b w:val="0"/>
                <w:bCs/>
                <w:color w:val="auto"/>
                <w:kern w:val="0"/>
                <w:sz w:val="24"/>
                <w:szCs w:val="24"/>
                <w:highlight w:val="none"/>
              </w:rPr>
            </w:pPr>
            <w:r>
              <w:rPr>
                <w:rFonts w:hint="eastAsia" w:ascii="仿宋" w:hAnsi="仿宋" w:eastAsia="仿宋" w:cs="仿宋"/>
                <w:color w:val="auto"/>
                <w:kern w:val="0"/>
                <w:sz w:val="24"/>
                <w:szCs w:val="24"/>
                <w:highlight w:val="none"/>
              </w:rPr>
              <w:t>根据投标人具有独立的公安专用监控容灾备份机房配置综合评定。实用面积要求不小于50平方，有专用门禁设置，根据投标人所提供的机房配置</w:t>
            </w:r>
            <w:r>
              <w:rPr>
                <w:rFonts w:hint="eastAsia" w:ascii="仿宋" w:hAnsi="仿宋" w:eastAsia="仿宋" w:cs="仿宋"/>
                <w:b w:val="0"/>
                <w:bCs/>
                <w:color w:val="auto"/>
                <w:kern w:val="0"/>
                <w:sz w:val="24"/>
                <w:szCs w:val="24"/>
                <w:highlight w:val="none"/>
              </w:rPr>
              <w:t>综合评定</w:t>
            </w:r>
            <w:r>
              <w:rPr>
                <w:rFonts w:hint="eastAsia" w:ascii="仿宋" w:hAnsi="仿宋" w:eastAsia="仿宋" w:cs="仿宋"/>
                <w:color w:val="auto"/>
                <w:kern w:val="0"/>
                <w:sz w:val="24"/>
                <w:szCs w:val="24"/>
                <w:highlight w:val="none"/>
              </w:rPr>
              <w:t>。（0-3分）</w:t>
            </w:r>
          </w:p>
        </w:tc>
        <w:tc>
          <w:tcPr>
            <w:tcW w:w="73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0-</w:t>
            </w:r>
            <w:r>
              <w:rPr>
                <w:rFonts w:hint="eastAsia" w:ascii="仿宋" w:hAnsi="仿宋" w:eastAsia="仿宋" w:cs="仿宋"/>
                <w:b w:val="0"/>
                <w:bCs/>
                <w:color w:val="auto"/>
                <w:kern w:val="0"/>
                <w:sz w:val="24"/>
                <w:szCs w:val="24"/>
                <w:highlight w:val="none"/>
                <w:lang w:val="en-US" w:eastAsia="zh-CN"/>
              </w:rPr>
              <w:t>3</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73" w:type="dxa"/>
            <w:vMerge w:val="continue"/>
            <w:vAlign w:val="center"/>
          </w:tcPr>
          <w:p>
            <w:pPr>
              <w:widowControl/>
              <w:jc w:val="left"/>
              <w:rPr>
                <w:rFonts w:hint="eastAsia" w:ascii="仿宋" w:hAnsi="仿宋" w:eastAsia="仿宋" w:cs="仿宋"/>
                <w:b w:val="0"/>
                <w:bCs/>
                <w:color w:val="auto"/>
                <w:kern w:val="0"/>
                <w:sz w:val="24"/>
                <w:szCs w:val="24"/>
                <w:highlight w:val="none"/>
              </w:rPr>
            </w:pPr>
          </w:p>
        </w:tc>
        <w:tc>
          <w:tcPr>
            <w:tcW w:w="555" w:type="dxa"/>
            <w:vAlign w:val="center"/>
          </w:tcPr>
          <w:p>
            <w:pPr>
              <w:widowControl/>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lang w:val="en-US" w:eastAsia="zh-CN"/>
              </w:rPr>
              <w:t>8</w:t>
            </w:r>
          </w:p>
        </w:tc>
        <w:tc>
          <w:tcPr>
            <w:tcW w:w="1500"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现场阐述</w:t>
            </w:r>
          </w:p>
        </w:tc>
        <w:tc>
          <w:tcPr>
            <w:tcW w:w="4725" w:type="dxa"/>
            <w:vAlign w:val="center"/>
          </w:tcPr>
          <w:p>
            <w:pP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针对</w:t>
            </w:r>
            <w:r>
              <w:rPr>
                <w:rFonts w:hint="eastAsia" w:ascii="仿宋" w:hAnsi="仿宋" w:eastAsia="仿宋" w:cs="仿宋"/>
                <w:b w:val="0"/>
                <w:bCs/>
                <w:color w:val="auto"/>
                <w:kern w:val="0"/>
                <w:sz w:val="24"/>
                <w:szCs w:val="24"/>
                <w:highlight w:val="none"/>
                <w:lang w:eastAsia="zh-CN"/>
              </w:rPr>
              <w:t>新街</w:t>
            </w:r>
            <w:r>
              <w:rPr>
                <w:rFonts w:hint="eastAsia" w:ascii="仿宋" w:hAnsi="仿宋" w:eastAsia="仿宋" w:cs="仿宋"/>
                <w:b w:val="0"/>
                <w:bCs/>
                <w:color w:val="auto"/>
                <w:kern w:val="0"/>
                <w:sz w:val="24"/>
                <w:szCs w:val="24"/>
                <w:highlight w:val="none"/>
              </w:rPr>
              <w:t>街道感知体系建设现状、安防需求、网络架构、安全防护设计、平台接入等方面的合理性阐述。（0-10分）（时间10分钟）</w:t>
            </w:r>
          </w:p>
        </w:tc>
        <w:tc>
          <w:tcPr>
            <w:tcW w:w="735"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0-10</w:t>
            </w:r>
          </w:p>
        </w:tc>
        <w:tc>
          <w:tcPr>
            <w:tcW w:w="982" w:type="dxa"/>
            <w:vAlign w:val="center"/>
          </w:tcPr>
          <w:p>
            <w:pPr>
              <w:widowControl/>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主观分</w:t>
            </w:r>
          </w:p>
        </w:tc>
      </w:tr>
    </w:tbl>
    <w:p>
      <w:pPr>
        <w:widowControl/>
        <w:spacing w:line="360" w:lineRule="auto"/>
        <w:ind w:left="3" w:leftChars="-400" w:hanging="843" w:hangingChars="350"/>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4"/>
          <w:highlight w:val="none"/>
          <w:lang w:val="en-US" w:eastAsia="zh-CN"/>
        </w:rPr>
        <w:t>1、评分条款中涉及的业绩、荣誉、人员、社保等分公司均有效。</w:t>
      </w:r>
    </w:p>
    <w:p>
      <w:pPr>
        <w:widowControl/>
        <w:spacing w:line="360" w:lineRule="auto"/>
        <w:ind w:left="-840" w:leftChars="-400"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adjustRightInd/>
        <w:jc w:val="left"/>
        <w:rPr>
          <w:rFonts w:hint="eastAsia" w:ascii="仿宋" w:hAnsi="仿宋" w:eastAsia="仿宋" w:cs="仿宋"/>
          <w:color w:val="auto"/>
          <w:sz w:val="24"/>
        </w:rPr>
      </w:pPr>
    </w:p>
    <w:p>
      <w:pPr>
        <w:widowControl/>
        <w:spacing w:line="360" w:lineRule="auto"/>
        <w:ind w:firstLine="400" w:firstLineChars="200"/>
        <w:rPr>
          <w:rFonts w:hint="eastAsia" w:ascii="仿宋" w:hAnsi="仿宋" w:eastAsia="仿宋" w:cs="仿宋"/>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color w:val="auto"/>
          <w:sz w:val="24"/>
        </w:rPr>
        <w:t>价格分（</w:t>
      </w:r>
      <w:r>
        <w:rPr>
          <w:rFonts w:hint="eastAsia" w:ascii="仿宋" w:hAnsi="仿宋" w:eastAsia="仿宋" w:cs="仿宋"/>
          <w:color w:val="auto"/>
          <w:sz w:val="24"/>
          <w:lang w:val="en-US" w:eastAsia="zh-CN"/>
        </w:rPr>
        <w:t>20</w:t>
      </w:r>
      <w:r>
        <w:rPr>
          <w:rFonts w:hint="eastAsia" w:ascii="仿宋" w:hAnsi="仿宋" w:eastAsia="仿宋" w:cs="仿宋"/>
          <w:color w:val="auto"/>
          <w:sz w:val="24"/>
        </w:rPr>
        <w:t>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价格权值=</w:t>
            </w:r>
            <w:r>
              <w:rPr>
                <w:rFonts w:hint="eastAsia" w:ascii="仿宋" w:hAnsi="仿宋" w:eastAsia="仿宋" w:cs="仿宋"/>
                <w:color w:val="auto"/>
                <w:sz w:val="24"/>
                <w:lang w:val="en-US" w:eastAsia="zh-CN"/>
              </w:rPr>
              <w:t>0.2</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最低有效投标价格为评标基准价</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投标报价得分=(评标基准价／投标报价)×价格权值×100 （计算得分保留小数点后2位）</w:t>
            </w:r>
          </w:p>
        </w:tc>
      </w:tr>
    </w:tbl>
    <w:p>
      <w:pPr>
        <w:pStyle w:val="4"/>
        <w:rPr>
          <w:rFonts w:hint="eastAsia" w:ascii="仿宋" w:hAnsi="仿宋" w:eastAsia="仿宋" w:cs="仿宋"/>
          <w:color w:val="auto"/>
        </w:rPr>
      </w:pP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28"/>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28"/>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有下列情形之一的，投标无效：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4.2.12投标人仅提交备份投标文件，未在电子交易平台传输递交投标文件的，投标无效；</w:t>
      </w:r>
    </w:p>
    <w:p>
      <w:pPr>
        <w:pStyle w:val="4"/>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废标后，采购机构应当将废标理由通知所有投标人。</w:t>
      </w:r>
    </w:p>
    <w:p>
      <w:pPr>
        <w:pStyle w:val="25"/>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5"/>
        <w:snapToGrid w:val="0"/>
        <w:spacing w:line="360" w:lineRule="auto"/>
        <w:rPr>
          <w:rFonts w:hint="eastAsia" w:ascii="仿宋" w:hAnsi="仿宋" w:eastAsia="仿宋" w:cs="仿宋"/>
          <w:b/>
          <w:color w:val="auto"/>
          <w:sz w:val="36"/>
          <w:szCs w:val="36"/>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bookmarkEnd w:id="16"/>
      <w:bookmarkStart w:id="382" w:name="第五部分"/>
      <w:bookmarkStart w:id="383" w:name="_Toc86217003"/>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pStyle w:val="25"/>
        <w:snapToGrid w:val="0"/>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服务类合同建议可按照参考格式按照实际情况调整修改。</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（货物类）</w:t>
      </w:r>
    </w:p>
    <w:p>
      <w:pPr>
        <w:pStyle w:val="699"/>
        <w:rPr>
          <w:rFonts w:hint="eastAsia" w:ascii="仿宋" w:hAnsi="仿宋" w:eastAsia="仿宋" w:cs="仿宋"/>
          <w:color w:val="auto"/>
          <w:szCs w:val="24"/>
        </w:rPr>
      </w:pPr>
    </w:p>
    <w:p>
      <w:pPr>
        <w:pStyle w:val="699"/>
        <w:rPr>
          <w:rFonts w:hint="eastAsia" w:ascii="仿宋" w:hAnsi="仿宋" w:eastAsia="仿宋" w:cs="仿宋"/>
          <w:color w:val="auto"/>
          <w:szCs w:val="24"/>
        </w:rPr>
      </w:pPr>
    </w:p>
    <w:p>
      <w:pPr>
        <w:pStyle w:val="699"/>
        <w:jc w:val="center"/>
        <w:rPr>
          <w:rFonts w:hint="eastAsia" w:ascii="仿宋" w:hAnsi="仿宋" w:eastAsia="仿宋" w:cs="仿宋"/>
          <w:color w:val="auto"/>
          <w:szCs w:val="24"/>
        </w:rPr>
      </w:pPr>
    </w:p>
    <w:p>
      <w:pPr>
        <w:pStyle w:val="699"/>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pStyle w:val="699"/>
        <w:rPr>
          <w:rFonts w:hint="eastAsia" w:ascii="仿宋" w:hAnsi="仿宋" w:eastAsia="仿宋" w:cs="仿宋"/>
          <w:color w:val="auto"/>
          <w:szCs w:val="24"/>
        </w:rPr>
      </w:pPr>
    </w:p>
    <w:p>
      <w:pPr>
        <w:pStyle w:val="699"/>
        <w:rPr>
          <w:rFonts w:hint="eastAsia" w:ascii="仿宋" w:hAnsi="仿宋" w:eastAsia="仿宋" w:cs="仿宋"/>
          <w:color w:val="auto"/>
          <w:szCs w:val="24"/>
        </w:rPr>
      </w:pP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6"/>
        <w:spacing w:before="120" w:line="22" w:lineRule="atLeast"/>
        <w:rPr>
          <w:rFonts w:hint="eastAsia" w:ascii="仿宋" w:hAnsi="仿宋" w:eastAsia="仿宋" w:cs="仿宋"/>
          <w:color w:val="auto"/>
          <w:szCs w:val="24"/>
        </w:rPr>
      </w:pPr>
    </w:p>
    <w:p>
      <w:pPr>
        <w:pStyle w:val="596"/>
        <w:spacing w:before="120" w:line="22" w:lineRule="atLeast"/>
        <w:rPr>
          <w:rFonts w:hint="eastAsia" w:ascii="仿宋" w:hAnsi="仿宋" w:eastAsia="仿宋" w:cs="仿宋"/>
          <w:color w:val="auto"/>
          <w:szCs w:val="24"/>
        </w:rPr>
      </w:pPr>
    </w:p>
    <w:p>
      <w:pPr>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headerReference r:id="rId3" w:type="default"/>
          <w:footerReference r:id="rId4" w:type="default"/>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hint="eastAsia" w:ascii="仿宋" w:hAnsi="仿宋" w:eastAsia="仿宋" w:cs="仿宋"/>
          <w:b/>
          <w:color w:val="auto"/>
          <w:sz w:val="24"/>
        </w:rPr>
      </w:pPr>
      <w:bookmarkStart w:id="384" w:name="_Toc24059"/>
      <w:bookmarkStart w:id="385" w:name="_Toc3029"/>
      <w:bookmarkStart w:id="386" w:name="_Toc2232"/>
      <w:r>
        <w:rPr>
          <w:rFonts w:hint="eastAsia" w:ascii="仿宋" w:hAnsi="仿宋" w:eastAsia="仿宋" w:cs="仿宋"/>
          <w:b/>
          <w:color w:val="auto"/>
          <w:sz w:val="24"/>
        </w:rPr>
        <w:t>1.1 合同组成部分</w:t>
      </w:r>
      <w:bookmarkEnd w:id="384"/>
      <w:bookmarkEnd w:id="385"/>
      <w:bookmarkEnd w:id="38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hint="eastAsia" w:ascii="仿宋" w:hAnsi="仿宋" w:eastAsia="仿宋" w:cs="仿宋"/>
          <w:b/>
          <w:color w:val="auto"/>
          <w:sz w:val="24"/>
        </w:rPr>
      </w:pPr>
      <w:bookmarkStart w:id="387" w:name="_Toc24300"/>
      <w:bookmarkStart w:id="388" w:name="_Toc21295"/>
      <w:bookmarkStart w:id="389" w:name="_Toc27126"/>
      <w:r>
        <w:rPr>
          <w:rFonts w:hint="eastAsia" w:ascii="仿宋" w:hAnsi="仿宋" w:eastAsia="仿宋" w:cs="仿宋"/>
          <w:b/>
          <w:color w:val="auto"/>
          <w:sz w:val="24"/>
        </w:rPr>
        <w:t>1.2 货物</w:t>
      </w:r>
      <w:bookmarkEnd w:id="387"/>
      <w:bookmarkEnd w:id="388"/>
      <w:bookmarkEnd w:id="389"/>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货物名称：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390" w:name="_Toc21631"/>
      <w:bookmarkStart w:id="391" w:name="_Toc23292"/>
      <w:bookmarkStart w:id="392" w:name="_Toc21551"/>
      <w:r>
        <w:rPr>
          <w:rFonts w:hint="eastAsia" w:ascii="仿宋" w:hAnsi="仿宋" w:eastAsia="仿宋" w:cs="仿宋"/>
          <w:b/>
          <w:color w:val="auto"/>
          <w:sz w:val="24"/>
        </w:rPr>
        <w:t>1.3 价款</w:t>
      </w:r>
      <w:bookmarkEnd w:id="390"/>
      <w:bookmarkEnd w:id="391"/>
      <w:bookmarkEnd w:id="39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bl>
    <w:p>
      <w:pPr>
        <w:spacing w:line="560" w:lineRule="exact"/>
        <w:ind w:firstLine="482" w:firstLineChars="200"/>
        <w:outlineLvl w:val="0"/>
        <w:rPr>
          <w:rFonts w:hint="eastAsia" w:ascii="仿宋" w:hAnsi="仿宋" w:eastAsia="仿宋" w:cs="仿宋"/>
          <w:b/>
          <w:color w:val="auto"/>
          <w:sz w:val="24"/>
        </w:rPr>
      </w:pPr>
      <w:bookmarkStart w:id="393" w:name="_Toc1814"/>
      <w:bookmarkStart w:id="394" w:name="_Toc10340"/>
      <w:bookmarkStart w:id="395" w:name="_Toc22618"/>
      <w:r>
        <w:rPr>
          <w:rFonts w:hint="eastAsia" w:ascii="仿宋" w:hAnsi="仿宋" w:eastAsia="仿宋" w:cs="仿宋"/>
          <w:b/>
          <w:color w:val="auto"/>
          <w:sz w:val="24"/>
        </w:rPr>
        <w:t>1.4 付款</w:t>
      </w:r>
      <w:bookmarkEnd w:id="393"/>
      <w:bookmarkEnd w:id="394"/>
      <w:bookmarkEnd w:id="395"/>
      <w:r>
        <w:rPr>
          <w:rFonts w:hint="eastAsia" w:ascii="仿宋" w:hAnsi="仿宋" w:eastAsia="仿宋" w:cs="仿宋"/>
          <w:b/>
          <w:color w:val="auto"/>
          <w:sz w:val="24"/>
        </w:rPr>
        <w:t>方式、时间和条件</w:t>
      </w:r>
    </w:p>
    <w:p>
      <w:pPr>
        <w:pStyle w:val="957"/>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color w:val="auto"/>
          <w:sz w:val="24"/>
        </w:rPr>
      </w:pPr>
      <w:bookmarkStart w:id="396" w:name="_Toc19304"/>
      <w:bookmarkStart w:id="397" w:name="_Toc2846"/>
      <w:bookmarkStart w:id="398" w:name="_Toc32071"/>
      <w:r>
        <w:rPr>
          <w:rFonts w:hint="eastAsia" w:ascii="仿宋" w:hAnsi="仿宋" w:eastAsia="仿宋" w:cs="仿宋"/>
          <w:b/>
          <w:color w:val="auto"/>
          <w:sz w:val="24"/>
        </w:rPr>
        <w:t>1.5 货物交付期限、地点和方式</w:t>
      </w:r>
      <w:bookmarkEnd w:id="396"/>
      <w:bookmarkEnd w:id="397"/>
      <w:bookmarkEnd w:id="398"/>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1.5.1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399" w:name="_Toc19554"/>
      <w:bookmarkStart w:id="400" w:name="_Toc21423"/>
      <w:bookmarkStart w:id="401" w:name="_Toc27250"/>
      <w:r>
        <w:rPr>
          <w:rFonts w:hint="eastAsia" w:ascii="仿宋" w:hAnsi="仿宋" w:eastAsia="仿宋" w:cs="仿宋"/>
          <w:b/>
          <w:color w:val="auto"/>
          <w:sz w:val="24"/>
        </w:rPr>
        <w:t>1.6 违约责任</w:t>
      </w:r>
      <w:bookmarkEnd w:id="399"/>
      <w:bookmarkEnd w:id="400"/>
      <w:bookmarkEnd w:id="40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color w:val="auto"/>
        </w:rPr>
      </w:pPr>
      <w:r>
        <w:rPr>
          <w:rFonts w:hint="eastAsia" w:ascii="仿宋" w:hAnsi="仿宋" w:eastAsia="仿宋" w:cs="仿宋"/>
          <w:color w:val="auto"/>
          <w:sz w:val="24"/>
        </w:rPr>
        <w:t>1.6.7违约责任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560" w:lineRule="exact"/>
        <w:ind w:firstLine="482" w:firstLineChars="200"/>
        <w:outlineLvl w:val="0"/>
        <w:rPr>
          <w:rFonts w:hint="eastAsia" w:ascii="仿宋" w:hAnsi="仿宋" w:eastAsia="仿宋" w:cs="仿宋"/>
          <w:b/>
          <w:color w:val="auto"/>
          <w:sz w:val="24"/>
        </w:rPr>
      </w:pPr>
      <w:bookmarkStart w:id="402" w:name="_Toc28375"/>
      <w:bookmarkStart w:id="403" w:name="_Toc16021"/>
      <w:bookmarkStart w:id="404" w:name="_Toc15583"/>
      <w:r>
        <w:rPr>
          <w:rFonts w:hint="eastAsia" w:ascii="仿宋" w:hAnsi="仿宋" w:eastAsia="仿宋" w:cs="仿宋"/>
          <w:b/>
          <w:color w:val="auto"/>
          <w:sz w:val="24"/>
        </w:rPr>
        <w:t>1.7 合同争议的解决</w:t>
      </w:r>
      <w:bookmarkEnd w:id="402"/>
      <w:bookmarkEnd w:id="403"/>
      <w:bookmarkEnd w:id="404"/>
    </w:p>
    <w:p>
      <w:pPr>
        <w:spacing w:line="560" w:lineRule="exact"/>
        <w:ind w:left="-61" w:leftChars="-29" w:right="-420" w:rightChars="-200"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hint="eastAsia" w:ascii="仿宋" w:hAnsi="仿宋" w:eastAsia="仿宋" w:cs="仿宋"/>
          <w:b/>
          <w:color w:val="auto"/>
          <w:sz w:val="24"/>
        </w:rPr>
      </w:pPr>
      <w:bookmarkStart w:id="405" w:name="_Toc11173"/>
      <w:bookmarkStart w:id="406" w:name="_Toc7245"/>
      <w:bookmarkStart w:id="407" w:name="_Toc15322"/>
      <w:r>
        <w:rPr>
          <w:rFonts w:hint="eastAsia" w:ascii="仿宋" w:hAnsi="仿宋" w:eastAsia="仿宋" w:cs="仿宋"/>
          <w:b/>
          <w:color w:val="auto"/>
          <w:sz w:val="24"/>
        </w:rPr>
        <w:t>1.8 合同生效</w:t>
      </w:r>
      <w:bookmarkEnd w:id="405"/>
      <w:bookmarkEnd w:id="406"/>
      <w:bookmarkEnd w:id="407"/>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hint="eastAsia" w:ascii="仿宋" w:hAnsi="仿宋" w:eastAsia="仿宋" w:cs="仿宋"/>
          <w:b/>
          <w:color w:val="auto"/>
          <w:sz w:val="24"/>
        </w:rPr>
      </w:pPr>
      <w:bookmarkStart w:id="408" w:name="_Toc331685783"/>
    </w:p>
    <w:p>
      <w:pPr>
        <w:pStyle w:val="699"/>
        <w:spacing w:line="560" w:lineRule="exact"/>
        <w:ind w:firstLine="482"/>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bookmarkEnd w:id="408"/>
    </w:p>
    <w:p>
      <w:pPr>
        <w:spacing w:line="560" w:lineRule="exact"/>
        <w:ind w:firstLine="482" w:firstLineChars="200"/>
        <w:outlineLvl w:val="0"/>
        <w:rPr>
          <w:rFonts w:hint="eastAsia" w:ascii="仿宋" w:hAnsi="仿宋" w:eastAsia="仿宋" w:cs="仿宋"/>
          <w:b/>
          <w:color w:val="auto"/>
          <w:sz w:val="24"/>
        </w:rPr>
      </w:pPr>
      <w:bookmarkStart w:id="409" w:name="_Toc16917"/>
      <w:bookmarkStart w:id="410" w:name="_Ref467379205"/>
      <w:bookmarkStart w:id="411" w:name="_Ref467378404"/>
      <w:bookmarkStart w:id="412" w:name="_Ref467379101"/>
      <w:bookmarkStart w:id="413" w:name="_Ref467378499"/>
      <w:bookmarkStart w:id="414" w:name="_Ref467378463"/>
      <w:bookmarkStart w:id="415" w:name="_Ref467379094"/>
      <w:bookmarkStart w:id="416" w:name="_Toc279701240"/>
      <w:bookmarkStart w:id="417" w:name="_Toc259093669"/>
      <w:bookmarkStart w:id="418" w:name="_Ref467379195"/>
      <w:bookmarkStart w:id="419" w:name="_Ref467379109"/>
      <w:bookmarkStart w:id="420" w:name="_Ref467379214"/>
      <w:bookmarkStart w:id="421" w:name="_Ref467379225"/>
      <w:bookmarkStart w:id="422" w:name="_Toc487900349"/>
      <w:bookmarkStart w:id="423" w:name="_Toc28763"/>
      <w:bookmarkStart w:id="424" w:name="_Toc19614"/>
      <w:r>
        <w:rPr>
          <w:rFonts w:hint="eastAsia" w:ascii="仿宋" w:hAnsi="仿宋" w:eastAsia="仿宋" w:cs="仿宋"/>
          <w:b/>
          <w:color w:val="auto"/>
          <w:sz w:val="24"/>
        </w:rPr>
        <w:t>2.1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auto"/>
          <w:sz w:val="24"/>
        </w:rPr>
      </w:pPr>
      <w:bookmarkStart w:id="425" w:name="_Ref467378840"/>
      <w:r>
        <w:rPr>
          <w:rFonts w:hint="eastAsia" w:ascii="仿宋" w:hAnsi="仿宋" w:eastAsia="仿宋" w:cs="仿宋"/>
          <w:color w:val="auto"/>
          <w:sz w:val="24"/>
        </w:rPr>
        <w:t>2.1.4 “甲方”系指与中标供应商签署合同的采购人</w:t>
      </w:r>
      <w:bookmarkEnd w:id="425"/>
      <w:r>
        <w:rPr>
          <w:rFonts w:hint="eastAsia" w:ascii="仿宋" w:hAnsi="仿宋" w:eastAsia="仿宋" w:cs="仿宋"/>
          <w:color w:val="auto"/>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rPr>
      </w:pPr>
      <w:bookmarkStart w:id="426" w:name="_Ref467379400"/>
      <w:r>
        <w:rPr>
          <w:rFonts w:hint="eastAsia" w:ascii="仿宋" w:hAnsi="仿宋" w:eastAsia="仿宋" w:cs="仿宋"/>
          <w:color w:val="auto"/>
          <w:sz w:val="24"/>
        </w:rPr>
        <w:t>2.1.5 “乙方”系指根据合同约定交付货物的中标供应商</w:t>
      </w:r>
      <w:bookmarkEnd w:id="426"/>
      <w:r>
        <w:rPr>
          <w:rFonts w:hint="eastAsia" w:ascii="仿宋" w:hAnsi="仿宋" w:eastAsia="仿宋"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rPr>
      </w:pPr>
      <w:bookmarkStart w:id="427" w:name="_Ref467379436"/>
      <w:r>
        <w:rPr>
          <w:rFonts w:hint="eastAsia" w:ascii="仿宋" w:hAnsi="仿宋" w:eastAsia="仿宋" w:cs="仿宋"/>
          <w:color w:val="auto"/>
          <w:sz w:val="24"/>
        </w:rPr>
        <w:t>2.1.6 “现场”系指合同约定货物将要运至或者安装的地点。</w:t>
      </w:r>
      <w:bookmarkEnd w:id="427"/>
    </w:p>
    <w:p>
      <w:pPr>
        <w:spacing w:line="560" w:lineRule="exact"/>
        <w:ind w:firstLine="482" w:firstLineChars="200"/>
        <w:outlineLvl w:val="0"/>
        <w:rPr>
          <w:rFonts w:hint="eastAsia" w:ascii="仿宋" w:hAnsi="仿宋" w:eastAsia="仿宋" w:cs="仿宋"/>
          <w:b/>
          <w:color w:val="auto"/>
          <w:sz w:val="24"/>
        </w:rPr>
      </w:pPr>
      <w:bookmarkStart w:id="428" w:name="_Toc27635"/>
      <w:bookmarkStart w:id="429" w:name="_Toc13336"/>
      <w:bookmarkStart w:id="430" w:name="_Toc259093670"/>
      <w:bookmarkStart w:id="431" w:name="_Toc279701241"/>
      <w:bookmarkStart w:id="432" w:name="_Toc487900350"/>
      <w:bookmarkStart w:id="433" w:name="_Toc32504"/>
      <w:r>
        <w:rPr>
          <w:rFonts w:hint="eastAsia" w:ascii="仿宋" w:hAnsi="仿宋" w:eastAsia="仿宋" w:cs="仿宋"/>
          <w:b/>
          <w:color w:val="auto"/>
          <w:sz w:val="24"/>
        </w:rPr>
        <w:t>2.2 技术规范</w:t>
      </w:r>
      <w:bookmarkEnd w:id="428"/>
      <w:bookmarkEnd w:id="429"/>
      <w:bookmarkEnd w:id="430"/>
      <w:bookmarkEnd w:id="431"/>
      <w:bookmarkEnd w:id="432"/>
      <w:bookmarkEnd w:id="43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rPr>
      </w:pPr>
      <w:bookmarkStart w:id="434" w:name="_Toc31634"/>
      <w:bookmarkStart w:id="435" w:name="_Toc27853"/>
      <w:bookmarkStart w:id="436" w:name="_Toc487900351"/>
      <w:bookmarkStart w:id="437" w:name="_Toc279701242"/>
      <w:bookmarkStart w:id="438" w:name="_Toc259093671"/>
      <w:bookmarkStart w:id="439" w:name="_Toc9829"/>
      <w:r>
        <w:rPr>
          <w:rFonts w:hint="eastAsia" w:ascii="仿宋" w:hAnsi="仿宋" w:eastAsia="仿宋" w:cs="仿宋"/>
          <w:b/>
          <w:color w:val="auto"/>
          <w:sz w:val="24"/>
        </w:rPr>
        <w:t>2.3 知识产权</w:t>
      </w:r>
      <w:bookmarkEnd w:id="434"/>
      <w:bookmarkEnd w:id="435"/>
      <w:bookmarkEnd w:id="436"/>
      <w:bookmarkEnd w:id="437"/>
      <w:bookmarkEnd w:id="438"/>
      <w:bookmarkEnd w:id="43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2.3.2具有知识产权的计算机软件等货物的知识产权归属，详见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40" w:name="_Toc29149"/>
      <w:bookmarkStart w:id="441" w:name="_Toc4194"/>
      <w:bookmarkStart w:id="442" w:name="_Toc11932"/>
      <w:r>
        <w:rPr>
          <w:rFonts w:hint="eastAsia" w:ascii="仿宋" w:hAnsi="仿宋" w:eastAsia="仿宋" w:cs="仿宋"/>
          <w:b/>
          <w:color w:val="auto"/>
          <w:sz w:val="24"/>
        </w:rPr>
        <w:t>2.4 包装和装运</w:t>
      </w:r>
      <w:bookmarkEnd w:id="440"/>
      <w:bookmarkEnd w:id="441"/>
      <w:bookmarkEnd w:id="44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2.4.1除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2.4.2 装运货物的要求和通知，详见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43" w:name="_Toc279701245"/>
      <w:bookmarkStart w:id="444" w:name="_Ref467379527"/>
      <w:bookmarkStart w:id="445" w:name="_Ref467378541"/>
      <w:bookmarkStart w:id="446" w:name="_Ref467379536"/>
      <w:bookmarkStart w:id="447" w:name="_Ref467378591"/>
      <w:bookmarkStart w:id="448" w:name="_Ref467379542"/>
      <w:bookmarkStart w:id="449" w:name="_Toc487900354"/>
      <w:bookmarkStart w:id="450" w:name="_Toc259093674"/>
      <w:bookmarkStart w:id="451" w:name="_Toc30272"/>
      <w:bookmarkStart w:id="452" w:name="_Toc26182"/>
      <w:bookmarkStart w:id="453" w:name="_Toc19074"/>
      <w:r>
        <w:rPr>
          <w:rFonts w:hint="eastAsia" w:ascii="仿宋" w:hAnsi="仿宋" w:eastAsia="仿宋" w:cs="仿宋"/>
          <w:b/>
          <w:color w:val="auto"/>
          <w:sz w:val="24"/>
        </w:rPr>
        <w:t>2.</w:t>
      </w:r>
      <w:bookmarkEnd w:id="443"/>
      <w:bookmarkEnd w:id="444"/>
      <w:bookmarkEnd w:id="445"/>
      <w:bookmarkEnd w:id="446"/>
      <w:bookmarkEnd w:id="447"/>
      <w:bookmarkEnd w:id="448"/>
      <w:bookmarkEnd w:id="449"/>
      <w:bookmarkEnd w:id="450"/>
      <w:r>
        <w:rPr>
          <w:rFonts w:hint="eastAsia" w:ascii="仿宋" w:hAnsi="仿宋" w:eastAsia="仿宋" w:cs="仿宋"/>
          <w:b/>
          <w:color w:val="auto"/>
          <w:sz w:val="24"/>
        </w:rPr>
        <w:t>5 履约检查和问题反馈</w:t>
      </w:r>
      <w:bookmarkEnd w:id="451"/>
      <w:bookmarkEnd w:id="452"/>
      <w:bookmarkEnd w:id="453"/>
    </w:p>
    <w:p>
      <w:pPr>
        <w:spacing w:line="560" w:lineRule="exact"/>
        <w:ind w:firstLine="480" w:firstLineChars="200"/>
        <w:rPr>
          <w:rFonts w:hint="eastAsia" w:ascii="仿宋" w:hAnsi="仿宋" w:eastAsia="仿宋" w:cs="仿宋"/>
          <w:color w:val="auto"/>
          <w:sz w:val="24"/>
        </w:rPr>
      </w:pPr>
      <w:bookmarkStart w:id="454" w:name="_Ref467379657"/>
      <w:r>
        <w:rPr>
          <w:rFonts w:hint="eastAsia" w:ascii="仿宋" w:hAnsi="仿宋" w:eastAsia="仿宋" w:cs="仿宋"/>
          <w:color w:val="auto"/>
          <w:sz w:val="24"/>
        </w:rPr>
        <w:t>2.5.1</w:t>
      </w:r>
      <w:bookmarkEnd w:id="454"/>
      <w:bookmarkStart w:id="455" w:name="_Toc186431854"/>
      <w:bookmarkStart w:id="456" w:name="_Toc279701247"/>
      <w:bookmarkStart w:id="457" w:name="_Ref467379807"/>
      <w:bookmarkStart w:id="458" w:name="_Toc259093676"/>
      <w:bookmarkStart w:id="459" w:name="_Toc487900357"/>
      <w:bookmarkStart w:id="460" w:name="_Ref467379793"/>
      <w:r>
        <w:rPr>
          <w:rFonts w:hint="eastAsia" w:ascii="仿宋" w:hAnsi="仿宋" w:eastAsia="仿宋" w:cs="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455"/>
      <w:bookmarkStart w:id="461" w:name="_Toc186431855"/>
      <w:r>
        <w:rPr>
          <w:rFonts w:hint="eastAsia" w:ascii="仿宋" w:hAnsi="仿宋" w:eastAsia="仿宋" w:cs="仿宋"/>
          <w:color w:val="auto"/>
          <w:sz w:val="24"/>
        </w:rPr>
        <w:t>。</w:t>
      </w:r>
    </w:p>
    <w:bookmarkEnd w:id="456"/>
    <w:bookmarkEnd w:id="457"/>
    <w:bookmarkEnd w:id="458"/>
    <w:bookmarkEnd w:id="459"/>
    <w:bookmarkEnd w:id="460"/>
    <w:bookmarkEnd w:id="461"/>
    <w:p>
      <w:pPr>
        <w:spacing w:line="560" w:lineRule="exact"/>
        <w:ind w:firstLine="482" w:firstLineChars="200"/>
        <w:outlineLvl w:val="0"/>
        <w:rPr>
          <w:rFonts w:hint="eastAsia" w:ascii="仿宋" w:hAnsi="仿宋" w:eastAsia="仿宋" w:cs="仿宋"/>
          <w:b/>
          <w:color w:val="auto"/>
          <w:sz w:val="24"/>
        </w:rPr>
      </w:pPr>
      <w:bookmarkStart w:id="462" w:name="_Toc279701248"/>
      <w:bookmarkStart w:id="463" w:name="_Ref467379923"/>
      <w:bookmarkStart w:id="464" w:name="_Ref467379852"/>
      <w:bookmarkStart w:id="465" w:name="_Ref467379863"/>
      <w:bookmarkStart w:id="466" w:name="_Toc259093677"/>
      <w:bookmarkStart w:id="467" w:name="_Toc487900358"/>
      <w:bookmarkStart w:id="468" w:name="_Toc774"/>
      <w:bookmarkStart w:id="469" w:name="_Toc16110"/>
      <w:bookmarkStart w:id="470" w:name="_Toc3225"/>
      <w:r>
        <w:rPr>
          <w:rFonts w:hint="eastAsia" w:ascii="仿宋" w:hAnsi="仿宋" w:eastAsia="仿宋" w:cs="仿宋"/>
          <w:b/>
          <w:color w:val="auto"/>
          <w:sz w:val="24"/>
        </w:rPr>
        <w:t>2.6 技术资料</w:t>
      </w:r>
      <w:bookmarkEnd w:id="462"/>
      <w:bookmarkEnd w:id="463"/>
      <w:bookmarkEnd w:id="464"/>
      <w:bookmarkEnd w:id="465"/>
      <w:bookmarkEnd w:id="466"/>
      <w:bookmarkEnd w:id="467"/>
      <w:r>
        <w:rPr>
          <w:rFonts w:hint="eastAsia" w:ascii="仿宋" w:hAnsi="仿宋" w:eastAsia="仿宋" w:cs="仿宋"/>
          <w:b/>
          <w:color w:val="auto"/>
          <w:sz w:val="24"/>
        </w:rPr>
        <w:t>和保密义务</w:t>
      </w:r>
      <w:bookmarkEnd w:id="468"/>
      <w:bookmarkEnd w:id="469"/>
      <w:bookmarkEnd w:id="47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rPr>
      </w:pPr>
      <w:bookmarkStart w:id="471" w:name="_Toc7860"/>
      <w:r>
        <w:rPr>
          <w:rFonts w:hint="eastAsia" w:ascii="仿宋" w:hAnsi="仿宋" w:eastAsia="仿宋" w:cs="仿宋"/>
          <w:b/>
          <w:color w:val="auto"/>
          <w:sz w:val="24"/>
        </w:rPr>
        <w:t>2.7 质量保证</w:t>
      </w:r>
      <w:bookmarkEnd w:id="47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rPr>
      </w:pPr>
      <w:bookmarkStart w:id="472" w:name="_Toc17244"/>
      <w:bookmarkStart w:id="473" w:name="_Toc487900362"/>
      <w:bookmarkStart w:id="474" w:name="_Toc279701252"/>
      <w:bookmarkStart w:id="475" w:name="_Toc259093681"/>
      <w:r>
        <w:rPr>
          <w:rFonts w:hint="eastAsia" w:ascii="仿宋" w:hAnsi="仿宋" w:eastAsia="仿宋" w:cs="仿宋"/>
          <w:b/>
          <w:color w:val="auto"/>
          <w:sz w:val="24"/>
        </w:rPr>
        <w:t>2.8 货物的风险负担</w:t>
      </w:r>
      <w:bookmarkEnd w:id="472"/>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货物或者在途货物或者交付给第一承运人后的货物毁损、灭失的风险负担详见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76" w:name="_Toc14055"/>
      <w:r>
        <w:rPr>
          <w:rFonts w:hint="eastAsia" w:ascii="仿宋" w:hAnsi="仿宋" w:eastAsia="仿宋" w:cs="仿宋"/>
          <w:b/>
          <w:color w:val="auto"/>
          <w:sz w:val="24"/>
        </w:rPr>
        <w:t>2.9 延迟交货</w:t>
      </w:r>
      <w:bookmarkEnd w:id="473"/>
      <w:bookmarkEnd w:id="474"/>
      <w:bookmarkEnd w:id="475"/>
      <w:bookmarkEnd w:id="47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auto"/>
          <w:sz w:val="24"/>
        </w:rPr>
      </w:pPr>
      <w:bookmarkStart w:id="477" w:name="_Toc7502"/>
      <w:bookmarkStart w:id="478" w:name="_Toc487900364"/>
      <w:bookmarkStart w:id="479" w:name="_Toc259093683"/>
      <w:bookmarkStart w:id="480" w:name="_Toc279701254"/>
      <w:bookmarkStart w:id="481" w:name="_Ref467378121"/>
      <w:r>
        <w:rPr>
          <w:rFonts w:hint="eastAsia" w:ascii="仿宋" w:hAnsi="仿宋" w:eastAsia="仿宋" w:cs="仿宋"/>
          <w:b/>
          <w:color w:val="auto"/>
          <w:sz w:val="24"/>
        </w:rPr>
        <w:t>2.10 合同变更</w:t>
      </w:r>
      <w:bookmarkEnd w:id="47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482" w:name="_Toc259093688"/>
      <w:bookmarkStart w:id="483" w:name="_Toc279701259"/>
      <w:bookmarkStart w:id="484" w:name="_Toc487900369"/>
    </w:p>
    <w:p>
      <w:pPr>
        <w:spacing w:line="560" w:lineRule="exact"/>
        <w:ind w:firstLine="482" w:firstLineChars="200"/>
        <w:outlineLvl w:val="0"/>
        <w:rPr>
          <w:rFonts w:hint="eastAsia" w:ascii="仿宋" w:hAnsi="仿宋" w:eastAsia="仿宋" w:cs="仿宋"/>
          <w:b/>
          <w:color w:val="auto"/>
          <w:sz w:val="24"/>
        </w:rPr>
      </w:pPr>
      <w:bookmarkStart w:id="485" w:name="_Toc22955"/>
      <w:bookmarkStart w:id="486" w:name="_Toc15237"/>
      <w:bookmarkStart w:id="487" w:name="_Toc10366"/>
      <w:r>
        <w:rPr>
          <w:rFonts w:hint="eastAsia" w:ascii="仿宋" w:hAnsi="仿宋" w:eastAsia="仿宋" w:cs="仿宋"/>
          <w:b/>
          <w:color w:val="auto"/>
          <w:sz w:val="24"/>
        </w:rPr>
        <w:t>2.11 合同转让</w:t>
      </w:r>
      <w:bookmarkEnd w:id="482"/>
      <w:bookmarkEnd w:id="483"/>
      <w:bookmarkEnd w:id="484"/>
      <w:r>
        <w:rPr>
          <w:rFonts w:hint="eastAsia" w:ascii="仿宋" w:hAnsi="仿宋" w:eastAsia="仿宋" w:cs="仿宋"/>
          <w:b/>
          <w:color w:val="auto"/>
          <w:sz w:val="24"/>
        </w:rPr>
        <w:t>和分包</w:t>
      </w:r>
      <w:bookmarkEnd w:id="485"/>
      <w:bookmarkEnd w:id="486"/>
      <w:bookmarkEnd w:id="48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auto"/>
          <w:sz w:val="24"/>
        </w:rPr>
      </w:pPr>
      <w:bookmarkStart w:id="488" w:name="_Toc14066"/>
      <w:bookmarkStart w:id="489" w:name="_Toc13566"/>
      <w:bookmarkStart w:id="490" w:name="_Toc16508"/>
      <w:r>
        <w:rPr>
          <w:rFonts w:hint="eastAsia" w:ascii="仿宋" w:hAnsi="仿宋" w:eastAsia="仿宋" w:cs="仿宋"/>
          <w:b/>
          <w:color w:val="auto"/>
          <w:sz w:val="24"/>
        </w:rPr>
        <w:t>2.12 不可抗力</w:t>
      </w:r>
      <w:bookmarkEnd w:id="488"/>
      <w:bookmarkEnd w:id="489"/>
      <w:bookmarkEnd w:id="49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2.12.2 因不可抗力致使不能实现合同目的的，当事人可以解除合同；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rPr>
      </w:pPr>
      <w:bookmarkStart w:id="491" w:name="_Toc30676"/>
      <w:bookmarkStart w:id="492" w:name="_Toc259093684"/>
      <w:bookmarkStart w:id="493" w:name="_Toc6969"/>
      <w:bookmarkStart w:id="494" w:name="_Toc279701255"/>
      <w:bookmarkStart w:id="495" w:name="_Toc689"/>
      <w:bookmarkStart w:id="496" w:name="_Toc487900365"/>
      <w:r>
        <w:rPr>
          <w:rFonts w:hint="eastAsia" w:ascii="仿宋" w:hAnsi="仿宋" w:eastAsia="仿宋" w:cs="仿宋"/>
          <w:b/>
          <w:color w:val="auto"/>
          <w:sz w:val="24"/>
        </w:rPr>
        <w:t>2.13 税费</w:t>
      </w:r>
      <w:bookmarkEnd w:id="491"/>
      <w:bookmarkEnd w:id="492"/>
      <w:bookmarkEnd w:id="493"/>
      <w:bookmarkEnd w:id="494"/>
      <w:bookmarkEnd w:id="495"/>
      <w:bookmarkEnd w:id="49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auto"/>
          <w:sz w:val="24"/>
        </w:rPr>
      </w:pPr>
      <w:bookmarkStart w:id="497" w:name="_Toc7102"/>
      <w:bookmarkStart w:id="498" w:name="_Toc16959"/>
      <w:bookmarkStart w:id="499" w:name="_Toc259093687"/>
      <w:bookmarkStart w:id="500" w:name="_Toc487900368"/>
      <w:bookmarkStart w:id="501" w:name="_Toc279701258"/>
      <w:bookmarkStart w:id="502" w:name="_Toc8298"/>
      <w:r>
        <w:rPr>
          <w:rFonts w:hint="eastAsia" w:ascii="仿宋" w:hAnsi="仿宋" w:eastAsia="仿宋" w:cs="仿宋"/>
          <w:b/>
          <w:color w:val="auto"/>
          <w:sz w:val="24"/>
        </w:rPr>
        <w:t>2.14乙方破产</w:t>
      </w:r>
      <w:bookmarkEnd w:id="497"/>
      <w:bookmarkEnd w:id="498"/>
      <w:bookmarkEnd w:id="499"/>
      <w:bookmarkEnd w:id="500"/>
      <w:bookmarkEnd w:id="501"/>
      <w:bookmarkEnd w:id="50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rPr>
      </w:pPr>
      <w:bookmarkStart w:id="503" w:name="_Toc29333"/>
      <w:bookmarkStart w:id="504" w:name="_Toc15387"/>
      <w:bookmarkStart w:id="505" w:name="_Toc6134"/>
      <w:r>
        <w:rPr>
          <w:rFonts w:hint="eastAsia" w:ascii="仿宋" w:hAnsi="仿宋" w:eastAsia="仿宋" w:cs="仿宋"/>
          <w:b/>
          <w:color w:val="auto"/>
          <w:sz w:val="24"/>
        </w:rPr>
        <w:t>2.15 合同中止、终止</w:t>
      </w:r>
      <w:bookmarkEnd w:id="503"/>
      <w:bookmarkEnd w:id="504"/>
      <w:bookmarkEnd w:id="50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2.15.1 双方当事人不得擅自中止或者终止合同；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506" w:name="_Toc6596"/>
      <w:bookmarkStart w:id="507" w:name="_Toc14563"/>
      <w:bookmarkStart w:id="508" w:name="_Toc1125"/>
      <w:r>
        <w:rPr>
          <w:rFonts w:hint="eastAsia" w:ascii="仿宋" w:hAnsi="仿宋" w:eastAsia="仿宋" w:cs="仿宋"/>
          <w:b/>
          <w:color w:val="auto"/>
          <w:sz w:val="24"/>
        </w:rPr>
        <w:t>2.16检验和验收</w:t>
      </w:r>
      <w:bookmarkEnd w:id="506"/>
      <w:bookmarkEnd w:id="507"/>
      <w:bookmarkEnd w:id="508"/>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bookmarkEnd w:id="478"/>
    <w:bookmarkEnd w:id="479"/>
    <w:bookmarkEnd w:id="480"/>
    <w:bookmarkEnd w:id="481"/>
    <w:p>
      <w:pPr>
        <w:spacing w:line="560" w:lineRule="exact"/>
        <w:ind w:firstLine="482" w:firstLineChars="200"/>
        <w:outlineLvl w:val="0"/>
        <w:rPr>
          <w:rFonts w:hint="eastAsia" w:ascii="仿宋" w:hAnsi="仿宋" w:eastAsia="仿宋" w:cs="仿宋"/>
          <w:b/>
          <w:color w:val="auto"/>
          <w:sz w:val="24"/>
        </w:rPr>
      </w:pPr>
      <w:bookmarkStart w:id="509" w:name="_Toc279701261"/>
      <w:bookmarkStart w:id="510" w:name="_Toc259093690"/>
      <w:bookmarkStart w:id="511" w:name="_Toc487900371"/>
      <w:bookmarkStart w:id="512" w:name="_Toc25182"/>
      <w:bookmarkStart w:id="513" w:name="_Toc11284"/>
      <w:bookmarkStart w:id="514" w:name="_Toc19604"/>
      <w:r>
        <w:rPr>
          <w:rFonts w:hint="eastAsia" w:ascii="仿宋" w:hAnsi="仿宋" w:eastAsia="仿宋" w:cs="仿宋"/>
          <w:b/>
          <w:color w:val="auto"/>
          <w:sz w:val="24"/>
        </w:rPr>
        <w:t>2.17 通知</w:t>
      </w:r>
      <w:bookmarkEnd w:id="509"/>
      <w:bookmarkEnd w:id="510"/>
      <w:bookmarkEnd w:id="511"/>
      <w:r>
        <w:rPr>
          <w:rFonts w:hint="eastAsia" w:ascii="仿宋" w:hAnsi="仿宋" w:eastAsia="仿宋" w:cs="仿宋"/>
          <w:b/>
          <w:color w:val="auto"/>
          <w:sz w:val="24"/>
        </w:rPr>
        <w:t>和送达</w:t>
      </w:r>
      <w:bookmarkEnd w:id="512"/>
      <w:bookmarkEnd w:id="513"/>
      <w:bookmarkEnd w:id="514"/>
    </w:p>
    <w:p>
      <w:pPr>
        <w:spacing w:line="560" w:lineRule="exact"/>
        <w:ind w:firstLine="480" w:firstLineChars="200"/>
        <w:rPr>
          <w:rFonts w:hint="eastAsia" w:ascii="仿宋" w:hAnsi="仿宋" w:eastAsia="仿宋" w:cs="仿宋"/>
          <w:color w:val="auto"/>
          <w:sz w:val="24"/>
        </w:rPr>
      </w:pPr>
      <w:bookmarkStart w:id="515" w:name="_Toc6698"/>
      <w:bookmarkStart w:id="516" w:name="_Toc3135"/>
      <w:bookmarkStart w:id="517" w:name="_Toc279701262"/>
      <w:bookmarkStart w:id="518" w:name="_Toc487900372"/>
      <w:bookmarkStart w:id="519" w:name="_Toc259093691"/>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15"/>
      <w:bookmarkEnd w:id="516"/>
    </w:p>
    <w:p>
      <w:pPr>
        <w:spacing w:line="560" w:lineRule="exact"/>
        <w:ind w:firstLine="480" w:firstLineChars="200"/>
        <w:rPr>
          <w:rFonts w:hint="eastAsia" w:ascii="仿宋" w:hAnsi="仿宋" w:eastAsia="仿宋" w:cs="仿宋"/>
          <w:color w:val="auto"/>
          <w:sz w:val="24"/>
        </w:rPr>
      </w:pPr>
      <w:bookmarkStart w:id="520" w:name="_Toc23294"/>
      <w:bookmarkStart w:id="521" w:name="_Toc23128"/>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0"/>
      <w:bookmarkEnd w:id="521"/>
    </w:p>
    <w:p>
      <w:pPr>
        <w:spacing w:line="560" w:lineRule="exact"/>
        <w:ind w:firstLine="482" w:firstLineChars="200"/>
        <w:outlineLvl w:val="0"/>
        <w:rPr>
          <w:rFonts w:hint="eastAsia" w:ascii="仿宋" w:hAnsi="仿宋" w:eastAsia="仿宋" w:cs="仿宋"/>
          <w:b/>
          <w:color w:val="auto"/>
          <w:sz w:val="24"/>
        </w:rPr>
      </w:pPr>
      <w:bookmarkStart w:id="522" w:name="_Toc18540"/>
      <w:bookmarkStart w:id="523" w:name="_Toc4355"/>
      <w:bookmarkStart w:id="524" w:name="_Toc30599"/>
      <w:r>
        <w:rPr>
          <w:rFonts w:hint="eastAsia" w:ascii="仿宋" w:hAnsi="仿宋" w:eastAsia="仿宋" w:cs="仿宋"/>
          <w:b/>
          <w:color w:val="auto"/>
          <w:sz w:val="24"/>
        </w:rPr>
        <w:t>2.18 计量单位</w:t>
      </w:r>
      <w:bookmarkEnd w:id="517"/>
      <w:bookmarkEnd w:id="518"/>
      <w:bookmarkEnd w:id="519"/>
      <w:bookmarkEnd w:id="522"/>
      <w:bookmarkEnd w:id="523"/>
      <w:bookmarkEnd w:id="52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auto"/>
          <w:sz w:val="24"/>
        </w:rPr>
      </w:pPr>
      <w:bookmarkStart w:id="525" w:name="_Toc279701263"/>
      <w:bookmarkStart w:id="526" w:name="_Toc10330"/>
      <w:bookmarkStart w:id="527" w:name="_Toc259093692"/>
      <w:bookmarkStart w:id="528" w:name="_Toc487900373"/>
      <w:bookmarkStart w:id="529" w:name="_Toc12773"/>
      <w:bookmarkStart w:id="530" w:name="_Toc18567"/>
      <w:r>
        <w:rPr>
          <w:rFonts w:hint="eastAsia" w:ascii="仿宋" w:hAnsi="仿宋" w:eastAsia="仿宋" w:cs="仿宋"/>
          <w:b/>
          <w:color w:val="auto"/>
          <w:sz w:val="24"/>
        </w:rPr>
        <w:t>2.19 合同使用的文字和适用的法律</w:t>
      </w:r>
      <w:bookmarkEnd w:id="525"/>
      <w:bookmarkEnd w:id="526"/>
      <w:bookmarkEnd w:id="527"/>
      <w:bookmarkEnd w:id="528"/>
      <w:bookmarkEnd w:id="529"/>
      <w:bookmarkEnd w:id="53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2.19.1 合同使用汉语书就、变更和解释；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2.19.2 合同适用中华人民共和国法律。</w:t>
      </w:r>
    </w:p>
    <w:p>
      <w:pPr>
        <w:spacing w:line="560" w:lineRule="exact"/>
        <w:ind w:firstLine="482" w:firstLineChars="200"/>
        <w:outlineLvl w:val="0"/>
        <w:rPr>
          <w:rFonts w:hint="eastAsia" w:ascii="仿宋" w:hAnsi="仿宋" w:eastAsia="仿宋" w:cs="仿宋"/>
          <w:b/>
          <w:color w:val="auto"/>
          <w:sz w:val="24"/>
        </w:rPr>
      </w:pPr>
      <w:bookmarkStart w:id="531" w:name="_Toc279701264"/>
      <w:bookmarkStart w:id="532" w:name="_Toc3148"/>
      <w:bookmarkStart w:id="533" w:name="_Toc12004"/>
      <w:bookmarkStart w:id="534" w:name="_Toc259093693"/>
      <w:bookmarkStart w:id="535" w:name="_Toc16673"/>
      <w:bookmarkStart w:id="536" w:name="_Toc487900374"/>
      <w:r>
        <w:rPr>
          <w:rFonts w:hint="eastAsia" w:ascii="仿宋" w:hAnsi="仿宋" w:eastAsia="仿宋" w:cs="仿宋"/>
          <w:b/>
          <w:color w:val="auto"/>
          <w:sz w:val="24"/>
        </w:rPr>
        <w:t>2.20 履约保证金</w:t>
      </w:r>
      <w:bookmarkEnd w:id="531"/>
      <w:bookmarkEnd w:id="532"/>
      <w:bookmarkEnd w:id="533"/>
      <w:bookmarkEnd w:id="534"/>
      <w:bookmarkEnd w:id="535"/>
    </w:p>
    <w:p>
      <w:pPr>
        <w:pStyle w:val="957"/>
        <w:spacing w:before="0" w:beforeAutospacing="0" w:after="0" w:afterAutospacing="0" w:line="360" w:lineRule="auto"/>
        <w:ind w:firstLine="420"/>
        <w:rPr>
          <w:rFonts w:hint="eastAsia" w:ascii="仿宋" w:hAnsi="仿宋" w:eastAsia="仿宋" w:cs="仿宋"/>
          <w:color w:val="auto"/>
        </w:rPr>
      </w:pPr>
      <w:r>
        <w:rPr>
          <w:rFonts w:hint="eastAsia" w:ascii="仿宋" w:hAnsi="仿宋" w:eastAsia="仿宋" w:cs="仿宋"/>
          <w:color w:val="auto"/>
        </w:rPr>
        <w:t>2.20.1 采购文件要求乙方提交履约保证金的，乙方应按</w:t>
      </w:r>
      <w:r>
        <w:rPr>
          <w:rFonts w:hint="eastAsia" w:ascii="仿宋" w:hAnsi="仿宋" w:eastAsia="仿宋" w:cs="仿宋"/>
          <w:b/>
          <w:i/>
          <w:color w:val="auto"/>
          <w:u w:val="single"/>
        </w:rPr>
        <w:t>合同专用条款</w:t>
      </w:r>
      <w:r>
        <w:rPr>
          <w:rFonts w:hint="eastAsia" w:ascii="仿宋" w:hAnsi="仿宋" w:eastAsia="仿宋" w:cs="仿宋"/>
          <w:color w:val="auto"/>
        </w:rPr>
        <w:t>约定的方式，以支票、汇票、本票或者金融机构、担保机构出具的保函等非现金形式，提交不超过合同金额</w:t>
      </w:r>
      <w:r>
        <w:rPr>
          <w:rFonts w:hint="eastAsia" w:ascii="仿宋" w:hAnsi="仿宋" w:eastAsia="仿宋" w:cs="仿宋"/>
          <w:color w:val="auto"/>
          <w:highlight w:val="yellow"/>
          <w:lang w:val="en-US" w:eastAsia="zh-CN"/>
        </w:rPr>
        <w:t>2.5</w:t>
      </w:r>
      <w:r>
        <w:rPr>
          <w:rFonts w:hint="eastAsia" w:ascii="仿宋" w:hAnsi="仿宋" w:eastAsia="仿宋" w:cs="仿宋"/>
          <w:color w:val="auto"/>
          <w:highlight w:val="yellow"/>
        </w:rPr>
        <w:t>%</w:t>
      </w:r>
      <w:r>
        <w:rPr>
          <w:rFonts w:hint="eastAsia" w:ascii="仿宋" w:hAnsi="仿宋" w:eastAsia="仿宋" w:cs="仿宋"/>
          <w:color w:val="auto"/>
        </w:rPr>
        <w:t>的履约保证金；鼓励和支持乙方以银行、保险公司出具的保函形式提供履约保证</w:t>
      </w:r>
      <w:r>
        <w:rPr>
          <w:rFonts w:hint="eastAsia" w:ascii="仿宋" w:hAnsi="仿宋" w:eastAsia="仿宋" w:cs="仿宋"/>
          <w:color w:val="auto"/>
          <w:lang w:eastAsia="zh-CN"/>
        </w:rPr>
        <w:t>，</w:t>
      </w:r>
      <w:r>
        <w:rPr>
          <w:rFonts w:hint="eastAsia" w:ascii="仿宋" w:hAnsi="仿宋" w:eastAsia="仿宋" w:cs="仿宋"/>
          <w:color w:val="auto"/>
          <w:highlight w:val="yellow"/>
          <w:lang w:eastAsia="zh-CN"/>
        </w:rPr>
        <w:t>乙方</w:t>
      </w:r>
      <w:r>
        <w:rPr>
          <w:rFonts w:hint="eastAsia" w:ascii="仿宋" w:hAnsi="仿宋" w:eastAsia="仿宋" w:cs="仿宋"/>
          <w:color w:val="auto"/>
          <w:highlight w:val="yellow"/>
        </w:rPr>
        <w:t>以银行、保险公司出具保函形式提交履约保证金的，</w:t>
      </w:r>
      <w:r>
        <w:rPr>
          <w:rFonts w:hint="eastAsia" w:ascii="仿宋" w:hAnsi="仿宋" w:eastAsia="仿宋" w:cs="仿宋"/>
          <w:color w:val="auto"/>
          <w:highlight w:val="yellow"/>
          <w:lang w:eastAsia="zh-CN"/>
        </w:rPr>
        <w:t>甲方</w:t>
      </w:r>
      <w:r>
        <w:rPr>
          <w:rFonts w:hint="eastAsia" w:ascii="仿宋" w:hAnsi="仿宋" w:eastAsia="仿宋" w:cs="仿宋"/>
          <w:color w:val="auto"/>
          <w:highlight w:val="yellow"/>
        </w:rPr>
        <w:t>不得拒收。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2.20.2  </w:t>
      </w:r>
      <w:r>
        <w:rPr>
          <w:rFonts w:hint="eastAsia" w:ascii="仿宋" w:hAnsi="仿宋" w:eastAsia="仿宋" w:cs="仿宋"/>
          <w:color w:val="auto"/>
          <w:sz w:val="24"/>
          <w:highlight w:val="yellow"/>
          <w:lang w:eastAsia="zh-CN"/>
        </w:rPr>
        <w:t>甲方在</w:t>
      </w:r>
      <w:r>
        <w:rPr>
          <w:rFonts w:hint="eastAsia" w:ascii="仿宋" w:hAnsi="仿宋" w:eastAsia="仿宋" w:cs="仿宋"/>
          <w:color w:val="auto"/>
          <w:sz w:val="24"/>
          <w:highlight w:val="yellow"/>
        </w:rPr>
        <w:t>项目验收结束后及时退还</w:t>
      </w:r>
      <w:r>
        <w:rPr>
          <w:rFonts w:hint="eastAsia" w:ascii="仿宋" w:hAnsi="仿宋" w:eastAsia="仿宋" w:cs="仿宋"/>
          <w:color w:val="auto"/>
          <w:sz w:val="24"/>
          <w:highlight w:val="yellow"/>
          <w:lang w:eastAsia="zh-CN"/>
        </w:rPr>
        <w:t>履约保证金</w:t>
      </w:r>
      <w:r>
        <w:rPr>
          <w:rFonts w:hint="eastAsia" w:ascii="仿宋" w:hAnsi="仿宋" w:eastAsia="仿宋" w:cs="仿宋"/>
          <w:color w:val="auto"/>
          <w:sz w:val="24"/>
        </w:rPr>
        <w:t>。甲方在</w:t>
      </w:r>
      <w:r>
        <w:rPr>
          <w:rFonts w:hint="eastAsia" w:ascii="仿宋" w:hAnsi="仿宋" w:eastAsia="仿宋" w:cs="仿宋"/>
          <w:color w:val="auto"/>
          <w:sz w:val="24"/>
          <w:highlight w:val="yellow"/>
        </w:rPr>
        <w:t>项目</w:t>
      </w:r>
      <w:r>
        <w:rPr>
          <w:rFonts w:hint="eastAsia" w:ascii="仿宋" w:hAnsi="仿宋" w:eastAsia="仿宋" w:cs="仿宋"/>
          <w:color w:val="auto"/>
          <w:sz w:val="24"/>
          <w:highlight w:val="yellow"/>
          <w:lang w:eastAsia="zh-CN"/>
        </w:rPr>
        <w:t>通过</w:t>
      </w:r>
      <w:r>
        <w:rPr>
          <w:rFonts w:hint="eastAsia" w:ascii="仿宋" w:hAnsi="仿宋" w:eastAsia="仿宋" w:cs="仿宋"/>
          <w:color w:val="auto"/>
          <w:sz w:val="24"/>
          <w:highlight w:val="yellow"/>
        </w:rPr>
        <w:t>验收</w:t>
      </w:r>
      <w:r>
        <w:rPr>
          <w:rFonts w:hint="eastAsia" w:ascii="仿宋" w:hAnsi="仿宋" w:eastAsia="仿宋" w:cs="仿宋"/>
          <w:color w:val="auto"/>
          <w:sz w:val="24"/>
        </w:rPr>
        <w:t>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 xml:space="preserve">%； </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w:t>
      </w:r>
      <w:r>
        <w:rPr>
          <w:rFonts w:hint="eastAsia" w:ascii="仿宋" w:hAnsi="仿宋" w:eastAsia="仿宋" w:cs="仿宋"/>
          <w:color w:val="auto"/>
          <w:sz w:val="24"/>
          <w:highlight w:val="yellow"/>
          <w:lang w:val="en-US" w:eastAsia="zh-CN"/>
        </w:rPr>
        <w:t>2.5</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rPr>
      </w:pPr>
      <w:r>
        <w:rPr>
          <w:rFonts w:hint="eastAsia" w:ascii="仿宋" w:hAnsi="仿宋" w:eastAsia="仿宋" w:cs="仿宋"/>
          <w:color w:val="auto"/>
          <w:sz w:val="24"/>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2.21对于因甲方原因导致变更、中止或者终止政府采购合同的，甲方应当依照合同约定对供应商受到的损失予以赔偿或者补偿。</w:t>
      </w:r>
    </w:p>
    <w:bookmarkEnd w:id="536"/>
    <w:p>
      <w:pPr>
        <w:spacing w:line="560" w:lineRule="exact"/>
        <w:ind w:firstLine="482" w:firstLineChars="200"/>
        <w:outlineLvl w:val="0"/>
        <w:rPr>
          <w:rFonts w:hint="eastAsia" w:ascii="仿宋" w:hAnsi="仿宋" w:eastAsia="仿宋" w:cs="仿宋"/>
          <w:b/>
          <w:color w:val="auto"/>
          <w:sz w:val="24"/>
        </w:rPr>
      </w:pPr>
      <w:bookmarkStart w:id="537" w:name="_Toc6885"/>
      <w:bookmarkStart w:id="538" w:name="_Toc14001"/>
      <w:bookmarkStart w:id="539" w:name="_Toc19890"/>
      <w:r>
        <w:rPr>
          <w:rFonts w:hint="eastAsia" w:ascii="仿宋" w:hAnsi="仿宋" w:eastAsia="仿宋" w:cs="仿宋"/>
          <w:b/>
          <w:color w:val="auto"/>
          <w:sz w:val="24"/>
        </w:rPr>
        <w:t>2.22合同份数</w:t>
      </w:r>
      <w:bookmarkEnd w:id="537"/>
      <w:bookmarkEnd w:id="538"/>
      <w:bookmarkEnd w:id="53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pStyle w:val="699"/>
        <w:spacing w:line="560" w:lineRule="exact"/>
        <w:jc w:val="center"/>
        <w:rPr>
          <w:rFonts w:hint="eastAsia" w:ascii="仿宋" w:hAnsi="仿宋" w:eastAsia="仿宋" w:cs="仿宋"/>
          <w:b/>
          <w:color w:val="auto"/>
          <w:szCs w:val="24"/>
        </w:rPr>
      </w:pPr>
      <w:r>
        <w:rPr>
          <w:rFonts w:hint="eastAsia" w:ascii="仿宋" w:hAnsi="仿宋" w:eastAsia="仿宋" w:cs="仿宋"/>
          <w:color w:val="auto"/>
          <w:kern w:val="0"/>
          <w:szCs w:val="24"/>
        </w:rPr>
        <w:br w:type="page"/>
      </w:r>
      <w:bookmarkStart w:id="540" w:name="_Toc331685784"/>
      <w:r>
        <w:rPr>
          <w:rFonts w:hint="eastAsia" w:ascii="仿宋" w:hAnsi="仿宋" w:eastAsia="仿宋" w:cs="仿宋"/>
          <w:b/>
          <w:color w:val="auto"/>
          <w:szCs w:val="24"/>
        </w:rPr>
        <w:t xml:space="preserve"> </w:t>
      </w:r>
      <w:bookmarkEnd w:id="540"/>
      <w:r>
        <w:rPr>
          <w:rFonts w:hint="eastAsia" w:ascii="仿宋" w:hAnsi="仿宋" w:eastAsia="仿宋" w:cs="仿宋"/>
          <w:b/>
          <w:color w:val="auto"/>
          <w:szCs w:val="24"/>
        </w:rPr>
        <w:t>第三部分  合同专用条款</w:t>
      </w:r>
    </w:p>
    <w:p>
      <w:pPr>
        <w:spacing w:line="560" w:lineRule="exact"/>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534" w:type="pct"/>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1.4.4</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1.6.7</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2.4.1</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2.4.2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2.8 </w:t>
            </w:r>
          </w:p>
        </w:tc>
        <w:tc>
          <w:tcPr>
            <w:tcW w:w="453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2.12.3</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2.12.4</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2.16.1</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2.16.3</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2.20.1</w:t>
            </w:r>
          </w:p>
        </w:tc>
        <w:tc>
          <w:tcPr>
            <w:tcW w:w="453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2.20.2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 xml:space="preserve">2.22 </w:t>
            </w:r>
          </w:p>
        </w:tc>
        <w:tc>
          <w:tcPr>
            <w:tcW w:w="4534" w:type="pct"/>
            <w:vAlign w:val="center"/>
          </w:tcPr>
          <w:p>
            <w:pPr>
              <w:spacing w:line="360" w:lineRule="auto"/>
              <w:rPr>
                <w:rFonts w:hint="eastAsia" w:ascii="仿宋" w:hAnsi="仿宋" w:eastAsia="仿宋" w:cs="仿宋"/>
                <w:color w:val="auto"/>
                <w:sz w:val="24"/>
              </w:rPr>
            </w:pPr>
          </w:p>
        </w:tc>
      </w:tr>
    </w:tbl>
    <w:p>
      <w:pPr>
        <w:spacing w:line="360" w:lineRule="auto"/>
        <w:ind w:left="-420" w:leftChars="-200" w:right="-420" w:rightChars="-200" w:firstLine="480" w:firstLineChars="200"/>
        <w:rPr>
          <w:rFonts w:hint="eastAsia" w:ascii="仿宋" w:hAnsi="仿宋" w:eastAsia="仿宋" w:cs="仿宋"/>
          <w:color w:val="auto"/>
          <w:sz w:val="24"/>
        </w:rPr>
      </w:pPr>
    </w:p>
    <w:p>
      <w:pPr>
        <w:spacing w:line="360" w:lineRule="auto"/>
        <w:ind w:left="-420" w:leftChars="-200" w:right="-420" w:rightChars="-20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spacing w:line="360" w:lineRule="auto"/>
        <w:ind w:left="720" w:firstLine="723" w:firstLineChars="200"/>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82"/>
      <w:r>
        <w:rPr>
          <w:rFonts w:hint="eastAsia" w:ascii="仿宋" w:hAnsi="仿宋" w:eastAsia="仿宋" w:cs="仿宋"/>
          <w:b/>
          <w:color w:val="auto"/>
          <w:sz w:val="36"/>
          <w:szCs w:val="20"/>
        </w:rPr>
        <w:t xml:space="preserve"> </w:t>
      </w:r>
      <w:bookmarkEnd w:id="383"/>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（2）落实政府采购政策需满足的资格要求………………………………（页码）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（3）本项目的特定资格要求………………………………………………（页码）</w:t>
      </w: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二、落实政府采购政策需满足的资格要求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sz w:val="24"/>
        </w:rPr>
        <w:t xml:space="preserve">    </w:t>
      </w:r>
      <w:r>
        <w:rPr>
          <w:rFonts w:hint="eastAsia" w:ascii="仿宋" w:hAnsi="仿宋" w:eastAsia="仿宋" w:cs="仿宋"/>
          <w:b/>
          <w:color w:val="auto"/>
          <w:kern w:val="0"/>
          <w:sz w:val="32"/>
          <w:szCs w:val="32"/>
          <w:lang w:val="zh-CN"/>
        </w:rPr>
        <w:t>联合协议</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firstLine="480" w:firstLineChars="200"/>
        <w:rPr>
          <w:rFonts w:hint="eastAsia" w:ascii="仿宋" w:hAnsi="仿宋" w:eastAsia="仿宋" w:cs="仿宋"/>
          <w:color w:val="auto"/>
          <w:sz w:val="24"/>
        </w:rPr>
      </w:pP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4"/>
        </w:rPr>
      </w:pP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（3）联合协议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（5）符合性审查资料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（6）评标标准相应的商务技术资料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（7）投标标的清单</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（8）商务技术偏离表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9</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2.2.3联合协议（如果有）；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2.2.7投标标的清单；</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2.2.8商务技术偏离表；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9</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hint="eastAsia" w:ascii="仿宋" w:hAnsi="仿宋" w:eastAsia="仿宋" w:cs="仿宋"/>
          <w:b/>
          <w:color w:val="auto"/>
          <w:kern w:val="0"/>
          <w:sz w:val="32"/>
          <w:szCs w:val="32"/>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46"/>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rPr>
        <w:t>三、</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rPr>
        <w:t>提供的全部货物由小微企业制造，其合同份额占到合同总金额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ind w:right="480"/>
        <w:rPr>
          <w:rFonts w:hint="eastAsia" w:ascii="仿宋" w:hAnsi="仿宋" w:eastAsia="仿宋" w:cs="仿宋"/>
          <w:b/>
          <w:color w:val="auto"/>
          <w:kern w:val="0"/>
          <w:sz w:val="32"/>
          <w:szCs w:val="32"/>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u w:val="single"/>
        </w:rPr>
        <w:t>（分包供应商名称）提供的货物全部由小微企业制造，</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pacing w:line="360" w:lineRule="auto"/>
        <w:ind w:right="42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rPr>
          <w:rFonts w:hint="eastAsia" w:ascii="仿宋" w:hAnsi="仿宋" w:eastAsia="仿宋" w:cs="仿宋"/>
          <w:color w:val="auto"/>
          <w:kern w:val="0"/>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五、符合性审查资料</w:t>
      </w:r>
    </w:p>
    <w:p>
      <w:pPr>
        <w:jc w:val="center"/>
        <w:rPr>
          <w:rFonts w:hint="eastAsia"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tcPr>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pStyle w:val="4"/>
              <w:rPr>
                <w:rFonts w:hint="eastAsia" w:ascii="仿宋" w:hAnsi="仿宋" w:eastAsia="仿宋" w:cs="仿宋"/>
                <w:color w:val="auto"/>
                <w:lang w:val="en-US"/>
              </w:rPr>
            </w:pPr>
            <w:r>
              <w:rPr>
                <w:rFonts w:hint="eastAsia" w:ascii="仿宋" w:hAnsi="仿宋" w:eastAsia="仿宋" w:cs="仿宋"/>
                <w:b w:val="0"/>
                <w:bCs w:val="0"/>
                <w:color w:val="auto"/>
                <w:sz w:val="24"/>
                <w:szCs w:val="24"/>
                <w:lang w:val="en-US"/>
              </w:rPr>
              <w:t>第</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4</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color w:val="auto"/>
        </w:rPr>
      </w:pPr>
      <w:r>
        <w:rPr>
          <w:rFonts w:hint="eastAsia" w:ascii="仿宋" w:hAnsi="仿宋" w:eastAsia="仿宋" w:cs="仿宋"/>
          <w:b/>
          <w:color w:val="auto"/>
          <w:kern w:val="0"/>
          <w:sz w:val="32"/>
          <w:szCs w:val="32"/>
        </w:rPr>
        <w:t>六、评标标准相应的商务技术资料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bCs/>
          <w:color w:val="auto"/>
          <w:sz w:val="32"/>
          <w:szCs w:val="32"/>
        </w:rPr>
        <w:t>九</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417"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843"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品牌（如果有）</w:t>
            </w:r>
          </w:p>
        </w:tc>
        <w:tc>
          <w:tcPr>
            <w:tcW w:w="3118"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规格型号（或具体服务）</w:t>
            </w:r>
          </w:p>
        </w:tc>
        <w:tc>
          <w:tcPr>
            <w:tcW w:w="993"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559"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1984"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总价</w:t>
            </w:r>
          </w:p>
        </w:tc>
        <w:tc>
          <w:tcPr>
            <w:tcW w:w="3119" w:type="dxa"/>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服务要求（年限）</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7655" w:type="dxa"/>
            <w:gridSpan w:val="4"/>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7655" w:type="dxa"/>
            <w:gridSpan w:val="4"/>
            <w:vAlign w:val="center"/>
          </w:tcPr>
          <w:p>
            <w:pPr>
              <w:spacing w:line="360" w:lineRule="auto"/>
              <w:jc w:val="center"/>
              <w:rPr>
                <w:rFonts w:hint="eastAsia" w:ascii="仿宋" w:hAnsi="仿宋" w:eastAsia="仿宋" w:cs="仿宋"/>
                <w:color w:val="auto"/>
                <w:sz w:val="24"/>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投标文件含有采购人不能接受的附加条件的，投标无效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5、</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tabs>
          <w:tab w:val="left" w:pos="8085"/>
        </w:tabs>
        <w:spacing w:line="360" w:lineRule="auto"/>
        <w:ind w:firstLine="1285" w:firstLineChars="400"/>
        <w:jc w:val="left"/>
        <w:rPr>
          <w:rFonts w:hint="eastAsia" w:ascii="仿宋" w:hAnsi="仿宋" w:eastAsia="仿宋" w:cs="仿宋"/>
          <w:b/>
          <w:color w:val="auto"/>
          <w:sz w:val="32"/>
          <w:szCs w:val="32"/>
        </w:rPr>
      </w:pPr>
      <w:r>
        <w:rPr>
          <w:rFonts w:hint="eastAsia" w:ascii="仿宋" w:hAnsi="仿宋" w:eastAsia="仿宋" w:cs="仿宋"/>
          <w:b/>
          <w:color w:val="auto"/>
          <w:sz w:val="32"/>
          <w:szCs w:val="32"/>
        </w:rPr>
        <w:t>政府采购支持中小企业信用融资相关事项通知</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一、适用对象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二、相关信息获取方式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三、　政府采购信用融资操作流程：</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（一）线上融资模式：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4.审批通过后，在线办理放贷手续。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（二）线下融资模式：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4.审批通过后，合作银行应按照合作备忘录中约定的审批放款期限和优惠利率及时予以放款。</w:t>
      </w:r>
    </w:p>
    <w:p>
      <w:pPr>
        <w:pStyle w:val="4"/>
        <w:numPr>
          <w:ilvl w:val="255"/>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（三）杭州e融平台申请融资</w:t>
      </w:r>
    </w:p>
    <w:p>
      <w:pPr>
        <w:pStyle w:val="4"/>
        <w:numPr>
          <w:ilvl w:val="255"/>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四、注意事项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rPr>
      </w:pPr>
      <w:bookmarkStart w:id="541" w:name="_Toc465665161"/>
      <w:r>
        <w:rPr>
          <w:rFonts w:hint="eastAsia" w:ascii="仿宋" w:hAnsi="仿宋" w:eastAsia="仿宋" w:cs="仿宋"/>
          <w:color w:val="auto"/>
        </w:rPr>
        <w:t>附件</w:t>
      </w:r>
      <w:bookmarkEnd w:id="541"/>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542" w:name="OLE_LINK14"/>
      <w:bookmarkStart w:id="543" w:name="OLE_LINK13"/>
      <w:r>
        <w:rPr>
          <w:rFonts w:hint="eastAsia" w:ascii="仿宋" w:hAnsi="仿宋" w:eastAsia="仿宋" w:cs="仿宋"/>
          <w:b/>
          <w:color w:val="auto"/>
          <w:spacing w:val="6"/>
          <w:sz w:val="32"/>
          <w:szCs w:val="32"/>
        </w:rPr>
        <w:t>残疾人福利性单位声明函</w:t>
      </w:r>
    </w:p>
    <w:bookmarkEnd w:id="542"/>
    <w:bookmarkEnd w:id="543"/>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附件5：</w:t>
      </w:r>
      <w:r>
        <w:rPr>
          <w:rFonts w:hint="eastAsia" w:ascii="仿宋" w:hAnsi="仿宋" w:eastAsia="仿宋" w:cs="仿宋"/>
          <w:b/>
          <w:color w:val="auto"/>
          <w:sz w:val="32"/>
          <w:szCs w:val="32"/>
        </w:rPr>
        <w:t>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（单位名称） </w:t>
      </w:r>
      <w:r>
        <w:rPr>
          <w:rFonts w:hint="eastAsia" w:ascii="仿宋" w:hAnsi="仿宋" w:eastAsia="仿宋" w:cs="仿宋"/>
          <w:color w:val="auto"/>
          <w:sz w:val="24"/>
        </w:rPr>
        <w:t xml:space="preserve">的 </w:t>
      </w:r>
      <w:r>
        <w:rPr>
          <w:rFonts w:hint="eastAsia" w:ascii="仿宋" w:hAnsi="仿宋" w:eastAsia="仿宋" w:cs="仿宋"/>
          <w:color w:val="auto"/>
          <w:sz w:val="24"/>
          <w:u w:val="single"/>
        </w:rPr>
        <w:t>（项目名称）</w:t>
      </w:r>
      <w:r>
        <w:rPr>
          <w:rFonts w:hint="eastAsia" w:ascii="仿宋" w:hAnsi="仿宋" w:eastAsia="仿宋" w:cs="仿宋"/>
          <w:color w:val="auto"/>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仿宋" w:hAnsi="仿宋" w:eastAsia="仿宋" w:cs="仿宋"/>
          <w:color w:val="auto"/>
          <w:sz w:val="24"/>
          <w:lang w:eastAsia="zh-CN"/>
        </w:rPr>
        <w:t>无效，</w:t>
      </w:r>
      <w:r>
        <w:rPr>
          <w:rFonts w:hint="eastAsia" w:ascii="仿宋" w:hAnsi="仿宋" w:eastAsia="仿宋" w:cs="仿宋"/>
          <w:color w:val="auto"/>
          <w:sz w:val="24"/>
        </w:rPr>
        <w:t>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中小企业声明函（工程、服务）</w:t>
      </w:r>
    </w:p>
    <w:p>
      <w:pPr>
        <w:spacing w:line="360" w:lineRule="auto"/>
        <w:rPr>
          <w:rFonts w:hint="eastAsia" w:ascii="仿宋" w:hAnsi="仿宋" w:eastAsia="仿宋" w:cs="仿宋"/>
          <w:color w:val="auto"/>
        </w:rPr>
      </w:pP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（单位名称）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仿宋" w:hAnsi="仿宋" w:eastAsia="仿宋" w:cs="仿宋"/>
          <w:color w:val="auto"/>
          <w:sz w:val="24"/>
          <w:lang w:eastAsia="zh-CN"/>
        </w:rPr>
        <w:t>无效，</w:t>
      </w:r>
      <w:r>
        <w:rPr>
          <w:rFonts w:hint="eastAsia" w:ascii="仿宋" w:hAnsi="仿宋" w:eastAsia="仿宋" w:cs="仿宋"/>
          <w:color w:val="auto"/>
          <w:sz w:val="24"/>
        </w:rPr>
        <w:t>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sz w:val="24"/>
        </w:rPr>
      </w:pPr>
      <w:r>
        <w:rPr>
          <w:rFonts w:hint="eastAsia" w:ascii="仿宋" w:hAnsi="仿宋" w:eastAsia="仿宋" w:cs="仿宋"/>
          <w:color w:val="auto"/>
          <w:sz w:val="24"/>
        </w:rPr>
        <w:br w:type="page"/>
      </w:r>
    </w:p>
    <w:p>
      <w:pPr>
        <w:rPr>
          <w:rFonts w:hint="eastAsia" w:ascii="仿宋" w:hAnsi="仿宋" w:eastAsia="仿宋" w:cs="仿宋"/>
          <w:b/>
          <w:color w:val="auto"/>
          <w:sz w:val="24"/>
          <w:lang w:val="en-US" w:eastAsia="zh-CN"/>
        </w:rPr>
      </w:pPr>
      <w:r>
        <w:rPr>
          <w:rFonts w:hint="eastAsia" w:ascii="仿宋" w:hAnsi="仿宋" w:eastAsia="仿宋" w:cs="仿宋"/>
          <w:b/>
          <w:color w:val="auto"/>
          <w:spacing w:val="6"/>
          <w:sz w:val="32"/>
          <w:szCs w:val="32"/>
          <w:highlight w:val="yellow"/>
        </w:rPr>
        <w:t>附件</w:t>
      </w:r>
      <w:r>
        <w:rPr>
          <w:rFonts w:hint="eastAsia" w:ascii="仿宋" w:hAnsi="仿宋" w:eastAsia="仿宋" w:cs="仿宋"/>
          <w:b/>
          <w:color w:val="auto"/>
          <w:spacing w:val="6"/>
          <w:sz w:val="32"/>
          <w:szCs w:val="32"/>
          <w:highlight w:val="yellow"/>
          <w:lang w:val="en-US" w:eastAsia="zh-CN"/>
        </w:rPr>
        <w:t>6</w:t>
      </w:r>
    </w:p>
    <w:p>
      <w:pPr>
        <w:jc w:val="center"/>
        <w:rPr>
          <w:rFonts w:hint="eastAsia" w:ascii="仿宋" w:hAnsi="仿宋" w:eastAsia="仿宋" w:cs="仿宋"/>
          <w:color w:val="auto"/>
          <w:sz w:val="40"/>
        </w:rPr>
      </w:pPr>
      <w:r>
        <w:rPr>
          <w:rFonts w:hint="eastAsia" w:ascii="仿宋" w:hAnsi="仿宋" w:eastAsia="仿宋" w:cs="仿宋"/>
          <w:color w:val="auto"/>
          <w:sz w:val="40"/>
        </w:rPr>
        <w:t>样品（演示）授权委托书</w:t>
      </w:r>
    </w:p>
    <w:p>
      <w:pPr>
        <w:jc w:val="center"/>
        <w:rPr>
          <w:rFonts w:hint="eastAsia" w:ascii="仿宋" w:hAnsi="仿宋" w:eastAsia="仿宋" w:cs="仿宋"/>
          <w:color w:val="auto"/>
          <w:sz w:val="40"/>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XXX（单位名称或采购机构名称）</w:t>
      </w:r>
      <w:r>
        <w:rPr>
          <w:rFonts w:hint="eastAsia" w:ascii="仿宋" w:hAnsi="仿宋" w:eastAsia="仿宋" w:cs="仿宋"/>
          <w:color w:val="auto"/>
          <w:kern w:val="0"/>
          <w:sz w:val="24"/>
          <w:lang w:val="zh-CN"/>
        </w:rPr>
        <w:t>：</w:t>
      </w:r>
    </w:p>
    <w:p>
      <w:pPr>
        <w:snapToGrid w:val="0"/>
        <w:spacing w:line="360" w:lineRule="auto"/>
        <w:ind w:left="254" w:leftChars="121" w:firstLine="480" w:firstLineChars="200"/>
        <w:jc w:val="left"/>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兹委派</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先生/女士，身份证号：</w:t>
      </w:r>
      <w:r>
        <w:rPr>
          <w:rFonts w:hint="eastAsia" w:ascii="仿宋" w:hAnsi="仿宋" w:eastAsia="仿宋" w:cs="仿宋"/>
          <w:color w:val="auto"/>
          <w:kern w:val="0"/>
          <w:sz w:val="24"/>
          <w:u w:val="single"/>
          <w:lang w:val="zh-CN"/>
        </w:rPr>
        <w:t xml:space="preserve">                   </w:t>
      </w:r>
    </w:p>
    <w:p>
      <w:pPr>
        <w:snapToGrid w:val="0"/>
        <w:spacing w:line="360" w:lineRule="auto"/>
        <w:ind w:left="254" w:leftChars="121"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，代表我公司前来递交</w:t>
      </w:r>
      <w:r>
        <w:rPr>
          <w:rFonts w:hint="eastAsia" w:ascii="仿宋" w:hAnsi="仿宋" w:eastAsia="仿宋" w:cs="仿宋"/>
          <w:color w:val="auto"/>
          <w:kern w:val="0"/>
          <w:sz w:val="24"/>
          <w:u w:val="single"/>
          <w:lang w:val="zh-CN"/>
        </w:rPr>
        <w:t xml:space="preserve">                           采购项目</w:t>
      </w:r>
      <w:r>
        <w:rPr>
          <w:rFonts w:hint="eastAsia" w:ascii="仿宋" w:hAnsi="仿宋" w:eastAsia="仿宋" w:cs="仿宋"/>
          <w:color w:val="auto"/>
          <w:kern w:val="0"/>
          <w:sz w:val="24"/>
          <w:lang w:val="zh-CN"/>
        </w:rPr>
        <w:t>【项目编号：              】（标项号：  ）投标样品或参加演示，并全权负责标后取回样品等其他处理事宜。</w:t>
      </w:r>
    </w:p>
    <w:p>
      <w:pPr>
        <w:snapToGrid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投标人名称(公章)：</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p>
    <w:p>
      <w:pPr>
        <w:snapToGrid w:val="0"/>
        <w:spacing w:line="360" w:lineRule="auto"/>
        <w:ind w:right="240"/>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签发日期：  年  月   日</w:t>
      </w: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受委托人</w:t>
      </w:r>
      <w:r>
        <w:rPr>
          <w:rFonts w:hint="eastAsia" w:ascii="仿宋" w:hAnsi="仿宋" w:eastAsia="仿宋" w:cs="仿宋"/>
          <w:color w:val="auto"/>
          <w:kern w:val="0"/>
          <w:sz w:val="24"/>
          <w:lang w:val="zh-CN"/>
        </w:rPr>
        <w:t>身份证复印件：</w:t>
      </w: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说明：本委托书在有样品或演示时由受委托人携带至指定地点。</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同时有样品和演示的，可委托不同人员。</w:t>
      </w:r>
    </w:p>
    <w:p>
      <w:pPr>
        <w:pStyle w:val="4"/>
        <w:ind w:left="0" w:leftChars="0" w:firstLine="0" w:firstLineChars="0"/>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color w:val="auto"/>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44" w:name="_Toc36110187"/>
    <w:bookmarkStart w:id="545" w:name="_Toc164085800"/>
    <w:bookmarkStart w:id="546" w:name="_Toc91899912"/>
    <w:bookmarkStart w:id="547" w:name="_Toc131845147"/>
    <w:r>
      <w:rPr>
        <w:rFonts w:hint="eastAsia" w:ascii="仿宋_GB2312" w:eastAsia="仿宋_GB2312"/>
        <w:kern w:val="0"/>
        <w:szCs w:val="21"/>
      </w:rPr>
      <w:t xml:space="preserve"> 页</w:t>
    </w:r>
    <w:bookmarkEnd w:id="544"/>
    <w:bookmarkEnd w:id="545"/>
    <w:bookmarkEnd w:id="546"/>
    <w:bookmarkEnd w:id="54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B8126"/>
    <w:multiLevelType w:val="singleLevel"/>
    <w:tmpl w:val="C86B8126"/>
    <w:lvl w:ilvl="0" w:tentative="0">
      <w:start w:val="2"/>
      <w:numFmt w:val="chineseCounting"/>
      <w:suff w:val="nothing"/>
      <w:lvlText w:val="（%1）"/>
      <w:lvlJc w:val="left"/>
      <w:rPr>
        <w:rFonts w:hint="eastAsia"/>
      </w:rPr>
    </w:lvl>
  </w:abstractNum>
  <w:abstractNum w:abstractNumId="1">
    <w:nsid w:val="0AAD449E"/>
    <w:multiLevelType w:val="multilevel"/>
    <w:tmpl w:val="0AAD449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5A3535A4"/>
    <w:multiLevelType w:val="singleLevel"/>
    <w:tmpl w:val="5A3535A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9F7441"/>
    <w:rsid w:val="01B37585"/>
    <w:rsid w:val="01D55165"/>
    <w:rsid w:val="01DF6BF8"/>
    <w:rsid w:val="01EB5FCA"/>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E28A6"/>
    <w:rsid w:val="05251E14"/>
    <w:rsid w:val="05507636"/>
    <w:rsid w:val="05770BD6"/>
    <w:rsid w:val="05A16594"/>
    <w:rsid w:val="05A7762D"/>
    <w:rsid w:val="05C04DC2"/>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17614"/>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1F642D3"/>
    <w:rsid w:val="12255233"/>
    <w:rsid w:val="12530213"/>
    <w:rsid w:val="127723A9"/>
    <w:rsid w:val="12862074"/>
    <w:rsid w:val="12883966"/>
    <w:rsid w:val="129E45B4"/>
    <w:rsid w:val="12D21374"/>
    <w:rsid w:val="12D81596"/>
    <w:rsid w:val="13072A44"/>
    <w:rsid w:val="131A1B7F"/>
    <w:rsid w:val="135F4BE2"/>
    <w:rsid w:val="139B1A0A"/>
    <w:rsid w:val="139D25C7"/>
    <w:rsid w:val="13BF3CE4"/>
    <w:rsid w:val="141008D8"/>
    <w:rsid w:val="14125FE6"/>
    <w:rsid w:val="14500381"/>
    <w:rsid w:val="146D271E"/>
    <w:rsid w:val="14982588"/>
    <w:rsid w:val="149A5AD9"/>
    <w:rsid w:val="14A7619D"/>
    <w:rsid w:val="150536C3"/>
    <w:rsid w:val="150C1963"/>
    <w:rsid w:val="151447A0"/>
    <w:rsid w:val="154A6454"/>
    <w:rsid w:val="15762120"/>
    <w:rsid w:val="158E1591"/>
    <w:rsid w:val="16A8729C"/>
    <w:rsid w:val="16B33777"/>
    <w:rsid w:val="16BC70A7"/>
    <w:rsid w:val="16C6339E"/>
    <w:rsid w:val="16D72261"/>
    <w:rsid w:val="16FE224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A49B8"/>
    <w:rsid w:val="1BE22A26"/>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06AE9"/>
    <w:rsid w:val="1FE868A9"/>
    <w:rsid w:val="20034907"/>
    <w:rsid w:val="20173E4B"/>
    <w:rsid w:val="204E48BC"/>
    <w:rsid w:val="2055388B"/>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9307DC"/>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34E2D"/>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A64673"/>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8E248B"/>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7F050E"/>
    <w:rsid w:val="40A0133A"/>
    <w:rsid w:val="40C31A53"/>
    <w:rsid w:val="40FF545D"/>
    <w:rsid w:val="410067C8"/>
    <w:rsid w:val="418861E3"/>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30589B"/>
    <w:rsid w:val="449101DD"/>
    <w:rsid w:val="449D00C3"/>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676029"/>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163207"/>
    <w:rsid w:val="53544462"/>
    <w:rsid w:val="5397158E"/>
    <w:rsid w:val="54013861"/>
    <w:rsid w:val="54487265"/>
    <w:rsid w:val="544D6070"/>
    <w:rsid w:val="54605E1E"/>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FA2EE8"/>
    <w:rsid w:val="61054A27"/>
    <w:rsid w:val="610A52BC"/>
    <w:rsid w:val="611D2366"/>
    <w:rsid w:val="61421856"/>
    <w:rsid w:val="615227C4"/>
    <w:rsid w:val="61654E3F"/>
    <w:rsid w:val="6182292A"/>
    <w:rsid w:val="619F7F92"/>
    <w:rsid w:val="61F94C26"/>
    <w:rsid w:val="62000E56"/>
    <w:rsid w:val="62244584"/>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51A38"/>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8F2B46"/>
    <w:rsid w:val="6ADE0BD1"/>
    <w:rsid w:val="6AE96859"/>
    <w:rsid w:val="6B147746"/>
    <w:rsid w:val="6B24787C"/>
    <w:rsid w:val="6B573233"/>
    <w:rsid w:val="6B5B6274"/>
    <w:rsid w:val="6B935D53"/>
    <w:rsid w:val="6C196F71"/>
    <w:rsid w:val="6C226FCB"/>
    <w:rsid w:val="6C31226F"/>
    <w:rsid w:val="6C552F0B"/>
    <w:rsid w:val="6C8C67B7"/>
    <w:rsid w:val="6C9D744C"/>
    <w:rsid w:val="6CFE67A8"/>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57E5"/>
    <w:rsid w:val="7D0C32F1"/>
    <w:rsid w:val="7D0F408D"/>
    <w:rsid w:val="7D491C6C"/>
    <w:rsid w:val="7D5429C0"/>
    <w:rsid w:val="7D6E6D43"/>
    <w:rsid w:val="7D7069D2"/>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2"/>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2"/>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2"/>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2"/>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p15"/>
    <w:basedOn w:val="1"/>
    <w:qFormat/>
    <w:uiPriority w:val="0"/>
    <w:pPr>
      <w:widowControl/>
      <w:spacing w:before="156" w:line="360" w:lineRule="auto"/>
      <w:ind w:firstLine="420"/>
    </w:pPr>
    <w:rPr>
      <w:kern w:val="0"/>
      <w:sz w:val="24"/>
    </w:rPr>
  </w:style>
  <w:style w:type="paragraph" w:customStyle="1" w:styleId="962">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8.xml" Type="http://schemas.openxmlformats.org/officeDocument/2006/relationships/header"/><Relationship Id="rId18" Target="header9.xml" Type="http://schemas.openxmlformats.org/officeDocument/2006/relationships/header"/><Relationship Id="rId19" Target="footer8.xml" Type="http://schemas.openxmlformats.org/officeDocument/2006/relationships/foot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theme/theme1.xml" Type="http://schemas.openxmlformats.org/officeDocument/2006/relationships/theme"/><Relationship Id="rId23" Target="media/image1.png" Type="http://schemas.openxmlformats.org/officeDocument/2006/relationships/image"/><Relationship Id="rId24" Target="media/image2.png" Type="http://schemas.openxmlformats.org/officeDocument/2006/relationships/image"/><Relationship Id="rId25" Target="../customXml/item1.xml" Type="http://schemas.openxmlformats.org/officeDocument/2006/relationships/customXml"/><Relationship Id="rId26" Target="numbering.xml" Type="http://schemas.openxmlformats.org/officeDocument/2006/relationships/numbering"/><Relationship Id="rId27" Target="../customXml/item2.xml" Type="http://schemas.openxmlformats.org/officeDocument/2006/relationships/customXml"/><Relationship Id="rId28"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header3.xml" Type="http://schemas.openxmlformats.org/officeDocument/2006/relationships/head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82</Pages>
  <Words>37409</Words>
  <Characters>39833</Characters>
  <Lines>293</Lines>
  <Paragraphs>82</Paragraphs>
  <TotalTime>13</TotalTime>
  <ScaleCrop>false</ScaleCrop>
  <LinksUpToDate>false</LinksUpToDate>
  <CharactersWithSpaces>45881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北极熊不吃鱼</cp:lastModifiedBy>
  <cp:lastPrinted>2021-12-27T03:06:00Z</cp:lastPrinted>
  <dcterms:modified xsi:type="dcterms:W3CDTF">2022-03-30T02:01:02Z</dcterms:modified>
  <cp:revision>205</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2128591D7E9E4CD4B646F552466BBDB2</vt:lpwstr>
  </property>
</Properties>
</file>