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color w:val="auto"/>
          <w:sz w:val="24"/>
        </w:rPr>
      </w:pPr>
    </w:p>
    <w:p>
      <w:pPr>
        <w:spacing w:line="360" w:lineRule="auto"/>
        <w:jc w:val="center"/>
        <w:rPr>
          <w:rFonts w:hint="eastAsia" w:ascii="仿宋" w:hAnsi="仿宋" w:eastAsia="仿宋" w:cs="仿宋"/>
          <w:b/>
          <w:color w:val="auto"/>
          <w:sz w:val="24"/>
        </w:rPr>
      </w:pPr>
    </w:p>
    <w:p>
      <w:pPr>
        <w:adjustRightInd/>
        <w:spacing w:line="360" w:lineRule="auto"/>
        <w:jc w:val="center"/>
        <w:rPr>
          <w:rFonts w:hint="eastAsia" w:ascii="仿宋" w:hAnsi="仿宋" w:eastAsia="仿宋" w:cs="仿宋"/>
          <w:b/>
          <w:color w:val="auto"/>
          <w:sz w:val="48"/>
          <w:szCs w:val="48"/>
        </w:rPr>
      </w:pPr>
    </w:p>
    <w:p>
      <w:pPr>
        <w:adjustRightInd/>
        <w:spacing w:line="360" w:lineRule="auto"/>
        <w:jc w:val="center"/>
        <w:rPr>
          <w:rFonts w:hint="eastAsia" w:ascii="仿宋" w:hAnsi="仿宋" w:eastAsia="仿宋" w:cs="仿宋"/>
          <w:color w:val="auto"/>
          <w:sz w:val="48"/>
          <w:szCs w:val="48"/>
        </w:rPr>
      </w:pPr>
      <w:r>
        <w:rPr>
          <w:rFonts w:hint="eastAsia" w:ascii="仿宋" w:hAnsi="仿宋" w:eastAsia="仿宋" w:cs="仿宋"/>
          <w:b/>
          <w:color w:val="auto"/>
          <w:sz w:val="48"/>
          <w:szCs w:val="48"/>
          <w:lang w:val="en-US" w:eastAsia="zh-CN"/>
        </w:rPr>
        <w:t>萧山区应急广播系统改造提升项目</w:t>
      </w:r>
    </w:p>
    <w:p>
      <w:pPr>
        <w:adjustRightInd/>
        <w:spacing w:line="360" w:lineRule="auto"/>
        <w:jc w:val="center"/>
        <w:rPr>
          <w:rFonts w:hint="eastAsia" w:ascii="仿宋" w:hAnsi="仿宋" w:eastAsia="仿宋" w:cs="仿宋"/>
          <w:color w:val="auto"/>
          <w:sz w:val="48"/>
          <w:szCs w:val="48"/>
        </w:rPr>
      </w:pPr>
    </w:p>
    <w:p>
      <w:pPr>
        <w:adjustRightInd/>
        <w:spacing w:line="360" w:lineRule="auto"/>
        <w:jc w:val="center"/>
        <w:rPr>
          <w:rFonts w:hint="eastAsia" w:ascii="仿宋" w:hAnsi="仿宋" w:eastAsia="仿宋" w:cs="仿宋"/>
          <w:color w:val="auto"/>
          <w:sz w:val="48"/>
          <w:szCs w:val="48"/>
        </w:rPr>
      </w:pPr>
      <w:r>
        <w:rPr>
          <w:rFonts w:hint="eastAsia" w:ascii="仿宋" w:hAnsi="仿宋" w:eastAsia="仿宋" w:cs="仿宋"/>
          <w:color w:val="auto"/>
          <w:sz w:val="48"/>
          <w:szCs w:val="48"/>
        </w:rPr>
        <w:t>招标文件</w:t>
      </w:r>
    </w:p>
    <w:p>
      <w:pPr>
        <w:adjustRightInd/>
        <w:spacing w:line="360" w:lineRule="auto"/>
        <w:jc w:val="center"/>
        <w:rPr>
          <w:rFonts w:hint="eastAsia" w:ascii="仿宋" w:hAnsi="仿宋" w:eastAsia="仿宋" w:cs="仿宋"/>
          <w:b/>
          <w:color w:val="auto"/>
          <w:sz w:val="44"/>
          <w:szCs w:val="44"/>
        </w:rPr>
      </w:pPr>
      <w:r>
        <w:rPr>
          <w:rFonts w:hint="eastAsia" w:ascii="仿宋" w:hAnsi="仿宋" w:eastAsia="仿宋" w:cs="仿宋"/>
          <w:b/>
          <w:color w:val="auto"/>
          <w:sz w:val="44"/>
          <w:szCs w:val="44"/>
        </w:rPr>
        <w:t xml:space="preserve"> </w:t>
      </w:r>
    </w:p>
    <w:p>
      <w:pPr>
        <w:adjustRightInd/>
        <w:spacing w:line="360" w:lineRule="auto"/>
        <w:jc w:val="center"/>
        <w:rPr>
          <w:rFonts w:hint="eastAsia" w:ascii="仿宋" w:hAnsi="仿宋" w:eastAsia="仿宋" w:cs="仿宋"/>
          <w:b/>
          <w:color w:val="auto"/>
          <w:sz w:val="44"/>
          <w:szCs w:val="44"/>
        </w:rPr>
      </w:pPr>
      <w:r>
        <w:rPr>
          <w:rFonts w:hint="eastAsia" w:ascii="仿宋" w:hAnsi="仿宋" w:eastAsia="仿宋" w:cs="仿宋"/>
          <w:b/>
          <w:color w:val="auto"/>
          <w:sz w:val="44"/>
          <w:szCs w:val="44"/>
        </w:rPr>
        <w:t>（电子招投标）</w:t>
      </w:r>
    </w:p>
    <w:p>
      <w:pPr>
        <w:snapToGrid w:val="0"/>
        <w:spacing w:line="360" w:lineRule="auto"/>
        <w:jc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rPr>
        <w:t>编号:XZCG</w:t>
      </w:r>
      <w:r>
        <w:rPr>
          <w:rFonts w:hint="eastAsia" w:ascii="仿宋" w:hAnsi="仿宋" w:eastAsia="仿宋" w:cs="仿宋"/>
          <w:color w:val="auto"/>
          <w:sz w:val="30"/>
          <w:szCs w:val="30"/>
          <w:lang w:val="en-US" w:eastAsia="zh-CN"/>
        </w:rPr>
        <w:t>DL2022</w:t>
      </w:r>
      <w:r>
        <w:rPr>
          <w:rFonts w:hint="eastAsia" w:ascii="仿宋" w:hAnsi="仿宋" w:eastAsia="仿宋" w:cs="仿宋"/>
          <w:color w:val="auto"/>
          <w:sz w:val="30"/>
          <w:szCs w:val="30"/>
        </w:rPr>
        <w:t>-GK-ZCY</w:t>
      </w:r>
      <w:r>
        <w:rPr>
          <w:rFonts w:hint="eastAsia" w:ascii="仿宋" w:hAnsi="仿宋" w:eastAsia="仿宋" w:cs="仿宋"/>
          <w:color w:val="auto"/>
          <w:sz w:val="30"/>
          <w:szCs w:val="30"/>
          <w:lang w:val="en-US" w:eastAsia="zh-CN"/>
        </w:rPr>
        <w:t>005</w:t>
      </w:r>
    </w:p>
    <w:p>
      <w:pPr>
        <w:adjustRightInd/>
        <w:spacing w:line="360" w:lineRule="auto"/>
        <w:rPr>
          <w:rFonts w:hint="eastAsia" w:ascii="仿宋" w:hAnsi="仿宋" w:eastAsia="仿宋" w:cs="仿宋"/>
          <w:color w:val="auto"/>
          <w:sz w:val="28"/>
          <w:szCs w:val="20"/>
        </w:rPr>
      </w:pPr>
    </w:p>
    <w:p>
      <w:pPr>
        <w:spacing w:line="360" w:lineRule="auto"/>
        <w:jc w:val="center"/>
        <w:rPr>
          <w:rFonts w:hint="eastAsia" w:ascii="仿宋" w:hAnsi="仿宋" w:eastAsia="仿宋" w:cs="仿宋"/>
          <w:b/>
          <w:color w:val="auto"/>
          <w:sz w:val="44"/>
          <w:szCs w:val="44"/>
        </w:rPr>
      </w:pPr>
      <w:r>
        <w:rPr>
          <w:rFonts w:hint="eastAsia" w:ascii="仿宋" w:hAnsi="仿宋" w:eastAsia="仿宋" w:cs="仿宋"/>
          <w:b/>
          <w:color w:val="auto"/>
          <w:sz w:val="44"/>
          <w:szCs w:val="44"/>
        </w:rPr>
        <w:t xml:space="preserve"> </w:t>
      </w:r>
    </w:p>
    <w:p>
      <w:pPr>
        <w:spacing w:line="360" w:lineRule="auto"/>
        <w:jc w:val="center"/>
        <w:rPr>
          <w:rFonts w:hint="eastAsia" w:ascii="仿宋" w:hAnsi="仿宋" w:eastAsia="仿宋" w:cs="仿宋"/>
          <w:b/>
          <w:color w:val="auto"/>
          <w:sz w:val="44"/>
          <w:szCs w:val="44"/>
        </w:rPr>
      </w:pPr>
    </w:p>
    <w:p>
      <w:pPr>
        <w:spacing w:line="360" w:lineRule="auto"/>
        <w:jc w:val="center"/>
        <w:rPr>
          <w:rFonts w:hint="eastAsia" w:ascii="仿宋" w:hAnsi="仿宋" w:eastAsia="仿宋" w:cs="仿宋"/>
          <w:color w:val="auto"/>
          <w:sz w:val="24"/>
        </w:rPr>
      </w:pPr>
    </w:p>
    <w:p>
      <w:pPr>
        <w:spacing w:line="360" w:lineRule="auto"/>
        <w:rPr>
          <w:rFonts w:hint="eastAsia" w:ascii="仿宋" w:hAnsi="仿宋" w:eastAsia="仿宋" w:cs="仿宋"/>
          <w:color w:val="auto"/>
          <w:sz w:val="32"/>
          <w:szCs w:val="32"/>
        </w:rPr>
      </w:pPr>
    </w:p>
    <w:p>
      <w:pPr>
        <w:spacing w:line="360" w:lineRule="auto"/>
        <w:jc w:val="cente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杭州市萧山区文化和广电旅游体育局</w:t>
      </w:r>
    </w:p>
    <w:p>
      <w:pPr>
        <w:spacing w:line="360" w:lineRule="auto"/>
        <w:jc w:val="center"/>
        <w:rPr>
          <w:rFonts w:hint="eastAsia" w:ascii="仿宋" w:hAnsi="仿宋" w:eastAsia="仿宋" w:cs="仿宋"/>
          <w:bCs/>
          <w:color w:val="auto"/>
          <w:sz w:val="32"/>
          <w:szCs w:val="32"/>
        </w:rPr>
      </w:pPr>
      <w:r>
        <w:rPr>
          <w:rFonts w:hint="eastAsia" w:ascii="仿宋" w:hAnsi="仿宋" w:eastAsia="仿宋" w:cs="仿宋"/>
          <w:bCs/>
          <w:color w:val="auto"/>
          <w:sz w:val="32"/>
          <w:szCs w:val="32"/>
        </w:rPr>
        <w:t>浙江华域高宇项目管理有限公司</w:t>
      </w:r>
    </w:p>
    <w:p>
      <w:pPr>
        <w:snapToGrid w:val="0"/>
        <w:spacing w:line="360" w:lineRule="auto"/>
        <w:jc w:val="center"/>
        <w:rPr>
          <w:rFonts w:hint="eastAsia" w:ascii="仿宋" w:hAnsi="仿宋" w:eastAsia="仿宋" w:cs="仿宋"/>
          <w:bCs/>
          <w:color w:val="auto"/>
          <w:sz w:val="32"/>
          <w:szCs w:val="32"/>
        </w:rPr>
      </w:pPr>
      <w:r>
        <w:rPr>
          <w:rFonts w:hint="eastAsia" w:ascii="仿宋" w:hAnsi="仿宋" w:eastAsia="仿宋" w:cs="仿宋"/>
          <w:bCs/>
          <w:color w:val="auto"/>
          <w:sz w:val="32"/>
          <w:szCs w:val="32"/>
        </w:rPr>
        <w:t>二〇二</w:t>
      </w:r>
      <w:r>
        <w:rPr>
          <w:rFonts w:hint="eastAsia" w:ascii="仿宋" w:hAnsi="仿宋" w:eastAsia="仿宋" w:cs="仿宋"/>
          <w:bCs/>
          <w:color w:val="auto"/>
          <w:sz w:val="32"/>
          <w:szCs w:val="32"/>
          <w:lang w:eastAsia="zh-CN"/>
        </w:rPr>
        <w:t>二</w:t>
      </w:r>
      <w:r>
        <w:rPr>
          <w:rFonts w:hint="eastAsia" w:ascii="仿宋" w:hAnsi="仿宋" w:eastAsia="仿宋" w:cs="仿宋"/>
          <w:bCs/>
          <w:color w:val="auto"/>
          <w:sz w:val="32"/>
          <w:szCs w:val="32"/>
        </w:rPr>
        <w:t>年</w:t>
      </w:r>
      <w:r>
        <w:rPr>
          <w:rFonts w:hint="eastAsia" w:ascii="仿宋" w:hAnsi="仿宋" w:eastAsia="仿宋" w:cs="仿宋"/>
          <w:bCs/>
          <w:color w:val="auto"/>
          <w:sz w:val="32"/>
          <w:szCs w:val="32"/>
          <w:lang w:eastAsia="zh-CN"/>
        </w:rPr>
        <w:t>三</w:t>
      </w:r>
      <w:r>
        <w:rPr>
          <w:rFonts w:hint="eastAsia" w:ascii="仿宋" w:hAnsi="仿宋" w:eastAsia="仿宋" w:cs="仿宋"/>
          <w:bCs/>
          <w:color w:val="auto"/>
          <w:sz w:val="32"/>
          <w:szCs w:val="32"/>
        </w:rPr>
        <w:t>月</w:t>
      </w:r>
      <w:r>
        <w:rPr>
          <w:rFonts w:hint="eastAsia" w:ascii="仿宋" w:hAnsi="仿宋" w:eastAsia="仿宋" w:cs="仿宋"/>
          <w:bCs/>
          <w:color w:val="auto"/>
          <w:sz w:val="32"/>
          <w:szCs w:val="32"/>
          <w:lang w:eastAsia="zh-CN"/>
        </w:rPr>
        <w:t>二十五</w:t>
      </w:r>
      <w:r>
        <w:rPr>
          <w:rFonts w:hint="eastAsia" w:ascii="仿宋" w:hAnsi="仿宋" w:eastAsia="仿宋" w:cs="仿宋"/>
          <w:bCs/>
          <w:color w:val="auto"/>
          <w:sz w:val="32"/>
          <w:szCs w:val="32"/>
        </w:rPr>
        <w:t>日</w:t>
      </w:r>
    </w:p>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本招标文件为20</w:t>
      </w:r>
      <w:r>
        <w:rPr>
          <w:rFonts w:hint="eastAsia" w:ascii="仿宋" w:hAnsi="仿宋" w:eastAsia="仿宋" w:cs="仿宋"/>
          <w:color w:val="auto"/>
          <w:sz w:val="24"/>
          <w:lang w:val="en-US" w:eastAsia="zh-CN"/>
        </w:rPr>
        <w:t>22</w:t>
      </w:r>
      <w:r>
        <w:rPr>
          <w:rFonts w:hint="eastAsia" w:ascii="仿宋" w:hAnsi="仿宋" w:eastAsia="仿宋" w:cs="仿宋"/>
          <w:color w:val="auto"/>
          <w:sz w:val="24"/>
        </w:rPr>
        <w:t>年</w:t>
      </w:r>
      <w:r>
        <w:rPr>
          <w:rFonts w:hint="eastAsia" w:ascii="仿宋" w:hAnsi="仿宋" w:eastAsia="仿宋" w:cs="仿宋"/>
          <w:color w:val="auto"/>
          <w:sz w:val="24"/>
          <w:lang w:val="en-US" w:eastAsia="zh-CN"/>
        </w:rPr>
        <w:t>2</w:t>
      </w:r>
      <w:r>
        <w:rPr>
          <w:rFonts w:hint="eastAsia" w:ascii="仿宋" w:hAnsi="仿宋" w:eastAsia="仿宋" w:cs="仿宋"/>
          <w:color w:val="auto"/>
          <w:sz w:val="24"/>
        </w:rPr>
        <w:t>月新制版本，请各位投标人详细阅读各项条款</w:t>
      </w:r>
      <w:r>
        <w:rPr>
          <w:rFonts w:hint="eastAsia" w:ascii="仿宋" w:hAnsi="仿宋" w:eastAsia="仿宋" w:cs="仿宋"/>
          <w:color w:val="auto"/>
          <w:sz w:val="24"/>
        </w:rPr>
        <w:br w:type="page"/>
      </w:r>
      <w:bookmarkStart w:id="0" w:name="_Hlt67893495"/>
      <w:bookmarkEnd w:id="0"/>
    </w:p>
    <w:p>
      <w:pPr>
        <w:spacing w:line="360" w:lineRule="auto"/>
        <w:jc w:val="center"/>
        <w:rPr>
          <w:rFonts w:hint="eastAsia" w:ascii="仿宋" w:hAnsi="仿宋" w:eastAsia="仿宋" w:cs="仿宋"/>
          <w:color w:val="auto"/>
          <w:sz w:val="24"/>
        </w:rPr>
      </w:pPr>
    </w:p>
    <w:p>
      <w:pPr>
        <w:spacing w:line="360" w:lineRule="auto"/>
        <w:jc w:val="center"/>
        <w:rPr>
          <w:rFonts w:hint="eastAsia" w:ascii="仿宋" w:hAnsi="仿宋" w:eastAsia="仿宋" w:cs="仿宋"/>
          <w:b/>
          <w:color w:val="auto"/>
          <w:sz w:val="48"/>
          <w:szCs w:val="48"/>
        </w:rPr>
      </w:pPr>
      <w:r>
        <w:rPr>
          <w:rFonts w:hint="eastAsia" w:ascii="仿宋" w:hAnsi="仿宋" w:eastAsia="仿宋" w:cs="仿宋"/>
          <w:b/>
          <w:color w:val="auto"/>
          <w:sz w:val="48"/>
          <w:szCs w:val="48"/>
        </w:rPr>
        <w:t>目  录</w:t>
      </w:r>
    </w:p>
    <w:p>
      <w:pPr>
        <w:spacing w:line="360" w:lineRule="auto"/>
        <w:rPr>
          <w:rFonts w:hint="eastAsia" w:ascii="仿宋" w:hAnsi="仿宋" w:eastAsia="仿宋" w:cs="仿宋"/>
          <w:color w:val="auto"/>
          <w:sz w:val="32"/>
          <w:szCs w:val="32"/>
        </w:rPr>
      </w:pPr>
    </w:p>
    <w:p>
      <w:pPr>
        <w:spacing w:line="360" w:lineRule="auto"/>
        <w:rPr>
          <w:rFonts w:hint="eastAsia" w:ascii="仿宋" w:hAnsi="仿宋" w:eastAsia="仿宋" w:cs="仿宋"/>
          <w:color w:val="auto"/>
          <w:sz w:val="32"/>
          <w:szCs w:val="32"/>
        </w:rPr>
      </w:pPr>
    </w:p>
    <w:p>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第一部分      招标公告</w:t>
      </w:r>
    </w:p>
    <w:p>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第二部分      投标人须知</w:t>
      </w:r>
    </w:p>
    <w:p>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第三部分      采购需求</w:t>
      </w:r>
    </w:p>
    <w:p>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第四部分      评标办法</w:t>
      </w:r>
    </w:p>
    <w:p>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第五部分      拟签订的合同文本</w:t>
      </w:r>
    </w:p>
    <w:p>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第六部分      应提交的有关格式范例</w:t>
      </w:r>
    </w:p>
    <w:p>
      <w:pPr>
        <w:spacing w:line="360" w:lineRule="auto"/>
        <w:ind w:firstLine="549" w:firstLineChars="229"/>
        <w:rPr>
          <w:rFonts w:hint="eastAsia" w:ascii="仿宋" w:hAnsi="仿宋" w:eastAsia="仿宋" w:cs="仿宋"/>
          <w:color w:val="auto"/>
          <w:sz w:val="24"/>
        </w:rPr>
      </w:pPr>
      <w:bookmarkStart w:id="1" w:name="_Hlt91233176"/>
      <w:bookmarkEnd w:id="1"/>
      <w:bookmarkStart w:id="2" w:name="_Toc91899869"/>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rPr>
          <w:rFonts w:hint="eastAsia" w:ascii="仿宋" w:hAnsi="仿宋" w:eastAsia="仿宋" w:cs="仿宋"/>
          <w:color w:val="auto"/>
          <w:sz w:val="24"/>
        </w:rPr>
      </w:pPr>
    </w:p>
    <w:bookmarkEnd w:id="2"/>
    <w:p>
      <w:pPr>
        <w:adjustRightInd/>
        <w:spacing w:line="360" w:lineRule="auto"/>
        <w:jc w:val="center"/>
        <w:outlineLvl w:val="0"/>
        <w:rPr>
          <w:rFonts w:hint="eastAsia" w:ascii="仿宋" w:hAnsi="仿宋" w:eastAsia="仿宋" w:cs="仿宋"/>
          <w:b/>
          <w:color w:val="auto"/>
          <w:sz w:val="36"/>
          <w:szCs w:val="20"/>
        </w:rPr>
        <w:sectPr>
          <w:headerReference r:id="rId3" w:type="default"/>
          <w:pgSz w:w="11907" w:h="16840"/>
          <w:pgMar w:top="1474" w:right="1814" w:bottom="1474" w:left="1814" w:header="851" w:footer="851" w:gutter="0"/>
          <w:cols w:space="720" w:num="1"/>
        </w:sectPr>
      </w:pPr>
      <w:bookmarkStart w:id="3" w:name="_Hlt74728647"/>
      <w:bookmarkEnd w:id="3"/>
      <w:bookmarkStart w:id="4" w:name="_Hlt74729822"/>
      <w:bookmarkEnd w:id="4"/>
      <w:bookmarkStart w:id="5" w:name="_Hlt74649545"/>
      <w:bookmarkEnd w:id="5"/>
      <w:bookmarkStart w:id="6" w:name="_Hlt74707423"/>
      <w:bookmarkEnd w:id="6"/>
      <w:bookmarkStart w:id="7" w:name="第二部分"/>
      <w:bookmarkStart w:id="8" w:name="_Toc91899870"/>
      <w:bookmarkStart w:id="9" w:name="_Toc91899871"/>
    </w:p>
    <w:p>
      <w:pPr>
        <w:adjustRightInd/>
        <w:spacing w:line="360" w:lineRule="auto"/>
        <w:jc w:val="center"/>
        <w:outlineLvl w:val="0"/>
        <w:rPr>
          <w:rFonts w:hint="eastAsia" w:ascii="仿宋" w:hAnsi="仿宋" w:eastAsia="仿宋" w:cs="仿宋"/>
          <w:b/>
          <w:color w:val="auto"/>
          <w:sz w:val="36"/>
          <w:szCs w:val="20"/>
        </w:rPr>
      </w:pPr>
      <w:r>
        <w:rPr>
          <w:rFonts w:hint="eastAsia" w:ascii="仿宋" w:hAnsi="仿宋" w:eastAsia="仿宋" w:cs="仿宋"/>
          <w:b/>
          <w:color w:val="auto"/>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u w:val="single"/>
        </w:rPr>
        <w:t>（萧山区应急广播系统改造提升项目）</w:t>
      </w:r>
      <w:r>
        <w:rPr>
          <w:rFonts w:hint="eastAsia" w:ascii="仿宋" w:hAnsi="仿宋" w:eastAsia="仿宋" w:cs="仿宋"/>
          <w:color w:val="auto"/>
          <w:sz w:val="24"/>
        </w:rPr>
        <w:t>招标项目的潜在投标人应在政采云平台（</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"https://www.zcygov.cn/）获取（下载）招标文件，并于2021年" </w:instrText>
      </w:r>
      <w:r>
        <w:rPr>
          <w:rFonts w:hint="eastAsia" w:ascii="仿宋" w:hAnsi="仿宋" w:eastAsia="仿宋" w:cs="仿宋"/>
          <w:color w:val="auto"/>
        </w:rPr>
        <w:fldChar w:fldCharType="separate"/>
      </w:r>
      <w:r>
        <w:rPr>
          <w:rStyle w:val="76"/>
          <w:rFonts w:hint="eastAsia" w:ascii="仿宋" w:hAnsi="仿宋" w:eastAsia="仿宋" w:cs="仿宋"/>
          <w:snapToGrid/>
          <w:color w:val="auto"/>
          <w:kern w:val="2"/>
          <w:sz w:val="24"/>
          <w:szCs w:val="24"/>
        </w:rPr>
        <w:t>https://www.zcygov.cn/）获取（下载）招标文件，并于</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2</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4</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21</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09</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00</w:t>
      </w:r>
      <w:bookmarkStart w:id="590" w:name="_GoBack"/>
      <w:bookmarkEnd w:id="590"/>
      <w:r>
        <w:rPr>
          <w:rFonts w:hint="eastAsia" w:ascii="仿宋" w:hAnsi="仿宋" w:eastAsia="仿宋" w:cs="仿宋"/>
          <w:color w:val="auto"/>
          <w:sz w:val="24"/>
          <w:u w:val="single"/>
        </w:rPr>
        <w:t>分</w:t>
      </w:r>
      <w:r>
        <w:rPr>
          <w:rFonts w:hint="eastAsia" w:ascii="仿宋" w:hAnsi="仿宋" w:eastAsia="仿宋" w:cs="仿宋"/>
          <w:bCs/>
          <w:color w:val="auto"/>
          <w:sz w:val="24"/>
          <w:u w:val="single"/>
        </w:rPr>
        <w:t>00秒</w:t>
      </w:r>
      <w:r>
        <w:rPr>
          <w:rFonts w:hint="eastAsia" w:ascii="仿宋" w:hAnsi="仿宋" w:eastAsia="仿宋" w:cs="仿宋"/>
          <w:bCs/>
          <w:color w:val="auto"/>
          <w:sz w:val="24"/>
          <w:u w:val="single"/>
        </w:rPr>
        <w:fldChar w:fldCharType="end"/>
      </w:r>
      <w:r>
        <w:rPr>
          <w:rFonts w:hint="eastAsia" w:ascii="仿宋" w:hAnsi="仿宋" w:eastAsia="仿宋" w:cs="仿宋"/>
          <w:bCs/>
          <w:color w:val="auto"/>
          <w:sz w:val="24"/>
        </w:rPr>
        <w:t>（北京时间）前</w:t>
      </w:r>
      <w:r>
        <w:rPr>
          <w:rFonts w:hint="eastAsia" w:ascii="仿宋" w:hAnsi="仿宋" w:eastAsia="仿宋" w:cs="仿宋"/>
          <w:color w:val="auto"/>
          <w:sz w:val="24"/>
        </w:rPr>
        <w:t>递交（上传）投标文件。</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 xml:space="preserve">一、项目基本情况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b/>
          <w:color w:val="auto"/>
          <w:sz w:val="24"/>
        </w:rPr>
        <w:t>项目编号：</w:t>
      </w:r>
      <w:r>
        <w:rPr>
          <w:rFonts w:hint="eastAsia" w:ascii="仿宋" w:hAnsi="仿宋" w:eastAsia="仿宋" w:cs="仿宋"/>
          <w:color w:val="auto"/>
          <w:sz w:val="24"/>
        </w:rPr>
        <w:t>XZCGDL2022-GK-ZCY005</w:t>
      </w:r>
    </w:p>
    <w:p>
      <w:pPr>
        <w:spacing w:line="360" w:lineRule="auto"/>
        <w:rPr>
          <w:rFonts w:hint="eastAsia" w:ascii="仿宋" w:hAnsi="仿宋" w:eastAsia="仿宋" w:cs="仿宋"/>
          <w:color w:val="auto"/>
          <w:sz w:val="24"/>
          <w:lang w:eastAsia="zh-CN"/>
        </w:rPr>
      </w:pPr>
      <w:r>
        <w:rPr>
          <w:rFonts w:hint="eastAsia" w:ascii="仿宋" w:hAnsi="仿宋" w:eastAsia="仿宋" w:cs="仿宋"/>
          <w:color w:val="auto"/>
          <w:sz w:val="24"/>
        </w:rPr>
        <w:t xml:space="preserve">   </w:t>
      </w:r>
      <w:r>
        <w:rPr>
          <w:rFonts w:hint="eastAsia" w:ascii="仿宋" w:hAnsi="仿宋" w:eastAsia="仿宋" w:cs="仿宋"/>
          <w:b/>
          <w:color w:val="auto"/>
          <w:sz w:val="24"/>
        </w:rPr>
        <w:t xml:space="preserve"> 项目名称：</w:t>
      </w:r>
      <w:r>
        <w:rPr>
          <w:rFonts w:hint="eastAsia" w:ascii="仿宋" w:hAnsi="仿宋" w:eastAsia="仿宋" w:cs="仿宋"/>
          <w:color w:val="auto"/>
          <w:sz w:val="24"/>
          <w:lang w:eastAsia="zh-CN"/>
        </w:rPr>
        <w:t>萧山区应急广播系统改造提升项目</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b/>
          <w:color w:val="auto"/>
          <w:sz w:val="24"/>
        </w:rPr>
        <w:t xml:space="preserve"> 预算金额（元）：</w:t>
      </w:r>
      <w:r>
        <w:rPr>
          <w:rFonts w:hint="eastAsia" w:ascii="仿宋" w:hAnsi="仿宋" w:eastAsia="仿宋" w:cs="仿宋"/>
          <w:color w:val="auto"/>
          <w:sz w:val="24"/>
          <w:lang w:val="en-US" w:eastAsia="zh-CN"/>
        </w:rPr>
        <w:t>7956000.00</w:t>
      </w:r>
      <w:r>
        <w:rPr>
          <w:rFonts w:hint="eastAsia" w:ascii="仿宋" w:hAnsi="仿宋" w:eastAsia="仿宋" w:cs="仿宋"/>
          <w:color w:val="auto"/>
          <w:sz w:val="24"/>
        </w:rPr>
        <w:t xml:space="preserve">元 </w:t>
      </w:r>
    </w:p>
    <w:p>
      <w:pPr>
        <w:spacing w:line="360" w:lineRule="auto"/>
        <w:ind w:firstLine="480"/>
        <w:rPr>
          <w:rFonts w:hint="eastAsia" w:ascii="仿宋" w:hAnsi="仿宋" w:eastAsia="仿宋" w:cs="仿宋"/>
          <w:color w:val="auto"/>
          <w:sz w:val="24"/>
        </w:rPr>
      </w:pPr>
      <w:r>
        <w:rPr>
          <w:rFonts w:hint="eastAsia" w:ascii="仿宋" w:hAnsi="仿宋" w:eastAsia="仿宋" w:cs="仿宋"/>
          <w:b/>
          <w:color w:val="auto"/>
          <w:sz w:val="24"/>
        </w:rPr>
        <w:t>最高限价（元）：</w:t>
      </w:r>
      <w:r>
        <w:rPr>
          <w:rFonts w:hint="eastAsia" w:ascii="仿宋" w:hAnsi="仿宋" w:eastAsia="仿宋" w:cs="仿宋"/>
          <w:color w:val="auto"/>
          <w:sz w:val="24"/>
          <w:lang w:val="en-US" w:eastAsia="zh-CN"/>
        </w:rPr>
        <w:t>7956000.00</w:t>
      </w:r>
      <w:r>
        <w:rPr>
          <w:rFonts w:hint="eastAsia" w:ascii="仿宋" w:hAnsi="仿宋" w:eastAsia="仿宋" w:cs="仿宋"/>
          <w:color w:val="auto"/>
          <w:sz w:val="24"/>
        </w:rPr>
        <w:t>元</w:t>
      </w:r>
    </w:p>
    <w:p>
      <w:pPr>
        <w:pStyle w:val="17"/>
        <w:spacing w:line="360" w:lineRule="auto"/>
        <w:ind w:firstLine="480"/>
        <w:rPr>
          <w:rFonts w:hint="eastAsia" w:ascii="仿宋" w:hAnsi="仿宋" w:eastAsia="仿宋" w:cs="仿宋"/>
          <w:bCs/>
          <w:snapToGrid/>
          <w:color w:val="auto"/>
          <w:kern w:val="2"/>
          <w:sz w:val="24"/>
          <w:szCs w:val="24"/>
        </w:rPr>
      </w:pPr>
      <w:r>
        <w:rPr>
          <w:rFonts w:hint="eastAsia" w:ascii="仿宋" w:hAnsi="仿宋" w:eastAsia="仿宋" w:cs="仿宋"/>
          <w:b/>
          <w:color w:val="auto"/>
          <w:sz w:val="24"/>
        </w:rPr>
        <w:t>采购需求：</w:t>
      </w:r>
      <w:r>
        <w:rPr>
          <w:rFonts w:hint="eastAsia" w:ascii="仿宋" w:hAnsi="仿宋" w:eastAsia="仿宋" w:cs="仿宋"/>
          <w:bCs/>
          <w:snapToGrid/>
          <w:color w:val="auto"/>
          <w:kern w:val="2"/>
          <w:sz w:val="24"/>
          <w:szCs w:val="24"/>
          <w:lang w:eastAsia="zh-CN"/>
        </w:rPr>
        <w:t>萧山区应急广播系统改造提升项目</w:t>
      </w:r>
      <w:r>
        <w:rPr>
          <w:rFonts w:hint="eastAsia" w:ascii="仿宋" w:hAnsi="仿宋" w:eastAsia="仿宋" w:cs="仿宋"/>
          <w:bCs/>
          <w:snapToGrid/>
          <w:color w:val="auto"/>
          <w:kern w:val="2"/>
          <w:sz w:val="24"/>
          <w:szCs w:val="24"/>
        </w:rPr>
        <w:t>。详见招标文件第三部分采购需求。</w:t>
      </w:r>
    </w:p>
    <w:p>
      <w:pPr>
        <w:pStyle w:val="128"/>
        <w:ind w:firstLine="482"/>
        <w:outlineLvl w:val="2"/>
        <w:rPr>
          <w:rFonts w:hint="eastAsia" w:ascii="仿宋" w:hAnsi="仿宋" w:eastAsia="仿宋" w:cs="仿宋"/>
          <w:color w:val="auto"/>
        </w:rPr>
      </w:pPr>
      <w:r>
        <w:rPr>
          <w:rFonts w:hint="eastAsia" w:ascii="仿宋" w:hAnsi="仿宋" w:eastAsia="仿宋" w:cs="仿宋"/>
          <w:b/>
          <w:color w:val="auto"/>
        </w:rPr>
        <w:t>合同履约期限：</w:t>
      </w:r>
    </w:p>
    <w:p>
      <w:pPr>
        <w:spacing w:line="360" w:lineRule="auto"/>
        <w:ind w:firstLine="480"/>
        <w:rPr>
          <w:rFonts w:hint="eastAsia" w:ascii="仿宋" w:hAnsi="仿宋" w:eastAsia="仿宋" w:cs="仿宋"/>
          <w:b/>
          <w:color w:val="auto"/>
          <w:sz w:val="24"/>
        </w:rPr>
      </w:pPr>
      <w:r>
        <w:rPr>
          <w:rFonts w:hint="eastAsia" w:ascii="仿宋" w:hAnsi="仿宋" w:eastAsia="仿宋" w:cs="仿宋"/>
          <w:b/>
          <w:color w:val="auto"/>
          <w:sz w:val="24"/>
        </w:rPr>
        <w:t xml:space="preserve">本项目接受联合体投标：（ ）是；（√）否 </w:t>
      </w:r>
      <w:r>
        <w:rPr>
          <w:rFonts w:hint="eastAsia" w:ascii="仿宋" w:hAnsi="仿宋" w:eastAsia="仿宋" w:cs="仿宋"/>
          <w:color w:val="auto"/>
          <w:kern w:val="0"/>
          <w:sz w:val="24"/>
        </w:rPr>
        <w:t>。</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二、申请人的资格要求：</w:t>
      </w:r>
    </w:p>
    <w:p>
      <w:pPr>
        <w:spacing w:line="360" w:lineRule="auto"/>
        <w:ind w:firstLine="480"/>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 xml:space="preserve">    2.落实政府采购政策需满足的资格要求：</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color w:val="auto"/>
          <w:sz w:val="24"/>
        </w:rPr>
        <w:t>√</w:t>
      </w:r>
      <w:r>
        <w:rPr>
          <w:rFonts w:hint="eastAsia" w:ascii="仿宋" w:hAnsi="仿宋" w:eastAsia="仿宋" w:cs="仿宋"/>
          <w:color w:val="auto"/>
          <w:sz w:val="24"/>
        </w:rPr>
        <w:t>）无；</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）专门面向中小企业</w:t>
      </w:r>
    </w:p>
    <w:p>
      <w:pPr>
        <w:spacing w:line="360" w:lineRule="auto"/>
        <w:ind w:left="1058" w:leftChars="0" w:firstLine="0" w:firstLineChars="0"/>
        <w:rPr>
          <w:rFonts w:hint="eastAsia" w:ascii="仿宋" w:hAnsi="仿宋" w:eastAsia="仿宋" w:cs="仿宋"/>
          <w:color w:val="auto"/>
          <w:sz w:val="24"/>
        </w:rPr>
      </w:pPr>
      <w:r>
        <w:rPr>
          <w:rFonts w:hint="eastAsia" w:ascii="仿宋" w:hAnsi="仿宋" w:eastAsia="仿宋" w:cs="仿宋"/>
          <w:color w:val="auto"/>
          <w:sz w:val="24"/>
        </w:rPr>
        <w:t>（ ）货物全部由符合政策要求的中小企业制造，提供中小企业声明函；</w:t>
      </w:r>
    </w:p>
    <w:p>
      <w:pPr>
        <w:spacing w:line="360" w:lineRule="auto"/>
        <w:ind w:left="1058" w:leftChars="0" w:firstLine="0" w:firstLineChars="0"/>
        <w:rPr>
          <w:rFonts w:hint="eastAsia" w:ascii="仿宋" w:hAnsi="仿宋" w:eastAsia="仿宋" w:cs="仿宋"/>
          <w:color w:val="auto"/>
          <w:sz w:val="24"/>
        </w:rPr>
      </w:pPr>
      <w:r>
        <w:rPr>
          <w:rFonts w:hint="eastAsia" w:ascii="仿宋" w:hAnsi="仿宋" w:eastAsia="仿宋" w:cs="仿宋"/>
          <w:color w:val="auto"/>
          <w:sz w:val="24"/>
        </w:rPr>
        <w:t>（ ）货物全部由符合政策要求的小微企业制造，提供中小企业声明函；</w:t>
      </w:r>
    </w:p>
    <w:p>
      <w:pPr>
        <w:spacing w:line="360" w:lineRule="auto"/>
        <w:ind w:left="1058" w:leftChars="0" w:firstLine="0" w:firstLineChars="0"/>
        <w:rPr>
          <w:rFonts w:hint="eastAsia" w:ascii="仿宋" w:hAnsi="仿宋" w:eastAsia="仿宋" w:cs="仿宋"/>
          <w:color w:val="auto"/>
          <w:sz w:val="24"/>
        </w:rPr>
      </w:pPr>
      <w:r>
        <w:rPr>
          <w:rFonts w:hint="eastAsia" w:ascii="仿宋" w:hAnsi="仿宋" w:eastAsia="仿宋" w:cs="仿宋"/>
          <w:color w:val="auto"/>
          <w:sz w:val="24"/>
        </w:rPr>
        <w:t>（ ）服务全部由符合政策要求的中小企业承接，提供中小企业声明函；</w:t>
      </w:r>
    </w:p>
    <w:p>
      <w:pPr>
        <w:spacing w:line="360" w:lineRule="auto"/>
        <w:ind w:left="1058" w:leftChars="0" w:firstLine="0" w:firstLineChars="0"/>
        <w:rPr>
          <w:rFonts w:hint="eastAsia" w:ascii="仿宋" w:hAnsi="仿宋" w:eastAsia="仿宋" w:cs="仿宋"/>
          <w:color w:val="auto"/>
          <w:sz w:val="24"/>
        </w:rPr>
      </w:pPr>
      <w:r>
        <w:rPr>
          <w:rFonts w:hint="eastAsia" w:ascii="仿宋" w:hAnsi="仿宋" w:eastAsia="仿宋" w:cs="仿宋"/>
          <w:color w:val="auto"/>
          <w:sz w:val="24"/>
        </w:rPr>
        <w:t>（ ）服务全部由符合政策要求的小微企业承接，提供中小企业声明函；</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）要求以联合体形式参加，提供联合协议和中小企业声明函，联合协议中中小企业合同金额应当达到  %，小微企业合同金额应当达到 %;如果供应商本身提供所有标的均由中小企业制造、承建或承接，视同符合了资格条件，无需再与其他中小企业组成联合体参加政府采购活动，无需提供联合协议；</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）要求合同分包，提供分包意向协议和中小企业声明函，分包意向协议中中小企业合同金额应当达到达到  % ，小微企业合同金额应当达到 % ;如果供应商本身提供所有标的均由中小企业制造、承建或承接，视同符合了资格条件，无需再向中小企业分包，无需提供分包意向协议；</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3.本项目的特定资格要求：无；</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 xml:space="preserve">三、获取招标文件 </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时间：</w:t>
      </w:r>
      <w:r>
        <w:rPr>
          <w:rFonts w:hint="eastAsia" w:ascii="仿宋" w:hAnsi="仿宋" w:eastAsia="仿宋" w:cs="仿宋"/>
          <w:color w:val="auto"/>
          <w:sz w:val="24"/>
        </w:rPr>
        <w:t>/至</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2</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4</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21</w:t>
      </w:r>
      <w:r>
        <w:rPr>
          <w:rFonts w:hint="eastAsia" w:ascii="仿宋" w:hAnsi="仿宋" w:eastAsia="仿宋" w:cs="仿宋"/>
          <w:color w:val="auto"/>
          <w:sz w:val="24"/>
          <w:u w:val="single"/>
        </w:rPr>
        <w:t>日</w:t>
      </w:r>
      <w:r>
        <w:rPr>
          <w:rFonts w:hint="eastAsia" w:ascii="仿宋" w:hAnsi="仿宋" w:eastAsia="仿宋" w:cs="仿宋"/>
          <w:color w:val="auto"/>
          <w:sz w:val="24"/>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地点（网址）：</w:t>
      </w:r>
      <w:r>
        <w:rPr>
          <w:rFonts w:hint="eastAsia" w:ascii="仿宋" w:hAnsi="仿宋" w:eastAsia="仿宋" w:cs="仿宋"/>
          <w:color w:val="auto"/>
          <w:sz w:val="24"/>
        </w:rPr>
        <w:t xml:space="preserve">政采云平台（https://www.zcygov.cn/） </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方式：</w:t>
      </w:r>
      <w:r>
        <w:rPr>
          <w:rFonts w:hint="eastAsia" w:ascii="仿宋" w:hAnsi="仿宋" w:eastAsia="仿宋" w:cs="仿宋"/>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售价（元）：</w:t>
      </w:r>
      <w:r>
        <w:rPr>
          <w:rFonts w:hint="eastAsia" w:ascii="仿宋" w:hAnsi="仿宋" w:eastAsia="仿宋" w:cs="仿宋"/>
          <w:color w:val="auto"/>
          <w:sz w:val="24"/>
        </w:rPr>
        <w:t xml:space="preserve">0 </w:t>
      </w:r>
      <w:r>
        <w:rPr>
          <w:rFonts w:hint="eastAsia" w:ascii="仿宋" w:hAnsi="仿宋" w:eastAsia="仿宋" w:cs="仿宋"/>
          <w:color w:val="auto"/>
          <w:sz w:val="24"/>
        </w:rPr>
        <w:tab/>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四、提交投标文件截止时间、开标时间和地点</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提交投标文件截止时间：</w:t>
      </w:r>
      <w:r>
        <w:rPr>
          <w:rFonts w:hint="eastAsia" w:ascii="仿宋" w:hAnsi="仿宋" w:eastAsia="仿宋" w:cs="仿宋"/>
          <w:color w:val="auto"/>
          <w:sz w:val="24"/>
          <w:u w:val="single"/>
        </w:rPr>
        <w:t xml:space="preserve"> 202</w:t>
      </w:r>
      <w:r>
        <w:rPr>
          <w:rFonts w:hint="eastAsia" w:ascii="仿宋" w:hAnsi="仿宋" w:eastAsia="仿宋" w:cs="仿宋"/>
          <w:color w:val="auto"/>
          <w:sz w:val="24"/>
          <w:u w:val="single"/>
          <w:lang w:val="en-US" w:eastAsia="zh-CN"/>
        </w:rPr>
        <w:t>2</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4</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21</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09</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00</w:t>
      </w:r>
      <w:r>
        <w:rPr>
          <w:rFonts w:hint="eastAsia" w:ascii="仿宋" w:hAnsi="仿宋" w:eastAsia="仿宋" w:cs="仿宋"/>
          <w:color w:val="auto"/>
          <w:sz w:val="24"/>
          <w:u w:val="single"/>
        </w:rPr>
        <w:t>分</w:t>
      </w:r>
      <w:r>
        <w:rPr>
          <w:rFonts w:hint="eastAsia" w:ascii="仿宋" w:hAnsi="仿宋" w:eastAsia="仿宋" w:cs="仿宋"/>
          <w:bCs/>
          <w:color w:val="auto"/>
          <w:sz w:val="24"/>
          <w:u w:val="single"/>
        </w:rPr>
        <w:t xml:space="preserve"> </w:t>
      </w:r>
      <w:r>
        <w:rPr>
          <w:rFonts w:hint="eastAsia" w:ascii="仿宋" w:hAnsi="仿宋" w:eastAsia="仿宋" w:cs="仿宋"/>
          <w:color w:val="auto"/>
          <w:sz w:val="24"/>
        </w:rPr>
        <w:t>（北京时间）</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投标地点（网址）：</w:t>
      </w:r>
      <w:r>
        <w:rPr>
          <w:rFonts w:hint="eastAsia" w:ascii="仿宋" w:hAnsi="仿宋" w:eastAsia="仿宋" w:cs="仿宋"/>
          <w:color w:val="auto"/>
          <w:sz w:val="24"/>
        </w:rPr>
        <w:t xml:space="preserve">政采云平台（https://www.zcygov.cn/） </w:t>
      </w:r>
    </w:p>
    <w:p>
      <w:pPr>
        <w:spacing w:line="360" w:lineRule="auto"/>
        <w:ind w:firstLine="482" w:firstLineChars="200"/>
        <w:rPr>
          <w:rFonts w:hint="eastAsia" w:ascii="仿宋" w:hAnsi="仿宋" w:eastAsia="仿宋" w:cs="仿宋"/>
          <w:bCs/>
          <w:color w:val="auto"/>
          <w:sz w:val="24"/>
          <w:u w:val="single"/>
        </w:rPr>
      </w:pPr>
      <w:r>
        <w:rPr>
          <w:rFonts w:hint="eastAsia" w:ascii="仿宋" w:hAnsi="仿宋" w:eastAsia="仿宋" w:cs="仿宋"/>
          <w:b/>
          <w:color w:val="auto"/>
          <w:sz w:val="24"/>
        </w:rPr>
        <w:t>开标时间：</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2</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4</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21</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09</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00</w:t>
      </w:r>
      <w:r>
        <w:rPr>
          <w:rFonts w:hint="eastAsia" w:ascii="仿宋" w:hAnsi="仿宋" w:eastAsia="仿宋" w:cs="仿宋"/>
          <w:color w:val="auto"/>
          <w:sz w:val="24"/>
          <w:u w:val="single"/>
        </w:rPr>
        <w:t>分</w:t>
      </w:r>
      <w:r>
        <w:rPr>
          <w:rFonts w:hint="eastAsia" w:ascii="仿宋" w:hAnsi="仿宋" w:eastAsia="仿宋" w:cs="仿宋"/>
          <w:bCs/>
          <w:color w:val="auto"/>
          <w:sz w:val="24"/>
          <w:u w:val="single"/>
        </w:rPr>
        <w:t xml:space="preserve"> </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开标地点（网址）：</w:t>
      </w:r>
      <w:r>
        <w:rPr>
          <w:rFonts w:hint="eastAsia" w:ascii="仿宋" w:hAnsi="仿宋" w:eastAsia="仿宋" w:cs="仿宋"/>
          <w:color w:val="auto"/>
          <w:sz w:val="24"/>
        </w:rPr>
        <w:t>政采云平台（https://www.zcygov.cn/）</w:t>
      </w:r>
    </w:p>
    <w:p>
      <w:pPr>
        <w:spacing w:line="360" w:lineRule="auto"/>
        <w:rPr>
          <w:rFonts w:hint="eastAsia" w:ascii="仿宋" w:hAnsi="仿宋" w:eastAsia="仿宋" w:cs="仿宋"/>
          <w:color w:val="auto"/>
          <w:sz w:val="24"/>
        </w:rPr>
      </w:pPr>
      <w:r>
        <w:rPr>
          <w:rFonts w:hint="eastAsia" w:ascii="仿宋" w:hAnsi="仿宋" w:eastAsia="仿宋" w:cs="仿宋"/>
          <w:b/>
          <w:color w:val="auto"/>
          <w:sz w:val="24"/>
        </w:rPr>
        <w:t xml:space="preserve">五、公告期限 </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自本公告发布之日起5个工作日。</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六、其他补充事宜</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七、对本次采购提出询问、质疑、投诉，请按以下方式联系</w:t>
      </w:r>
    </w:p>
    <w:p>
      <w:pPr>
        <w:widowControl/>
        <w:spacing w:line="360" w:lineRule="auto"/>
        <w:jc w:val="left"/>
        <w:rPr>
          <w:rFonts w:hint="eastAsia" w:ascii="仿宋" w:hAnsi="仿宋" w:eastAsia="仿宋" w:cs="仿宋"/>
          <w:color w:val="auto"/>
          <w:sz w:val="24"/>
          <w:szCs w:val="28"/>
        </w:rPr>
      </w:pPr>
      <w:r>
        <w:rPr>
          <w:rFonts w:hint="eastAsia" w:ascii="仿宋" w:hAnsi="仿宋" w:eastAsia="仿宋" w:cs="仿宋"/>
          <w:color w:val="auto"/>
          <w:sz w:val="24"/>
        </w:rPr>
        <w:t xml:space="preserve">  </w:t>
      </w:r>
      <w:bookmarkStart w:id="10" w:name="_Toc28359009"/>
      <w:bookmarkStart w:id="11" w:name="_Toc28359086"/>
      <w:r>
        <w:rPr>
          <w:rFonts w:hint="eastAsia" w:ascii="仿宋" w:hAnsi="仿宋" w:eastAsia="仿宋" w:cs="仿宋"/>
          <w:color w:val="auto"/>
          <w:sz w:val="24"/>
        </w:rPr>
        <w:t xml:space="preserve"> </w:t>
      </w:r>
      <w:r>
        <w:rPr>
          <w:rFonts w:hint="eastAsia" w:ascii="仿宋" w:hAnsi="仿宋" w:eastAsia="仿宋" w:cs="仿宋"/>
          <w:color w:val="auto"/>
          <w:sz w:val="24"/>
          <w:szCs w:val="28"/>
        </w:rPr>
        <w:t>1.采购人信息</w:t>
      </w:r>
    </w:p>
    <w:p>
      <w:pPr>
        <w:spacing w:line="360" w:lineRule="auto"/>
        <w:jc w:val="left"/>
        <w:rPr>
          <w:rFonts w:hint="eastAsia" w:ascii="仿宋" w:hAnsi="仿宋" w:eastAsia="仿宋" w:cs="仿宋"/>
          <w:color w:val="auto"/>
          <w:sz w:val="24"/>
          <w:szCs w:val="28"/>
          <w:lang w:eastAsia="zh-CN"/>
        </w:rPr>
      </w:pPr>
      <w:r>
        <w:rPr>
          <w:rFonts w:hint="eastAsia" w:ascii="仿宋" w:hAnsi="仿宋" w:eastAsia="仿宋" w:cs="仿宋"/>
          <w:color w:val="auto"/>
          <w:sz w:val="24"/>
          <w:szCs w:val="28"/>
        </w:rPr>
        <w:t>名 称：</w:t>
      </w:r>
      <w:r>
        <w:rPr>
          <w:rFonts w:hint="eastAsia" w:ascii="仿宋" w:hAnsi="仿宋" w:eastAsia="仿宋" w:cs="仿宋"/>
          <w:color w:val="auto"/>
          <w:sz w:val="24"/>
          <w:szCs w:val="28"/>
          <w:lang w:eastAsia="zh-CN"/>
        </w:rPr>
        <w:t>杭州市萧山区文化和广电旅游体育局</w:t>
      </w:r>
    </w:p>
    <w:p>
      <w:pPr>
        <w:spacing w:line="360" w:lineRule="auto"/>
        <w:jc w:val="left"/>
        <w:rPr>
          <w:rFonts w:hint="eastAsia" w:ascii="仿宋" w:hAnsi="仿宋" w:eastAsia="仿宋" w:cs="仿宋"/>
          <w:color w:val="auto"/>
          <w:sz w:val="24"/>
          <w:szCs w:val="28"/>
        </w:rPr>
      </w:pPr>
      <w:r>
        <w:rPr>
          <w:rFonts w:hint="eastAsia" w:ascii="仿宋" w:hAnsi="仿宋" w:eastAsia="仿宋" w:cs="仿宋"/>
          <w:color w:val="auto"/>
          <w:sz w:val="24"/>
          <w:szCs w:val="28"/>
        </w:rPr>
        <w:t>地址：杭州市萧山区市心中路958号</w:t>
      </w:r>
    </w:p>
    <w:p>
      <w:pPr>
        <w:spacing w:line="360" w:lineRule="auto"/>
        <w:jc w:val="left"/>
        <w:rPr>
          <w:rFonts w:hint="eastAsia" w:ascii="仿宋" w:hAnsi="仿宋" w:eastAsia="仿宋" w:cs="仿宋"/>
          <w:color w:val="auto"/>
          <w:sz w:val="24"/>
          <w:szCs w:val="28"/>
        </w:rPr>
      </w:pPr>
      <w:r>
        <w:rPr>
          <w:rFonts w:hint="eastAsia" w:ascii="仿宋" w:hAnsi="仿宋" w:eastAsia="仿宋" w:cs="仿宋"/>
          <w:color w:val="auto"/>
          <w:sz w:val="24"/>
          <w:szCs w:val="28"/>
        </w:rPr>
        <w:t>传真：\</w:t>
      </w:r>
    </w:p>
    <w:p>
      <w:pPr>
        <w:spacing w:line="360" w:lineRule="auto"/>
        <w:jc w:val="left"/>
        <w:rPr>
          <w:rFonts w:hint="eastAsia" w:ascii="仿宋" w:hAnsi="仿宋" w:eastAsia="仿宋" w:cs="仿宋"/>
          <w:color w:val="auto"/>
          <w:sz w:val="24"/>
          <w:szCs w:val="28"/>
          <w:lang w:eastAsia="zh-CN"/>
        </w:rPr>
      </w:pPr>
      <w:r>
        <w:rPr>
          <w:rFonts w:hint="eastAsia" w:ascii="仿宋" w:hAnsi="仿宋" w:eastAsia="仿宋" w:cs="仿宋"/>
          <w:color w:val="auto"/>
          <w:sz w:val="24"/>
          <w:szCs w:val="28"/>
        </w:rPr>
        <w:t>项目联系人（询问）：</w:t>
      </w:r>
      <w:r>
        <w:rPr>
          <w:rFonts w:hint="eastAsia" w:ascii="仿宋" w:hAnsi="仿宋" w:eastAsia="仿宋" w:cs="仿宋"/>
          <w:color w:val="auto"/>
          <w:sz w:val="24"/>
          <w:szCs w:val="28"/>
          <w:lang w:eastAsia="zh-CN"/>
        </w:rPr>
        <w:t>沈华锋</w:t>
      </w:r>
    </w:p>
    <w:p>
      <w:pPr>
        <w:spacing w:line="360" w:lineRule="auto"/>
        <w:jc w:val="left"/>
        <w:rPr>
          <w:rFonts w:hint="eastAsia" w:ascii="仿宋" w:hAnsi="仿宋" w:eastAsia="仿宋" w:cs="仿宋"/>
          <w:color w:val="auto"/>
          <w:sz w:val="24"/>
          <w:szCs w:val="28"/>
        </w:rPr>
      </w:pPr>
      <w:r>
        <w:rPr>
          <w:rFonts w:hint="eastAsia" w:ascii="仿宋" w:hAnsi="仿宋" w:eastAsia="仿宋" w:cs="仿宋"/>
          <w:color w:val="auto"/>
          <w:sz w:val="24"/>
          <w:szCs w:val="28"/>
        </w:rPr>
        <w:t xml:space="preserve">项目联系方式（询问）：0571-83869027   </w:t>
      </w:r>
    </w:p>
    <w:p>
      <w:pPr>
        <w:spacing w:line="360" w:lineRule="auto"/>
        <w:jc w:val="left"/>
        <w:rPr>
          <w:rFonts w:hint="eastAsia" w:ascii="仿宋" w:hAnsi="仿宋" w:eastAsia="仿宋" w:cs="仿宋"/>
          <w:color w:val="auto"/>
          <w:sz w:val="24"/>
          <w:szCs w:val="28"/>
        </w:rPr>
      </w:pPr>
      <w:r>
        <w:rPr>
          <w:rFonts w:hint="eastAsia" w:ascii="仿宋" w:hAnsi="仿宋" w:eastAsia="仿宋" w:cs="仿宋"/>
          <w:color w:val="auto"/>
          <w:sz w:val="24"/>
          <w:szCs w:val="28"/>
        </w:rPr>
        <w:t>质疑联系人：郑洁</w:t>
      </w:r>
    </w:p>
    <w:p>
      <w:pPr>
        <w:spacing w:line="360" w:lineRule="auto"/>
        <w:jc w:val="left"/>
        <w:rPr>
          <w:rFonts w:hint="eastAsia" w:ascii="仿宋" w:hAnsi="仿宋" w:eastAsia="仿宋" w:cs="仿宋"/>
          <w:color w:val="auto"/>
          <w:sz w:val="24"/>
          <w:szCs w:val="28"/>
          <w:lang w:eastAsia="zh-CN"/>
        </w:rPr>
      </w:pPr>
      <w:r>
        <w:rPr>
          <w:rFonts w:hint="eastAsia" w:ascii="仿宋" w:hAnsi="仿宋" w:eastAsia="仿宋" w:cs="仿宋"/>
          <w:color w:val="auto"/>
          <w:sz w:val="24"/>
          <w:szCs w:val="28"/>
        </w:rPr>
        <w:t xml:space="preserve">质疑联系方式：0571-83869021 </w:t>
      </w:r>
    </w:p>
    <w:p>
      <w:pPr>
        <w:spacing w:line="360" w:lineRule="auto"/>
        <w:jc w:val="left"/>
        <w:rPr>
          <w:rFonts w:hint="eastAsia" w:ascii="仿宋" w:hAnsi="仿宋" w:eastAsia="仿宋" w:cs="仿宋"/>
          <w:color w:val="auto"/>
          <w:sz w:val="24"/>
          <w:szCs w:val="28"/>
        </w:rPr>
      </w:pPr>
      <w:r>
        <w:rPr>
          <w:rFonts w:hint="eastAsia" w:ascii="仿宋" w:hAnsi="仿宋" w:eastAsia="仿宋" w:cs="仿宋"/>
          <w:color w:val="auto"/>
          <w:sz w:val="24"/>
          <w:szCs w:val="28"/>
        </w:rPr>
        <w:t>2.采购代理机构信息</w:t>
      </w:r>
      <w:bookmarkEnd w:id="10"/>
      <w:bookmarkEnd w:id="11"/>
    </w:p>
    <w:p>
      <w:pPr>
        <w:spacing w:line="360" w:lineRule="auto"/>
        <w:jc w:val="left"/>
        <w:rPr>
          <w:rFonts w:hint="eastAsia" w:ascii="仿宋" w:hAnsi="仿宋" w:eastAsia="仿宋" w:cs="仿宋"/>
          <w:color w:val="auto"/>
          <w:sz w:val="24"/>
          <w:szCs w:val="28"/>
        </w:rPr>
      </w:pPr>
      <w:r>
        <w:rPr>
          <w:rFonts w:hint="eastAsia" w:ascii="仿宋" w:hAnsi="仿宋" w:eastAsia="仿宋" w:cs="仿宋"/>
          <w:color w:val="auto"/>
          <w:sz w:val="24"/>
          <w:szCs w:val="28"/>
        </w:rPr>
        <w:t>名 称：浙江华域高宇项目管理有限公司</w:t>
      </w:r>
    </w:p>
    <w:p>
      <w:pPr>
        <w:spacing w:line="360" w:lineRule="auto"/>
        <w:jc w:val="left"/>
        <w:rPr>
          <w:rFonts w:hint="eastAsia" w:ascii="仿宋" w:hAnsi="仿宋" w:eastAsia="仿宋" w:cs="仿宋"/>
          <w:color w:val="auto"/>
          <w:sz w:val="24"/>
          <w:szCs w:val="28"/>
        </w:rPr>
      </w:pPr>
      <w:r>
        <w:rPr>
          <w:rFonts w:hint="eastAsia" w:ascii="仿宋" w:hAnsi="仿宋" w:eastAsia="仿宋" w:cs="仿宋"/>
          <w:color w:val="auto"/>
          <w:sz w:val="24"/>
          <w:szCs w:val="28"/>
        </w:rPr>
        <w:t>地址：萧山区北干街道金城路560号心意广场2幢1101室</w:t>
      </w:r>
    </w:p>
    <w:p>
      <w:pPr>
        <w:spacing w:line="360" w:lineRule="auto"/>
        <w:jc w:val="left"/>
        <w:rPr>
          <w:rFonts w:hint="eastAsia" w:ascii="仿宋" w:hAnsi="仿宋" w:eastAsia="仿宋" w:cs="仿宋"/>
          <w:color w:val="auto"/>
          <w:sz w:val="24"/>
          <w:szCs w:val="28"/>
        </w:rPr>
      </w:pPr>
      <w:r>
        <w:rPr>
          <w:rFonts w:hint="eastAsia" w:ascii="仿宋" w:hAnsi="仿宋" w:eastAsia="仿宋" w:cs="仿宋"/>
          <w:color w:val="auto"/>
          <w:sz w:val="24"/>
          <w:szCs w:val="28"/>
        </w:rPr>
        <w:t>传真：0571-22866657</w:t>
      </w:r>
    </w:p>
    <w:p>
      <w:pPr>
        <w:spacing w:line="360" w:lineRule="auto"/>
        <w:jc w:val="left"/>
        <w:rPr>
          <w:rFonts w:hint="eastAsia" w:ascii="仿宋" w:hAnsi="仿宋" w:eastAsia="仿宋" w:cs="仿宋"/>
          <w:color w:val="auto"/>
          <w:sz w:val="24"/>
          <w:szCs w:val="28"/>
        </w:rPr>
      </w:pPr>
      <w:r>
        <w:rPr>
          <w:rFonts w:hint="eastAsia" w:ascii="仿宋" w:hAnsi="仿宋" w:eastAsia="仿宋" w:cs="仿宋"/>
          <w:color w:val="auto"/>
          <w:sz w:val="24"/>
          <w:szCs w:val="28"/>
        </w:rPr>
        <w:t>项目联系人（询问）：陈超</w:t>
      </w:r>
    </w:p>
    <w:p>
      <w:pPr>
        <w:spacing w:line="360" w:lineRule="auto"/>
        <w:jc w:val="left"/>
        <w:rPr>
          <w:rFonts w:hint="eastAsia" w:ascii="仿宋" w:hAnsi="仿宋" w:eastAsia="仿宋" w:cs="仿宋"/>
          <w:color w:val="auto"/>
          <w:sz w:val="24"/>
          <w:szCs w:val="28"/>
        </w:rPr>
      </w:pPr>
      <w:r>
        <w:rPr>
          <w:rFonts w:hint="eastAsia" w:ascii="仿宋" w:hAnsi="仿宋" w:eastAsia="仿宋" w:cs="仿宋"/>
          <w:color w:val="auto"/>
          <w:sz w:val="24"/>
          <w:szCs w:val="28"/>
        </w:rPr>
        <w:t>项目联系方式（询问）：0571-22816663/13738195695</w:t>
      </w:r>
    </w:p>
    <w:p>
      <w:pPr>
        <w:spacing w:line="360" w:lineRule="auto"/>
        <w:jc w:val="left"/>
        <w:rPr>
          <w:rFonts w:hint="eastAsia" w:ascii="仿宋" w:hAnsi="仿宋" w:eastAsia="仿宋" w:cs="仿宋"/>
          <w:color w:val="auto"/>
          <w:sz w:val="24"/>
          <w:szCs w:val="28"/>
        </w:rPr>
      </w:pPr>
      <w:r>
        <w:rPr>
          <w:rFonts w:hint="eastAsia" w:ascii="仿宋" w:hAnsi="仿宋" w:eastAsia="仿宋" w:cs="仿宋"/>
          <w:color w:val="auto"/>
          <w:sz w:val="24"/>
          <w:szCs w:val="28"/>
        </w:rPr>
        <w:t>质疑联系人：高天宇</w:t>
      </w:r>
    </w:p>
    <w:p>
      <w:pPr>
        <w:spacing w:line="360" w:lineRule="auto"/>
        <w:jc w:val="left"/>
        <w:rPr>
          <w:rFonts w:hint="eastAsia" w:ascii="仿宋" w:hAnsi="仿宋" w:eastAsia="仿宋" w:cs="仿宋"/>
          <w:color w:val="auto"/>
          <w:sz w:val="24"/>
          <w:szCs w:val="28"/>
        </w:rPr>
      </w:pPr>
      <w:r>
        <w:rPr>
          <w:rFonts w:hint="eastAsia" w:ascii="仿宋" w:hAnsi="仿宋" w:eastAsia="仿宋" w:cs="仿宋"/>
          <w:color w:val="auto"/>
          <w:sz w:val="24"/>
          <w:szCs w:val="28"/>
        </w:rPr>
        <w:t>质疑联系方式：0571-22816663</w:t>
      </w:r>
    </w:p>
    <w:p>
      <w:pPr>
        <w:spacing w:line="360" w:lineRule="auto"/>
        <w:jc w:val="left"/>
        <w:rPr>
          <w:rFonts w:hint="eastAsia" w:ascii="仿宋" w:hAnsi="仿宋" w:eastAsia="仿宋" w:cs="仿宋"/>
          <w:color w:val="auto"/>
          <w:sz w:val="24"/>
          <w:szCs w:val="28"/>
        </w:rPr>
      </w:pPr>
      <w:r>
        <w:rPr>
          <w:rFonts w:hint="eastAsia" w:ascii="仿宋" w:hAnsi="仿宋" w:eastAsia="仿宋" w:cs="仿宋"/>
          <w:color w:val="auto"/>
          <w:sz w:val="24"/>
          <w:szCs w:val="28"/>
        </w:rPr>
        <w:t>3.同级政府采购监督管理部门            </w:t>
      </w:r>
    </w:p>
    <w:p>
      <w:pPr>
        <w:spacing w:line="360" w:lineRule="auto"/>
        <w:jc w:val="left"/>
        <w:rPr>
          <w:rFonts w:hint="eastAsia" w:ascii="仿宋" w:hAnsi="仿宋" w:eastAsia="仿宋" w:cs="仿宋"/>
          <w:color w:val="auto"/>
          <w:sz w:val="24"/>
          <w:szCs w:val="28"/>
        </w:rPr>
      </w:pPr>
      <w:r>
        <w:rPr>
          <w:rFonts w:hint="eastAsia" w:ascii="仿宋" w:hAnsi="仿宋" w:eastAsia="仿宋" w:cs="仿宋"/>
          <w:color w:val="auto"/>
          <w:sz w:val="24"/>
          <w:szCs w:val="28"/>
        </w:rPr>
        <w:t>名    称：萧山区财政局             </w:t>
      </w:r>
    </w:p>
    <w:p>
      <w:pPr>
        <w:spacing w:line="360" w:lineRule="auto"/>
        <w:jc w:val="left"/>
        <w:rPr>
          <w:rFonts w:hint="eastAsia" w:ascii="仿宋" w:hAnsi="仿宋" w:eastAsia="仿宋" w:cs="仿宋"/>
          <w:color w:val="auto"/>
          <w:sz w:val="24"/>
          <w:szCs w:val="28"/>
        </w:rPr>
      </w:pPr>
      <w:r>
        <w:rPr>
          <w:rFonts w:hint="eastAsia" w:ascii="仿宋" w:hAnsi="仿宋" w:eastAsia="仿宋" w:cs="仿宋"/>
          <w:color w:val="auto"/>
          <w:sz w:val="24"/>
          <w:szCs w:val="28"/>
        </w:rPr>
        <w:t>地    址：萧山区人民路318号             </w:t>
      </w:r>
    </w:p>
    <w:p>
      <w:pPr>
        <w:spacing w:line="360" w:lineRule="auto"/>
        <w:jc w:val="left"/>
        <w:rPr>
          <w:rFonts w:hint="eastAsia" w:ascii="仿宋" w:hAnsi="仿宋" w:eastAsia="仿宋" w:cs="仿宋"/>
          <w:color w:val="auto"/>
          <w:sz w:val="24"/>
          <w:szCs w:val="28"/>
        </w:rPr>
      </w:pPr>
      <w:r>
        <w:rPr>
          <w:rFonts w:hint="eastAsia" w:ascii="仿宋" w:hAnsi="仿宋" w:eastAsia="仿宋" w:cs="仿宋"/>
          <w:color w:val="auto"/>
          <w:sz w:val="24"/>
          <w:szCs w:val="28"/>
        </w:rPr>
        <w:t>传   真：0571-82752687             </w:t>
      </w:r>
    </w:p>
    <w:p>
      <w:pPr>
        <w:spacing w:line="360" w:lineRule="auto"/>
        <w:jc w:val="left"/>
        <w:rPr>
          <w:rFonts w:hint="eastAsia" w:ascii="仿宋" w:hAnsi="仿宋" w:eastAsia="仿宋" w:cs="仿宋"/>
          <w:color w:val="auto"/>
          <w:sz w:val="24"/>
          <w:szCs w:val="28"/>
        </w:rPr>
      </w:pPr>
      <w:r>
        <w:rPr>
          <w:rFonts w:hint="eastAsia" w:ascii="仿宋" w:hAnsi="仿宋" w:eastAsia="仿宋" w:cs="仿宋"/>
          <w:color w:val="auto"/>
          <w:sz w:val="24"/>
          <w:szCs w:val="28"/>
        </w:rPr>
        <w:t>联系人 ：陈先生             </w:t>
      </w:r>
    </w:p>
    <w:p>
      <w:pPr>
        <w:spacing w:line="360" w:lineRule="auto"/>
        <w:rPr>
          <w:rFonts w:hint="eastAsia" w:ascii="仿宋" w:hAnsi="仿宋" w:eastAsia="仿宋" w:cs="仿宋"/>
          <w:color w:val="auto"/>
          <w:sz w:val="24"/>
        </w:rPr>
      </w:pPr>
      <w:r>
        <w:rPr>
          <w:rFonts w:hint="eastAsia" w:ascii="仿宋" w:hAnsi="仿宋" w:eastAsia="仿宋" w:cs="仿宋"/>
          <w:color w:val="auto"/>
          <w:sz w:val="24"/>
          <w:szCs w:val="28"/>
        </w:rPr>
        <w:t xml:space="preserve">监督投诉电话：0571-82752687        </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CA问题联系电话（人工）：汇信CA 400-888-4636；天谷CA 400-087-8198。</w:t>
      </w:r>
    </w:p>
    <w:p>
      <w:pPr>
        <w:pStyle w:val="33"/>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rPr>
        <w:t xml:space="preserve">                              </w:t>
      </w:r>
    </w:p>
    <w:p>
      <w:pPr>
        <w:rPr>
          <w:rFonts w:hint="eastAsia" w:ascii="仿宋" w:hAnsi="仿宋" w:eastAsia="仿宋" w:cs="仿宋"/>
          <w:b/>
          <w:color w:val="auto"/>
          <w:sz w:val="36"/>
          <w:szCs w:val="20"/>
        </w:rPr>
      </w:pPr>
      <w:r>
        <w:rPr>
          <w:rFonts w:hint="eastAsia" w:ascii="仿宋" w:hAnsi="仿宋" w:eastAsia="仿宋" w:cs="仿宋"/>
          <w:b/>
          <w:color w:val="auto"/>
          <w:sz w:val="36"/>
          <w:szCs w:val="20"/>
        </w:rPr>
        <w:br w:type="page"/>
      </w:r>
    </w:p>
    <w:p>
      <w:pPr>
        <w:adjustRightInd/>
        <w:spacing w:line="360" w:lineRule="auto"/>
        <w:jc w:val="center"/>
        <w:outlineLvl w:val="0"/>
        <w:rPr>
          <w:rFonts w:hint="eastAsia" w:ascii="仿宋" w:hAnsi="仿宋" w:eastAsia="仿宋" w:cs="仿宋"/>
          <w:b/>
          <w:color w:val="auto"/>
          <w:sz w:val="36"/>
          <w:szCs w:val="20"/>
        </w:rPr>
      </w:pPr>
      <w:r>
        <w:rPr>
          <w:rFonts w:hint="eastAsia" w:ascii="仿宋" w:hAnsi="仿宋" w:eastAsia="仿宋" w:cs="仿宋"/>
          <w:b/>
          <w:color w:val="auto"/>
          <w:sz w:val="36"/>
          <w:szCs w:val="20"/>
        </w:rPr>
        <w:t>第二部分</w:t>
      </w:r>
      <w:bookmarkEnd w:id="7"/>
      <w:r>
        <w:rPr>
          <w:rFonts w:hint="eastAsia" w:ascii="仿宋" w:hAnsi="仿宋" w:eastAsia="仿宋" w:cs="仿宋"/>
          <w:b/>
          <w:color w:val="auto"/>
          <w:sz w:val="36"/>
          <w:szCs w:val="20"/>
        </w:rPr>
        <w:t xml:space="preserve"> 投标人须知</w:t>
      </w:r>
      <w:bookmarkEnd w:id="8"/>
    </w:p>
    <w:p>
      <w:pPr>
        <w:snapToGrid w:val="0"/>
        <w:spacing w:line="360" w:lineRule="auto"/>
        <w:jc w:val="center"/>
        <w:rPr>
          <w:rFonts w:hint="eastAsia" w:ascii="仿宋" w:hAnsi="仿宋" w:eastAsia="仿宋" w:cs="仿宋"/>
          <w:b/>
          <w:color w:val="auto"/>
          <w:sz w:val="32"/>
          <w:szCs w:val="20"/>
        </w:rPr>
      </w:pPr>
      <w:r>
        <w:rPr>
          <w:rFonts w:hint="eastAsia" w:ascii="仿宋" w:hAnsi="仿宋" w:eastAsia="仿宋" w:cs="仿宋"/>
          <w:b/>
          <w:color w:val="auto"/>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69"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color w:val="auto"/>
                <w:sz w:val="24"/>
              </w:rPr>
            </w:pPr>
          </w:p>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kern w:val="0"/>
                <w:sz w:val="24"/>
                <w:lang w:val="en-US" w:eastAsia="zh-CN"/>
              </w:rPr>
              <w:t xml:space="preserve">( </w:t>
            </w:r>
            <w:r>
              <w:rPr>
                <w:rFonts w:hint="eastAsia" w:ascii="仿宋" w:hAnsi="仿宋" w:eastAsia="仿宋" w:cs="仿宋"/>
                <w:b/>
                <w:color w:val="auto"/>
                <w:sz w:val="24"/>
              </w:rPr>
              <w:t>√</w:t>
            </w:r>
            <w:r>
              <w:rPr>
                <w:rFonts w:hint="eastAsia" w:ascii="仿宋" w:hAnsi="仿宋" w:eastAsia="仿宋" w:cs="仿宋"/>
                <w:color w:val="auto"/>
                <w:kern w:val="0"/>
                <w:sz w:val="24"/>
                <w:lang w:val="en-US" w:eastAsia="zh-CN"/>
              </w:rPr>
              <w:t>)</w:t>
            </w:r>
            <w:r>
              <w:rPr>
                <w:rFonts w:hint="eastAsia" w:ascii="仿宋" w:hAnsi="仿宋" w:eastAsia="仿宋" w:cs="仿宋"/>
                <w:color w:val="auto"/>
                <w:kern w:val="0"/>
                <w:sz w:val="24"/>
              </w:rPr>
              <w:t>A</w:t>
            </w:r>
            <w:r>
              <w:rPr>
                <w:rFonts w:hint="eastAsia" w:ascii="仿宋" w:hAnsi="仿宋" w:eastAsia="仿宋" w:cs="仿宋"/>
                <w:color w:val="auto"/>
                <w:sz w:val="24"/>
              </w:rPr>
              <w:t>货物类，单一产品或</w:t>
            </w:r>
            <w:r>
              <w:rPr>
                <w:rFonts w:hint="eastAsia" w:ascii="仿宋" w:hAnsi="仿宋" w:eastAsia="仿宋" w:cs="仿宋"/>
                <w:color w:val="auto"/>
                <w:kern w:val="0"/>
                <w:sz w:val="24"/>
              </w:rPr>
              <w:t>核心产品为：</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360" w:lineRule="auto"/>
              <w:rPr>
                <w:rFonts w:hint="eastAsia" w:ascii="仿宋" w:hAnsi="仿宋" w:eastAsia="仿宋" w:cs="仿宋"/>
                <w:color w:val="auto"/>
                <w:sz w:val="24"/>
              </w:rPr>
            </w:pPr>
            <w:r>
              <w:rPr>
                <w:rFonts w:hint="eastAsia" w:ascii="仿宋" w:hAnsi="仿宋" w:eastAsia="仿宋" w:cs="仿宋"/>
                <w:color w:val="auto"/>
                <w:kern w:val="0"/>
                <w:sz w:val="24"/>
                <w:lang w:val="en-US" w:eastAsia="zh-CN"/>
              </w:rPr>
              <w:t>(   )</w:t>
            </w:r>
            <w:r>
              <w:rPr>
                <w:rFonts w:hint="eastAsia" w:ascii="仿宋" w:hAnsi="仿宋" w:eastAsia="仿宋" w:cs="仿宋"/>
                <w:color w:val="auto"/>
                <w:kern w:val="0"/>
                <w:sz w:val="24"/>
              </w:rPr>
              <w:t>B</w:t>
            </w:r>
            <w:r>
              <w:rPr>
                <w:rFonts w:hint="eastAsia" w:ascii="仿宋" w:hAnsi="仿宋" w:eastAsia="仿宋" w:cs="仿宋"/>
                <w:color w:val="auto"/>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color w:val="auto"/>
                <w:sz w:val="24"/>
              </w:rPr>
            </w:pPr>
          </w:p>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hint="eastAsia" w:ascii="仿宋" w:hAnsi="仿宋" w:eastAsia="仿宋" w:cs="仿宋"/>
                <w:color w:val="auto"/>
                <w:kern w:val="0"/>
                <w:sz w:val="24"/>
              </w:rPr>
            </w:pPr>
            <w:r>
              <w:rPr>
                <w:rFonts w:hint="eastAsia" w:ascii="仿宋" w:hAnsi="仿宋" w:eastAsia="仿宋" w:cs="仿宋"/>
                <w:color w:val="auto"/>
                <w:kern w:val="0"/>
                <w:sz w:val="24"/>
              </w:rPr>
              <w:t>（1）标的：萧山区应急广播系统改造提升项目，属于</w:t>
            </w:r>
            <w:r>
              <w:rPr>
                <w:rFonts w:hint="eastAsia" w:ascii="仿宋" w:hAnsi="仿宋" w:eastAsia="仿宋" w:cs="仿宋"/>
                <w:color w:val="auto"/>
                <w:kern w:val="0"/>
                <w:sz w:val="24"/>
                <w:lang w:eastAsia="zh-CN"/>
              </w:rPr>
              <w:t>信息传输业</w:t>
            </w:r>
            <w:r>
              <w:rPr>
                <w:rFonts w:hint="eastAsia" w:ascii="仿宋" w:hAnsi="仿宋" w:eastAsia="仿宋" w:cs="仿宋"/>
                <w:color w:val="auto"/>
                <w:kern w:val="0"/>
                <w:sz w:val="24"/>
              </w:rPr>
              <w:t>；</w:t>
            </w:r>
          </w:p>
          <w:p>
            <w:pPr>
              <w:rPr>
                <w:rFonts w:hint="eastAsia" w:ascii="仿宋" w:hAnsi="仿宋" w:eastAsia="仿宋" w:cs="仿宋"/>
                <w:color w:val="auto"/>
                <w:kern w:val="0"/>
                <w:sz w:val="24"/>
                <w:lang w:val="en-US"/>
              </w:rPr>
            </w:pPr>
            <w:r>
              <w:rPr>
                <w:rFonts w:hint="eastAsia" w:ascii="仿宋" w:hAnsi="仿宋" w:eastAsia="仿宋" w:cs="仿宋"/>
                <w:color w:val="auto"/>
                <w:kern w:val="0"/>
                <w:sz w:val="24"/>
                <w:lang w:val="en-US"/>
              </w:rPr>
              <w:t>……</w:t>
            </w:r>
          </w:p>
          <w:p>
            <w:pPr>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行业划分标准：</w:t>
            </w:r>
          </w:p>
          <w:p>
            <w:pPr>
              <w:rPr>
                <w:rFonts w:hint="eastAsia" w:ascii="仿宋" w:hAnsi="仿宋" w:eastAsia="仿宋" w:cs="仿宋"/>
                <w:color w:val="auto"/>
                <w:lang w:val="en-US"/>
              </w:rPr>
            </w:pPr>
            <w:r>
              <w:rPr>
                <w:rFonts w:hint="eastAsia" w:ascii="仿宋" w:hAnsi="仿宋" w:eastAsia="仿宋" w:cs="仿宋"/>
                <w:color w:val="auto"/>
                <w:kern w:val="0"/>
                <w:sz w:val="24"/>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color w:val="auto"/>
                <w:sz w:val="24"/>
              </w:rPr>
            </w:pPr>
          </w:p>
          <w:p>
            <w:pPr>
              <w:snapToGrid w:val="0"/>
              <w:spacing w:line="360" w:lineRule="auto"/>
              <w:jc w:val="center"/>
              <w:rPr>
                <w:rFonts w:hint="eastAsia" w:ascii="仿宋" w:hAnsi="仿宋" w:eastAsia="仿宋" w:cs="仿宋"/>
                <w:color w:val="auto"/>
                <w:sz w:val="24"/>
              </w:rPr>
            </w:pPr>
          </w:p>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szCs w:val="32"/>
              </w:rPr>
            </w:pPr>
            <w:r>
              <w:rPr>
                <w:rFonts w:hint="eastAsia" w:ascii="仿宋" w:hAnsi="仿宋" w:eastAsia="仿宋" w:cs="仿宋"/>
                <w:color w:val="auto"/>
                <w:kern w:val="0"/>
                <w:sz w:val="24"/>
                <w:lang w:val="en-US" w:eastAsia="zh-CN"/>
              </w:rPr>
              <w:t>(</w:t>
            </w:r>
            <w:r>
              <w:rPr>
                <w:rFonts w:hint="eastAsia" w:ascii="仿宋" w:hAnsi="仿宋" w:eastAsia="仿宋" w:cs="仿宋"/>
                <w:b/>
                <w:color w:val="auto"/>
                <w:sz w:val="24"/>
              </w:rPr>
              <w:t>√</w:t>
            </w:r>
            <w:r>
              <w:rPr>
                <w:rFonts w:hint="eastAsia" w:ascii="仿宋" w:hAnsi="仿宋" w:eastAsia="仿宋" w:cs="仿宋"/>
                <w:b/>
                <w:color w:val="auto"/>
                <w:sz w:val="24"/>
                <w:lang w:val="en-US" w:eastAsia="zh-CN"/>
              </w:rPr>
              <w:t xml:space="preserve"> </w:t>
            </w:r>
            <w:r>
              <w:rPr>
                <w:rFonts w:hint="eastAsia" w:ascii="仿宋" w:hAnsi="仿宋" w:eastAsia="仿宋" w:cs="仿宋"/>
                <w:color w:val="auto"/>
                <w:kern w:val="0"/>
                <w:sz w:val="24"/>
                <w:lang w:val="en-US" w:eastAsia="zh-CN"/>
              </w:rPr>
              <w:t>)</w:t>
            </w:r>
            <w:r>
              <w:rPr>
                <w:rFonts w:hint="eastAsia" w:ascii="仿宋" w:hAnsi="仿宋" w:eastAsia="仿宋" w:cs="仿宋"/>
                <w:color w:val="auto"/>
                <w:sz w:val="24"/>
                <w:szCs w:val="32"/>
              </w:rPr>
              <w:t>本项目不允许采购进口产品。</w:t>
            </w:r>
          </w:p>
          <w:p>
            <w:pPr>
              <w:spacing w:line="360" w:lineRule="auto"/>
              <w:rPr>
                <w:rFonts w:hint="eastAsia" w:ascii="仿宋" w:hAnsi="仿宋" w:eastAsia="仿宋" w:cs="仿宋"/>
                <w:color w:val="auto"/>
                <w:sz w:val="24"/>
                <w:szCs w:val="32"/>
              </w:rPr>
            </w:pPr>
            <w:r>
              <w:rPr>
                <w:rFonts w:hint="eastAsia" w:ascii="仿宋" w:hAnsi="仿宋" w:eastAsia="仿宋" w:cs="仿宋"/>
                <w:color w:val="auto"/>
                <w:kern w:val="0"/>
                <w:sz w:val="24"/>
                <w:lang w:val="en-US" w:eastAsia="zh-CN"/>
              </w:rPr>
              <w:t>(   )</w:t>
            </w:r>
            <w:r>
              <w:rPr>
                <w:rFonts w:hint="eastAsia" w:ascii="仿宋" w:hAnsi="仿宋" w:eastAsia="仿宋" w:cs="仿宋"/>
                <w:color w:val="auto"/>
                <w:sz w:val="24"/>
                <w:szCs w:val="32"/>
              </w:rPr>
              <w:t>可以就    采购进口产品。</w:t>
            </w:r>
          </w:p>
          <w:p>
            <w:pPr>
              <w:pStyle w:val="5"/>
              <w:rPr>
                <w:rFonts w:hint="eastAsia" w:ascii="仿宋" w:hAnsi="仿宋" w:eastAsia="仿宋" w:cs="仿宋"/>
                <w:color w:val="auto"/>
                <w:lang w:val="en-US" w:eastAsia="zh-CN"/>
              </w:rPr>
            </w:pPr>
            <w:r>
              <w:rPr>
                <w:rFonts w:hint="eastAsia" w:ascii="仿宋" w:hAnsi="仿宋" w:eastAsia="仿宋" w:cs="仿宋"/>
                <w:color w:val="auto"/>
                <w:kern w:val="0"/>
                <w:sz w:val="24"/>
                <w:lang w:val="en-US" w:eastAsia="zh-CN"/>
              </w:rPr>
              <w:t>进口产品是指通过中国海关保关验放进入中国境内且产自境关外的产品。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0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auto"/>
                <w:sz w:val="24"/>
              </w:rPr>
            </w:pPr>
            <w:r>
              <w:rPr>
                <w:rFonts w:hint="eastAsia" w:ascii="仿宋" w:hAnsi="仿宋" w:eastAsia="仿宋" w:cs="仿宋"/>
                <w:b/>
                <w:color w:val="auto"/>
                <w:sz w:val="24"/>
              </w:rPr>
              <w:t>（ ）</w:t>
            </w:r>
            <w:r>
              <w:rPr>
                <w:rFonts w:hint="eastAsia" w:ascii="仿宋" w:hAnsi="仿宋" w:eastAsia="仿宋" w:cs="仿宋"/>
                <w:color w:val="auto"/>
                <w:kern w:val="0"/>
                <w:sz w:val="24"/>
              </w:rPr>
              <w:t>A</w:t>
            </w:r>
            <w:r>
              <w:rPr>
                <w:rFonts w:hint="eastAsia" w:ascii="仿宋" w:hAnsi="仿宋" w:eastAsia="仿宋" w:cs="仿宋"/>
                <w:color w:val="auto"/>
                <w:sz w:val="24"/>
              </w:rPr>
              <w:t>同意将非主体、非关键性的</w:t>
            </w:r>
            <w:r>
              <w:rPr>
                <w:rFonts w:hint="eastAsia" w:ascii="仿宋" w:hAnsi="仿宋" w:eastAsia="仿宋" w:cs="仿宋"/>
                <w:color w:val="auto"/>
                <w:sz w:val="24"/>
                <w:u w:val="single"/>
              </w:rPr>
              <w:t xml:space="preserve">             </w:t>
            </w:r>
            <w:r>
              <w:rPr>
                <w:rFonts w:hint="eastAsia" w:ascii="仿宋" w:hAnsi="仿宋" w:eastAsia="仿宋" w:cs="仿宋"/>
                <w:color w:val="auto"/>
                <w:sz w:val="24"/>
              </w:rPr>
              <w:t>工作分包。</w:t>
            </w:r>
          </w:p>
          <w:p>
            <w:pPr>
              <w:spacing w:line="360" w:lineRule="auto"/>
              <w:rPr>
                <w:rFonts w:hint="eastAsia" w:ascii="仿宋" w:hAnsi="仿宋" w:eastAsia="仿宋" w:cs="仿宋"/>
                <w:color w:val="auto"/>
                <w:sz w:val="24"/>
              </w:rPr>
            </w:pPr>
            <w:r>
              <w:rPr>
                <w:rFonts w:hint="eastAsia" w:ascii="仿宋" w:hAnsi="仿宋" w:eastAsia="仿宋" w:cs="仿宋"/>
                <w:b/>
                <w:color w:val="auto"/>
                <w:sz w:val="24"/>
              </w:rPr>
              <w:t>（√）</w:t>
            </w:r>
            <w:r>
              <w:rPr>
                <w:rFonts w:hint="eastAsia" w:ascii="仿宋" w:hAnsi="仿宋" w:eastAsia="仿宋" w:cs="仿宋"/>
                <w:color w:val="auto"/>
                <w:kern w:val="0"/>
                <w:sz w:val="24"/>
              </w:rPr>
              <w:t>B</w:t>
            </w:r>
            <w:r>
              <w:rPr>
                <w:rFonts w:hint="eastAsia" w:ascii="仿宋" w:hAnsi="仿宋" w:eastAsia="仿宋" w:cs="仿宋"/>
                <w:color w:val="auto"/>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8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color w:val="auto"/>
                <w:sz w:val="24"/>
              </w:rPr>
            </w:pPr>
          </w:p>
          <w:p>
            <w:pPr>
              <w:snapToGrid w:val="0"/>
              <w:spacing w:line="360" w:lineRule="auto"/>
              <w:jc w:val="center"/>
              <w:rPr>
                <w:rFonts w:hint="eastAsia" w:ascii="仿宋" w:hAnsi="仿宋" w:eastAsia="仿宋" w:cs="仿宋"/>
                <w:color w:val="auto"/>
                <w:sz w:val="24"/>
              </w:rPr>
            </w:pPr>
          </w:p>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b/>
                <w:color w:val="auto"/>
                <w:sz w:val="24"/>
              </w:rPr>
              <w:t>（√）</w:t>
            </w:r>
            <w:r>
              <w:rPr>
                <w:rFonts w:hint="eastAsia" w:ascii="仿宋" w:hAnsi="仿宋" w:eastAsia="仿宋" w:cs="仿宋"/>
                <w:color w:val="auto"/>
                <w:kern w:val="0"/>
                <w:sz w:val="24"/>
              </w:rPr>
              <w:t>A</w:t>
            </w:r>
            <w:r>
              <w:rPr>
                <w:rFonts w:hint="eastAsia" w:ascii="仿宋" w:hAnsi="仿宋" w:eastAsia="仿宋" w:cs="仿宋"/>
                <w:color w:val="auto"/>
                <w:sz w:val="24"/>
              </w:rPr>
              <w:t>不组织。</w:t>
            </w:r>
          </w:p>
          <w:p>
            <w:pPr>
              <w:spacing w:line="360" w:lineRule="auto"/>
              <w:rPr>
                <w:rFonts w:hint="eastAsia" w:ascii="仿宋" w:hAnsi="仿宋" w:eastAsia="仿宋" w:cs="仿宋"/>
                <w:color w:val="auto"/>
                <w:sz w:val="24"/>
              </w:rPr>
            </w:pPr>
            <w:r>
              <w:rPr>
                <w:rFonts w:hint="eastAsia" w:ascii="仿宋" w:hAnsi="仿宋" w:eastAsia="仿宋" w:cs="仿宋"/>
                <w:b/>
                <w:color w:val="auto"/>
                <w:sz w:val="24"/>
              </w:rPr>
              <w:t>（  ）</w:t>
            </w:r>
            <w:r>
              <w:rPr>
                <w:rFonts w:hint="eastAsia" w:ascii="仿宋" w:hAnsi="仿宋" w:eastAsia="仿宋" w:cs="仿宋"/>
                <w:color w:val="auto"/>
                <w:kern w:val="0"/>
                <w:sz w:val="24"/>
              </w:rPr>
              <w:t>B组织</w:t>
            </w:r>
            <w:r>
              <w:rPr>
                <w:rFonts w:hint="eastAsia" w:ascii="仿宋" w:hAnsi="仿宋" w:eastAsia="仿宋" w:cs="仿宋"/>
                <w:color w:val="auto"/>
                <w:kern w:val="0"/>
                <w:sz w:val="24"/>
                <w:lang w:eastAsia="zh-CN"/>
              </w:rPr>
              <w:t>，</w:t>
            </w:r>
            <w:r>
              <w:rPr>
                <w:rFonts w:hint="eastAsia" w:ascii="仿宋" w:hAnsi="仿宋" w:eastAsia="仿宋" w:cs="仿宋"/>
                <w:color w:val="auto"/>
                <w:sz w:val="24"/>
              </w:rPr>
              <w:t>时间：</w:t>
            </w:r>
            <w:r>
              <w:rPr>
                <w:rFonts w:hint="eastAsia" w:ascii="仿宋" w:hAnsi="仿宋" w:eastAsia="仿宋" w:cs="仿宋"/>
                <w:color w:val="auto"/>
                <w:sz w:val="24"/>
                <w:u w:val="single"/>
              </w:rPr>
              <w:t xml:space="preserve">      </w:t>
            </w:r>
            <w:r>
              <w:rPr>
                <w:rFonts w:hint="eastAsia" w:ascii="仿宋" w:hAnsi="仿宋" w:eastAsia="仿宋" w:cs="仿宋"/>
                <w:color w:val="auto"/>
                <w:sz w:val="24"/>
              </w:rPr>
              <w:t>,地点：</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360" w:lineRule="auto"/>
              <w:rPr>
                <w:rFonts w:hint="eastAsia" w:ascii="仿宋" w:hAnsi="仿宋" w:eastAsia="仿宋" w:cs="仿宋"/>
                <w:color w:val="auto"/>
                <w:sz w:val="24"/>
                <w:szCs w:val="20"/>
                <w:lang w:val="en-US" w:eastAsia="zh-CN"/>
              </w:rPr>
            </w:pPr>
            <w:r>
              <w:rPr>
                <w:rFonts w:hint="eastAsia" w:ascii="仿宋" w:hAnsi="仿宋" w:eastAsia="仿宋" w:cs="仿宋"/>
                <w:color w:val="auto"/>
                <w:sz w:val="24"/>
              </w:rPr>
              <w:t>联系人：</w:t>
            </w:r>
            <w:r>
              <w:rPr>
                <w:rFonts w:hint="eastAsia" w:ascii="仿宋" w:hAnsi="仿宋" w:eastAsia="仿宋" w:cs="仿宋"/>
                <w:color w:val="auto"/>
                <w:sz w:val="24"/>
                <w:u w:val="single"/>
              </w:rPr>
              <w:t xml:space="preserve">      </w:t>
            </w:r>
            <w:r>
              <w:rPr>
                <w:rFonts w:hint="eastAsia" w:ascii="仿宋" w:hAnsi="仿宋" w:eastAsia="仿宋" w:cs="仿宋"/>
                <w:color w:val="auto"/>
                <w:sz w:val="24"/>
                <w:u w:val="none"/>
                <w:lang w:eastAsia="zh-CN"/>
              </w:rPr>
              <w:t>；</w:t>
            </w:r>
            <w:r>
              <w:rPr>
                <w:rFonts w:hint="eastAsia" w:ascii="仿宋" w:hAnsi="仿宋" w:eastAsia="仿宋" w:cs="仿宋"/>
                <w:color w:val="auto"/>
                <w:sz w:val="24"/>
                <w:u w:val="none"/>
                <w:lang w:val="en-US" w:eastAsia="zh-CN"/>
              </w:rPr>
              <w:t>其他说明：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b w:val="0"/>
                <w:bCs/>
                <w:color w:val="auto"/>
                <w:sz w:val="24"/>
              </w:rPr>
            </w:pPr>
            <w:r>
              <w:rPr>
                <w:rFonts w:hint="eastAsia" w:ascii="仿宋" w:hAnsi="仿宋" w:eastAsia="仿宋" w:cs="仿宋"/>
                <w:b w:val="0"/>
                <w:bCs/>
                <w:color w:val="auto"/>
                <w:sz w:val="24"/>
              </w:rPr>
              <w:t>（√）A不要求提供。</w:t>
            </w:r>
          </w:p>
          <w:p>
            <w:pPr>
              <w:spacing w:line="360" w:lineRule="auto"/>
              <w:rPr>
                <w:rFonts w:hint="eastAsia" w:ascii="仿宋" w:hAnsi="仿宋" w:eastAsia="仿宋" w:cs="仿宋"/>
                <w:b/>
                <w:color w:val="auto"/>
                <w:sz w:val="24"/>
              </w:rPr>
            </w:pPr>
            <w:r>
              <w:rPr>
                <w:rFonts w:hint="eastAsia" w:ascii="仿宋" w:hAnsi="仿宋" w:eastAsia="仿宋" w:cs="仿宋"/>
                <w:b w:val="0"/>
                <w:bCs/>
                <w:color w:val="auto"/>
                <w:sz w:val="24"/>
              </w:rPr>
              <w:t>（  ）B要求提供，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7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Cs/>
                <w:color w:val="auto"/>
                <w:sz w:val="24"/>
              </w:rPr>
            </w:pPr>
            <w:r>
              <w:rPr>
                <w:rFonts w:hint="eastAsia" w:ascii="仿宋" w:hAnsi="仿宋" w:eastAsia="仿宋" w:cs="仿宋"/>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b/>
                <w:color w:val="auto"/>
                <w:kern w:val="0"/>
                <w:sz w:val="24"/>
                <w:lang w:val="zh-CN"/>
              </w:rPr>
            </w:pPr>
            <w:r>
              <w:rPr>
                <w:rFonts w:hint="eastAsia" w:ascii="仿宋" w:hAnsi="仿宋" w:eastAsia="仿宋" w:cs="仿宋"/>
                <w:color w:val="auto"/>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hint="eastAsia" w:ascii="仿宋" w:hAnsi="仿宋" w:eastAsia="仿宋" w:cs="仿宋"/>
                <w:color w:val="auto"/>
                <w:sz w:val="24"/>
              </w:rPr>
            </w:pPr>
          </w:p>
          <w:p>
            <w:pPr>
              <w:snapToGrid w:val="0"/>
              <w:spacing w:line="360" w:lineRule="auto"/>
              <w:jc w:val="center"/>
              <w:rPr>
                <w:rFonts w:hint="eastAsia" w:ascii="仿宋" w:hAnsi="仿宋" w:eastAsia="仿宋" w:cs="仿宋"/>
                <w:color w:val="auto"/>
                <w:sz w:val="24"/>
              </w:rPr>
            </w:pPr>
          </w:p>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（1）资格证明文件：见招标文件第二部分11.1。</w:t>
            </w:r>
          </w:p>
          <w:p>
            <w:pPr>
              <w:spacing w:line="360" w:lineRule="auto"/>
              <w:rPr>
                <w:rFonts w:hint="eastAsia" w:ascii="仿宋" w:hAnsi="仿宋" w:eastAsia="仿宋" w:cs="仿宋"/>
                <w:snapToGrid w:val="0"/>
                <w:color w:val="auto"/>
                <w:kern w:val="0"/>
                <w:szCs w:val="21"/>
              </w:rPr>
            </w:pPr>
            <w:r>
              <w:rPr>
                <w:rFonts w:hint="eastAsia" w:ascii="仿宋" w:hAnsi="仿宋" w:eastAsia="仿宋" w:cs="仿宋"/>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color w:val="auto"/>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color w:val="auto"/>
                <w:sz w:val="24"/>
              </w:rPr>
            </w:pPr>
          </w:p>
          <w:p>
            <w:pPr>
              <w:snapToGrid w:val="0"/>
              <w:spacing w:line="360" w:lineRule="auto"/>
              <w:jc w:val="center"/>
              <w:rPr>
                <w:rFonts w:hint="eastAsia" w:ascii="仿宋" w:hAnsi="仿宋" w:eastAsia="仿宋" w:cs="仿宋"/>
                <w:color w:val="auto"/>
                <w:sz w:val="24"/>
              </w:rPr>
            </w:pPr>
          </w:p>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auto"/>
              </w:rPr>
            </w:pPr>
            <w:r>
              <w:rPr>
                <w:rFonts w:hint="eastAsia" w:ascii="仿宋" w:hAnsi="仿宋" w:eastAsia="仿宋" w:cs="仿宋"/>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9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color w:val="auto"/>
                <w:sz w:val="24"/>
              </w:rPr>
            </w:pPr>
          </w:p>
          <w:p>
            <w:pPr>
              <w:snapToGrid w:val="0"/>
              <w:spacing w:line="360" w:lineRule="auto"/>
              <w:jc w:val="center"/>
              <w:rPr>
                <w:rFonts w:hint="eastAsia" w:ascii="仿宋" w:hAnsi="仿宋" w:eastAsia="仿宋" w:cs="仿宋"/>
                <w:color w:val="auto"/>
                <w:sz w:val="24"/>
              </w:rPr>
            </w:pPr>
          </w:p>
          <w:p>
            <w:pPr>
              <w:snapToGrid w:val="0"/>
              <w:spacing w:line="360" w:lineRule="auto"/>
              <w:jc w:val="center"/>
              <w:rPr>
                <w:rFonts w:hint="eastAsia" w:ascii="仿宋" w:hAnsi="仿宋" w:eastAsia="仿宋" w:cs="仿宋"/>
                <w:color w:val="auto"/>
                <w:sz w:val="24"/>
              </w:rPr>
            </w:pPr>
          </w:p>
          <w:p>
            <w:pPr>
              <w:snapToGrid w:val="0"/>
              <w:spacing w:line="360" w:lineRule="auto"/>
              <w:jc w:val="center"/>
              <w:rPr>
                <w:rFonts w:hint="eastAsia" w:ascii="仿宋" w:hAnsi="仿宋" w:eastAsia="仿宋" w:cs="仿宋"/>
                <w:color w:val="auto"/>
                <w:sz w:val="24"/>
              </w:rPr>
            </w:pPr>
          </w:p>
          <w:p>
            <w:pPr>
              <w:snapToGrid w:val="0"/>
              <w:spacing w:line="360" w:lineRule="auto"/>
              <w:jc w:val="center"/>
              <w:rPr>
                <w:rFonts w:hint="eastAsia" w:ascii="仿宋" w:hAnsi="仿宋" w:eastAsia="仿宋" w:cs="仿宋"/>
                <w:color w:val="auto"/>
                <w:sz w:val="24"/>
              </w:rPr>
            </w:pPr>
          </w:p>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val="0"/>
                <w:bCs/>
                <w:color w:val="auto"/>
                <w:sz w:val="24"/>
              </w:rPr>
            </w:pPr>
            <w:r>
              <w:rPr>
                <w:rFonts w:hint="eastAsia" w:ascii="仿宋" w:hAnsi="仿宋" w:eastAsia="仿宋" w:cs="仿宋"/>
                <w:b/>
                <w:bCs w:val="0"/>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 w:hAnsi="仿宋" w:eastAsia="仿宋" w:cs="仿宋"/>
                <w:b w:val="0"/>
                <w:bCs/>
                <w:color w:val="auto"/>
                <w:kern w:val="0"/>
                <w:sz w:val="24"/>
                <w:lang w:val="zh-CN"/>
              </w:rPr>
            </w:pPr>
            <w:r>
              <w:rPr>
                <w:rFonts w:hint="eastAsia" w:ascii="仿宋" w:hAnsi="仿宋" w:eastAsia="仿宋" w:cs="仿宋"/>
                <w:b w:val="0"/>
                <w:bCs/>
                <w:color w:val="auto"/>
                <w:kern w:val="0"/>
                <w:sz w:val="24"/>
                <w:lang w:val="zh-CN"/>
              </w:rPr>
              <w:t>有关本项目实施所需的所有费用（含税费）均计入报价。</w:t>
            </w:r>
            <w:r>
              <w:rPr>
                <w:rFonts w:hint="eastAsia" w:ascii="仿宋" w:hAnsi="仿宋" w:eastAsia="仿宋" w:cs="仿宋"/>
                <w:b w:val="0"/>
                <w:bCs/>
                <w:color w:val="auto"/>
                <w:kern w:val="0"/>
                <w:sz w:val="24"/>
              </w:rPr>
              <w:t>开标一览表（报价表）是报价的唯一载体</w:t>
            </w:r>
            <w:r>
              <w:rPr>
                <w:rFonts w:hint="eastAsia" w:ascii="仿宋" w:hAnsi="仿宋" w:eastAsia="仿宋" w:cs="仿宋"/>
                <w:b w:val="0"/>
                <w:bCs/>
                <w:color w:val="auto"/>
                <w:kern w:val="0"/>
                <w:sz w:val="24"/>
                <w:lang w:val="zh-CN"/>
              </w:rPr>
              <w:t>。投标文件中价格全部采用人民币报价。招标文件未列明，而投标人认为必需的费用也需列入报价。提醒：验收时检测费用由采购人承担，不包含在投标总价中。</w:t>
            </w:r>
          </w:p>
          <w:p>
            <w:pPr>
              <w:spacing w:line="360" w:lineRule="auto"/>
              <w:rPr>
                <w:rFonts w:hint="eastAsia" w:ascii="仿宋" w:hAnsi="仿宋" w:eastAsia="仿宋" w:cs="仿宋"/>
                <w:b w:val="0"/>
                <w:bCs/>
                <w:color w:val="auto"/>
                <w:kern w:val="0"/>
                <w:sz w:val="24"/>
                <w:lang w:val="zh-CN"/>
              </w:rPr>
            </w:pPr>
            <w:r>
              <w:rPr>
                <w:rFonts w:hint="eastAsia" w:ascii="仿宋" w:hAnsi="仿宋" w:eastAsia="仿宋" w:cs="仿宋"/>
                <w:b w:val="0"/>
                <w:bCs/>
                <w:color w:val="auto"/>
                <w:kern w:val="0"/>
                <w:sz w:val="24"/>
                <w:lang w:val="zh-CN"/>
              </w:rPr>
              <w:t>投标报价出现下列情形的，投标无效：</w:t>
            </w:r>
          </w:p>
          <w:p>
            <w:pPr>
              <w:spacing w:line="360" w:lineRule="auto"/>
              <w:ind w:firstLine="480" w:firstLineChars="200"/>
              <w:rPr>
                <w:rFonts w:hint="eastAsia" w:ascii="仿宋" w:hAnsi="仿宋" w:eastAsia="仿宋" w:cs="仿宋"/>
                <w:b w:val="0"/>
                <w:bCs/>
                <w:color w:val="auto"/>
                <w:kern w:val="0"/>
                <w:sz w:val="24"/>
                <w:lang w:val="zh-CN"/>
              </w:rPr>
            </w:pPr>
            <w:r>
              <w:rPr>
                <w:rFonts w:hint="eastAsia" w:ascii="仿宋" w:hAnsi="仿宋" w:eastAsia="仿宋" w:cs="仿宋"/>
                <w:b w:val="0"/>
                <w:bCs/>
                <w:color w:val="auto"/>
                <w:kern w:val="0"/>
                <w:sz w:val="24"/>
                <w:lang w:val="zh-CN"/>
              </w:rPr>
              <w:t>投标文件出现不是唯一的、有选择性投标报价的；</w:t>
            </w:r>
          </w:p>
          <w:p>
            <w:pPr>
              <w:spacing w:line="360" w:lineRule="auto"/>
              <w:ind w:firstLine="480" w:firstLineChars="200"/>
              <w:rPr>
                <w:rFonts w:hint="eastAsia" w:ascii="仿宋" w:hAnsi="仿宋" w:eastAsia="仿宋" w:cs="仿宋"/>
                <w:b w:val="0"/>
                <w:bCs/>
                <w:color w:val="auto"/>
                <w:kern w:val="0"/>
                <w:sz w:val="24"/>
                <w:lang w:val="zh-CN"/>
              </w:rPr>
            </w:pPr>
            <w:r>
              <w:rPr>
                <w:rFonts w:hint="eastAsia" w:ascii="仿宋" w:hAnsi="仿宋" w:eastAsia="仿宋" w:cs="仿宋"/>
                <w:b w:val="0"/>
                <w:bCs/>
                <w:color w:val="auto"/>
                <w:kern w:val="0"/>
                <w:sz w:val="24"/>
                <w:lang w:val="zh-CN"/>
              </w:rPr>
              <w:t>投标报价超过招标文件中规定的预算金额或者最高限价的;</w:t>
            </w:r>
          </w:p>
          <w:p>
            <w:pPr>
              <w:spacing w:line="360" w:lineRule="auto"/>
              <w:ind w:firstLine="480" w:firstLineChars="200"/>
              <w:rPr>
                <w:rFonts w:hint="eastAsia" w:ascii="仿宋" w:hAnsi="仿宋" w:eastAsia="仿宋" w:cs="仿宋"/>
                <w:b w:val="0"/>
                <w:bCs/>
                <w:color w:val="auto"/>
                <w:kern w:val="0"/>
                <w:sz w:val="24"/>
              </w:rPr>
            </w:pPr>
            <w:r>
              <w:rPr>
                <w:rFonts w:hint="eastAsia" w:ascii="仿宋" w:hAnsi="仿宋" w:eastAsia="仿宋" w:cs="仿宋"/>
                <w:b w:val="0"/>
                <w:bCs/>
                <w:color w:val="auto"/>
                <w:kern w:val="0"/>
                <w:sz w:val="24"/>
              </w:rPr>
              <w:t>报价明显低于其他通过符合性审查投标人的报价，有可能影响产品质量或者不能诚信履约的，未能按要求提供书面说明或者提交相关证明材料证明其报价合理性的;</w:t>
            </w:r>
          </w:p>
          <w:p>
            <w:pPr>
              <w:spacing w:line="360" w:lineRule="auto"/>
              <w:ind w:firstLine="480" w:firstLineChars="200"/>
              <w:rPr>
                <w:rFonts w:hint="eastAsia" w:ascii="仿宋" w:hAnsi="仿宋" w:eastAsia="仿宋" w:cs="仿宋"/>
                <w:b w:val="0"/>
                <w:bCs/>
                <w:color w:val="auto"/>
                <w:kern w:val="0"/>
                <w:sz w:val="24"/>
              </w:rPr>
            </w:pPr>
            <w:r>
              <w:rPr>
                <w:rFonts w:hint="eastAsia" w:ascii="仿宋" w:hAnsi="仿宋" w:eastAsia="仿宋" w:cs="仿宋"/>
                <w:b w:val="0"/>
                <w:bCs/>
                <w:color w:val="auto"/>
                <w:kern w:val="0"/>
                <w:sz w:val="24"/>
              </w:rPr>
              <w:t>投标人对根据修正原则修正后的报价不确认的。</w:t>
            </w:r>
          </w:p>
          <w:p>
            <w:pPr>
              <w:spacing w:line="360" w:lineRule="auto"/>
              <w:ind w:firstLine="480" w:firstLineChars="200"/>
              <w:rPr>
                <w:rFonts w:hint="eastAsia" w:ascii="仿宋" w:hAnsi="仿宋" w:eastAsia="仿宋" w:cs="仿宋"/>
                <w:b w:val="0"/>
                <w:bCs/>
                <w:color w:val="auto"/>
                <w:sz w:val="24"/>
              </w:rPr>
            </w:pPr>
            <w:r>
              <w:rPr>
                <w:rFonts w:hint="eastAsia" w:ascii="仿宋" w:hAnsi="仿宋" w:eastAsia="仿宋" w:cs="仿宋"/>
                <w:b w:val="0"/>
                <w:bCs/>
                <w:color w:val="auto"/>
                <w:kern w:val="0"/>
                <w:sz w:val="24"/>
              </w:rPr>
              <w:t>资格文件、商务技术文件与报价文件未分开制作</w:t>
            </w:r>
            <w:r>
              <w:rPr>
                <w:rFonts w:hint="eastAsia" w:ascii="仿宋" w:hAnsi="仿宋" w:eastAsia="仿宋" w:cs="仿宋"/>
                <w:b w:val="0"/>
                <w:bCs/>
                <w:color w:val="auto"/>
                <w:sz w:val="24"/>
              </w:rPr>
              <w:t>。</w:t>
            </w:r>
          </w:p>
          <w:p>
            <w:pPr>
              <w:pStyle w:val="5"/>
              <w:rPr>
                <w:rFonts w:hint="eastAsia" w:ascii="仿宋" w:hAnsi="仿宋" w:eastAsia="仿宋" w:cs="仿宋"/>
                <w:b w:val="0"/>
                <w:bCs/>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hint="eastAsia" w:ascii="仿宋" w:hAnsi="仿宋" w:eastAsia="仿宋" w:cs="仿宋"/>
                <w:color w:val="auto"/>
                <w:sz w:val="24"/>
              </w:rPr>
            </w:pPr>
          </w:p>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仿宋" w:hAnsi="仿宋" w:eastAsia="仿宋" w:cs="仿宋"/>
                <w:color w:val="auto"/>
              </w:rPr>
            </w:pPr>
            <w:r>
              <w:rPr>
                <w:rFonts w:hint="eastAsia" w:ascii="仿宋" w:hAnsi="仿宋" w:eastAsia="仿宋" w:cs="仿宋"/>
                <w:color w:val="auto"/>
                <w:sz w:val="24"/>
              </w:rPr>
              <w:t>本项目支持《杭州市萧山区政府采购支持中小企业信用融资暂行办法》。</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有融资需求的中标供应商可参照相关规定及银行方案凭政府采购合同向相关合作银行提出信用融资（贷款）申请。详见</w:t>
            </w:r>
            <w:r>
              <w:rPr>
                <w:rFonts w:hint="eastAsia" w:ascii="仿宋" w:hAnsi="仿宋" w:eastAsia="仿宋" w:cs="仿宋"/>
                <w:color w:val="auto"/>
              </w:rPr>
              <w:t>http://www.xiaoshan.gov.cn/art/2018/12/20/art_1229293109_1559514.html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rPr>
                <w:rFonts w:hint="eastAsia" w:ascii="仿宋" w:hAnsi="仿宋" w:eastAsia="仿宋" w:cs="仿宋"/>
                <w:color w:val="auto"/>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hint="eastAsia" w:ascii="仿宋" w:hAnsi="仿宋" w:eastAsia="仿宋" w:cs="仿宋"/>
                <w:color w:val="auto"/>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备份投标文件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ind w:left="0" w:leftChars="0" w:hanging="4" w:firstLineChars="0"/>
              <w:rPr>
                <w:rFonts w:hint="eastAsia" w:ascii="仿宋" w:hAnsi="仿宋" w:eastAsia="仿宋" w:cs="仿宋"/>
                <w:color w:val="auto"/>
                <w:kern w:val="28"/>
                <w:sz w:val="24"/>
                <w:lang w:val="en-US" w:eastAsia="zh-CN"/>
              </w:rPr>
            </w:pPr>
            <w:r>
              <w:rPr>
                <w:rFonts w:hint="eastAsia" w:ascii="仿宋" w:hAnsi="仿宋" w:eastAsia="仿宋" w:cs="仿宋"/>
                <w:color w:val="auto"/>
                <w:kern w:val="28"/>
                <w:sz w:val="24"/>
                <w:szCs w:val="24"/>
                <w:lang w:val="en-US" w:eastAsia="zh-CN"/>
              </w:rPr>
              <w:t>备份文件是否收取：不收取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ind w:left="0" w:leftChars="0" w:hanging="4" w:firstLineChars="0"/>
              <w:rPr>
                <w:rFonts w:hint="eastAsia" w:ascii="仿宋" w:hAnsi="仿宋" w:eastAsia="仿宋" w:cs="仿宋"/>
                <w:b/>
                <w:color w:val="auto"/>
                <w:sz w:val="24"/>
                <w:szCs w:val="24"/>
              </w:rPr>
            </w:pPr>
            <w:r>
              <w:rPr>
                <w:rFonts w:hint="eastAsia" w:ascii="仿宋" w:hAnsi="仿宋" w:eastAsia="仿宋" w:cs="仿宋"/>
                <w:color w:val="auto"/>
                <w:sz w:val="24"/>
              </w:rPr>
              <w:t>本项目代理费由中标单位支付，收费标准按计价格【2002】1980号文件计取。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7"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both"/>
              <w:rPr>
                <w:rFonts w:hint="eastAsia" w:ascii="仿宋" w:hAnsi="仿宋" w:eastAsia="仿宋" w:cs="仿宋"/>
                <w:b/>
                <w:color w:val="auto"/>
                <w:sz w:val="24"/>
                <w:lang w:val="en-US" w:eastAsia="zh-CN"/>
              </w:rPr>
            </w:pPr>
            <w:r>
              <w:rPr>
                <w:rFonts w:hint="eastAsia" w:ascii="仿宋" w:hAnsi="仿宋" w:eastAsia="仿宋" w:cs="仿宋"/>
                <w:b w:val="0"/>
                <w:bCs/>
                <w:color w:val="auto"/>
                <w:sz w:val="24"/>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both"/>
              <w:rPr>
                <w:rFonts w:hint="eastAsia" w:ascii="仿宋" w:hAnsi="仿宋" w:eastAsia="仿宋" w:cs="仿宋"/>
                <w:b/>
                <w:color w:val="auto"/>
                <w:sz w:val="24"/>
                <w:lang w:val="en-US" w:eastAsia="zh-CN"/>
              </w:rPr>
            </w:pPr>
          </w:p>
          <w:p>
            <w:pPr>
              <w:snapToGrid w:val="0"/>
              <w:spacing w:line="360" w:lineRule="auto"/>
              <w:jc w:val="both"/>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履约保证金</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ind w:left="0" w:leftChars="0" w:hanging="4" w:firstLineChars="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履约保证金：收取2.5%，合同签订后支付，履约完成后无息退还。</w:t>
            </w:r>
          </w:p>
          <w:p>
            <w:pPr>
              <w:pStyle w:val="17"/>
              <w:spacing w:line="360" w:lineRule="auto"/>
              <w:ind w:firstLine="0"/>
              <w:rPr>
                <w:rFonts w:hint="eastAsia" w:ascii="仿宋" w:hAnsi="仿宋" w:eastAsia="仿宋" w:cs="仿宋"/>
                <w:color w:val="auto"/>
                <w:sz w:val="24"/>
                <w:lang w:val="en-US" w:eastAsia="zh-CN"/>
              </w:rPr>
            </w:pPr>
            <w:r>
              <w:rPr>
                <w:rFonts w:hint="eastAsia" w:ascii="仿宋" w:hAnsi="仿宋" w:eastAsia="仿宋" w:cs="仿宋"/>
                <w:color w:val="auto"/>
                <w:sz w:val="24"/>
              </w:rPr>
              <w:t>供应商应当以支票、汇票、本票或者金融机构、担保机构出具的保函等非现金形式提交。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9"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both"/>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both"/>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ind w:left="0" w:leftChars="0" w:hanging="4" w:firstLineChars="0"/>
              <w:rPr>
                <w:rFonts w:hint="eastAsia" w:ascii="仿宋" w:hAnsi="仿宋" w:eastAsia="仿宋" w:cs="仿宋"/>
                <w:color w:val="auto"/>
                <w:sz w:val="24"/>
                <w:lang w:val="en-US" w:eastAsia="zh-CN"/>
              </w:rPr>
            </w:pPr>
            <w:r>
              <w:rPr>
                <w:rFonts w:hint="eastAsia" w:ascii="仿宋" w:hAnsi="仿宋" w:eastAsia="仿宋" w:cs="仿宋"/>
                <w:color w:val="auto"/>
                <w:sz w:val="24"/>
              </w:rPr>
              <w:t>本项目由采购人进行资格文件及信用信息查询。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both"/>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16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both"/>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auto"/>
                <w:sz w:val="24"/>
                <w:u w:val="single"/>
              </w:rPr>
            </w:pPr>
            <w:r>
              <w:rPr>
                <w:rFonts w:hint="eastAsia" w:ascii="仿宋" w:hAnsi="仿宋" w:eastAsia="仿宋" w:cs="仿宋"/>
                <w:color w:val="auto"/>
                <w:sz w:val="24"/>
              </w:rPr>
              <w:t>采购人质疑接收人：</w:t>
            </w:r>
            <w:r>
              <w:rPr>
                <w:rFonts w:hint="eastAsia" w:ascii="仿宋" w:hAnsi="仿宋" w:eastAsia="仿宋" w:cs="仿宋"/>
                <w:color w:val="auto"/>
                <w:sz w:val="24"/>
                <w:u w:val="single"/>
              </w:rPr>
              <w:t>：郑洁</w:t>
            </w:r>
            <w:r>
              <w:rPr>
                <w:rFonts w:hint="eastAsia" w:ascii="仿宋" w:hAnsi="仿宋" w:eastAsia="仿宋" w:cs="仿宋"/>
                <w:color w:val="auto"/>
                <w:sz w:val="24"/>
              </w:rPr>
              <w:t>联系方式：</w:t>
            </w:r>
            <w:r>
              <w:rPr>
                <w:rFonts w:hint="eastAsia" w:ascii="仿宋" w:hAnsi="仿宋" w:eastAsia="仿宋" w:cs="仿宋"/>
                <w:color w:val="auto"/>
                <w:sz w:val="24"/>
                <w:u w:val="single"/>
              </w:rPr>
              <w:t xml:space="preserve">0571-83869021 </w:t>
            </w:r>
          </w:p>
          <w:p>
            <w:pPr>
              <w:snapToGrid w:val="0"/>
              <w:spacing w:line="360" w:lineRule="auto"/>
              <w:rPr>
                <w:rFonts w:hint="eastAsia" w:ascii="仿宋" w:hAnsi="仿宋" w:eastAsia="仿宋" w:cs="仿宋"/>
                <w:color w:val="auto"/>
                <w:sz w:val="24"/>
                <w:u w:val="single"/>
              </w:rPr>
            </w:pPr>
            <w:r>
              <w:rPr>
                <w:rFonts w:hint="eastAsia" w:ascii="仿宋" w:hAnsi="仿宋" w:eastAsia="仿宋" w:cs="仿宋"/>
                <w:color w:val="auto"/>
                <w:sz w:val="24"/>
                <w:u w:val="single"/>
              </w:rPr>
              <w:t>地址：杭州市萧山区市心中路958号 邮箱：1936685697@qq.com</w:t>
            </w:r>
          </w:p>
          <w:p>
            <w:pPr>
              <w:snapToGrid w:val="0"/>
              <w:spacing w:line="360" w:lineRule="auto"/>
              <w:rPr>
                <w:rFonts w:hint="eastAsia" w:ascii="仿宋" w:hAnsi="仿宋" w:eastAsia="仿宋" w:cs="仿宋"/>
                <w:color w:val="auto"/>
                <w:sz w:val="24"/>
                <w:u w:val="single"/>
              </w:rPr>
            </w:pPr>
            <w:r>
              <w:rPr>
                <w:rFonts w:hint="eastAsia" w:ascii="仿宋" w:hAnsi="仿宋" w:eastAsia="仿宋" w:cs="仿宋"/>
                <w:color w:val="auto"/>
                <w:sz w:val="24"/>
              </w:rPr>
              <w:t>采购机构质疑接收人</w:t>
            </w:r>
            <w:r>
              <w:rPr>
                <w:rFonts w:hint="eastAsia" w:ascii="仿宋" w:hAnsi="仿宋" w:eastAsia="仿宋" w:cs="仿宋"/>
                <w:color w:val="auto"/>
                <w:sz w:val="24"/>
                <w:u w:val="single"/>
              </w:rPr>
              <w:t xml:space="preserve">：高天宇 </w:t>
            </w:r>
            <w:r>
              <w:rPr>
                <w:rFonts w:hint="eastAsia" w:ascii="仿宋" w:hAnsi="仿宋" w:eastAsia="仿宋" w:cs="仿宋"/>
                <w:color w:val="auto"/>
                <w:sz w:val="24"/>
              </w:rPr>
              <w:t>联系方式：</w:t>
            </w:r>
            <w:r>
              <w:rPr>
                <w:rFonts w:hint="eastAsia" w:ascii="仿宋" w:hAnsi="仿宋" w:eastAsia="仿宋" w:cs="仿宋"/>
                <w:color w:val="auto"/>
                <w:sz w:val="24"/>
                <w:u w:val="single"/>
              </w:rPr>
              <w:t xml:space="preserve"> 0571-22816663</w:t>
            </w:r>
          </w:p>
          <w:p>
            <w:pPr>
              <w:snapToGrid w:val="0"/>
              <w:spacing w:line="360" w:lineRule="auto"/>
              <w:rPr>
                <w:rFonts w:hint="eastAsia" w:ascii="仿宋" w:hAnsi="仿宋" w:eastAsia="仿宋" w:cs="仿宋"/>
                <w:color w:val="auto"/>
                <w:sz w:val="24"/>
                <w:u w:val="single"/>
              </w:rPr>
            </w:pPr>
            <w:r>
              <w:rPr>
                <w:rFonts w:hint="eastAsia" w:ascii="仿宋" w:hAnsi="仿宋" w:eastAsia="仿宋" w:cs="仿宋"/>
                <w:color w:val="auto"/>
                <w:sz w:val="24"/>
                <w:u w:val="single"/>
              </w:rPr>
              <w:t>地址：萧山区北干街道金城路560号心意广场2幢1101室    邮箱：</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"mailto:249268371@qq.com" </w:instrText>
            </w:r>
            <w:r>
              <w:rPr>
                <w:rFonts w:hint="eastAsia" w:ascii="仿宋" w:hAnsi="仿宋" w:eastAsia="仿宋" w:cs="仿宋"/>
                <w:color w:val="auto"/>
              </w:rPr>
              <w:fldChar w:fldCharType="separate"/>
            </w:r>
            <w:r>
              <w:rPr>
                <w:rStyle w:val="76"/>
                <w:rFonts w:hint="eastAsia" w:ascii="仿宋" w:hAnsi="仿宋" w:eastAsia="仿宋" w:cs="仿宋"/>
                <w:color w:val="auto"/>
                <w:sz w:val="24"/>
                <w:u w:val="single"/>
              </w:rPr>
              <w:t>249268371@qq.com</w:t>
            </w:r>
            <w:r>
              <w:rPr>
                <w:rStyle w:val="76"/>
                <w:rFonts w:hint="eastAsia" w:ascii="仿宋" w:hAnsi="仿宋" w:eastAsia="仿宋" w:cs="仿宋"/>
                <w:color w:val="auto"/>
                <w:sz w:val="24"/>
                <w:u w:val="single"/>
              </w:rPr>
              <w:fldChar w:fldCharType="end"/>
            </w:r>
          </w:p>
          <w:p>
            <w:pPr>
              <w:snapToGrid w:val="0"/>
              <w:spacing w:line="360" w:lineRule="auto"/>
              <w:rPr>
                <w:rFonts w:hint="eastAsia" w:ascii="仿宋" w:hAnsi="仿宋" w:eastAsia="仿宋" w:cs="仿宋"/>
                <w:b/>
                <w:color w:val="auto"/>
                <w:sz w:val="24"/>
              </w:rPr>
            </w:pPr>
            <w:r>
              <w:rPr>
                <w:rFonts w:hint="eastAsia" w:ascii="仿宋" w:hAnsi="仿宋" w:eastAsia="仿宋" w:cs="仿宋"/>
                <w:b/>
                <w:color w:val="auto"/>
                <w:sz w:val="24"/>
              </w:rPr>
              <w:t>如通过邮箱方式发送质疑，须提交符合法规及招标文件要求的质疑文件（参考附件2），盖章扫描后发送，质疑的受理按答复主体划分以采购人或采购机构邮箱回复确认受理为准。</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本项目涉及资格条件、采购需求、评分办法及采购过程中有关现场考察或开标前答疑会事项由采购人进行答复。</w:t>
            </w:r>
          </w:p>
          <w:p>
            <w:pPr>
              <w:pStyle w:val="33"/>
              <w:spacing w:line="360" w:lineRule="auto"/>
              <w:ind w:left="0" w:leftChars="0" w:hanging="4" w:firstLineChars="0"/>
              <w:rPr>
                <w:rFonts w:hint="eastAsia" w:ascii="仿宋" w:hAnsi="仿宋" w:eastAsia="仿宋" w:cs="仿宋"/>
                <w:color w:val="auto"/>
                <w:sz w:val="24"/>
              </w:rPr>
            </w:pPr>
            <w:r>
              <w:rPr>
                <w:rFonts w:hint="eastAsia" w:ascii="仿宋" w:hAnsi="仿宋" w:eastAsia="仿宋" w:cs="仿宋"/>
                <w:color w:val="auto"/>
                <w:sz w:val="24"/>
              </w:rPr>
              <w:t>涉及流程组织等相关事项，由采购机构进行答复。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both"/>
              <w:rPr>
                <w:rFonts w:hint="eastAsia" w:ascii="仿宋" w:hAnsi="仿宋" w:eastAsia="仿宋" w:cs="仿宋"/>
                <w:b/>
                <w:color w:val="auto"/>
                <w:sz w:val="24"/>
              </w:rPr>
            </w:pPr>
            <w:r>
              <w:rPr>
                <w:rFonts w:hint="eastAsia" w:ascii="仿宋" w:hAnsi="仿宋" w:eastAsia="仿宋" w:cs="仿宋"/>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2" w:firstLineChars="200"/>
              <w:rPr>
                <w:rFonts w:hint="eastAsia" w:ascii="仿宋" w:hAnsi="仿宋" w:eastAsia="仿宋" w:cs="仿宋"/>
                <w:snapToGrid w:val="0"/>
                <w:color w:val="auto"/>
                <w:kern w:val="28"/>
                <w:sz w:val="24"/>
              </w:rPr>
            </w:pPr>
            <w:r>
              <w:rPr>
                <w:rFonts w:hint="eastAsia" w:ascii="仿宋" w:hAnsi="仿宋" w:eastAsia="仿宋" w:cs="仿宋"/>
                <w:b/>
                <w:color w:val="auto"/>
                <w:sz w:val="24"/>
              </w:rPr>
              <w:t>本项目通用总则条款与前附表等专用特别规定有冲突之处，以专用条款（特别规定）为准</w:t>
            </w:r>
          </w:p>
        </w:tc>
      </w:tr>
    </w:tbl>
    <w:p>
      <w:pPr>
        <w:snapToGrid w:val="0"/>
        <w:spacing w:line="360" w:lineRule="auto"/>
        <w:jc w:val="center"/>
        <w:rPr>
          <w:rFonts w:hint="eastAsia" w:ascii="仿宋" w:hAnsi="仿宋" w:eastAsia="仿宋" w:cs="仿宋"/>
          <w:b/>
          <w:color w:val="auto"/>
          <w:sz w:val="32"/>
          <w:szCs w:val="20"/>
        </w:rPr>
      </w:pPr>
    </w:p>
    <w:bookmarkEnd w:id="9"/>
    <w:p>
      <w:pPr>
        <w:rPr>
          <w:rFonts w:hint="eastAsia" w:ascii="仿宋" w:hAnsi="仿宋" w:eastAsia="仿宋" w:cs="仿宋"/>
          <w:b/>
          <w:color w:val="auto"/>
          <w:sz w:val="32"/>
          <w:szCs w:val="20"/>
        </w:rPr>
      </w:pPr>
      <w:bookmarkStart w:id="12" w:name="第三部分"/>
      <w:bookmarkStart w:id="13" w:name="_Toc164416483"/>
      <w:r>
        <w:rPr>
          <w:rFonts w:hint="eastAsia" w:ascii="仿宋" w:hAnsi="仿宋" w:eastAsia="仿宋" w:cs="仿宋"/>
          <w:b/>
          <w:color w:val="auto"/>
          <w:sz w:val="32"/>
          <w:szCs w:val="20"/>
        </w:rPr>
        <w:br w:type="page"/>
      </w:r>
    </w:p>
    <w:p>
      <w:pPr>
        <w:adjustRightInd/>
        <w:spacing w:line="360" w:lineRule="auto"/>
        <w:ind w:firstLine="3845" w:firstLineChars="1197"/>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一、总则</w:t>
      </w:r>
    </w:p>
    <w:p>
      <w:pPr>
        <w:snapToGrid w:val="0"/>
        <w:spacing w:line="360" w:lineRule="auto"/>
        <w:ind w:firstLine="361" w:firstLineChars="150"/>
        <w:jc w:val="left"/>
        <w:outlineLvl w:val="1"/>
        <w:rPr>
          <w:rFonts w:hint="eastAsia" w:ascii="仿宋" w:hAnsi="仿宋" w:eastAsia="仿宋" w:cs="仿宋"/>
          <w:b/>
          <w:color w:val="auto"/>
          <w:sz w:val="24"/>
        </w:rPr>
      </w:pPr>
      <w:r>
        <w:rPr>
          <w:rFonts w:hint="eastAsia" w:ascii="仿宋" w:hAnsi="仿宋" w:eastAsia="仿宋" w:cs="仿宋"/>
          <w:b/>
          <w:color w:val="auto"/>
          <w:sz w:val="24"/>
        </w:rPr>
        <w:t>1. 适用范围</w:t>
      </w:r>
    </w:p>
    <w:p>
      <w:pPr>
        <w:snapToGrid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color w:val="auto"/>
          <w:sz w:val="24"/>
        </w:rPr>
      </w:pPr>
      <w:r>
        <w:rPr>
          <w:rFonts w:hint="eastAsia" w:ascii="仿宋" w:hAnsi="仿宋" w:eastAsia="仿宋" w:cs="仿宋"/>
          <w:b/>
          <w:color w:val="auto"/>
          <w:sz w:val="24"/>
        </w:rPr>
        <w:t xml:space="preserve">   2.定义</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2.1 “采购人”系指招标公告中载明的本项目的采购人。</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2.2 “采购机构”系指招标公告中载明的本项目的采购机构。</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2.3 “投标人”系指是指响应招标、参加投标竞争的法人、其他组织或者自然人。</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2.5“电子签名”系指数据电文中以电子形式所含、所附用于识别签名人身份并表明签名人认可其中内容的数据</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投标人电子签名指投标人电子公章</w:t>
      </w:r>
      <w:r>
        <w:rPr>
          <w:rFonts w:hint="eastAsia" w:ascii="仿宋" w:hAnsi="仿宋" w:eastAsia="仿宋" w:cs="仿宋"/>
          <w:color w:val="auto"/>
          <w:sz w:val="24"/>
        </w:rPr>
        <w:t>；“公章”系指单位法定名称章。因特殊原因需要使用冠以法定名称的业务专用章的，投标时须提供《业务专用章使用说明函》（附件4）。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2.6“电子交易平台”是指本项目政府采购活动所依托的政府采购云平台（https://www.zcygov.cn/）。</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2.7 “▲” 系指实质性要求条款，“（</w:t>
      </w:r>
      <w:r>
        <w:rPr>
          <w:rFonts w:hint="eastAsia" w:ascii="仿宋" w:hAnsi="仿宋" w:eastAsia="仿宋" w:cs="仿宋"/>
          <w:b w:val="0"/>
          <w:bCs/>
          <w:color w:val="auto"/>
          <w:sz w:val="24"/>
        </w:rPr>
        <w:t>√</w:t>
      </w:r>
      <w:r>
        <w:rPr>
          <w:rFonts w:hint="eastAsia" w:ascii="仿宋" w:hAnsi="仿宋" w:eastAsia="仿宋" w:cs="仿宋"/>
          <w:color w:val="auto"/>
          <w:sz w:val="24"/>
        </w:rPr>
        <w:t>）” 系指适用本项目的要求，“（  ）”系指不适用本项目的要求。</w:t>
      </w:r>
    </w:p>
    <w:p>
      <w:pPr>
        <w:spacing w:line="360" w:lineRule="auto"/>
        <w:ind w:firstLine="241" w:firstLineChars="100"/>
        <w:rPr>
          <w:rFonts w:hint="eastAsia" w:ascii="仿宋" w:hAnsi="仿宋" w:eastAsia="仿宋" w:cs="仿宋"/>
          <w:b/>
          <w:color w:val="auto"/>
          <w:sz w:val="24"/>
        </w:rPr>
      </w:pPr>
      <w:r>
        <w:rPr>
          <w:rFonts w:hint="eastAsia" w:ascii="仿宋" w:hAnsi="仿宋" w:eastAsia="仿宋" w:cs="仿宋"/>
          <w:b/>
          <w:color w:val="auto"/>
          <w:sz w:val="24"/>
        </w:rPr>
        <w:t>3.</w:t>
      </w:r>
      <w:r>
        <w:rPr>
          <w:rFonts w:hint="eastAsia" w:ascii="仿宋" w:hAnsi="仿宋" w:eastAsia="仿宋" w:cs="仿宋"/>
          <w:color w:val="auto"/>
        </w:rPr>
        <w:t xml:space="preserve"> </w:t>
      </w:r>
      <w:r>
        <w:rPr>
          <w:rFonts w:hint="eastAsia" w:ascii="仿宋" w:hAnsi="仿宋" w:eastAsia="仿宋" w:cs="仿宋"/>
          <w:b/>
          <w:color w:val="auto"/>
          <w:sz w:val="24"/>
        </w:rPr>
        <w:t>采购项目需要落实的政府采购政策</w:t>
      </w:r>
    </w:p>
    <w:p>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仿宋" w:hAnsi="仿宋" w:eastAsia="仿宋" w:cs="仿宋"/>
          <w:color w:val="auto"/>
          <w:kern w:val="0"/>
          <w:sz w:val="24"/>
        </w:rPr>
        <w:t>优先采购向我国企业转让技术、与我国企业签订消化吸收再创新方案的供应商的进口产品</w:t>
      </w:r>
      <w:r>
        <w:rPr>
          <w:rFonts w:hint="eastAsia" w:ascii="仿宋" w:hAnsi="仿宋" w:eastAsia="仿宋" w:cs="仿宋"/>
          <w:color w:val="auto"/>
          <w:sz w:val="24"/>
        </w:rPr>
        <w:t>。</w:t>
      </w:r>
    </w:p>
    <w:p>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3.2 支持绿色发展</w:t>
      </w:r>
    </w:p>
    <w:p>
      <w:pPr>
        <w:spacing w:line="360" w:lineRule="auto"/>
        <w:ind w:firstLine="480" w:firstLineChars="200"/>
        <w:rPr>
          <w:rFonts w:hint="eastAsia" w:ascii="仿宋" w:hAnsi="仿宋" w:eastAsia="仿宋" w:cs="仿宋"/>
          <w:b/>
          <w:color w:val="auto"/>
          <w:sz w:val="24"/>
        </w:rPr>
      </w:pPr>
      <w:r>
        <w:rPr>
          <w:rFonts w:hint="eastAsia" w:ascii="仿宋" w:hAnsi="仿宋" w:eastAsia="仿宋" w:cs="仿宋"/>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3.3支持中小企业发展</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bCs/>
          <w:color w:val="auto"/>
          <w:sz w:val="24"/>
        </w:rPr>
        <w:t>3.3.2</w:t>
      </w:r>
      <w:r>
        <w:rPr>
          <w:rFonts w:hint="eastAsia" w:ascii="仿宋" w:hAnsi="仿宋" w:eastAsia="仿宋" w:cs="仿宋"/>
          <w:color w:val="auto"/>
          <w:kern w:val="0"/>
          <w:sz w:val="24"/>
        </w:rPr>
        <w:t>在政府采购活动中，投标人提供的货物、工程或者服务符合下列情形的，享受中小企业扶持政策：</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3.3.2.2在工程采购项目中，工程由中小企业承建，即工程施工单位为中小企业；</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3.4</w:t>
      </w:r>
      <w:r>
        <w:rPr>
          <w:rFonts w:hint="eastAsia" w:ascii="仿宋" w:hAnsi="仿宋" w:eastAsia="仿宋" w:cs="仿宋"/>
          <w:bCs/>
          <w:color w:val="auto"/>
          <w:sz w:val="24"/>
        </w:rPr>
        <w:t>支持创新发展</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3.4.1 采购人优先采购被认定为首台套产品和“制造精品”的自主创新产品。</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仿宋" w:hAnsi="仿宋" w:eastAsia="仿宋" w:cs="仿宋"/>
          <w:b/>
          <w:color w:val="auto"/>
          <w:sz w:val="24"/>
        </w:rPr>
      </w:pPr>
      <w:r>
        <w:rPr>
          <w:rFonts w:hint="eastAsia" w:ascii="仿宋" w:hAnsi="仿宋" w:eastAsia="仿宋" w:cs="仿宋"/>
          <w:color w:val="auto"/>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仿宋" w:hAnsi="仿宋" w:eastAsia="仿宋" w:cs="仿宋"/>
          <w:color w:val="auto"/>
          <w:sz w:val="24"/>
        </w:rPr>
        <w:cr/>
      </w:r>
      <w:r>
        <w:rPr>
          <w:rFonts w:hint="eastAsia" w:ascii="仿宋" w:hAnsi="仿宋" w:eastAsia="仿宋" w:cs="仿宋"/>
          <w:b/>
          <w:color w:val="auto"/>
          <w:sz w:val="24"/>
        </w:rPr>
        <w:t>4. 询问、质疑、投诉</w:t>
      </w:r>
    </w:p>
    <w:p>
      <w:pPr>
        <w:autoSpaceDE w:val="0"/>
        <w:autoSpaceDN w:val="0"/>
        <w:spacing w:line="360" w:lineRule="auto"/>
        <w:ind w:firstLine="240" w:firstLineChars="1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4.1供应商询问</w:t>
      </w:r>
    </w:p>
    <w:p>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4.2供应商质疑</w:t>
      </w:r>
    </w:p>
    <w:p>
      <w:pPr>
        <w:pStyle w:val="33"/>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lang w:val="zh-CN"/>
        </w:rPr>
        <w:t>4.2</w:t>
      </w:r>
      <w:r>
        <w:rPr>
          <w:rFonts w:hint="eastAsia" w:ascii="仿宋" w:hAnsi="仿宋" w:eastAsia="仿宋" w:cs="仿宋"/>
          <w:color w:val="auto"/>
          <w:sz w:val="24"/>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lang w:val="zh-CN"/>
        </w:rPr>
        <w:t>4.2</w:t>
      </w:r>
      <w:r>
        <w:rPr>
          <w:rFonts w:hint="eastAsia" w:ascii="仿宋" w:hAnsi="仿宋" w:eastAsia="仿宋" w:cs="仿宋"/>
          <w:color w:val="auto"/>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7"/>
        <w:spacing w:line="360" w:lineRule="auto"/>
        <w:ind w:firstLine="480" w:firstLineChars="200"/>
        <w:rPr>
          <w:rFonts w:hint="eastAsia" w:ascii="仿宋" w:hAnsi="仿宋" w:eastAsia="仿宋" w:cs="仿宋"/>
          <w:snapToGrid/>
          <w:color w:val="auto"/>
          <w:kern w:val="2"/>
          <w:sz w:val="24"/>
        </w:rPr>
      </w:pPr>
      <w:r>
        <w:rPr>
          <w:rFonts w:hint="eastAsia" w:ascii="仿宋" w:hAnsi="仿宋" w:eastAsia="仿宋" w:cs="仿宋"/>
          <w:snapToGrid/>
          <w:color w:val="auto"/>
          <w:kern w:val="2"/>
          <w:sz w:val="24"/>
        </w:rPr>
        <w:t>4.2.2.1对招标文件提出质疑的，质疑期限为供应商获得招标文件之日或者招标文件公告期限届满之日起计算。</w:t>
      </w:r>
    </w:p>
    <w:p>
      <w:pPr>
        <w:pStyle w:val="33"/>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4.2.2.2对采购过程提出质疑的，质疑期限为各采购程序环节结束之日起计算。对同一采购程序环节的质疑，供应商须一次性提出。</w:t>
      </w:r>
    </w:p>
    <w:p>
      <w:pPr>
        <w:pStyle w:val="33"/>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4.2.2.3对采购结果提出质疑的，质疑期限自采购结果公告期限届满之日起计算。</w:t>
      </w:r>
    </w:p>
    <w:p>
      <w:pPr>
        <w:pStyle w:val="33"/>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4.2.3</w:t>
      </w:r>
      <w:r>
        <w:rPr>
          <w:rFonts w:hint="eastAsia" w:ascii="仿宋" w:hAnsi="仿宋" w:eastAsia="仿宋" w:cs="仿宋"/>
          <w:color w:val="auto"/>
          <w:sz w:val="24"/>
        </w:rPr>
        <w:t>供应商提出质疑应当提交质疑函和必要的证明材料。质疑函应当包括下列内容：</w:t>
      </w:r>
    </w:p>
    <w:p>
      <w:pPr>
        <w:pStyle w:val="33"/>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4.2.3.1供应商的姓名或者名称、地址、邮编、联系人及联系电话；</w:t>
      </w:r>
    </w:p>
    <w:p>
      <w:pPr>
        <w:pStyle w:val="33"/>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4.2.3.2质疑项目的名称、编号；</w:t>
      </w:r>
    </w:p>
    <w:p>
      <w:pPr>
        <w:pStyle w:val="33"/>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4.2.3.3具体、明确的质疑事项和与质疑事项相关的请求；</w:t>
      </w:r>
    </w:p>
    <w:p>
      <w:pPr>
        <w:pStyle w:val="33"/>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4.2.3.4事实依据；</w:t>
      </w:r>
    </w:p>
    <w:p>
      <w:pPr>
        <w:pStyle w:val="33"/>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4.2.3.5必要的法律依据；</w:t>
      </w:r>
    </w:p>
    <w:p>
      <w:pPr>
        <w:pStyle w:val="33"/>
        <w:spacing w:line="360" w:lineRule="auto"/>
        <w:ind w:firstLine="960" w:firstLineChars="4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4.2.3.6提出质疑的日期。</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质疑函范本及制作说明详见附件2。</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lang w:val="zh-CN"/>
        </w:rPr>
        <w:t>4.2</w:t>
      </w:r>
      <w:r>
        <w:rPr>
          <w:rFonts w:hint="eastAsia" w:ascii="仿宋" w:hAnsi="仿宋" w:eastAsia="仿宋" w:cs="仿宋"/>
          <w:color w:val="auto"/>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lang w:val="zh-CN"/>
        </w:rPr>
        <w:t>4.2</w:t>
      </w:r>
      <w:r>
        <w:rPr>
          <w:rFonts w:hint="eastAsia" w:ascii="仿宋" w:hAnsi="仿宋" w:eastAsia="仿宋" w:cs="仿宋"/>
          <w:color w:val="auto"/>
        </w:rPr>
        <w:t>.5询问或者质疑事项可能影响采购结果的，采购人应当暂停签订合同，已经签订合同的，应当中止履行合同。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rFonts w:hint="eastAsia" w:ascii="仿宋" w:hAnsi="仿宋" w:eastAsia="仿宋" w:cs="仿宋"/>
          <w:color w:val="auto"/>
          <w:lang w:val="zh-CN"/>
        </w:rPr>
      </w:pPr>
      <w:r>
        <w:rPr>
          <w:rFonts w:hint="eastAsia" w:ascii="仿宋" w:hAnsi="仿宋" w:eastAsia="仿宋" w:cs="仿宋"/>
          <w:color w:val="auto"/>
          <w:lang w:val="zh-CN"/>
        </w:rPr>
        <w:t>4.3供应商投诉</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4.3.1质疑供应商对采购人、采购机构的答复不满意或者采购人、采购机构未在规定的时间内作出答复的，可以在答复期满后十五个工作日内向同级政府采购监督管理部门提出投诉。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4.3.</w:t>
      </w:r>
      <w:r>
        <w:rPr>
          <w:rFonts w:hint="eastAsia" w:ascii="仿宋" w:hAnsi="仿宋" w:eastAsia="仿宋" w:cs="仿宋"/>
          <w:color w:val="auto"/>
          <w:lang w:val="zh-CN"/>
        </w:rPr>
        <w:t>2</w:t>
      </w:r>
      <w:r>
        <w:rPr>
          <w:rFonts w:hint="eastAsia" w:ascii="仿宋" w:hAnsi="仿宋" w:eastAsia="仿宋" w:cs="仿宋"/>
          <w:color w:val="auto"/>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4.3.3供应商投诉应当有明确的请求和必要的证明材料。</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4.3.5 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投诉书范本及制作说明详见附件3。</w:t>
      </w:r>
    </w:p>
    <w:p>
      <w:pPr>
        <w:pStyle w:val="128"/>
        <w:snapToGrid w:val="0"/>
        <w:spacing w:before="0"/>
        <w:ind w:firstLine="360"/>
        <w:rPr>
          <w:rFonts w:hint="eastAsia" w:ascii="仿宋" w:hAnsi="仿宋" w:eastAsia="仿宋" w:cs="仿宋"/>
          <w:color w:val="auto"/>
          <w:sz w:val="18"/>
          <w:szCs w:val="18"/>
        </w:rPr>
      </w:pPr>
    </w:p>
    <w:p>
      <w:pPr>
        <w:adjustRightInd/>
        <w:spacing w:line="360" w:lineRule="auto"/>
        <w:jc w:val="center"/>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 xml:space="preserve">      二、招标文件的构成、澄清、修改</w:t>
      </w:r>
    </w:p>
    <w:p>
      <w:pPr>
        <w:pStyle w:val="33"/>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5．招标文件的构成</w:t>
      </w:r>
    </w:p>
    <w:p>
      <w:pPr>
        <w:pStyle w:val="33"/>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5.1 招标文件包括下列文件及附件：</w:t>
      </w:r>
    </w:p>
    <w:p>
      <w:pPr>
        <w:pStyle w:val="33"/>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5.1.1招标公告；</w:t>
      </w:r>
    </w:p>
    <w:p>
      <w:pPr>
        <w:pStyle w:val="33"/>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5.1.2投标人须知；</w:t>
      </w:r>
    </w:p>
    <w:p>
      <w:pPr>
        <w:pStyle w:val="33"/>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5.1.3采购需求；</w:t>
      </w:r>
    </w:p>
    <w:p>
      <w:pPr>
        <w:pStyle w:val="33"/>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5.1.4评标办法；</w:t>
      </w:r>
    </w:p>
    <w:p>
      <w:pPr>
        <w:pStyle w:val="33"/>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5.1.5拟签订的合同文本；</w:t>
      </w:r>
    </w:p>
    <w:p>
      <w:pPr>
        <w:pStyle w:val="33"/>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rPr>
        <w:t>5.1.6</w:t>
      </w:r>
      <w:r>
        <w:rPr>
          <w:rFonts w:hint="eastAsia" w:ascii="仿宋" w:hAnsi="仿宋" w:eastAsia="仿宋" w:cs="仿宋"/>
          <w:color w:val="auto"/>
          <w:sz w:val="24"/>
          <w:szCs w:val="24"/>
        </w:rPr>
        <w:t>应提交的有关格式范例。</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5.2与本项目有关的</w:t>
      </w:r>
      <w:r>
        <w:rPr>
          <w:rFonts w:hint="eastAsia" w:ascii="仿宋" w:hAnsi="仿宋" w:eastAsia="仿宋" w:cs="仿宋"/>
          <w:bCs/>
          <w:color w:val="auto"/>
          <w:sz w:val="24"/>
        </w:rPr>
        <w:t>澄清或者修改的内容为招标文件的组成部分</w:t>
      </w:r>
      <w:r>
        <w:rPr>
          <w:rFonts w:hint="eastAsia" w:ascii="仿宋" w:hAnsi="仿宋" w:eastAsia="仿宋" w:cs="仿宋"/>
          <w:color w:val="auto"/>
          <w:sz w:val="24"/>
        </w:rPr>
        <w:t>。</w:t>
      </w:r>
    </w:p>
    <w:p>
      <w:pPr>
        <w:pStyle w:val="33"/>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6. 招标文件的澄清、修改</w:t>
      </w:r>
    </w:p>
    <w:p>
      <w:pPr>
        <w:pStyle w:val="128"/>
        <w:snapToGrid w:val="0"/>
        <w:spacing w:before="0"/>
        <w:ind w:firstLine="480"/>
        <w:rPr>
          <w:rFonts w:hint="eastAsia" w:ascii="仿宋" w:hAnsi="仿宋" w:eastAsia="仿宋" w:cs="仿宋"/>
          <w:color w:val="auto"/>
        </w:rPr>
      </w:pPr>
      <w:r>
        <w:rPr>
          <w:rFonts w:hint="eastAsia" w:ascii="仿宋" w:hAnsi="仿宋" w:eastAsia="仿宋" w:cs="仿宋"/>
          <w:color w:val="auto"/>
        </w:rPr>
        <w:t>6.1已获取招标文件的潜在投标人，若有问题需要澄清，应于投标截止时间前，以书面形式向采购机构提出。</w:t>
      </w:r>
    </w:p>
    <w:p>
      <w:pPr>
        <w:pStyle w:val="128"/>
        <w:snapToGrid w:val="0"/>
        <w:spacing w:before="0"/>
        <w:ind w:firstLine="480"/>
        <w:rPr>
          <w:rFonts w:hint="eastAsia" w:ascii="仿宋" w:hAnsi="仿宋" w:eastAsia="仿宋" w:cs="仿宋"/>
          <w:color w:val="auto"/>
        </w:rPr>
      </w:pPr>
      <w:r>
        <w:rPr>
          <w:rFonts w:hint="eastAsia" w:ascii="仿宋" w:hAnsi="仿宋" w:eastAsia="仿宋" w:cs="仿宋"/>
          <w:color w:val="auto"/>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rFonts w:hint="eastAsia" w:ascii="仿宋" w:hAnsi="仿宋" w:eastAsia="仿宋" w:cs="仿宋"/>
          <w:color w:val="auto"/>
          <w:sz w:val="18"/>
          <w:szCs w:val="18"/>
          <w:lang w:val="en-US"/>
        </w:rPr>
      </w:pPr>
      <w:r>
        <w:rPr>
          <w:rFonts w:hint="eastAsia" w:ascii="仿宋" w:hAnsi="仿宋" w:eastAsia="仿宋" w:cs="仿宋"/>
          <w:color w:val="auto"/>
          <w:szCs w:val="24"/>
          <w:lang w:val="en-US"/>
        </w:rPr>
        <w:t xml:space="preserve">    </w:t>
      </w:r>
    </w:p>
    <w:p>
      <w:pPr>
        <w:adjustRightInd/>
        <w:spacing w:line="360" w:lineRule="auto"/>
        <w:jc w:val="center"/>
        <w:outlineLvl w:val="0"/>
        <w:rPr>
          <w:rFonts w:hint="eastAsia" w:ascii="仿宋" w:hAnsi="仿宋" w:eastAsia="仿宋" w:cs="仿宋"/>
          <w:b/>
          <w:color w:val="auto"/>
          <w:sz w:val="30"/>
          <w:szCs w:val="20"/>
        </w:rPr>
      </w:pPr>
      <w:r>
        <w:rPr>
          <w:rFonts w:hint="eastAsia" w:ascii="仿宋" w:hAnsi="仿宋" w:eastAsia="仿宋" w:cs="仿宋"/>
          <w:b/>
          <w:color w:val="auto"/>
          <w:sz w:val="30"/>
          <w:szCs w:val="20"/>
        </w:rPr>
        <w:t>三、投标</w:t>
      </w:r>
    </w:p>
    <w:p>
      <w:pPr>
        <w:pStyle w:val="33"/>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7. 招标文件的获取</w:t>
      </w:r>
    </w:p>
    <w:p>
      <w:pPr>
        <w:spacing w:line="360" w:lineRule="auto"/>
        <w:ind w:firstLine="480" w:firstLineChars="200"/>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详见招标公告中获取招标文件的时间期限、地点、方式及招标文件售价。</w:t>
      </w:r>
    </w:p>
    <w:p>
      <w:pPr>
        <w:pStyle w:val="33"/>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8.开标前答疑会或现场考察</w:t>
      </w:r>
    </w:p>
    <w:p>
      <w:pPr>
        <w:pStyle w:val="33"/>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采购人组织潜在投标人现场考察或者召开开标前答疑会的，潜在投标人按第二部分投标人须知前附表的规定参加现场考察或者开标前答疑会。</w:t>
      </w:r>
    </w:p>
    <w:p>
      <w:pPr>
        <w:pStyle w:val="33"/>
        <w:spacing w:line="360" w:lineRule="auto"/>
        <w:rPr>
          <w:rFonts w:hint="eastAsia" w:ascii="仿宋" w:hAnsi="仿宋" w:eastAsia="仿宋" w:cs="仿宋"/>
          <w:b/>
          <w:color w:val="auto"/>
          <w:szCs w:val="24"/>
        </w:rPr>
      </w:pPr>
      <w:r>
        <w:rPr>
          <w:rFonts w:hint="eastAsia" w:ascii="仿宋" w:hAnsi="仿宋" w:eastAsia="仿宋" w:cs="仿宋"/>
          <w:b/>
          <w:color w:val="auto"/>
          <w:kern w:val="28"/>
          <w:sz w:val="24"/>
          <w:szCs w:val="24"/>
        </w:rPr>
        <w:t>9.投标保证金</w:t>
      </w:r>
    </w:p>
    <w:p>
      <w:pPr>
        <w:pStyle w:val="17"/>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pPr>
        <w:pStyle w:val="33"/>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10. 投标文件的语言</w:t>
      </w:r>
    </w:p>
    <w:p>
      <w:pPr>
        <w:autoSpaceDE w:val="0"/>
        <w:autoSpaceDN w:val="0"/>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投标文件及投标人与采购有关的来往通知、函件和文件均应使用中文。</w:t>
      </w:r>
    </w:p>
    <w:p>
      <w:pPr>
        <w:pStyle w:val="33"/>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11. 投标文件的组成</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11.1</w:t>
      </w:r>
      <w:r>
        <w:rPr>
          <w:rFonts w:hint="eastAsia" w:ascii="仿宋" w:hAnsi="仿宋" w:eastAsia="仿宋" w:cs="仿宋"/>
          <w:b/>
          <w:color w:val="auto"/>
          <w:sz w:val="24"/>
        </w:rPr>
        <w:t>资格文件</w:t>
      </w:r>
      <w:r>
        <w:rPr>
          <w:rFonts w:hint="eastAsia" w:ascii="仿宋" w:hAnsi="仿宋" w:eastAsia="仿宋" w:cs="仿宋"/>
          <w:color w:val="auto"/>
          <w:sz w:val="24"/>
        </w:rPr>
        <w:t>：</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11.1.1符合参加政府采购活动应当具备的一般条件的承诺函；</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11.1.2落实政府采购政策需满足的资格要求；</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11.1.3本项目的特定资格要求。</w:t>
      </w:r>
    </w:p>
    <w:p>
      <w:pPr>
        <w:snapToGrid w:val="0"/>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11.</w:t>
      </w:r>
      <w:r>
        <w:rPr>
          <w:rFonts w:hint="eastAsia" w:ascii="仿宋" w:hAnsi="仿宋" w:eastAsia="仿宋" w:cs="仿宋"/>
          <w:color w:val="auto"/>
          <w:sz w:val="24"/>
        </w:rPr>
        <w:t>2</w:t>
      </w:r>
      <w:r>
        <w:rPr>
          <w:rFonts w:hint="eastAsia" w:ascii="仿宋" w:hAnsi="仿宋" w:eastAsia="仿宋" w:cs="仿宋"/>
          <w:color w:val="auto"/>
          <w:sz w:val="24"/>
          <w:lang w:val="zh-CN"/>
        </w:rPr>
        <w:t xml:space="preserve">  </w:t>
      </w:r>
      <w:r>
        <w:rPr>
          <w:rFonts w:hint="eastAsia" w:ascii="仿宋" w:hAnsi="仿宋" w:eastAsia="仿宋" w:cs="仿宋"/>
          <w:color w:val="auto"/>
          <w:sz w:val="24"/>
        </w:rPr>
        <w:t>商务技术</w:t>
      </w:r>
      <w:r>
        <w:rPr>
          <w:rFonts w:hint="eastAsia" w:ascii="仿宋" w:hAnsi="仿宋" w:eastAsia="仿宋" w:cs="仿宋"/>
          <w:color w:val="auto"/>
          <w:sz w:val="24"/>
          <w:lang w:val="zh-CN"/>
        </w:rPr>
        <w:t>文件：</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11.2.1投标函；</w:t>
      </w:r>
      <w:r>
        <w:rPr>
          <w:rFonts w:hint="eastAsia" w:ascii="仿宋" w:hAnsi="仿宋" w:eastAsia="仿宋" w:cs="仿宋"/>
          <w:color w:val="auto"/>
          <w:sz w:val="24"/>
          <w:lang w:val="zh-CN"/>
        </w:rPr>
        <w:t xml:space="preserve"> </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11.2.2授权委托书或法定代表人（单位负责人、自然人本人）身份证明；</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11.2.3联合协议；</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11.2.4分包意向协议；</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11.2.5符合性审查资料；</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11.2.6评标标准相应的商务技术资料；</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11.2.7投标标的清单；</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11.2.8商务技术偏离表；</w:t>
      </w:r>
    </w:p>
    <w:p>
      <w:pPr>
        <w:snapToGrid w:val="0"/>
        <w:spacing w:line="360" w:lineRule="auto"/>
        <w:ind w:firstLine="960" w:firstLineChars="400"/>
        <w:rPr>
          <w:rFonts w:hint="eastAsia" w:ascii="仿宋" w:hAnsi="仿宋" w:eastAsia="仿宋" w:cs="仿宋"/>
          <w:color w:val="auto"/>
          <w:sz w:val="24"/>
          <w:lang w:val="zh-CN"/>
        </w:rPr>
      </w:pPr>
      <w:r>
        <w:rPr>
          <w:rFonts w:hint="eastAsia" w:ascii="仿宋" w:hAnsi="仿宋" w:eastAsia="仿宋" w:cs="仿宋"/>
          <w:color w:val="auto"/>
          <w:sz w:val="24"/>
          <w:lang w:val="zh-CN"/>
        </w:rPr>
        <w:t>11.</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9</w:t>
      </w:r>
      <w:r>
        <w:rPr>
          <w:rFonts w:hint="eastAsia" w:ascii="仿宋" w:hAnsi="仿宋" w:eastAsia="仿宋" w:cs="仿宋"/>
          <w:color w:val="auto"/>
          <w:sz w:val="24"/>
          <w:lang w:val="zh-CN"/>
        </w:rPr>
        <w:t>政府采购供应商廉洁自律承诺书；</w:t>
      </w:r>
    </w:p>
    <w:p>
      <w:pPr>
        <w:snapToGrid w:val="0"/>
        <w:spacing w:line="360" w:lineRule="auto"/>
        <w:ind w:firstLine="480" w:firstLineChars="200"/>
        <w:rPr>
          <w:rFonts w:hint="eastAsia" w:ascii="仿宋" w:hAnsi="仿宋" w:eastAsia="仿宋" w:cs="仿宋"/>
          <w:color w:val="auto"/>
          <w:sz w:val="24"/>
          <w:u w:val="single"/>
          <w:lang w:val="zh-CN"/>
        </w:rPr>
      </w:pPr>
      <w:r>
        <w:rPr>
          <w:rFonts w:hint="eastAsia" w:ascii="仿宋" w:hAnsi="仿宋" w:eastAsia="仿宋" w:cs="仿宋"/>
          <w:color w:val="auto"/>
          <w:kern w:val="0"/>
          <w:sz w:val="24"/>
          <w:lang w:val="zh-CN"/>
        </w:rPr>
        <w:t>11.</w:t>
      </w:r>
      <w:r>
        <w:rPr>
          <w:rFonts w:hint="eastAsia" w:ascii="仿宋" w:hAnsi="仿宋" w:eastAsia="仿宋" w:cs="仿宋"/>
          <w:color w:val="auto"/>
          <w:kern w:val="0"/>
          <w:sz w:val="24"/>
        </w:rPr>
        <w:t>3</w:t>
      </w:r>
      <w:r>
        <w:rPr>
          <w:rFonts w:hint="eastAsia" w:ascii="仿宋" w:hAnsi="仿宋" w:eastAsia="仿宋" w:cs="仿宋"/>
          <w:b/>
          <w:color w:val="auto"/>
          <w:sz w:val="24"/>
        </w:rPr>
        <w:t>报价文件：</w:t>
      </w:r>
      <w:r>
        <w:rPr>
          <w:rFonts w:hint="eastAsia" w:ascii="仿宋" w:hAnsi="仿宋" w:eastAsia="仿宋" w:cs="仿宋"/>
          <w:color w:val="auto"/>
          <w:sz w:val="24"/>
        </w:rPr>
        <w:t xml:space="preserve"> </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11.3.1开标一览表（报价表）；</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11.3.2中小企业声明函。</w:t>
      </w:r>
    </w:p>
    <w:p>
      <w:pPr>
        <w:spacing w:line="360" w:lineRule="auto"/>
        <w:ind w:firstLine="723" w:firstLineChars="300"/>
        <w:rPr>
          <w:rFonts w:hint="eastAsia" w:ascii="仿宋" w:hAnsi="仿宋" w:eastAsia="仿宋" w:cs="仿宋"/>
          <w:b/>
          <w:color w:val="auto"/>
          <w:sz w:val="24"/>
        </w:rPr>
      </w:pPr>
      <w:r>
        <w:rPr>
          <w:rFonts w:hint="eastAsia" w:ascii="仿宋" w:hAnsi="仿宋" w:eastAsia="仿宋" w:cs="仿宋"/>
          <w:b/>
          <w:color w:val="auto"/>
          <w:sz w:val="24"/>
        </w:rPr>
        <w:t>投标文件含有采购人不能接受的附加条件的，投标无效；</w:t>
      </w:r>
    </w:p>
    <w:p>
      <w:pPr>
        <w:spacing w:line="360" w:lineRule="auto"/>
        <w:ind w:firstLine="723" w:firstLineChars="300"/>
        <w:rPr>
          <w:rFonts w:hint="eastAsia" w:ascii="仿宋" w:hAnsi="仿宋" w:eastAsia="仿宋" w:cs="仿宋"/>
          <w:b/>
          <w:color w:val="auto"/>
          <w:sz w:val="24"/>
          <w:szCs w:val="21"/>
        </w:rPr>
      </w:pPr>
      <w:r>
        <w:rPr>
          <w:rFonts w:hint="eastAsia" w:ascii="仿宋" w:hAnsi="仿宋" w:eastAsia="仿宋" w:cs="仿宋"/>
          <w:b/>
          <w:color w:val="auto"/>
          <w:sz w:val="24"/>
        </w:rPr>
        <w:t>投标人提供虚假材料投标的，投标无效。</w:t>
      </w:r>
    </w:p>
    <w:p>
      <w:pPr>
        <w:pStyle w:val="128"/>
        <w:snapToGrid w:val="0"/>
        <w:spacing w:before="0"/>
        <w:ind w:firstLine="0" w:firstLineChars="0"/>
        <w:outlineLvl w:val="0"/>
        <w:rPr>
          <w:rFonts w:hint="eastAsia" w:ascii="仿宋" w:hAnsi="仿宋" w:eastAsia="仿宋" w:cs="仿宋"/>
          <w:b/>
          <w:color w:val="auto"/>
          <w:szCs w:val="24"/>
        </w:rPr>
      </w:pPr>
      <w:r>
        <w:rPr>
          <w:rFonts w:hint="eastAsia" w:ascii="仿宋" w:hAnsi="仿宋" w:eastAsia="仿宋" w:cs="仿宋"/>
          <w:b/>
          <w:color w:val="auto"/>
          <w:szCs w:val="24"/>
        </w:rPr>
        <w:t>12</w:t>
      </w:r>
      <w:r>
        <w:rPr>
          <w:rFonts w:hint="eastAsia" w:ascii="仿宋" w:hAnsi="仿宋" w:eastAsia="仿宋" w:cs="仿宋"/>
          <w:b/>
          <w:color w:val="auto"/>
          <w:kern w:val="0"/>
          <w:szCs w:val="24"/>
          <w:lang w:val="zh-CN"/>
        </w:rPr>
        <w:t xml:space="preserve">. </w:t>
      </w:r>
      <w:r>
        <w:rPr>
          <w:rFonts w:hint="eastAsia" w:ascii="仿宋" w:hAnsi="仿宋" w:eastAsia="仿宋" w:cs="仿宋"/>
          <w:b/>
          <w:color w:val="auto"/>
          <w:szCs w:val="24"/>
        </w:rPr>
        <w:t>投标文件的编制</w:t>
      </w:r>
    </w:p>
    <w:p>
      <w:pPr>
        <w:spacing w:line="360" w:lineRule="auto"/>
        <w:ind w:firstLine="480" w:firstLineChars="200"/>
        <w:rPr>
          <w:rFonts w:hint="eastAsia" w:ascii="仿宋" w:hAnsi="仿宋" w:eastAsia="仿宋" w:cs="仿宋"/>
          <w:b/>
          <w:color w:val="auto"/>
          <w:sz w:val="24"/>
        </w:rPr>
      </w:pPr>
      <w:r>
        <w:rPr>
          <w:rFonts w:hint="eastAsia" w:ascii="仿宋" w:hAnsi="仿宋" w:eastAsia="仿宋" w:cs="仿宋"/>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color w:val="auto"/>
          <w:sz w:val="24"/>
        </w:rPr>
      </w:pPr>
      <w:r>
        <w:rPr>
          <w:rFonts w:hint="eastAsia" w:ascii="仿宋" w:hAnsi="仿宋" w:eastAsia="仿宋" w:cs="仿宋"/>
          <w:b/>
          <w:color w:val="auto"/>
          <w:sz w:val="24"/>
        </w:rPr>
        <w:t>13.投标文件的签署、盖章</w:t>
      </w:r>
    </w:p>
    <w:p>
      <w:pPr>
        <w:pStyle w:val="128"/>
        <w:snapToGrid w:val="0"/>
        <w:spacing w:before="0"/>
        <w:ind w:firstLine="480"/>
        <w:rPr>
          <w:rFonts w:hint="eastAsia" w:ascii="仿宋" w:hAnsi="仿宋" w:eastAsia="仿宋" w:cs="仿宋"/>
          <w:b/>
          <w:color w:val="auto"/>
        </w:rPr>
      </w:pPr>
      <w:r>
        <w:rPr>
          <w:rFonts w:hint="eastAsia" w:ascii="仿宋" w:hAnsi="仿宋" w:eastAsia="仿宋" w:cs="仿宋"/>
          <w:color w:val="auto"/>
          <w:szCs w:val="24"/>
        </w:rPr>
        <w:t>13.1投标文件按照招标文件第六部分格式要</w:t>
      </w:r>
      <w:r>
        <w:rPr>
          <w:rFonts w:hint="eastAsia" w:ascii="仿宋" w:hAnsi="仿宋" w:eastAsia="仿宋" w:cs="仿宋"/>
          <w:color w:val="auto"/>
        </w:rPr>
        <w:t>求进行签署、盖章。</w:t>
      </w:r>
      <w:r>
        <w:rPr>
          <w:rFonts w:hint="eastAsia" w:ascii="仿宋" w:hAnsi="仿宋" w:eastAsia="仿宋" w:cs="仿宋"/>
          <w:b/>
          <w:color w:val="auto"/>
        </w:rPr>
        <w:t>▲投标人的投标文件未按照招标文件要求签署、盖章的，其投标无效</w:t>
      </w:r>
      <w:r>
        <w:rPr>
          <w:rFonts w:hint="eastAsia" w:ascii="仿宋" w:hAnsi="仿宋" w:eastAsia="仿宋" w:cs="仿宋"/>
          <w:color w:val="auto"/>
          <w:szCs w:val="24"/>
        </w:rPr>
        <w:t>。</w:t>
      </w:r>
    </w:p>
    <w:p>
      <w:pPr>
        <w:pStyle w:val="128"/>
        <w:snapToGrid w:val="0"/>
        <w:spacing w:before="0"/>
        <w:ind w:firstLine="480"/>
        <w:rPr>
          <w:rFonts w:hint="eastAsia" w:ascii="仿宋" w:hAnsi="仿宋" w:eastAsia="仿宋" w:cs="仿宋"/>
          <w:color w:val="auto"/>
        </w:rPr>
      </w:pPr>
      <w:r>
        <w:rPr>
          <w:rFonts w:hint="eastAsia" w:ascii="仿宋" w:hAnsi="仿宋" w:eastAsia="仿宋" w:cs="仿宋"/>
          <w:color w:val="auto"/>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hint="eastAsia" w:ascii="仿宋" w:hAnsi="仿宋" w:eastAsia="仿宋" w:cs="仿宋"/>
          <w:color w:val="auto"/>
          <w:szCs w:val="24"/>
        </w:rPr>
      </w:pPr>
      <w:r>
        <w:rPr>
          <w:rFonts w:hint="eastAsia" w:ascii="仿宋" w:hAnsi="仿宋" w:eastAsia="仿宋" w:cs="仿宋"/>
          <w:color w:val="auto"/>
        </w:rPr>
        <w:t>13.3招标文件对投标文件签署、盖章的要求适用于电子签名。</w:t>
      </w:r>
    </w:p>
    <w:p>
      <w:pPr>
        <w:pStyle w:val="128"/>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14. 投标文件的提交、补充、修改、撤回</w:t>
      </w:r>
    </w:p>
    <w:p>
      <w:pPr>
        <w:pStyle w:val="128"/>
        <w:ind w:firstLine="480"/>
        <w:rPr>
          <w:rFonts w:hint="eastAsia" w:ascii="仿宋" w:hAnsi="仿宋" w:eastAsia="仿宋" w:cs="仿宋"/>
          <w:color w:val="auto"/>
          <w:szCs w:val="24"/>
        </w:rPr>
      </w:pPr>
      <w:r>
        <w:rPr>
          <w:rFonts w:hint="eastAsia" w:ascii="仿宋" w:hAnsi="仿宋" w:eastAsia="仿宋" w:cs="仿宋"/>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hint="eastAsia" w:ascii="仿宋" w:hAnsi="仿宋" w:eastAsia="仿宋" w:cs="仿宋"/>
          <w:color w:val="auto"/>
          <w:szCs w:val="24"/>
        </w:rPr>
      </w:pPr>
      <w:r>
        <w:rPr>
          <w:rFonts w:hint="eastAsia" w:ascii="仿宋" w:hAnsi="仿宋" w:eastAsia="仿宋" w:cs="仿宋"/>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hint="eastAsia" w:ascii="仿宋" w:hAnsi="仿宋" w:eastAsia="仿宋" w:cs="仿宋"/>
          <w:color w:val="auto"/>
          <w:szCs w:val="24"/>
        </w:rPr>
      </w:pPr>
      <w:r>
        <w:rPr>
          <w:rFonts w:hint="eastAsia" w:ascii="仿宋" w:hAnsi="仿宋" w:eastAsia="仿宋" w:cs="仿宋"/>
          <w:color w:val="auto"/>
          <w:szCs w:val="24"/>
        </w:rPr>
        <w:t>14.3采购人、采购机构可以视情况延长投标文件提交的截止时间。在上述情况下，采购机构与投标人以前在投标截止期方面的全部权利、责任和义务，将适用于延长至新的投标截止期。</w:t>
      </w:r>
    </w:p>
    <w:p>
      <w:pPr>
        <w:pStyle w:val="33"/>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15.备份投标文件</w:t>
      </w:r>
    </w:p>
    <w:p>
      <w:pPr>
        <w:pStyle w:val="33"/>
        <w:spacing w:line="360" w:lineRule="auto"/>
        <w:ind w:firstLine="360" w:firstLineChars="150"/>
        <w:rPr>
          <w:rFonts w:hint="eastAsia" w:ascii="仿宋" w:hAnsi="仿宋" w:eastAsia="仿宋" w:cs="仿宋"/>
          <w:b/>
          <w:color w:val="auto"/>
          <w:sz w:val="24"/>
          <w:szCs w:val="24"/>
        </w:rPr>
      </w:pPr>
      <w:r>
        <w:rPr>
          <w:rFonts w:hint="eastAsia" w:ascii="仿宋" w:hAnsi="仿宋" w:eastAsia="仿宋" w:cs="仿宋"/>
          <w:color w:val="auto"/>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rPr>
        <w:t>但采购人、采购机构不强制或变相强制投标人提交备份投标文件。</w:t>
      </w:r>
    </w:p>
    <w:p>
      <w:pPr>
        <w:pStyle w:val="33"/>
        <w:spacing w:line="360" w:lineRule="auto"/>
        <w:ind w:firstLine="480" w:firstLineChars="200"/>
        <w:rPr>
          <w:rFonts w:hint="eastAsia" w:ascii="仿宋" w:hAnsi="仿宋" w:eastAsia="仿宋" w:cs="仿宋"/>
          <w:b/>
          <w:color w:val="auto"/>
          <w:sz w:val="24"/>
          <w:szCs w:val="24"/>
        </w:rPr>
      </w:pPr>
      <w:r>
        <w:rPr>
          <w:rFonts w:hint="eastAsia" w:ascii="仿宋" w:hAnsi="仿宋" w:eastAsia="仿宋" w:cs="仿宋"/>
          <w:color w:val="auto"/>
          <w:sz w:val="24"/>
          <w:szCs w:val="24"/>
        </w:rPr>
        <w:t>15.2备份投标文件须在“政采云投标客户端”制作生成，并储存在</w:t>
      </w:r>
      <w:r>
        <w:rPr>
          <w:rFonts w:hint="eastAsia" w:ascii="仿宋" w:hAnsi="仿宋" w:eastAsia="仿宋" w:cs="仿宋"/>
          <w:color w:val="auto"/>
          <w:sz w:val="24"/>
        </w:rPr>
        <w:t>DVD光盘</w:t>
      </w:r>
      <w:r>
        <w:rPr>
          <w:rFonts w:hint="eastAsia" w:ascii="仿宋" w:hAnsi="仿宋" w:eastAsia="仿宋" w:cs="仿宋"/>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rPr>
        <w:t>不符合上述制作、</w:t>
      </w:r>
      <w:r>
        <w:rPr>
          <w:rFonts w:hint="eastAsia" w:ascii="仿宋" w:hAnsi="仿宋" w:eastAsia="仿宋" w:cs="仿宋"/>
          <w:b/>
          <w:color w:val="auto"/>
          <w:sz w:val="24"/>
          <w:szCs w:val="24"/>
        </w:rPr>
        <w:t>存储、密封规定的备份投标文件将被视为无效或者被拒绝接收。</w:t>
      </w:r>
    </w:p>
    <w:p>
      <w:pPr>
        <w:pStyle w:val="33"/>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15.3直接提交备份投标文件的，投标人应于投标截止时间前在招标公告中载明的开标地点将备份投标文件提交给采购机构，采购机构将拒绝接受逾期送达的备份投标文件。</w:t>
      </w:r>
    </w:p>
    <w:p>
      <w:pPr>
        <w:pStyle w:val="33"/>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rPr>
        <w:t>招标文件第二部分投标人须知前附表规定的备份投标文件送达地点；</w:t>
      </w:r>
      <w:r>
        <w:rPr>
          <w:rFonts w:hint="eastAsia" w:ascii="仿宋" w:hAnsi="仿宋" w:eastAsia="仿宋" w:cs="仿宋"/>
          <w:color w:val="auto"/>
          <w:sz w:val="24"/>
          <w:szCs w:val="24"/>
        </w:rPr>
        <w:t>送达时间以签收人签收时间为准。采购机构将拒绝接受逾期送达的备份投标文件。邮寄过程中，电子备份投标文件发生泄露、遗失、损坏或延期送达等情况的，由投标人自行负责。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hint="eastAsia" w:ascii="仿宋" w:hAnsi="仿宋" w:eastAsia="仿宋" w:cs="仿宋"/>
          <w:b/>
          <w:color w:val="auto"/>
          <w:sz w:val="24"/>
          <w:szCs w:val="24"/>
        </w:rPr>
      </w:pPr>
      <w:r>
        <w:rPr>
          <w:rFonts w:hint="eastAsia" w:ascii="仿宋" w:hAnsi="仿宋" w:eastAsia="仿宋" w:cs="仿宋"/>
          <w:b/>
          <w:color w:val="auto"/>
          <w:sz w:val="24"/>
          <w:szCs w:val="24"/>
        </w:rPr>
        <w:t>15.5投标人仅提交备份投标文件，未在电子交易平台传输递交投标文件的，投标无效。</w:t>
      </w:r>
    </w:p>
    <w:p>
      <w:pPr>
        <w:pStyle w:val="128"/>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16.投标文件的无效处理</w:t>
      </w:r>
    </w:p>
    <w:p>
      <w:pPr>
        <w:pStyle w:val="25"/>
        <w:spacing w:line="360" w:lineRule="auto"/>
        <w:ind w:firstLine="360" w:firstLineChars="150"/>
        <w:rPr>
          <w:rFonts w:hint="eastAsia" w:ascii="仿宋" w:hAnsi="仿宋" w:eastAsia="仿宋" w:cs="仿宋"/>
          <w:color w:val="auto"/>
          <w:szCs w:val="21"/>
        </w:rPr>
      </w:pPr>
      <w:r>
        <w:rPr>
          <w:rFonts w:hint="eastAsia" w:ascii="仿宋" w:hAnsi="仿宋" w:eastAsia="仿宋" w:cs="仿宋"/>
          <w:color w:val="auto"/>
          <w:szCs w:val="21"/>
        </w:rPr>
        <w:t>有招标文件第四部分</w:t>
      </w:r>
      <w:r>
        <w:rPr>
          <w:rFonts w:hint="eastAsia" w:ascii="仿宋" w:hAnsi="仿宋" w:eastAsia="仿宋" w:cs="仿宋"/>
          <w:color w:val="auto"/>
          <w:highlight w:val="yellow"/>
        </w:rPr>
        <w:t>4.2规定</w:t>
      </w:r>
      <w:r>
        <w:rPr>
          <w:rFonts w:hint="eastAsia" w:ascii="仿宋" w:hAnsi="仿宋" w:eastAsia="仿宋" w:cs="仿宋"/>
          <w:color w:val="auto"/>
          <w:szCs w:val="21"/>
        </w:rPr>
        <w:t>的情形之一的，投标无效：</w:t>
      </w:r>
    </w:p>
    <w:p>
      <w:pPr>
        <w:pStyle w:val="128"/>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17.投标有效期</w:t>
      </w:r>
    </w:p>
    <w:p>
      <w:pPr>
        <w:spacing w:line="360" w:lineRule="auto"/>
        <w:ind w:firstLine="480" w:firstLineChars="200"/>
        <w:rPr>
          <w:rFonts w:hint="eastAsia" w:ascii="仿宋" w:hAnsi="仿宋" w:eastAsia="仿宋" w:cs="仿宋"/>
          <w:b/>
          <w:color w:val="auto"/>
          <w:sz w:val="24"/>
          <w:szCs w:val="21"/>
        </w:rPr>
      </w:pPr>
      <w:r>
        <w:rPr>
          <w:rFonts w:hint="eastAsia" w:ascii="仿宋" w:hAnsi="仿宋" w:eastAsia="仿宋" w:cs="仿宋"/>
          <w:color w:val="auto"/>
          <w:sz w:val="24"/>
          <w:szCs w:val="20"/>
        </w:rPr>
        <w:t>17.1投标有效期为从提交投标文件的截止之日起90天。▲</w:t>
      </w:r>
      <w:r>
        <w:rPr>
          <w:rFonts w:hint="eastAsia" w:ascii="仿宋" w:hAnsi="仿宋" w:eastAsia="仿宋" w:cs="仿宋"/>
          <w:b/>
          <w:color w:val="auto"/>
          <w:sz w:val="24"/>
          <w:szCs w:val="20"/>
        </w:rPr>
        <w:t>投标人的投标文件中承</w:t>
      </w:r>
      <w:r>
        <w:rPr>
          <w:rFonts w:hint="eastAsia" w:ascii="仿宋" w:hAnsi="仿宋" w:eastAsia="仿宋" w:cs="仿宋"/>
          <w:b/>
          <w:color w:val="auto"/>
          <w:sz w:val="24"/>
          <w:szCs w:val="21"/>
        </w:rPr>
        <w:t>诺的投标有效期少于招标文件中载明的投标有效期的，投标无效。</w:t>
      </w:r>
    </w:p>
    <w:p>
      <w:pPr>
        <w:pStyle w:val="128"/>
        <w:spacing w:before="0"/>
        <w:ind w:firstLine="480"/>
        <w:rPr>
          <w:rFonts w:hint="eastAsia" w:ascii="仿宋" w:hAnsi="仿宋" w:eastAsia="仿宋" w:cs="仿宋"/>
          <w:color w:val="auto"/>
        </w:rPr>
      </w:pPr>
      <w:r>
        <w:rPr>
          <w:rFonts w:hint="eastAsia" w:ascii="仿宋" w:hAnsi="仿宋" w:eastAsia="仿宋" w:cs="仿宋"/>
          <w:color w:val="auto"/>
        </w:rPr>
        <w:t>17.2投标文件合格投递后，自投标截止日期起，在投标有效期内有效。</w:t>
      </w:r>
    </w:p>
    <w:p>
      <w:pPr>
        <w:pStyle w:val="128"/>
        <w:spacing w:before="0"/>
        <w:ind w:firstLine="480"/>
        <w:rPr>
          <w:rFonts w:hint="eastAsia" w:ascii="仿宋" w:hAnsi="仿宋" w:eastAsia="仿宋" w:cs="仿宋"/>
          <w:color w:val="auto"/>
        </w:rPr>
      </w:pPr>
      <w:r>
        <w:rPr>
          <w:rFonts w:hint="eastAsia" w:ascii="仿宋" w:hAnsi="仿宋" w:eastAsia="仿宋" w:cs="仿宋"/>
          <w:color w:val="auto"/>
        </w:rPr>
        <w:t>17.3在原定投标有效期满之前，如果出现特殊情况，采购机构可以以书面形式通知投标人延长投标有效期。投标人同意延长的，不得要求或被允许修改其投标文件，投标人拒绝延长的，其投标无效。</w:t>
      </w:r>
    </w:p>
    <w:p>
      <w:pPr>
        <w:pStyle w:val="128"/>
        <w:spacing w:before="0"/>
        <w:ind w:firstLine="643"/>
        <w:rPr>
          <w:rFonts w:hint="eastAsia" w:ascii="仿宋" w:hAnsi="仿宋" w:eastAsia="仿宋" w:cs="仿宋"/>
          <w:b/>
          <w:color w:val="auto"/>
          <w:sz w:val="32"/>
        </w:rPr>
      </w:pPr>
    </w:p>
    <w:p>
      <w:pPr>
        <w:pStyle w:val="128"/>
        <w:spacing w:before="0"/>
        <w:ind w:firstLine="1928" w:firstLineChars="600"/>
        <w:rPr>
          <w:rFonts w:hint="eastAsia" w:ascii="仿宋" w:hAnsi="仿宋" w:eastAsia="仿宋" w:cs="仿宋"/>
          <w:b/>
          <w:color w:val="auto"/>
          <w:sz w:val="32"/>
        </w:rPr>
      </w:pPr>
      <w:r>
        <w:rPr>
          <w:rFonts w:hint="eastAsia" w:ascii="仿宋" w:hAnsi="仿宋" w:eastAsia="仿宋" w:cs="仿宋"/>
          <w:b/>
          <w:color w:val="auto"/>
          <w:sz w:val="32"/>
        </w:rPr>
        <w:t>四、开标、资格审查与信用信息查询</w:t>
      </w:r>
    </w:p>
    <w:p>
      <w:pPr>
        <w:pStyle w:val="554"/>
        <w:spacing w:before="0" w:line="360" w:lineRule="auto"/>
        <w:ind w:left="0" w:firstLine="241" w:firstLineChars="100"/>
        <w:contextualSpacing/>
        <w:rPr>
          <w:rFonts w:hint="eastAsia" w:ascii="仿宋" w:hAnsi="仿宋" w:eastAsia="仿宋" w:cs="仿宋"/>
          <w:color w:val="auto"/>
          <w:sz w:val="24"/>
        </w:rPr>
      </w:pPr>
      <w:r>
        <w:rPr>
          <w:rFonts w:hint="eastAsia" w:ascii="仿宋" w:hAnsi="仿宋" w:eastAsia="仿宋" w:cs="仿宋"/>
          <w:b/>
          <w:color w:val="auto"/>
          <w:sz w:val="24"/>
          <w:szCs w:val="24"/>
        </w:rPr>
        <w:t>18.开标</w:t>
      </w:r>
      <w:r>
        <w:rPr>
          <w:rFonts w:hint="eastAsia" w:ascii="仿宋" w:hAnsi="仿宋" w:eastAsia="仿宋" w:cs="仿宋"/>
          <w:color w:val="auto"/>
          <w:sz w:val="24"/>
        </w:rPr>
        <w:t xml:space="preserve"> </w:t>
      </w:r>
    </w:p>
    <w:p>
      <w:pPr>
        <w:pStyle w:val="554"/>
        <w:spacing w:before="0" w:line="360" w:lineRule="auto"/>
        <w:ind w:left="0" w:firstLine="480" w:firstLineChars="200"/>
        <w:contextualSpacing/>
        <w:rPr>
          <w:rFonts w:hint="eastAsia" w:ascii="仿宋" w:hAnsi="仿宋" w:eastAsia="仿宋" w:cs="仿宋"/>
          <w:color w:val="auto"/>
          <w:sz w:val="24"/>
        </w:rPr>
      </w:pPr>
      <w:r>
        <w:rPr>
          <w:rFonts w:hint="eastAsia" w:ascii="仿宋" w:hAnsi="仿宋" w:eastAsia="仿宋" w:cs="仿宋"/>
          <w:color w:val="auto"/>
          <w:sz w:val="24"/>
        </w:rPr>
        <w:t>18.1采购机构按照招标文件规定的时间通过电子交易平台组织开标，所有投标人均应当准时在线参加。投标人不足3家的，不得开标。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hint="eastAsia" w:ascii="仿宋" w:hAnsi="仿宋" w:eastAsia="仿宋" w:cs="仿宋"/>
          <w:color w:val="auto"/>
          <w:sz w:val="24"/>
        </w:rPr>
      </w:pPr>
      <w:r>
        <w:rPr>
          <w:rFonts w:hint="eastAsia" w:ascii="仿宋" w:hAnsi="仿宋" w:eastAsia="仿宋" w:cs="仿宋"/>
          <w:color w:val="auto"/>
          <w:sz w:val="24"/>
        </w:rPr>
        <w:t>　18.2开标时，电子交易平台按开标时间自动提取所有投标文件。采购机构依托电子交易平台发起开始解密指令，投标人按照平台提示和招标文件的规定在半小时内完成在线解密。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hint="eastAsia" w:ascii="仿宋" w:hAnsi="仿宋" w:eastAsia="仿宋" w:cs="仿宋"/>
          <w:b/>
          <w:color w:val="auto"/>
          <w:sz w:val="24"/>
        </w:rPr>
      </w:pPr>
      <w:r>
        <w:rPr>
          <w:rFonts w:hint="eastAsia" w:ascii="仿宋" w:hAnsi="仿宋" w:eastAsia="仿宋" w:cs="仿宋"/>
          <w:color w:val="auto"/>
          <w:sz w:val="24"/>
        </w:rPr>
        <w:t>　18.3</w:t>
      </w:r>
      <w:r>
        <w:rPr>
          <w:rFonts w:hint="eastAsia" w:ascii="仿宋" w:hAnsi="仿宋" w:eastAsia="仿宋" w:cs="仿宋"/>
          <w:b/>
          <w:color w:val="auto"/>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 w:hAnsi="仿宋" w:eastAsia="仿宋" w:cs="仿宋"/>
          <w:b/>
          <w:color w:val="auto"/>
          <w:sz w:val="24"/>
          <w:szCs w:val="20"/>
        </w:rPr>
      </w:pPr>
      <w:r>
        <w:rPr>
          <w:rFonts w:hint="eastAsia" w:ascii="仿宋" w:hAnsi="仿宋" w:eastAsia="仿宋" w:cs="仿宋"/>
          <w:b/>
          <w:color w:val="auto"/>
          <w:sz w:val="24"/>
          <w:szCs w:val="20"/>
        </w:rPr>
        <w:t>　19、资格审查</w:t>
      </w:r>
    </w:p>
    <w:p>
      <w:pPr>
        <w:pStyle w:val="128"/>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19.1开标后，采购人或采购机构将依法对投标人的资格进行审查。</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t>19.2</w:t>
      </w:r>
      <w:r>
        <w:rPr>
          <w:rFonts w:hint="eastAsia" w:ascii="仿宋" w:hAnsi="仿宋" w:eastAsia="仿宋" w:cs="仿宋"/>
          <w:color w:val="auto"/>
          <w:sz w:val="24"/>
        </w:rPr>
        <w:t>采购人或采购机构依据法律法规和招标文件的规定，对投标人的基本资格条件、特定资格条件进行审查。</w:t>
      </w:r>
    </w:p>
    <w:p>
      <w:pPr>
        <w:pStyle w:val="128"/>
        <w:spacing w:before="0"/>
        <w:ind w:firstLine="480"/>
        <w:rPr>
          <w:rFonts w:hint="eastAsia" w:ascii="仿宋" w:hAnsi="仿宋" w:eastAsia="仿宋" w:cs="仿宋"/>
          <w:color w:val="auto"/>
        </w:rPr>
      </w:pPr>
      <w:r>
        <w:rPr>
          <w:rFonts w:hint="eastAsia" w:ascii="仿宋" w:hAnsi="仿宋" w:eastAsia="仿宋" w:cs="仿宋"/>
          <w:color w:val="auto"/>
          <w:kern w:val="0"/>
          <w:szCs w:val="24"/>
        </w:rPr>
        <w:t>19.3投标人未按照招标文件要求提供与</w:t>
      </w:r>
      <w:r>
        <w:rPr>
          <w:rFonts w:hint="eastAsia" w:ascii="仿宋" w:hAnsi="仿宋" w:eastAsia="仿宋" w:cs="仿宋"/>
          <w:color w:val="auto"/>
        </w:rPr>
        <w:t>基本资格条件、特定资格条件相应的</w:t>
      </w:r>
      <w:r>
        <w:rPr>
          <w:rFonts w:hint="eastAsia" w:ascii="仿宋" w:hAnsi="仿宋" w:eastAsia="仿宋" w:cs="仿宋"/>
          <w:color w:val="auto"/>
          <w:kern w:val="0"/>
          <w:szCs w:val="24"/>
        </w:rPr>
        <w:t>有效资格证明材料的，视为</w:t>
      </w:r>
      <w:r>
        <w:rPr>
          <w:rFonts w:hint="eastAsia" w:ascii="仿宋" w:hAnsi="仿宋" w:eastAsia="仿宋" w:cs="仿宋"/>
          <w:color w:val="auto"/>
        </w:rPr>
        <w:t>投标人不具备招标文件中规定的资格要求，其投标无效。</w:t>
      </w:r>
    </w:p>
    <w:p>
      <w:pPr>
        <w:pStyle w:val="128"/>
        <w:spacing w:before="0"/>
        <w:ind w:firstLine="480"/>
        <w:rPr>
          <w:rFonts w:hint="eastAsia" w:ascii="仿宋" w:hAnsi="仿宋" w:eastAsia="仿宋" w:cs="仿宋"/>
          <w:color w:val="auto"/>
        </w:rPr>
      </w:pPr>
      <w:r>
        <w:rPr>
          <w:rFonts w:hint="eastAsia" w:ascii="仿宋" w:hAnsi="仿宋" w:eastAsia="仿宋" w:cs="仿宋"/>
          <w:color w:val="auto"/>
          <w:kern w:val="0"/>
          <w:szCs w:val="24"/>
        </w:rPr>
        <w:t>19.</w:t>
      </w:r>
      <w:r>
        <w:rPr>
          <w:rFonts w:hint="eastAsia" w:ascii="仿宋" w:hAnsi="仿宋" w:eastAsia="仿宋" w:cs="仿宋"/>
          <w:color w:val="auto"/>
        </w:rPr>
        <w:t>4对未通过资格审查的投标人，采购人或采购机构告知其未通过的原因。</w:t>
      </w:r>
    </w:p>
    <w:p>
      <w:pPr>
        <w:pStyle w:val="128"/>
        <w:spacing w:before="0"/>
        <w:ind w:firstLine="480"/>
        <w:rPr>
          <w:rFonts w:hint="eastAsia" w:ascii="仿宋" w:hAnsi="仿宋" w:eastAsia="仿宋" w:cs="仿宋"/>
          <w:color w:val="auto"/>
        </w:rPr>
      </w:pPr>
      <w:r>
        <w:rPr>
          <w:rFonts w:hint="eastAsia" w:ascii="仿宋" w:hAnsi="仿宋" w:eastAsia="仿宋" w:cs="仿宋"/>
          <w:color w:val="auto"/>
          <w:kern w:val="0"/>
          <w:szCs w:val="24"/>
        </w:rPr>
        <w:t>19.</w:t>
      </w:r>
      <w:r>
        <w:rPr>
          <w:rFonts w:hint="eastAsia" w:ascii="仿宋" w:hAnsi="仿宋" w:eastAsia="仿宋" w:cs="仿宋"/>
          <w:color w:val="auto"/>
        </w:rPr>
        <w:t>5合格投标人不足3家的，不再评标。</w:t>
      </w:r>
    </w:p>
    <w:p>
      <w:pPr>
        <w:pStyle w:val="128"/>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20、信用信息查询</w:t>
      </w:r>
    </w:p>
    <w:p>
      <w:pPr>
        <w:pStyle w:val="128"/>
        <w:spacing w:before="0"/>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20.1信用信息查询渠道及截止时间：采购机构将通过“信用中国”网站(www.creditchina.gov.cn)、中国政府采购网(www.ccgp.gov.cn)渠道查询投标人投标截止时间当天的信用记录。</w:t>
      </w:r>
    </w:p>
    <w:p>
      <w:pPr>
        <w:pStyle w:val="128"/>
        <w:spacing w:before="0"/>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hint="eastAsia" w:ascii="仿宋" w:hAnsi="仿宋" w:eastAsia="仿宋" w:cs="仿宋"/>
          <w:color w:val="auto"/>
        </w:rPr>
      </w:pPr>
      <w:r>
        <w:rPr>
          <w:rFonts w:hint="eastAsia" w:ascii="仿宋" w:hAnsi="仿宋" w:eastAsia="仿宋" w:cs="仿宋"/>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rPr>
        <w:t>。</w:t>
      </w:r>
    </w:p>
    <w:p>
      <w:pPr>
        <w:pStyle w:val="128"/>
        <w:spacing w:before="0"/>
        <w:ind w:firstLine="0" w:firstLineChars="0"/>
        <w:rPr>
          <w:rFonts w:hint="eastAsia" w:ascii="仿宋" w:hAnsi="仿宋" w:eastAsia="仿宋" w:cs="仿宋"/>
          <w:color w:val="auto"/>
          <w:kern w:val="0"/>
          <w:szCs w:val="24"/>
        </w:rPr>
      </w:pPr>
    </w:p>
    <w:p>
      <w:pPr>
        <w:snapToGrid w:val="0"/>
        <w:spacing w:line="36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五、评标</w:t>
      </w:r>
    </w:p>
    <w:p>
      <w:pPr>
        <w:spacing w:line="360" w:lineRule="auto"/>
        <w:rPr>
          <w:rFonts w:hint="eastAsia" w:ascii="仿宋" w:hAnsi="仿宋" w:eastAsia="仿宋" w:cs="仿宋"/>
          <w:b/>
          <w:color w:val="auto"/>
          <w:sz w:val="24"/>
        </w:rPr>
      </w:pPr>
      <w:bookmarkStart w:id="14" w:name="_Toc91899903"/>
      <w:r>
        <w:rPr>
          <w:rFonts w:hint="eastAsia" w:ascii="仿宋" w:hAnsi="仿宋" w:eastAsia="仿宋" w:cs="仿宋"/>
          <w:b/>
          <w:color w:val="auto"/>
          <w:sz w:val="24"/>
        </w:rPr>
        <w:t>21.</w:t>
      </w:r>
      <w:r>
        <w:rPr>
          <w:rFonts w:hint="eastAsia" w:ascii="仿宋" w:hAnsi="仿宋" w:eastAsia="仿宋" w:cs="仿宋"/>
          <w:color w:val="auto"/>
        </w:rPr>
        <w:t xml:space="preserve"> </w:t>
      </w:r>
      <w:r>
        <w:rPr>
          <w:rFonts w:hint="eastAsia" w:ascii="仿宋" w:hAnsi="仿宋" w:eastAsia="仿宋" w:cs="仿宋"/>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rPr>
        <w:t>详见招标文件第四部分评标办法。</w:t>
      </w:r>
    </w:p>
    <w:p>
      <w:pPr>
        <w:spacing w:line="360" w:lineRule="auto"/>
        <w:rPr>
          <w:rFonts w:hint="eastAsia" w:ascii="仿宋" w:hAnsi="仿宋" w:eastAsia="仿宋" w:cs="仿宋"/>
          <w:b/>
          <w:color w:val="auto"/>
          <w:sz w:val="24"/>
        </w:rPr>
      </w:pPr>
    </w:p>
    <w:p>
      <w:pPr>
        <w:snapToGrid w:val="0"/>
        <w:spacing w:line="36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六、定 标</w:t>
      </w:r>
    </w:p>
    <w:p>
      <w:pPr>
        <w:pStyle w:val="25"/>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22. 确定中标供应商</w:t>
      </w:r>
    </w:p>
    <w:p>
      <w:pPr>
        <w:pStyle w:val="128"/>
        <w:snapToGrid w:val="0"/>
        <w:spacing w:before="0"/>
        <w:ind w:firstLine="480"/>
        <w:rPr>
          <w:rFonts w:hint="eastAsia" w:ascii="仿宋" w:hAnsi="仿宋" w:eastAsia="仿宋" w:cs="仿宋"/>
          <w:b/>
          <w:color w:val="auto"/>
          <w:szCs w:val="24"/>
        </w:rPr>
      </w:pPr>
      <w:r>
        <w:rPr>
          <w:rFonts w:hint="eastAsia" w:ascii="仿宋" w:hAnsi="仿宋" w:eastAsia="仿宋" w:cs="仿宋"/>
          <w:color w:val="auto"/>
          <w:szCs w:val="24"/>
        </w:rPr>
        <w:t>采购人将自收到评审报告之日起5个工作日内通过电子交易平台在评审报告推荐的中标候选人中按顺序确定中标供应商。</w:t>
      </w:r>
    </w:p>
    <w:p>
      <w:pPr>
        <w:pStyle w:val="128"/>
        <w:snapToGrid w:val="0"/>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23. 中标通知与中标结果公告</w:t>
      </w:r>
    </w:p>
    <w:p>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23.3公告期限为1个工作日。</w:t>
      </w:r>
    </w:p>
    <w:p>
      <w:pPr>
        <w:snapToGrid w:val="0"/>
        <w:spacing w:line="360" w:lineRule="auto"/>
        <w:ind w:left="120" w:leftChars="57" w:firstLine="482" w:firstLineChars="150"/>
        <w:jc w:val="center"/>
        <w:rPr>
          <w:rFonts w:hint="eastAsia" w:ascii="仿宋" w:hAnsi="仿宋" w:eastAsia="仿宋" w:cs="仿宋"/>
          <w:b/>
          <w:color w:val="auto"/>
          <w:sz w:val="32"/>
        </w:rPr>
      </w:pPr>
    </w:p>
    <w:p>
      <w:pPr>
        <w:snapToGrid w:val="0"/>
        <w:spacing w:line="360" w:lineRule="auto"/>
        <w:ind w:left="120" w:leftChars="57" w:firstLine="482" w:firstLineChars="150"/>
        <w:jc w:val="center"/>
        <w:rPr>
          <w:rFonts w:hint="eastAsia" w:ascii="仿宋" w:hAnsi="仿宋" w:eastAsia="仿宋" w:cs="仿宋"/>
          <w:b/>
          <w:color w:val="auto"/>
          <w:sz w:val="32"/>
        </w:rPr>
      </w:pPr>
      <w:r>
        <w:rPr>
          <w:rFonts w:hint="eastAsia" w:ascii="仿宋" w:hAnsi="仿宋" w:eastAsia="仿宋" w:cs="仿宋"/>
          <w:b/>
          <w:color w:val="auto"/>
          <w:sz w:val="32"/>
        </w:rPr>
        <w:t>七、合同授予</w:t>
      </w:r>
    </w:p>
    <w:p>
      <w:pPr>
        <w:pStyle w:val="25"/>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 xml:space="preserve">24. </w:t>
      </w:r>
      <w:r>
        <w:rPr>
          <w:rFonts w:hint="eastAsia" w:ascii="仿宋" w:hAnsi="仿宋" w:eastAsia="仿宋" w:cs="仿宋"/>
          <w:color w:val="auto"/>
        </w:rPr>
        <w:t>合同主要条款详见第五部分拟签订的合同文本。</w:t>
      </w:r>
    </w:p>
    <w:p>
      <w:pPr>
        <w:pStyle w:val="25"/>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25. 合同的签订</w:t>
      </w:r>
    </w:p>
    <w:p>
      <w:pPr>
        <w:widowControl/>
        <w:shd w:val="clear" w:color="auto" w:fill="FFFFFF"/>
        <w:spacing w:line="360" w:lineRule="auto"/>
        <w:ind w:firstLine="480"/>
        <w:jc w:val="left"/>
        <w:rPr>
          <w:rFonts w:hint="eastAsia" w:ascii="仿宋" w:hAnsi="仿宋" w:eastAsia="仿宋" w:cs="仿宋"/>
          <w:color w:val="auto"/>
          <w:kern w:val="0"/>
          <w:sz w:val="24"/>
        </w:rPr>
      </w:pPr>
      <w:r>
        <w:rPr>
          <w:rFonts w:hint="eastAsia" w:ascii="仿宋" w:hAnsi="仿宋" w:eastAsia="仿宋" w:cs="仿宋"/>
          <w:color w:val="auto"/>
          <w:sz w:val="24"/>
        </w:rPr>
        <w:t>25.1</w:t>
      </w:r>
      <w:r>
        <w:rPr>
          <w:rFonts w:hint="eastAsia" w:ascii="仿宋" w:hAnsi="仿宋" w:eastAsia="仿宋" w:cs="仿宋"/>
          <w:color w:val="auto"/>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pPr>
        <w:pStyle w:val="128"/>
        <w:snapToGrid w:val="0"/>
        <w:spacing w:before="0"/>
        <w:ind w:firstLine="480"/>
        <w:rPr>
          <w:rFonts w:hint="eastAsia" w:ascii="仿宋" w:hAnsi="仿宋" w:eastAsia="仿宋" w:cs="仿宋"/>
          <w:color w:val="auto"/>
          <w:kern w:val="0"/>
        </w:rPr>
      </w:pPr>
      <w:r>
        <w:rPr>
          <w:rFonts w:hint="eastAsia" w:ascii="仿宋" w:hAnsi="仿宋" w:eastAsia="仿宋" w:cs="仿宋"/>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hint="eastAsia" w:ascii="仿宋" w:hAnsi="仿宋" w:eastAsia="仿宋" w:cs="仿宋"/>
          <w:color w:val="auto"/>
        </w:rPr>
      </w:pPr>
      <w:r>
        <w:rPr>
          <w:rFonts w:hint="eastAsia" w:ascii="仿宋" w:hAnsi="仿宋" w:eastAsia="仿宋" w:cs="仿宋"/>
          <w:color w:val="auto"/>
        </w:rPr>
        <w:t>25.3如签订合同并生效后，供应商无故拒绝或延期，除按照合同条款处理外，列入不良行为记录一次，并给予通报。</w:t>
      </w:r>
    </w:p>
    <w:p>
      <w:pPr>
        <w:pStyle w:val="128"/>
        <w:snapToGrid w:val="0"/>
        <w:spacing w:before="0"/>
        <w:ind w:firstLine="480"/>
        <w:rPr>
          <w:rFonts w:hint="eastAsia" w:ascii="仿宋" w:hAnsi="仿宋" w:eastAsia="仿宋" w:cs="仿宋"/>
          <w:color w:val="auto"/>
        </w:rPr>
      </w:pPr>
      <w:r>
        <w:rPr>
          <w:rFonts w:hint="eastAsia" w:ascii="仿宋" w:hAnsi="仿宋" w:eastAsia="仿宋" w:cs="仿宋"/>
          <w:color w:val="auto"/>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hint="eastAsia" w:ascii="仿宋" w:hAnsi="仿宋" w:eastAsia="仿宋" w:cs="仿宋"/>
          <w:color w:val="auto"/>
        </w:rPr>
      </w:pPr>
      <w:r>
        <w:rPr>
          <w:rFonts w:hint="eastAsia" w:ascii="仿宋" w:hAnsi="仿宋" w:eastAsia="仿宋" w:cs="仿宋"/>
          <w:color w:val="auto"/>
        </w:rPr>
        <w:t>25.5采购合同由采购人与中标供应商根据招标文件、投标文件等内容通过政府采购电子交易平台在线签订，自动备案。</w:t>
      </w:r>
    </w:p>
    <w:p>
      <w:pPr>
        <w:pStyle w:val="25"/>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26. 履约保证金</w:t>
      </w:r>
    </w:p>
    <w:p>
      <w:pPr>
        <w:tabs>
          <w:tab w:val="left" w:pos="0"/>
        </w:tabs>
        <w:spacing w:line="360" w:lineRule="auto"/>
        <w:ind w:firstLine="482"/>
        <w:rPr>
          <w:rFonts w:hint="eastAsia" w:ascii="仿宋" w:hAnsi="仿宋" w:eastAsia="仿宋" w:cs="仿宋"/>
          <w:b/>
          <w:color w:val="auto"/>
          <w:sz w:val="24"/>
          <w:lang w:eastAsia="zh-CN"/>
        </w:rPr>
      </w:pPr>
      <w:r>
        <w:rPr>
          <w:rFonts w:hint="eastAsia" w:ascii="仿宋" w:hAnsi="仿宋" w:eastAsia="仿宋" w:cs="仿宋"/>
          <w:color w:val="auto"/>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rPr>
        <w:t>。履约保证金的数额不得超过政府采购合同金额的</w:t>
      </w:r>
      <w:r>
        <w:rPr>
          <w:rFonts w:hint="eastAsia" w:ascii="仿宋" w:hAnsi="仿宋" w:eastAsia="仿宋" w:cs="仿宋"/>
          <w:color w:val="auto"/>
          <w:sz w:val="24"/>
          <w:lang w:val="en-US" w:eastAsia="zh-CN"/>
        </w:rPr>
        <w:t>2.5</w:t>
      </w:r>
      <w:r>
        <w:rPr>
          <w:rFonts w:hint="eastAsia" w:ascii="仿宋" w:hAnsi="仿宋" w:eastAsia="仿宋" w:cs="仿宋"/>
          <w:color w:val="auto"/>
          <w:sz w:val="24"/>
        </w:rPr>
        <w:t>%。鼓励和支持供应商以银行、保险公司出具的保函形式提供履约保证金。</w:t>
      </w:r>
      <w:r>
        <w:rPr>
          <w:rFonts w:hint="eastAsia" w:ascii="仿宋" w:hAnsi="仿宋" w:eastAsia="仿宋" w:cs="仿宋"/>
          <w:b/>
          <w:color w:val="auto"/>
          <w:sz w:val="24"/>
        </w:rPr>
        <w:t>采购人不得拒收履约保函</w:t>
      </w:r>
      <w:r>
        <w:rPr>
          <w:rFonts w:hint="eastAsia" w:ascii="仿宋" w:hAnsi="仿宋" w:eastAsia="仿宋" w:cs="仿宋"/>
          <w:b/>
          <w:color w:val="auto"/>
          <w:sz w:val="24"/>
          <w:lang w:eastAsia="zh-CN"/>
        </w:rPr>
        <w:t>，</w:t>
      </w:r>
      <w:r>
        <w:rPr>
          <w:rFonts w:hint="eastAsia" w:ascii="仿宋" w:hAnsi="仿宋" w:eastAsia="仿宋" w:cs="仿宋"/>
          <w:b/>
          <w:color w:val="auto"/>
          <w:sz w:val="24"/>
        </w:rPr>
        <w:t>项目验收结束后应及时退还</w:t>
      </w:r>
      <w:r>
        <w:rPr>
          <w:rFonts w:hint="eastAsia" w:ascii="仿宋" w:hAnsi="仿宋" w:eastAsia="仿宋" w:cs="仿宋"/>
          <w:b/>
          <w:color w:val="auto"/>
          <w:sz w:val="24"/>
          <w:lang w:eastAsia="zh-CN"/>
        </w:rPr>
        <w:t>。</w:t>
      </w:r>
    </w:p>
    <w:p>
      <w:pPr>
        <w:tabs>
          <w:tab w:val="left" w:pos="0"/>
        </w:tabs>
        <w:spacing w:line="360" w:lineRule="auto"/>
        <w:ind w:firstLine="482"/>
        <w:rPr>
          <w:rFonts w:hint="eastAsia" w:ascii="仿宋" w:hAnsi="仿宋" w:eastAsia="仿宋" w:cs="仿宋"/>
          <w:color w:val="auto"/>
          <w:sz w:val="24"/>
          <w:szCs w:val="20"/>
        </w:rPr>
      </w:pPr>
      <w:r>
        <w:rPr>
          <w:rFonts w:hint="eastAsia" w:ascii="仿宋" w:hAnsi="仿宋" w:eastAsia="仿宋" w:cs="仿宋"/>
          <w:color w:val="auto"/>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w:t>
      </w:r>
      <w:r>
        <w:rPr>
          <w:rFonts w:hint="eastAsia" w:ascii="仿宋" w:hAnsi="仿宋" w:eastAsia="仿宋" w:cs="仿宋"/>
          <w:color w:val="auto"/>
          <w:sz w:val="24"/>
          <w:szCs w:val="20"/>
          <w:highlight w:val="yellow"/>
          <w:lang w:val="en-US" w:eastAsia="zh-CN"/>
        </w:rPr>
        <w:t>2.5</w:t>
      </w:r>
      <w:r>
        <w:rPr>
          <w:rFonts w:hint="eastAsia" w:ascii="仿宋" w:hAnsi="仿宋" w:eastAsia="仿宋" w:cs="仿宋"/>
          <w:color w:val="auto"/>
          <w:sz w:val="24"/>
          <w:szCs w:val="20"/>
          <w:highlight w:val="yellow"/>
        </w:rPr>
        <w:t>%</w:t>
      </w:r>
      <w:r>
        <w:rPr>
          <w:rFonts w:hint="eastAsia" w:ascii="仿宋" w:hAnsi="仿宋" w:eastAsia="仿宋" w:cs="仿宋"/>
          <w:color w:val="auto"/>
          <w:sz w:val="24"/>
          <w:szCs w:val="20"/>
        </w:rPr>
        <w:t>。</w:t>
      </w:r>
    </w:p>
    <w:p>
      <w:pPr>
        <w:pStyle w:val="5"/>
        <w:ind w:left="0" w:firstLine="480" w:firstLineChars="200"/>
        <w:rPr>
          <w:rFonts w:hint="eastAsia" w:ascii="仿宋" w:hAnsi="仿宋" w:eastAsia="仿宋" w:cs="仿宋"/>
          <w:color w:val="auto"/>
          <w:lang w:val="en-US"/>
        </w:rPr>
      </w:pPr>
      <w:r>
        <w:rPr>
          <w:rFonts w:hint="eastAsia" w:ascii="仿宋" w:hAnsi="仿宋" w:eastAsia="仿宋" w:cs="仿宋"/>
          <w:b w:val="0"/>
          <w:bCs w:val="0"/>
          <w:snapToGrid w:val="0"/>
          <w:color w:val="auto"/>
          <w:kern w:val="28"/>
          <w:sz w:val="24"/>
        </w:rPr>
        <w:t>供应商</w:t>
      </w:r>
      <w:r>
        <w:rPr>
          <w:rFonts w:hint="eastAsia" w:ascii="仿宋" w:hAnsi="仿宋" w:eastAsia="仿宋" w:cs="仿宋"/>
          <w:b w:val="0"/>
          <w:bCs w:val="0"/>
          <w:snapToGrid w:val="0"/>
          <w:color w:val="auto"/>
          <w:kern w:val="28"/>
          <w:sz w:val="24"/>
          <w:lang w:val="en-US"/>
        </w:rPr>
        <w:t>可</w:t>
      </w:r>
      <w:r>
        <w:rPr>
          <w:rFonts w:hint="eastAsia" w:ascii="仿宋" w:hAnsi="仿宋" w:eastAsia="仿宋" w:cs="仿宋"/>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 w:hAnsi="仿宋" w:eastAsia="仿宋" w:cs="仿宋"/>
          <w:b/>
          <w:color w:val="auto"/>
          <w:sz w:val="32"/>
        </w:rPr>
      </w:pPr>
    </w:p>
    <w:p>
      <w:pPr>
        <w:snapToGrid w:val="0"/>
        <w:spacing w:line="360" w:lineRule="auto"/>
        <w:ind w:firstLine="3357" w:firstLineChars="1045"/>
        <w:rPr>
          <w:rFonts w:hint="eastAsia" w:ascii="仿宋" w:hAnsi="仿宋" w:eastAsia="仿宋" w:cs="仿宋"/>
          <w:b/>
          <w:color w:val="auto"/>
          <w:sz w:val="24"/>
        </w:rPr>
      </w:pPr>
      <w:r>
        <w:rPr>
          <w:rFonts w:hint="eastAsia" w:ascii="仿宋" w:hAnsi="仿宋" w:eastAsia="仿宋" w:cs="仿宋"/>
          <w:b/>
          <w:color w:val="auto"/>
          <w:sz w:val="32"/>
        </w:rPr>
        <w:t>八、电子交易活动的中止</w:t>
      </w:r>
    </w:p>
    <w:p>
      <w:pPr>
        <w:pStyle w:val="128"/>
        <w:snapToGrid w:val="0"/>
        <w:spacing w:before="0"/>
        <w:ind w:firstLine="0" w:firstLineChars="0"/>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b/>
          <w:color w:val="auto"/>
          <w:szCs w:val="24"/>
        </w:rPr>
        <w:t>7. 电子交易活动的中止。</w:t>
      </w:r>
      <w:r>
        <w:rPr>
          <w:rFonts w:hint="eastAsia" w:ascii="仿宋" w:hAnsi="仿宋" w:eastAsia="仿宋" w:cs="仿宋"/>
          <w:color w:val="auto"/>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hint="eastAsia" w:ascii="仿宋" w:hAnsi="仿宋" w:eastAsia="仿宋" w:cs="仿宋"/>
          <w:color w:val="auto"/>
        </w:rPr>
      </w:pPr>
      <w:r>
        <w:rPr>
          <w:rFonts w:hint="eastAsia" w:ascii="仿宋" w:hAnsi="仿宋" w:eastAsia="仿宋" w:cs="仿宋"/>
          <w:color w:val="auto"/>
        </w:rPr>
        <w:t xml:space="preserve">27.1电子交易平台发生故障而无法登录访问的； </w:t>
      </w:r>
    </w:p>
    <w:p>
      <w:pPr>
        <w:pStyle w:val="128"/>
        <w:snapToGrid w:val="0"/>
        <w:spacing w:before="0"/>
        <w:ind w:firstLine="480"/>
        <w:rPr>
          <w:rFonts w:hint="eastAsia" w:ascii="仿宋" w:hAnsi="仿宋" w:eastAsia="仿宋" w:cs="仿宋"/>
          <w:color w:val="auto"/>
        </w:rPr>
      </w:pPr>
      <w:r>
        <w:rPr>
          <w:rFonts w:hint="eastAsia" w:ascii="仿宋" w:hAnsi="仿宋" w:eastAsia="仿宋" w:cs="仿宋"/>
          <w:color w:val="auto"/>
        </w:rPr>
        <w:t>27.2电子交易平台应用或数据库出现错误，不能进行正常操作的；</w:t>
      </w:r>
    </w:p>
    <w:p>
      <w:pPr>
        <w:pStyle w:val="128"/>
        <w:snapToGrid w:val="0"/>
        <w:spacing w:before="0"/>
        <w:ind w:firstLine="480"/>
        <w:rPr>
          <w:rFonts w:hint="eastAsia" w:ascii="仿宋" w:hAnsi="仿宋" w:eastAsia="仿宋" w:cs="仿宋"/>
          <w:color w:val="auto"/>
        </w:rPr>
      </w:pPr>
      <w:r>
        <w:rPr>
          <w:rFonts w:hint="eastAsia" w:ascii="仿宋" w:hAnsi="仿宋" w:eastAsia="仿宋" w:cs="仿宋"/>
          <w:color w:val="auto"/>
        </w:rPr>
        <w:t>27.3电子交易平台发现严重安全漏洞，有潜在泄密危险的；</w:t>
      </w:r>
    </w:p>
    <w:p>
      <w:pPr>
        <w:pStyle w:val="128"/>
        <w:snapToGrid w:val="0"/>
        <w:spacing w:before="0"/>
        <w:ind w:firstLine="480"/>
        <w:rPr>
          <w:rFonts w:hint="eastAsia" w:ascii="仿宋" w:hAnsi="仿宋" w:eastAsia="仿宋" w:cs="仿宋"/>
          <w:color w:val="auto"/>
        </w:rPr>
      </w:pPr>
      <w:r>
        <w:rPr>
          <w:rFonts w:hint="eastAsia" w:ascii="仿宋" w:hAnsi="仿宋" w:eastAsia="仿宋" w:cs="仿宋"/>
          <w:color w:val="auto"/>
        </w:rPr>
        <w:t xml:space="preserve">27.4病毒发作导致不能进行正常操作的； </w:t>
      </w:r>
    </w:p>
    <w:p>
      <w:pPr>
        <w:pStyle w:val="128"/>
        <w:snapToGrid w:val="0"/>
        <w:spacing w:before="0"/>
        <w:ind w:firstLine="480"/>
        <w:rPr>
          <w:rFonts w:hint="eastAsia" w:ascii="仿宋" w:hAnsi="仿宋" w:eastAsia="仿宋" w:cs="仿宋"/>
          <w:color w:val="auto"/>
        </w:rPr>
      </w:pPr>
      <w:r>
        <w:rPr>
          <w:rFonts w:hint="eastAsia" w:ascii="仿宋" w:hAnsi="仿宋" w:eastAsia="仿宋" w:cs="仿宋"/>
          <w:color w:val="auto"/>
        </w:rPr>
        <w:t>27.5其他无法保证电子交易的公平、公正和安全的情况。</w:t>
      </w:r>
    </w:p>
    <w:p>
      <w:pPr>
        <w:pStyle w:val="128"/>
        <w:snapToGrid w:val="0"/>
        <w:spacing w:before="0"/>
        <w:ind w:firstLine="0" w:firstLineChars="0"/>
        <w:rPr>
          <w:rFonts w:hint="eastAsia" w:ascii="仿宋" w:hAnsi="仿宋" w:eastAsia="仿宋" w:cs="仿宋"/>
          <w:color w:val="auto"/>
        </w:rPr>
      </w:pPr>
      <w:r>
        <w:rPr>
          <w:rFonts w:hint="eastAsia" w:ascii="仿宋" w:hAnsi="仿宋" w:eastAsia="仿宋" w:cs="仿宋"/>
          <w:color w:val="auto"/>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仿宋" w:hAnsi="仿宋" w:eastAsia="仿宋" w:cs="仿宋"/>
          <w:color w:val="auto"/>
          <w:sz w:val="24"/>
        </w:rPr>
      </w:pPr>
    </w:p>
    <w:p>
      <w:pPr>
        <w:snapToGrid w:val="0"/>
        <w:spacing w:line="360" w:lineRule="auto"/>
        <w:ind w:left="120" w:leftChars="57" w:firstLine="482" w:firstLineChars="150"/>
        <w:jc w:val="center"/>
        <w:rPr>
          <w:rFonts w:hint="eastAsia" w:ascii="仿宋" w:hAnsi="仿宋" w:eastAsia="仿宋" w:cs="仿宋"/>
          <w:b/>
          <w:color w:val="auto"/>
          <w:sz w:val="32"/>
        </w:rPr>
      </w:pPr>
      <w:r>
        <w:rPr>
          <w:rFonts w:hint="eastAsia" w:ascii="仿宋" w:hAnsi="仿宋" w:eastAsia="仿宋" w:cs="仿宋"/>
          <w:b/>
          <w:color w:val="auto"/>
          <w:sz w:val="32"/>
        </w:rPr>
        <w:t>九、验收</w:t>
      </w:r>
    </w:p>
    <w:p>
      <w:pPr>
        <w:pStyle w:val="25"/>
        <w:spacing w:line="360" w:lineRule="auto"/>
        <w:ind w:firstLine="0" w:firstLineChars="0"/>
        <w:rPr>
          <w:rFonts w:hint="eastAsia" w:ascii="仿宋" w:hAnsi="仿宋" w:eastAsia="仿宋" w:cs="仿宋"/>
          <w:b/>
          <w:color w:val="auto"/>
        </w:rPr>
      </w:pPr>
      <w:r>
        <w:rPr>
          <w:rFonts w:hint="eastAsia" w:ascii="仿宋" w:hAnsi="仿宋" w:eastAsia="仿宋" w:cs="仿宋"/>
          <w:b/>
          <w:color w:val="auto"/>
        </w:rPr>
        <w:t>29.验收</w:t>
      </w:r>
    </w:p>
    <w:p>
      <w:pPr>
        <w:tabs>
          <w:tab w:val="left" w:pos="0"/>
        </w:tabs>
        <w:spacing w:line="360" w:lineRule="auto"/>
        <w:ind w:firstLine="480"/>
        <w:jc w:val="left"/>
        <w:rPr>
          <w:rFonts w:hint="eastAsia" w:ascii="仿宋" w:hAnsi="仿宋" w:eastAsia="仿宋" w:cs="仿宋"/>
          <w:color w:val="auto"/>
          <w:kern w:val="0"/>
          <w:sz w:val="24"/>
        </w:rPr>
      </w:pPr>
      <w:r>
        <w:rPr>
          <w:rFonts w:hint="eastAsia" w:ascii="仿宋" w:hAnsi="仿宋" w:eastAsia="仿宋" w:cs="仿宋"/>
          <w:color w:val="auto"/>
          <w:kern w:val="0"/>
          <w:sz w:val="24"/>
        </w:rPr>
        <w:t>29.1采购人应当组织对供应商履约的验收。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之时已有新文件，按照最新文件执行）。存在隐蔽工程的项目，采购单位及供应商应在货物到货并将实施安装前，申请进行初验收。</w:t>
      </w:r>
    </w:p>
    <w:p>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联系电话: 0571-83587785/0571-82816012  联系地址: 萧山区通惠北路2-1号302室</w:t>
      </w:r>
    </w:p>
    <w:p>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29.2</w:t>
      </w:r>
      <w:r>
        <w:rPr>
          <w:rFonts w:hint="eastAsia" w:ascii="仿宋" w:hAnsi="仿宋" w:eastAsia="仿宋" w:cs="仿宋"/>
          <w:color w:val="auto"/>
          <w:kern w:val="0"/>
          <w:sz w:val="24"/>
        </w:rPr>
        <w:t>采购人组织对供应商履约的验收。</w:t>
      </w:r>
      <w:r>
        <w:rPr>
          <w:rFonts w:hint="eastAsia" w:ascii="仿宋" w:hAnsi="仿宋" w:eastAsia="仿宋" w:cs="仿宋"/>
          <w:color w:val="auto"/>
          <w:kern w:val="0"/>
          <w:sz w:val="24"/>
          <w:lang w:val="en-US" w:eastAsia="zh-CN"/>
        </w:rPr>
        <w:t>除29.1情形外，</w:t>
      </w:r>
      <w:r>
        <w:rPr>
          <w:rFonts w:hint="eastAsia" w:ascii="仿宋" w:hAnsi="仿宋" w:eastAsia="仿宋" w:cs="仿宋"/>
          <w:color w:val="auto"/>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bookmarkEnd w:id="12"/>
    <w:bookmarkEnd w:id="13"/>
    <w:bookmarkEnd w:id="14"/>
    <w:p>
      <w:pPr>
        <w:spacing w:line="360" w:lineRule="auto"/>
        <w:jc w:val="center"/>
        <w:outlineLvl w:val="0"/>
        <w:rPr>
          <w:rFonts w:hint="eastAsia" w:ascii="仿宋" w:hAnsi="仿宋" w:eastAsia="仿宋" w:cs="仿宋"/>
          <w:b/>
          <w:color w:val="auto"/>
          <w:sz w:val="36"/>
          <w:szCs w:val="36"/>
        </w:rPr>
      </w:pPr>
      <w:bookmarkStart w:id="15" w:name="第四部分"/>
    </w:p>
    <w:p>
      <w:pPr>
        <w:spacing w:line="360" w:lineRule="auto"/>
        <w:jc w:val="center"/>
        <w:outlineLvl w:val="0"/>
        <w:rPr>
          <w:rFonts w:hint="eastAsia" w:ascii="仿宋" w:hAnsi="仿宋" w:eastAsia="仿宋" w:cs="仿宋"/>
          <w:b/>
          <w:color w:val="auto"/>
          <w:sz w:val="36"/>
          <w:szCs w:val="36"/>
        </w:rPr>
      </w:pPr>
    </w:p>
    <w:p>
      <w:pPr>
        <w:spacing w:line="360" w:lineRule="auto"/>
        <w:jc w:val="center"/>
        <w:outlineLvl w:val="0"/>
        <w:rPr>
          <w:rFonts w:hint="eastAsia" w:ascii="仿宋" w:hAnsi="仿宋" w:eastAsia="仿宋" w:cs="仿宋"/>
          <w:b/>
          <w:color w:val="auto"/>
          <w:sz w:val="36"/>
          <w:szCs w:val="36"/>
        </w:rPr>
      </w:pPr>
    </w:p>
    <w:p>
      <w:pPr>
        <w:rPr>
          <w:rFonts w:hint="eastAsia" w:ascii="仿宋" w:hAnsi="仿宋" w:eastAsia="仿宋" w:cs="仿宋"/>
          <w:b/>
          <w:color w:val="auto"/>
          <w:sz w:val="36"/>
          <w:szCs w:val="36"/>
        </w:rPr>
      </w:pPr>
      <w:r>
        <w:rPr>
          <w:rFonts w:hint="eastAsia" w:ascii="仿宋" w:hAnsi="仿宋" w:eastAsia="仿宋" w:cs="仿宋"/>
          <w:b/>
          <w:color w:val="auto"/>
          <w:sz w:val="36"/>
          <w:szCs w:val="36"/>
        </w:rPr>
        <w:br w:type="page"/>
      </w:r>
    </w:p>
    <w:p>
      <w:pPr>
        <w:spacing w:line="36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第三部分   采购需求</w:t>
      </w:r>
    </w:p>
    <w:p>
      <w:pPr>
        <w:snapToGrid w:val="0"/>
        <w:spacing w:line="360" w:lineRule="auto"/>
        <w:jc w:val="left"/>
        <w:rPr>
          <w:rFonts w:hint="eastAsia" w:ascii="仿宋" w:hAnsi="仿宋" w:eastAsia="仿宋" w:cs="仿宋"/>
          <w:color w:val="auto"/>
          <w:sz w:val="24"/>
        </w:rPr>
      </w:pPr>
      <w:r>
        <w:rPr>
          <w:rFonts w:hint="eastAsia" w:ascii="仿宋" w:hAnsi="仿宋" w:eastAsia="仿宋" w:cs="仿宋"/>
          <w:color w:val="auto"/>
          <w:sz w:val="24"/>
        </w:rPr>
        <w:t>属于实质性要求条款的，请用符号“▲”标明，否则属于非实质性要求。</w:t>
      </w:r>
    </w:p>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“★”系产品采购项目中单一产品或核心产品。</w:t>
      </w:r>
    </w:p>
    <w:p>
      <w:pPr>
        <w:snapToGrid w:val="0"/>
        <w:spacing w:line="360" w:lineRule="auto"/>
        <w:jc w:val="center"/>
        <w:outlineLvl w:val="1"/>
        <w:rPr>
          <w:rFonts w:hint="eastAsia" w:ascii="仿宋" w:hAnsi="仿宋" w:eastAsia="仿宋" w:cs="仿宋"/>
          <w:b/>
          <w:color w:val="auto"/>
          <w:sz w:val="28"/>
          <w:szCs w:val="28"/>
        </w:rPr>
      </w:pPr>
      <w:r>
        <w:rPr>
          <w:rFonts w:hint="eastAsia" w:ascii="仿宋" w:hAnsi="仿宋" w:eastAsia="仿宋" w:cs="仿宋"/>
          <w:b/>
          <w:color w:val="auto"/>
          <w:sz w:val="28"/>
          <w:szCs w:val="28"/>
        </w:rPr>
        <w:t>一、招标一览表</w:t>
      </w:r>
    </w:p>
    <w:tbl>
      <w:tblPr>
        <w:tblStyle w:val="62"/>
        <w:tblpPr w:leftFromText="180" w:rightFromText="180" w:vertAnchor="text" w:tblpXSpec="center" w:tblpY="1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
        <w:gridCol w:w="3452"/>
        <w:gridCol w:w="1804"/>
        <w:gridCol w:w="744"/>
        <w:gridCol w:w="749"/>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25" w:type="pct"/>
            <w:vAlign w:val="center"/>
          </w:tcPr>
          <w:p>
            <w:pPr>
              <w:widowControl/>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lang w:val="zh-CN"/>
              </w:rPr>
              <w:t>序号</w:t>
            </w:r>
          </w:p>
        </w:tc>
        <w:tc>
          <w:tcPr>
            <w:tcW w:w="2032" w:type="pct"/>
            <w:vAlign w:val="center"/>
          </w:tcPr>
          <w:p>
            <w:pPr>
              <w:widowControl/>
              <w:spacing w:line="360" w:lineRule="auto"/>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名称</w:t>
            </w:r>
          </w:p>
        </w:tc>
        <w:tc>
          <w:tcPr>
            <w:tcW w:w="1062" w:type="pct"/>
            <w:vAlign w:val="center"/>
          </w:tcPr>
          <w:p>
            <w:pPr>
              <w:widowControl/>
              <w:spacing w:line="360" w:lineRule="auto"/>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规格及技术要求</w:t>
            </w:r>
          </w:p>
        </w:tc>
        <w:tc>
          <w:tcPr>
            <w:tcW w:w="438" w:type="pct"/>
            <w:vAlign w:val="center"/>
          </w:tcPr>
          <w:p>
            <w:pPr>
              <w:widowControl/>
              <w:spacing w:line="360" w:lineRule="auto"/>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数量</w:t>
            </w:r>
          </w:p>
        </w:tc>
        <w:tc>
          <w:tcPr>
            <w:tcW w:w="441" w:type="pct"/>
            <w:vAlign w:val="center"/>
          </w:tcPr>
          <w:p>
            <w:pPr>
              <w:widowControl/>
              <w:spacing w:line="360" w:lineRule="auto"/>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单位</w:t>
            </w:r>
          </w:p>
        </w:tc>
        <w:tc>
          <w:tcPr>
            <w:tcW w:w="502" w:type="pct"/>
            <w:vAlign w:val="center"/>
          </w:tcPr>
          <w:p>
            <w:pPr>
              <w:widowControl/>
              <w:spacing w:line="360" w:lineRule="auto"/>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25" w:type="pct"/>
            <w:vAlign w:val="center"/>
          </w:tcPr>
          <w:p>
            <w:pPr>
              <w:widowControl/>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1</w:t>
            </w:r>
          </w:p>
        </w:tc>
        <w:tc>
          <w:tcPr>
            <w:tcW w:w="2032" w:type="pct"/>
            <w:vAlign w:val="center"/>
          </w:tcPr>
          <w:p>
            <w:pPr>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萧山区应急广播系统改造提升项目</w:t>
            </w:r>
          </w:p>
        </w:tc>
        <w:tc>
          <w:tcPr>
            <w:tcW w:w="1062" w:type="pct"/>
            <w:vAlign w:val="center"/>
          </w:tcPr>
          <w:p>
            <w:pPr>
              <w:widowControl/>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详见招标要求</w:t>
            </w:r>
          </w:p>
        </w:tc>
        <w:tc>
          <w:tcPr>
            <w:tcW w:w="438" w:type="pct"/>
            <w:vAlign w:val="center"/>
          </w:tcPr>
          <w:p>
            <w:pPr>
              <w:widowControl/>
              <w:spacing w:line="360" w:lineRule="auto"/>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rPr>
              <w:t>1</w:t>
            </w:r>
          </w:p>
        </w:tc>
        <w:tc>
          <w:tcPr>
            <w:tcW w:w="441" w:type="pct"/>
            <w:vAlign w:val="center"/>
          </w:tcPr>
          <w:p>
            <w:pPr>
              <w:widowControl/>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项</w:t>
            </w:r>
          </w:p>
        </w:tc>
        <w:tc>
          <w:tcPr>
            <w:tcW w:w="502" w:type="pct"/>
            <w:vAlign w:val="center"/>
          </w:tcPr>
          <w:p>
            <w:pPr>
              <w:widowControl/>
              <w:spacing w:line="360" w:lineRule="auto"/>
              <w:jc w:val="center"/>
              <w:rPr>
                <w:rFonts w:hint="eastAsia" w:ascii="仿宋" w:hAnsi="仿宋" w:eastAsia="仿宋" w:cs="仿宋"/>
                <w:color w:val="auto"/>
                <w:kern w:val="0"/>
                <w:sz w:val="24"/>
              </w:rPr>
            </w:pPr>
          </w:p>
        </w:tc>
      </w:tr>
    </w:tbl>
    <w:p>
      <w:pPr>
        <w:snapToGrid w:val="0"/>
        <w:spacing w:line="360" w:lineRule="auto"/>
        <w:jc w:val="center"/>
        <w:outlineLvl w:val="1"/>
        <w:rPr>
          <w:rFonts w:hint="eastAsia" w:ascii="仿宋" w:hAnsi="仿宋" w:eastAsia="仿宋" w:cs="仿宋"/>
          <w:b/>
          <w:color w:val="auto"/>
          <w:sz w:val="28"/>
          <w:szCs w:val="28"/>
        </w:rPr>
      </w:pPr>
      <w:r>
        <w:rPr>
          <w:rFonts w:hint="eastAsia" w:ascii="仿宋" w:hAnsi="仿宋" w:eastAsia="仿宋" w:cs="仿宋"/>
          <w:b/>
          <w:color w:val="auto"/>
          <w:sz w:val="28"/>
          <w:szCs w:val="28"/>
        </w:rPr>
        <w:t>二、招标需求</w:t>
      </w:r>
    </w:p>
    <w:p>
      <w:pPr>
        <w:snapToGrid w:val="0"/>
        <w:spacing w:line="360" w:lineRule="auto"/>
        <w:outlineLvl w:val="2"/>
        <w:rPr>
          <w:rFonts w:hint="eastAsia" w:ascii="仿宋" w:hAnsi="仿宋" w:eastAsia="仿宋" w:cs="仿宋"/>
          <w:b/>
          <w:bCs/>
          <w:color w:val="auto"/>
          <w:sz w:val="24"/>
        </w:rPr>
      </w:pPr>
      <w:r>
        <w:rPr>
          <w:rFonts w:hint="eastAsia" w:ascii="仿宋" w:hAnsi="仿宋" w:eastAsia="仿宋" w:cs="仿宋"/>
          <w:b/>
          <w:bCs/>
          <w:color w:val="auto"/>
          <w:sz w:val="28"/>
          <w:szCs w:val="28"/>
        </w:rPr>
        <w:t>1、技术需求</w:t>
      </w:r>
    </w:p>
    <w:p>
      <w:pPr>
        <w:snapToGrid w:val="0"/>
        <w:spacing w:line="360" w:lineRule="auto"/>
        <w:outlineLvl w:val="3"/>
        <w:rPr>
          <w:rFonts w:hint="eastAsia" w:ascii="仿宋" w:hAnsi="仿宋" w:eastAsia="仿宋" w:cs="仿宋"/>
          <w:b/>
          <w:bCs/>
          <w:color w:val="auto"/>
          <w:sz w:val="24"/>
        </w:rPr>
      </w:pPr>
      <w:r>
        <w:rPr>
          <w:rFonts w:hint="eastAsia" w:ascii="仿宋" w:hAnsi="仿宋" w:eastAsia="仿宋" w:cs="仿宋"/>
          <w:b/>
          <w:bCs/>
          <w:color w:val="auto"/>
          <w:sz w:val="24"/>
        </w:rPr>
        <w:t>1.1、项目概述</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为提升我区基本公共服务体系和应急管理能力，以数字化改革拓展公共服务和公共管理为抓手，利用数字赋能解决应急信息传达“最后一公里”问题，完善我区应急广播系统，进一步发挥应急广播在应急管理中的作用。根据要求，结合我区实际，拟对原有全区应急广播系统进行改造提升。</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项目含业务平台一套（符合省市区平台对接要求及无缝对接萧山区TVOS机顶盒喇叭）、音柱喇叭一批、有线广播控制器一批（将现有有线广播接入）和广播电视专线传输网络及系统安装维护服务。建立可视化控制模块、数据归集至城市大脑萧山平台，并建设区气象局、融媒体等单位的适配平台。</w:t>
      </w:r>
    </w:p>
    <w:p>
      <w:pPr>
        <w:snapToGrid w:val="0"/>
        <w:spacing w:line="360" w:lineRule="auto"/>
        <w:outlineLvl w:val="3"/>
        <w:rPr>
          <w:rFonts w:hint="eastAsia" w:ascii="仿宋" w:hAnsi="仿宋" w:eastAsia="仿宋" w:cs="仿宋"/>
          <w:b/>
          <w:bCs/>
          <w:color w:val="auto"/>
          <w:sz w:val="24"/>
        </w:rPr>
      </w:pPr>
      <w:r>
        <w:rPr>
          <w:rFonts w:hint="eastAsia" w:ascii="仿宋" w:hAnsi="仿宋" w:eastAsia="仿宋" w:cs="仿宋"/>
          <w:b/>
          <w:bCs/>
          <w:color w:val="auto"/>
          <w:sz w:val="24"/>
        </w:rPr>
        <w:t>1.2、平台架构</w:t>
      </w:r>
    </w:p>
    <w:p>
      <w:pPr>
        <w:spacing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整体项目架构基于省、市应急广播平台为基础，萧山区应急广播平台通过专线接收适配省、市应急广播平台和区相关应急信息职能部门下发的应急信息，根据信息发布要求对市内指定区域的应急消息播发。平台需具备符合国家广播电视总局最新应急广播技术规范的对接接口，完成与浙江省应急广播平台及杭州市应急广播平台的对接，具备与上级平台间信息互通能力，实现上级平台下发的应急广播消息的实时接入和本平台播发数据的回传。</w:t>
      </w:r>
    </w:p>
    <w:p>
      <w:pPr>
        <w:spacing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平台可完成应急广播信息的制作，能够实现多种渠道，包括实时喊话、音视频文件、IP电话、固定电话、移动电话、短信、文本等信息形式的无缝接入，同时根据部门传输链路、不同终端的实际需求，完成信息格式和码率的转换、媒体资源的制作和处理，以达到实际播发的具体需求。</w:t>
      </w:r>
    </w:p>
    <w:p>
      <w:pPr>
        <w:spacing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平台主要包括应急信息流转发布系统、安全防护系统和综合呈现系统，具体来说包括信息接入模块、节目制作系统、调度控制系统、分发传输系统、适配系统、分析评估系统、安全防护系统等模块。一方面与省应急广播管理平台、市应急信息发布相关职能部门平台互联，实现应急广播信息上下贯通，另一方面与杭州文广集团、华数集团、区应急局、区气象局、区融媒体中心等应急广播应用管理平台对接，实现对整个应急广播信息统一管理。</w:t>
      </w:r>
    </w:p>
    <w:p>
      <w:pPr>
        <w:spacing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平台通过标准化的数据接口，实现对现有应急信息发布系统多通道的应急广播监测，并通过效果评估系统对应急广播消息发布效果进行多维度的评估，整个应急广播信息的监测监管在应急监测大屏集中展示。</w:t>
      </w:r>
    </w:p>
    <w:p>
      <w:pPr>
        <w:snapToGrid w:val="0"/>
        <w:spacing w:line="360" w:lineRule="auto"/>
        <w:outlineLvl w:val="3"/>
        <w:rPr>
          <w:rFonts w:hint="eastAsia" w:ascii="仿宋" w:hAnsi="仿宋" w:eastAsia="仿宋" w:cs="仿宋"/>
          <w:b/>
          <w:bCs/>
          <w:color w:val="auto"/>
          <w:sz w:val="24"/>
        </w:rPr>
      </w:pPr>
      <w:r>
        <w:rPr>
          <w:rFonts w:hint="eastAsia" w:ascii="仿宋" w:hAnsi="仿宋" w:eastAsia="仿宋" w:cs="仿宋"/>
          <w:b/>
          <w:bCs/>
          <w:color w:val="auto"/>
          <w:sz w:val="24"/>
        </w:rPr>
        <w:t>1.3、技术要求</w:t>
      </w:r>
    </w:p>
    <w:p>
      <w:pPr>
        <w:spacing w:line="360" w:lineRule="auto"/>
        <w:outlineLvl w:val="4"/>
        <w:rPr>
          <w:rFonts w:hint="eastAsia" w:ascii="仿宋" w:hAnsi="仿宋" w:eastAsia="仿宋" w:cs="仿宋"/>
          <w:b/>
          <w:color w:val="auto"/>
          <w:sz w:val="24"/>
        </w:rPr>
      </w:pPr>
      <w:bookmarkStart w:id="16" w:name="_Toc481571406"/>
      <w:bookmarkStart w:id="17" w:name="_Toc480732293"/>
      <w:bookmarkStart w:id="18" w:name="_Toc481571183"/>
      <w:bookmarkStart w:id="19" w:name="_Toc481571864"/>
      <w:bookmarkStart w:id="20" w:name="_Toc73342869"/>
      <w:r>
        <w:rPr>
          <w:rFonts w:hint="eastAsia" w:ascii="仿宋" w:hAnsi="仿宋" w:eastAsia="仿宋" w:cs="仿宋"/>
          <w:b/>
          <w:color w:val="auto"/>
          <w:sz w:val="24"/>
        </w:rPr>
        <w:t>1.3.1、应急信息</w:t>
      </w:r>
      <w:bookmarkEnd w:id="16"/>
      <w:bookmarkEnd w:id="17"/>
      <w:bookmarkEnd w:id="18"/>
      <w:bookmarkEnd w:id="19"/>
      <w:r>
        <w:rPr>
          <w:rFonts w:hint="eastAsia" w:ascii="仿宋" w:hAnsi="仿宋" w:eastAsia="仿宋" w:cs="仿宋"/>
          <w:b/>
          <w:color w:val="auto"/>
          <w:sz w:val="24"/>
        </w:rPr>
        <w:t>流转发布系统</w:t>
      </w:r>
      <w:bookmarkEnd w:id="20"/>
    </w:p>
    <w:p>
      <w:pPr>
        <w:spacing w:line="360" w:lineRule="auto"/>
        <w:rPr>
          <w:rFonts w:hint="eastAsia" w:ascii="仿宋" w:hAnsi="仿宋" w:eastAsia="仿宋" w:cs="仿宋"/>
          <w:bCs/>
          <w:color w:val="auto"/>
          <w:sz w:val="24"/>
        </w:rPr>
      </w:pPr>
      <w:bookmarkStart w:id="21" w:name="_Toc418452407"/>
      <w:bookmarkStart w:id="22" w:name="_Toc73342870"/>
      <w:bookmarkStart w:id="23" w:name="_Toc5533312"/>
      <w:bookmarkStart w:id="24" w:name="_Toc18914879"/>
      <w:bookmarkStart w:id="25" w:name="_Toc7162818"/>
      <w:r>
        <w:rPr>
          <w:rFonts w:hint="eastAsia" w:ascii="仿宋" w:hAnsi="仿宋" w:eastAsia="仿宋" w:cs="仿宋"/>
          <w:bCs/>
          <w:color w:val="auto"/>
          <w:sz w:val="24"/>
        </w:rPr>
        <w:t>1、信息接入</w:t>
      </w:r>
      <w:bookmarkEnd w:id="21"/>
      <w:bookmarkEnd w:id="22"/>
      <w:bookmarkEnd w:id="23"/>
      <w:bookmarkEnd w:id="24"/>
      <w:bookmarkEnd w:id="25"/>
    </w:p>
    <w:p>
      <w:pPr>
        <w:pStyle w:val="963"/>
        <w:ind w:firstLine="480"/>
        <w:rPr>
          <w:rFonts w:hint="eastAsia" w:ascii="仿宋" w:hAnsi="仿宋" w:eastAsia="仿宋" w:cs="仿宋"/>
          <w:bCs/>
          <w:color w:val="auto"/>
        </w:rPr>
      </w:pPr>
      <w:bookmarkStart w:id="26" w:name="OLE_LINK3"/>
      <w:bookmarkStart w:id="27" w:name="OLE_LINK2"/>
      <w:r>
        <w:rPr>
          <w:rFonts w:hint="eastAsia" w:ascii="仿宋" w:hAnsi="仿宋" w:eastAsia="仿宋" w:cs="仿宋"/>
          <w:bCs/>
          <w:color w:val="auto"/>
        </w:rPr>
        <w:t>应急广播平台主要负责将来自应急消息发布单位的消息内容按需通过调度控制并利用各种网络资源发布出去，因此需要信息接入模块实现消息的接收、校验以及反馈。</w:t>
      </w:r>
    </w:p>
    <w:p>
      <w:pPr>
        <w:pStyle w:val="963"/>
        <w:ind w:firstLine="480"/>
        <w:rPr>
          <w:rFonts w:hint="eastAsia" w:ascii="仿宋" w:hAnsi="仿宋" w:eastAsia="仿宋" w:cs="仿宋"/>
          <w:bCs/>
          <w:color w:val="auto"/>
        </w:rPr>
      </w:pPr>
      <w:r>
        <w:rPr>
          <w:rFonts w:hint="eastAsia" w:ascii="仿宋" w:hAnsi="仿宋" w:eastAsia="仿宋" w:cs="仿宋"/>
          <w:bCs/>
          <w:color w:val="auto"/>
        </w:rPr>
        <w:t>信息接入模块负责与应急消息发布平台对接，实现应急广播消息的综合接入，并对应急消息来源单位接入进行身份验证和管理，接收应急广播消息，进行格式和完整性校验，然后对信息进行解析和存储，并将播发结果反馈给应急消息来源单位</w:t>
      </w:r>
      <w:bookmarkEnd w:id="26"/>
      <w:bookmarkEnd w:id="27"/>
      <w:r>
        <w:rPr>
          <w:rFonts w:hint="eastAsia" w:ascii="仿宋" w:hAnsi="仿宋" w:eastAsia="仿宋" w:cs="仿宋"/>
          <w:bCs/>
          <w:color w:val="auto"/>
        </w:rPr>
        <w:t>，应急广播内容格式包括：文本、音频流和音频文件。</w:t>
      </w:r>
    </w:p>
    <w:p>
      <w:pPr>
        <w:pStyle w:val="964"/>
        <w:keepNext/>
        <w:keepLines/>
        <w:numPr>
          <w:ilvl w:val="0"/>
          <w:numId w:val="0"/>
        </w:numPr>
        <w:ind w:left="567" w:right="27" w:rightChars="13" w:hanging="567"/>
        <w:jc w:val="left"/>
        <w:outlineLvl w:val="9"/>
        <w:rPr>
          <w:rFonts w:hint="eastAsia" w:ascii="仿宋" w:hAnsi="仿宋" w:eastAsia="仿宋" w:cs="仿宋"/>
          <w:b w:val="0"/>
          <w:color w:val="auto"/>
          <w:sz w:val="24"/>
          <w:szCs w:val="24"/>
        </w:rPr>
      </w:pPr>
      <w:bookmarkStart w:id="28" w:name="_Toc5533313"/>
      <w:bookmarkStart w:id="29" w:name="_Toc73342871"/>
      <w:bookmarkStart w:id="30" w:name="_Toc7162822"/>
      <w:bookmarkStart w:id="31" w:name="_Toc18914880"/>
      <w:bookmarkStart w:id="32" w:name="_Toc418452408"/>
      <w:r>
        <w:rPr>
          <w:rFonts w:hint="eastAsia" w:ascii="仿宋" w:hAnsi="仿宋" w:eastAsia="仿宋" w:cs="仿宋"/>
          <w:b w:val="0"/>
          <w:color w:val="auto"/>
          <w:sz w:val="24"/>
          <w:szCs w:val="24"/>
        </w:rPr>
        <w:t>2、应急信息制作</w:t>
      </w:r>
      <w:bookmarkEnd w:id="28"/>
      <w:bookmarkEnd w:id="29"/>
      <w:bookmarkEnd w:id="30"/>
      <w:bookmarkEnd w:id="31"/>
      <w:bookmarkEnd w:id="32"/>
    </w:p>
    <w:p>
      <w:pPr>
        <w:pStyle w:val="963"/>
        <w:ind w:firstLine="480"/>
        <w:rPr>
          <w:rFonts w:hint="eastAsia" w:ascii="仿宋" w:hAnsi="仿宋" w:eastAsia="仿宋" w:cs="仿宋"/>
          <w:bCs/>
          <w:color w:val="auto"/>
        </w:rPr>
      </w:pPr>
      <w:r>
        <w:rPr>
          <w:rFonts w:hint="eastAsia" w:ascii="仿宋" w:hAnsi="仿宋" w:eastAsia="仿宋" w:cs="仿宋"/>
          <w:bCs/>
          <w:color w:val="auto"/>
        </w:rPr>
        <w:t>为确保应急广播消息内容能够在应用管理平台间流转并准确加以播发，需要具备将信息接入模块的数据转换制作成符合总局标准的文字、图片、视频、音频等应急广播节目的功能，该功能由应急信息制作模块加以实现。</w:t>
      </w:r>
    </w:p>
    <w:p>
      <w:pPr>
        <w:pStyle w:val="963"/>
        <w:ind w:firstLine="480"/>
        <w:rPr>
          <w:rFonts w:hint="eastAsia" w:ascii="仿宋" w:hAnsi="仿宋" w:eastAsia="仿宋" w:cs="仿宋"/>
          <w:bCs/>
          <w:color w:val="auto"/>
        </w:rPr>
      </w:pPr>
      <w:r>
        <w:rPr>
          <w:rFonts w:hint="eastAsia" w:ascii="仿宋" w:hAnsi="仿宋" w:eastAsia="仿宋" w:cs="仿宋"/>
          <w:bCs/>
          <w:color w:val="auto"/>
        </w:rPr>
        <w:t>本项目的应急信息制作模块主要实现应急广播信息的快速转换制作，包括文本音视频制作和文字语音转换等功能。</w:t>
      </w:r>
    </w:p>
    <w:p>
      <w:pPr>
        <w:pStyle w:val="964"/>
        <w:keepNext/>
        <w:keepLines/>
        <w:numPr>
          <w:ilvl w:val="0"/>
          <w:numId w:val="0"/>
        </w:numPr>
        <w:ind w:left="567" w:right="27" w:rightChars="13" w:hanging="567"/>
        <w:jc w:val="left"/>
        <w:outlineLvl w:val="9"/>
        <w:rPr>
          <w:rFonts w:hint="eastAsia" w:ascii="仿宋" w:hAnsi="仿宋" w:eastAsia="仿宋" w:cs="仿宋"/>
          <w:b w:val="0"/>
          <w:color w:val="auto"/>
          <w:sz w:val="24"/>
          <w:szCs w:val="24"/>
        </w:rPr>
      </w:pPr>
      <w:bookmarkStart w:id="33" w:name="_Toc418452409"/>
      <w:bookmarkStart w:id="34" w:name="_Toc7162825"/>
      <w:bookmarkStart w:id="35" w:name="_Toc18914881"/>
      <w:bookmarkStart w:id="36" w:name="_Toc411779350"/>
      <w:bookmarkStart w:id="37" w:name="_Toc73342872"/>
      <w:bookmarkStart w:id="38" w:name="_Toc5533314"/>
      <w:bookmarkStart w:id="39" w:name="_Toc7162839"/>
      <w:bookmarkStart w:id="40" w:name="_Toc18914883"/>
      <w:bookmarkStart w:id="41" w:name="_Toc73342873"/>
      <w:bookmarkStart w:id="42" w:name="_Toc5533319"/>
      <w:bookmarkStart w:id="43" w:name="_Toc418452413"/>
      <w:r>
        <w:rPr>
          <w:rFonts w:hint="eastAsia" w:ascii="仿宋" w:hAnsi="仿宋" w:eastAsia="仿宋" w:cs="仿宋"/>
          <w:b w:val="0"/>
          <w:color w:val="auto"/>
          <w:sz w:val="24"/>
          <w:szCs w:val="24"/>
        </w:rPr>
        <w:t>3、调度控制</w:t>
      </w:r>
      <w:bookmarkEnd w:id="33"/>
      <w:bookmarkEnd w:id="34"/>
      <w:bookmarkEnd w:id="35"/>
      <w:bookmarkEnd w:id="36"/>
      <w:bookmarkEnd w:id="37"/>
      <w:bookmarkEnd w:id="38"/>
    </w:p>
    <w:p>
      <w:pPr>
        <w:pStyle w:val="963"/>
        <w:ind w:firstLine="480"/>
        <w:rPr>
          <w:rFonts w:hint="eastAsia" w:ascii="仿宋" w:hAnsi="仿宋" w:eastAsia="仿宋" w:cs="仿宋"/>
          <w:bCs/>
          <w:color w:val="auto"/>
        </w:rPr>
      </w:pPr>
      <w:r>
        <w:rPr>
          <w:rFonts w:hint="eastAsia" w:ascii="仿宋" w:hAnsi="仿宋" w:eastAsia="仿宋" w:cs="仿宋"/>
          <w:bCs/>
          <w:color w:val="auto"/>
        </w:rPr>
        <w:t>调度控制模块为应急广播管理平台的核心系统，承担应急消息发布、决策、控制和流程监控等功能。</w:t>
      </w:r>
    </w:p>
    <w:p>
      <w:pPr>
        <w:pStyle w:val="963"/>
        <w:ind w:firstLine="480"/>
        <w:rPr>
          <w:rFonts w:hint="eastAsia" w:ascii="仿宋" w:hAnsi="仿宋" w:eastAsia="仿宋" w:cs="仿宋"/>
          <w:bCs/>
          <w:color w:val="auto"/>
        </w:rPr>
      </w:pPr>
      <w:r>
        <w:rPr>
          <w:rFonts w:hint="eastAsia" w:ascii="仿宋" w:hAnsi="仿宋" w:eastAsia="仿宋" w:cs="仿宋"/>
          <w:bCs/>
          <w:color w:val="auto"/>
        </w:rPr>
        <w:t>根据应急消息发布需求，结合当前可供调度的应急广播资源，快速生成包含发布方式、覆盖区域、对应管理平台等资源要素在内的消息发布决策方案，以实现在应急广播消息发布过程中，对应急广播资源的科学管理和合理调度，以及对消息发布工作流程的准确监控，这些功能由调度控制系统加以实现。</w:t>
      </w:r>
    </w:p>
    <w:p>
      <w:pPr>
        <w:pStyle w:val="964"/>
        <w:keepNext/>
        <w:keepLines/>
        <w:numPr>
          <w:ilvl w:val="0"/>
          <w:numId w:val="0"/>
        </w:numPr>
        <w:ind w:left="567" w:right="27" w:rightChars="13" w:hanging="567"/>
        <w:jc w:val="left"/>
        <w:outlineLvl w:val="9"/>
        <w:rPr>
          <w:rFonts w:hint="eastAsia" w:ascii="仿宋" w:hAnsi="仿宋" w:eastAsia="仿宋" w:cs="仿宋"/>
          <w:b w:val="0"/>
          <w:color w:val="auto"/>
          <w:sz w:val="24"/>
          <w:szCs w:val="24"/>
        </w:rPr>
      </w:pPr>
      <w:r>
        <w:rPr>
          <w:rFonts w:hint="eastAsia" w:ascii="仿宋" w:hAnsi="仿宋" w:eastAsia="仿宋" w:cs="仿宋"/>
          <w:b w:val="0"/>
          <w:color w:val="auto"/>
          <w:sz w:val="24"/>
          <w:szCs w:val="24"/>
        </w:rPr>
        <w:t>4、接口适配</w:t>
      </w:r>
      <w:bookmarkEnd w:id="39"/>
      <w:bookmarkEnd w:id="40"/>
      <w:bookmarkEnd w:id="41"/>
      <w:bookmarkEnd w:id="42"/>
      <w:bookmarkEnd w:id="43"/>
    </w:p>
    <w:p>
      <w:pPr>
        <w:pStyle w:val="963"/>
        <w:ind w:firstLine="480"/>
        <w:rPr>
          <w:rFonts w:hint="eastAsia" w:ascii="仿宋" w:hAnsi="仿宋" w:eastAsia="仿宋" w:cs="仿宋"/>
          <w:bCs/>
          <w:color w:val="auto"/>
        </w:rPr>
      </w:pPr>
      <w:r>
        <w:rPr>
          <w:rFonts w:hint="eastAsia" w:ascii="仿宋" w:hAnsi="仿宋" w:eastAsia="仿宋" w:cs="仿宋"/>
          <w:bCs/>
          <w:color w:val="auto"/>
        </w:rPr>
        <w:t>适配系统通过市级应急广播管理平台与省级应急广播管理平台、市应急信息发布相关职能部门、区县应急广播管理平台、杭州文广集团、华数集团等应急广播应用管理平台的联动协议解析，完成平台间的握手，以实现省、市、区（县）三级应急广播平台的对接，最终实现应急信息统一播发。</w:t>
      </w:r>
    </w:p>
    <w:p>
      <w:pPr>
        <w:spacing w:line="360" w:lineRule="auto"/>
        <w:outlineLvl w:val="4"/>
        <w:rPr>
          <w:rFonts w:hint="eastAsia" w:ascii="仿宋" w:hAnsi="仿宋" w:eastAsia="仿宋" w:cs="仿宋"/>
          <w:b/>
          <w:color w:val="auto"/>
          <w:sz w:val="24"/>
        </w:rPr>
      </w:pPr>
      <w:bookmarkStart w:id="44" w:name="_Toc73342874"/>
      <w:r>
        <w:rPr>
          <w:rFonts w:hint="eastAsia" w:ascii="仿宋" w:hAnsi="仿宋" w:eastAsia="仿宋" w:cs="仿宋"/>
          <w:b/>
          <w:color w:val="auto"/>
          <w:sz w:val="24"/>
        </w:rPr>
        <w:t>1.3.2、安全防护系统</w:t>
      </w:r>
      <w:bookmarkEnd w:id="44"/>
    </w:p>
    <w:p>
      <w:pPr>
        <w:pStyle w:val="963"/>
        <w:ind w:firstLine="480"/>
        <w:rPr>
          <w:rFonts w:hint="eastAsia" w:ascii="仿宋" w:hAnsi="仿宋" w:eastAsia="仿宋" w:cs="仿宋"/>
          <w:bCs/>
          <w:color w:val="auto"/>
        </w:rPr>
      </w:pPr>
      <w:r>
        <w:rPr>
          <w:rFonts w:hint="eastAsia" w:ascii="仿宋" w:hAnsi="仿宋" w:eastAsia="仿宋" w:cs="仿宋"/>
          <w:bCs/>
          <w:color w:val="auto"/>
        </w:rPr>
        <w:t>应急广播管理平台面临着来自外部与内部的双重安全威胁。在外部，存在着来自于互联网、移动网络的非法访问、恶意攻击、病毒传播等安全威胁；在内部，存在着内部人员非授权访问、误操作、漏洞攻击、病毒传播等安全威胁。应急广播平台面临着数据丢失、内容篡改、网络瘫痪等安全风险，必须配备安全有效的防护系统，在内容安全和网路安全两方面提供保障。</w:t>
      </w:r>
    </w:p>
    <w:p>
      <w:pPr>
        <w:pStyle w:val="964"/>
        <w:keepNext/>
        <w:keepLines/>
        <w:numPr>
          <w:ilvl w:val="0"/>
          <w:numId w:val="0"/>
        </w:numPr>
        <w:ind w:left="720" w:right="27" w:rightChars="13" w:hanging="720"/>
        <w:jc w:val="left"/>
        <w:outlineLvl w:val="9"/>
        <w:rPr>
          <w:rFonts w:hint="eastAsia" w:ascii="仿宋" w:hAnsi="仿宋" w:eastAsia="仿宋" w:cs="仿宋"/>
          <w:b w:val="0"/>
          <w:color w:val="auto"/>
          <w:sz w:val="24"/>
          <w:szCs w:val="24"/>
        </w:rPr>
      </w:pPr>
      <w:bookmarkStart w:id="45" w:name="_Toc73342875"/>
      <w:bookmarkStart w:id="46" w:name="_Toc7162835"/>
      <w:r>
        <w:rPr>
          <w:rFonts w:hint="eastAsia" w:ascii="仿宋" w:hAnsi="仿宋" w:eastAsia="仿宋" w:cs="仿宋"/>
          <w:b w:val="0"/>
          <w:color w:val="auto"/>
          <w:sz w:val="24"/>
          <w:szCs w:val="24"/>
        </w:rPr>
        <w:t>1、内容安全</w:t>
      </w:r>
      <w:bookmarkEnd w:id="45"/>
    </w:p>
    <w:p>
      <w:pPr>
        <w:pStyle w:val="965"/>
        <w:numPr>
          <w:ilvl w:val="0"/>
          <w:numId w:val="0"/>
        </w:numPr>
        <w:tabs>
          <w:tab w:val="left" w:pos="864"/>
        </w:tabs>
        <w:wordWrap/>
        <w:spacing w:before="0" w:after="0"/>
        <w:ind w:left="567" w:hanging="567"/>
        <w:outlineLvl w:val="9"/>
        <w:rPr>
          <w:rFonts w:hint="eastAsia" w:ascii="仿宋" w:hAnsi="仿宋" w:eastAsia="仿宋" w:cs="仿宋"/>
          <w:b w:val="0"/>
          <w:color w:val="auto"/>
          <w:szCs w:val="24"/>
        </w:rPr>
      </w:pPr>
      <w:r>
        <w:rPr>
          <w:rFonts w:hint="eastAsia" w:ascii="仿宋" w:hAnsi="仿宋" w:eastAsia="仿宋" w:cs="仿宋"/>
          <w:b w:val="0"/>
          <w:color w:val="auto"/>
          <w:szCs w:val="24"/>
        </w:rPr>
        <w:t>1.1权限管理</w:t>
      </w:r>
      <w:bookmarkEnd w:id="46"/>
    </w:p>
    <w:p>
      <w:pPr>
        <w:pStyle w:val="963"/>
        <w:ind w:firstLine="480"/>
        <w:rPr>
          <w:rFonts w:hint="eastAsia" w:ascii="仿宋" w:hAnsi="仿宋" w:eastAsia="仿宋" w:cs="仿宋"/>
          <w:bCs/>
          <w:color w:val="auto"/>
        </w:rPr>
      </w:pPr>
      <w:r>
        <w:rPr>
          <w:rFonts w:hint="eastAsia" w:ascii="仿宋" w:hAnsi="仿宋" w:eastAsia="仿宋" w:cs="仿宋"/>
          <w:bCs/>
          <w:color w:val="auto"/>
        </w:rPr>
        <w:t>权限管理模块对应急广播平台进行权限设置，确保编审权限分离。管理各类用户，并对用户进行权限控制。</w:t>
      </w:r>
    </w:p>
    <w:p>
      <w:pPr>
        <w:pStyle w:val="965"/>
        <w:numPr>
          <w:ilvl w:val="0"/>
          <w:numId w:val="0"/>
        </w:numPr>
        <w:tabs>
          <w:tab w:val="left" w:pos="864"/>
        </w:tabs>
        <w:wordWrap/>
        <w:spacing w:before="0" w:after="0"/>
        <w:ind w:left="567" w:hanging="567"/>
        <w:outlineLvl w:val="9"/>
        <w:rPr>
          <w:rFonts w:hint="eastAsia" w:ascii="仿宋" w:hAnsi="仿宋" w:eastAsia="仿宋" w:cs="仿宋"/>
          <w:b w:val="0"/>
          <w:color w:val="auto"/>
          <w:szCs w:val="24"/>
        </w:rPr>
      </w:pPr>
      <w:r>
        <w:rPr>
          <w:rFonts w:hint="eastAsia" w:ascii="仿宋" w:hAnsi="仿宋" w:eastAsia="仿宋" w:cs="仿宋"/>
          <w:b w:val="0"/>
          <w:color w:val="auto"/>
          <w:szCs w:val="24"/>
        </w:rPr>
        <w:t>1.2内容审核</w:t>
      </w:r>
    </w:p>
    <w:p>
      <w:pPr>
        <w:pStyle w:val="963"/>
        <w:ind w:firstLine="480"/>
        <w:rPr>
          <w:rFonts w:hint="eastAsia" w:ascii="仿宋" w:hAnsi="仿宋" w:eastAsia="仿宋" w:cs="仿宋"/>
          <w:bCs/>
          <w:color w:val="auto"/>
        </w:rPr>
      </w:pPr>
      <w:r>
        <w:rPr>
          <w:rFonts w:hint="eastAsia" w:ascii="仿宋" w:hAnsi="仿宋" w:eastAsia="仿宋" w:cs="仿宋"/>
          <w:bCs/>
          <w:color w:val="auto"/>
        </w:rPr>
        <w:t>1）系统具备敏感词过滤机制，词库中的敏感词将不会下发，确保应急广播系统的播出安全。</w:t>
      </w:r>
    </w:p>
    <w:p>
      <w:pPr>
        <w:pStyle w:val="963"/>
        <w:ind w:firstLine="480"/>
        <w:rPr>
          <w:rFonts w:hint="eastAsia" w:ascii="仿宋" w:hAnsi="仿宋" w:eastAsia="仿宋" w:cs="仿宋"/>
          <w:bCs/>
          <w:color w:val="auto"/>
        </w:rPr>
      </w:pPr>
      <w:r>
        <w:rPr>
          <w:rFonts w:hint="eastAsia" w:ascii="仿宋" w:hAnsi="仿宋" w:eastAsia="仿宋" w:cs="仿宋"/>
          <w:bCs/>
          <w:color w:val="auto"/>
        </w:rPr>
        <w:t>2）信息传送时，如发现发送内容异常，可通过应急广播工作台发送停止指令，一键终止传送。</w:t>
      </w:r>
    </w:p>
    <w:p>
      <w:pPr>
        <w:pStyle w:val="963"/>
        <w:ind w:firstLine="480"/>
        <w:rPr>
          <w:rFonts w:hint="eastAsia" w:ascii="仿宋" w:hAnsi="仿宋" w:eastAsia="仿宋" w:cs="仿宋"/>
          <w:bCs/>
          <w:color w:val="auto"/>
        </w:rPr>
      </w:pPr>
      <w:r>
        <w:rPr>
          <w:rFonts w:hint="eastAsia" w:ascii="仿宋" w:hAnsi="仿宋" w:eastAsia="仿宋" w:cs="仿宋"/>
          <w:bCs/>
          <w:color w:val="auto"/>
        </w:rPr>
        <w:t>3）应急广播语音信息下发时终端延时7秒播放，并配合人工实时监听，发现异常可及时停止播放。</w:t>
      </w:r>
    </w:p>
    <w:p>
      <w:pPr>
        <w:pStyle w:val="963"/>
        <w:ind w:firstLine="480"/>
        <w:rPr>
          <w:rFonts w:hint="eastAsia" w:ascii="仿宋" w:hAnsi="仿宋" w:eastAsia="仿宋" w:cs="仿宋"/>
          <w:bCs/>
          <w:color w:val="auto"/>
        </w:rPr>
      </w:pPr>
      <w:r>
        <w:rPr>
          <w:rFonts w:hint="eastAsia" w:ascii="仿宋" w:hAnsi="仿宋" w:eastAsia="仿宋" w:cs="仿宋"/>
          <w:bCs/>
          <w:color w:val="auto"/>
        </w:rPr>
        <w:t>4）远程信息播发配备白名单审核与密码验证，并对直播内容延时播出。</w:t>
      </w:r>
    </w:p>
    <w:p>
      <w:pPr>
        <w:pStyle w:val="963"/>
        <w:ind w:firstLine="480"/>
        <w:rPr>
          <w:rFonts w:hint="eastAsia" w:ascii="仿宋" w:hAnsi="仿宋" w:eastAsia="仿宋" w:cs="仿宋"/>
          <w:bCs/>
          <w:color w:val="auto"/>
        </w:rPr>
      </w:pPr>
      <w:r>
        <w:rPr>
          <w:rFonts w:hint="eastAsia" w:ascii="仿宋" w:hAnsi="仿宋" w:eastAsia="仿宋" w:cs="仿宋"/>
          <w:bCs/>
          <w:color w:val="auto"/>
        </w:rPr>
        <w:t>5）支持播出内容溯源，文字、语音播发记录保存时间可达半年。</w:t>
      </w:r>
    </w:p>
    <w:p>
      <w:pPr>
        <w:pStyle w:val="964"/>
        <w:keepNext/>
        <w:keepLines/>
        <w:numPr>
          <w:ilvl w:val="0"/>
          <w:numId w:val="0"/>
        </w:numPr>
        <w:ind w:left="567" w:right="27" w:rightChars="13" w:hanging="567"/>
        <w:jc w:val="left"/>
        <w:outlineLvl w:val="9"/>
        <w:rPr>
          <w:rFonts w:hint="eastAsia" w:ascii="仿宋" w:hAnsi="仿宋" w:eastAsia="仿宋" w:cs="仿宋"/>
          <w:b w:val="0"/>
          <w:color w:val="auto"/>
          <w:sz w:val="24"/>
          <w:szCs w:val="24"/>
        </w:rPr>
      </w:pPr>
      <w:bookmarkStart w:id="47" w:name="_Toc7162836"/>
      <w:bookmarkStart w:id="48" w:name="_Toc73342876"/>
      <w:r>
        <w:rPr>
          <w:rFonts w:hint="eastAsia" w:ascii="仿宋" w:hAnsi="仿宋" w:eastAsia="仿宋" w:cs="仿宋"/>
          <w:b w:val="0"/>
          <w:color w:val="auto"/>
          <w:sz w:val="24"/>
          <w:szCs w:val="24"/>
        </w:rPr>
        <w:t>2、网络安全</w:t>
      </w:r>
      <w:bookmarkEnd w:id="47"/>
      <w:bookmarkEnd w:id="48"/>
    </w:p>
    <w:p>
      <w:pPr>
        <w:pStyle w:val="963"/>
        <w:ind w:firstLine="480"/>
        <w:rPr>
          <w:rFonts w:hint="eastAsia" w:ascii="仿宋" w:hAnsi="仿宋" w:eastAsia="仿宋" w:cs="仿宋"/>
          <w:bCs/>
          <w:color w:val="auto"/>
        </w:rPr>
      </w:pPr>
      <w:bookmarkStart w:id="49" w:name="_Toc7162837"/>
      <w:r>
        <w:rPr>
          <w:rFonts w:hint="eastAsia" w:ascii="仿宋" w:hAnsi="仿宋" w:eastAsia="仿宋" w:cs="仿宋"/>
          <w:bCs/>
          <w:color w:val="auto"/>
        </w:rPr>
        <w:t>系统安全建设按照《中华人民共和国网络安全法》、《中华人民共和国计算机信息系统安全保护条例》的要求，从物理安全、网络安全、主机安全、应用安全、数据安全、安全管理等维度，制定安全管理制度，实施安全防御手段，建立完善的安全防御体系，并在网络运维过程中通过持续的监控与验证不断提升整体安全防御能力，做到针对网络安全事件事前、事中、事后的闭环防御。</w:t>
      </w:r>
    </w:p>
    <w:bookmarkEnd w:id="49"/>
    <w:p>
      <w:pPr>
        <w:spacing w:line="360" w:lineRule="auto"/>
        <w:outlineLvl w:val="4"/>
        <w:rPr>
          <w:rFonts w:hint="eastAsia" w:ascii="仿宋" w:hAnsi="仿宋" w:eastAsia="仿宋" w:cs="仿宋"/>
          <w:b/>
          <w:color w:val="auto"/>
          <w:sz w:val="24"/>
        </w:rPr>
      </w:pPr>
      <w:bookmarkStart w:id="50" w:name="_Toc73342877"/>
      <w:r>
        <w:rPr>
          <w:rFonts w:hint="eastAsia" w:ascii="仿宋" w:hAnsi="仿宋" w:eastAsia="仿宋" w:cs="仿宋"/>
          <w:b/>
          <w:color w:val="auto"/>
          <w:sz w:val="24"/>
        </w:rPr>
        <w:t>1.3.3、综合呈现系统</w:t>
      </w:r>
      <w:bookmarkEnd w:id="50"/>
    </w:p>
    <w:p>
      <w:pPr>
        <w:pStyle w:val="964"/>
        <w:keepNext/>
        <w:keepLines/>
        <w:numPr>
          <w:ilvl w:val="0"/>
          <w:numId w:val="0"/>
        </w:numPr>
        <w:ind w:left="720" w:right="27" w:rightChars="13" w:hanging="720"/>
        <w:jc w:val="left"/>
        <w:outlineLvl w:val="9"/>
        <w:rPr>
          <w:rFonts w:hint="eastAsia" w:ascii="仿宋" w:hAnsi="仿宋" w:eastAsia="仿宋" w:cs="仿宋"/>
          <w:b w:val="0"/>
          <w:color w:val="auto"/>
          <w:sz w:val="24"/>
          <w:szCs w:val="24"/>
        </w:rPr>
      </w:pPr>
      <w:bookmarkStart w:id="51" w:name="_Toc73342878"/>
      <w:r>
        <w:rPr>
          <w:rFonts w:hint="eastAsia" w:ascii="仿宋" w:hAnsi="仿宋" w:eastAsia="仿宋" w:cs="仿宋"/>
          <w:b w:val="0"/>
          <w:color w:val="auto"/>
          <w:sz w:val="24"/>
          <w:szCs w:val="24"/>
        </w:rPr>
        <w:t>1、监测监管</w:t>
      </w:r>
      <w:bookmarkEnd w:id="51"/>
    </w:p>
    <w:p>
      <w:pPr>
        <w:pStyle w:val="963"/>
        <w:ind w:firstLine="480"/>
        <w:rPr>
          <w:rFonts w:hint="eastAsia" w:ascii="仿宋" w:hAnsi="仿宋" w:eastAsia="仿宋" w:cs="仿宋"/>
          <w:bCs/>
          <w:color w:val="auto"/>
        </w:rPr>
      </w:pPr>
      <w:r>
        <w:rPr>
          <w:rFonts w:hint="eastAsia" w:ascii="仿宋" w:hAnsi="仿宋" w:eastAsia="仿宋" w:cs="仿宋"/>
          <w:bCs/>
          <w:color w:val="auto"/>
        </w:rPr>
        <w:t>在平台发布端和信息接收端部署监测点，对应用管理平台设备运行状态、信息播发状态进行采集，对应急信息接收设备抽样监测。系统可对应急信息的发布流程状态、信息调度的发布效果，以及相应应用管理平台接收发布状态进行统一监看，对信息发布流程和关键的系统设备状态进行控制。从而实现对平台应急信息流转发布全过程进行监测监管，实现对杭州市应急广播管理平台应急消息发布的流程进行实时跟踪和控制。</w:t>
      </w:r>
    </w:p>
    <w:p>
      <w:pPr>
        <w:pStyle w:val="964"/>
        <w:keepNext/>
        <w:keepLines/>
        <w:numPr>
          <w:ilvl w:val="0"/>
          <w:numId w:val="0"/>
        </w:numPr>
        <w:ind w:left="720" w:right="27" w:rightChars="13" w:hanging="720"/>
        <w:jc w:val="left"/>
        <w:outlineLvl w:val="9"/>
        <w:rPr>
          <w:rFonts w:hint="eastAsia" w:ascii="仿宋" w:hAnsi="仿宋" w:eastAsia="仿宋" w:cs="仿宋"/>
          <w:b w:val="0"/>
          <w:color w:val="auto"/>
          <w:sz w:val="24"/>
          <w:szCs w:val="24"/>
        </w:rPr>
      </w:pPr>
      <w:bookmarkStart w:id="52" w:name="_Toc73342879"/>
      <w:bookmarkStart w:id="53" w:name="_Toc18914885"/>
      <w:r>
        <w:rPr>
          <w:rFonts w:hint="eastAsia" w:ascii="仿宋" w:hAnsi="仿宋" w:eastAsia="仿宋" w:cs="仿宋"/>
          <w:b w:val="0"/>
          <w:color w:val="auto"/>
          <w:sz w:val="24"/>
          <w:szCs w:val="24"/>
        </w:rPr>
        <w:t>2、分析评估</w:t>
      </w:r>
      <w:bookmarkEnd w:id="52"/>
    </w:p>
    <w:p>
      <w:pPr>
        <w:pStyle w:val="963"/>
        <w:ind w:firstLine="480"/>
        <w:rPr>
          <w:rFonts w:hint="eastAsia" w:ascii="仿宋" w:hAnsi="仿宋" w:eastAsia="仿宋" w:cs="仿宋"/>
          <w:bCs/>
          <w:color w:val="auto"/>
        </w:rPr>
      </w:pPr>
      <w:r>
        <w:rPr>
          <w:rFonts w:hint="eastAsia" w:ascii="仿宋" w:hAnsi="仿宋" w:eastAsia="仿宋" w:cs="仿宋"/>
          <w:bCs/>
          <w:color w:val="auto"/>
        </w:rPr>
        <w:t>分析评估模块是对应急广播业务进行综合的分析评估和科学化管理，实现综合报表、发布效果评估、测试广播等功能。规范预警信息广播的工作流程；对应急广播的覆盖效果进行数据收集，提供应急广播综合报表，科学分析和综合评估应急广播效果，为优化应急广播的业务机制提供依据；适时开展测试广播，对系统进行全流程测试，确保在关键时刻整个系统能够正常运转。</w:t>
      </w:r>
    </w:p>
    <w:bookmarkEnd w:id="53"/>
    <w:p>
      <w:pPr>
        <w:pStyle w:val="964"/>
        <w:numPr>
          <w:ilvl w:val="0"/>
          <w:numId w:val="0"/>
        </w:numPr>
        <w:ind w:left="720" w:hanging="720"/>
        <w:outlineLvl w:val="9"/>
        <w:rPr>
          <w:rFonts w:hint="eastAsia" w:ascii="仿宋" w:hAnsi="仿宋" w:eastAsia="仿宋" w:cs="仿宋"/>
          <w:b w:val="0"/>
          <w:color w:val="auto"/>
          <w:sz w:val="24"/>
          <w:szCs w:val="24"/>
        </w:rPr>
      </w:pPr>
      <w:bookmarkStart w:id="54" w:name="_Toc73342880"/>
      <w:r>
        <w:rPr>
          <w:rFonts w:hint="eastAsia" w:ascii="仿宋" w:hAnsi="仿宋" w:eastAsia="仿宋" w:cs="仿宋"/>
          <w:b w:val="0"/>
          <w:color w:val="auto"/>
          <w:sz w:val="24"/>
          <w:szCs w:val="24"/>
        </w:rPr>
        <w:t>3、聚合展示</w:t>
      </w:r>
      <w:bookmarkEnd w:id="54"/>
    </w:p>
    <w:p>
      <w:pPr>
        <w:pStyle w:val="963"/>
        <w:ind w:firstLine="480"/>
        <w:rPr>
          <w:rFonts w:hint="eastAsia" w:ascii="仿宋" w:hAnsi="仿宋" w:eastAsia="仿宋" w:cs="仿宋"/>
          <w:bCs/>
          <w:color w:val="auto"/>
        </w:rPr>
      </w:pPr>
      <w:r>
        <w:rPr>
          <w:rFonts w:hint="eastAsia" w:ascii="仿宋" w:hAnsi="仿宋" w:eastAsia="仿宋" w:cs="仿宋"/>
          <w:bCs/>
          <w:color w:val="auto"/>
        </w:rPr>
        <w:t>聚合展示系统将关键信息，如大数据统计、全地图显示、消息通知、视频回传、实时视频监控、效果反馈等聚合展示在大屏上，方便快速了解全局信息，方便领导快速做出决策。系统主要包括：数据分析、展示上屏两部分。根据应急广播业务需要，选择性进行业务展示；根据可视化展示的要求，由展示上屏模块完成数据转译、可视化实时渲染、可视化显示输出。</w:t>
      </w:r>
    </w:p>
    <w:p>
      <w:pPr>
        <w:spacing w:line="360" w:lineRule="auto"/>
        <w:outlineLvl w:val="4"/>
        <w:rPr>
          <w:rFonts w:hint="eastAsia" w:ascii="仿宋" w:hAnsi="仿宋" w:eastAsia="仿宋" w:cs="仿宋"/>
          <w:b/>
          <w:color w:val="auto"/>
          <w:sz w:val="24"/>
        </w:rPr>
      </w:pPr>
      <w:bookmarkStart w:id="55" w:name="_Toc73342881"/>
      <w:r>
        <w:rPr>
          <w:rFonts w:hint="eastAsia" w:ascii="仿宋" w:hAnsi="仿宋" w:eastAsia="仿宋" w:cs="仿宋"/>
          <w:b/>
          <w:color w:val="auto"/>
          <w:sz w:val="24"/>
        </w:rPr>
        <w:t>1.3.4、应急广播终端</w:t>
      </w:r>
      <w:bookmarkEnd w:id="55"/>
    </w:p>
    <w:p>
      <w:pPr>
        <w:spacing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应急广播接收终端作为全区应急广播系统最末端，也是最重要的一个传播环节，是实现将各级应急广播信号解调并进行远距离扩散的功能。</w:t>
      </w:r>
    </w:p>
    <w:p>
      <w:pPr>
        <w:keepNext/>
        <w:keepLines/>
        <w:spacing w:line="360" w:lineRule="auto"/>
        <w:ind w:left="315" w:leftChars="150"/>
        <w:rPr>
          <w:rFonts w:hint="eastAsia" w:ascii="仿宋" w:hAnsi="仿宋" w:eastAsia="仿宋" w:cs="仿宋"/>
          <w:bCs/>
          <w:color w:val="auto"/>
          <w:sz w:val="24"/>
        </w:rPr>
      </w:pPr>
      <w:bookmarkStart w:id="56" w:name="_Toc12326"/>
      <w:r>
        <w:rPr>
          <w:rFonts w:hint="eastAsia" w:ascii="仿宋" w:hAnsi="仿宋" w:eastAsia="仿宋" w:cs="仿宋"/>
          <w:bCs/>
          <w:color w:val="auto"/>
          <w:sz w:val="24"/>
        </w:rPr>
        <w:t>（1）IP终端类型</w:t>
      </w:r>
      <w:bookmarkEnd w:id="56"/>
    </w:p>
    <w:p>
      <w:pPr>
        <w:spacing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应急广播接收终端根据产品结构主要分为两种：IP接收音柱（一体式）、IP收扩机+高音喇叭或室外音柱（分体式）。</w:t>
      </w:r>
    </w:p>
    <w:p>
      <w:pPr>
        <w:spacing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IP接收音柱是将信号解调接收模块、扩音模块、回传模块等集成一体,通过专业的解调和解码芯片，将还原出的音频和指令流各自送入功放芯片和处理器芯片，根据控制指令进行相应的电源开关、节目选择、音量调整等动作。</w:t>
      </w:r>
    </w:p>
    <w:p>
      <w:pPr>
        <w:spacing w:line="360" w:lineRule="auto"/>
        <w:ind w:firstLine="480" w:firstLineChars="200"/>
        <w:jc w:val="left"/>
        <w:rPr>
          <w:rFonts w:hint="eastAsia" w:ascii="仿宋" w:hAnsi="仿宋" w:eastAsia="仿宋" w:cs="仿宋"/>
          <w:bCs/>
          <w:color w:val="auto"/>
          <w:sz w:val="24"/>
        </w:rPr>
      </w:pPr>
      <w:r>
        <w:rPr>
          <w:rFonts w:hint="eastAsia" w:ascii="仿宋" w:hAnsi="仿宋" w:eastAsia="仿宋" w:cs="仿宋"/>
          <w:bCs/>
          <w:color w:val="auto"/>
          <w:sz w:val="24"/>
        </w:rPr>
        <w:t>IP收扩机+高音喇叭（或室外音柱）的应用相对比较灵活方便、防雨、防雷效果更佳；编码及功放模块放置在箱内，取电、取信号更加方便，安装调试、检修更加得心应手；无源音柱重量更轻，固定更方便，使用寿命长，完全避免日常维护时的重复安装及拆卸根据安装点位的不同环境，可以在城区、镇区选择音频音柱或；落地式草坪音箱等不同形状和造型的放音设备；在农村或水库等开阔地选择高音喇叭进行定向扩音。</w:t>
      </w:r>
    </w:p>
    <w:p>
      <w:pPr>
        <w:keepNext/>
        <w:keepLines/>
        <w:spacing w:line="360" w:lineRule="auto"/>
        <w:ind w:left="315" w:leftChars="150"/>
        <w:rPr>
          <w:rFonts w:hint="eastAsia" w:ascii="仿宋" w:hAnsi="仿宋" w:eastAsia="仿宋" w:cs="仿宋"/>
          <w:bCs/>
          <w:color w:val="auto"/>
          <w:sz w:val="24"/>
        </w:rPr>
      </w:pPr>
      <w:bookmarkStart w:id="57" w:name="_Toc15338"/>
      <w:r>
        <w:rPr>
          <w:rFonts w:hint="eastAsia" w:ascii="仿宋" w:hAnsi="仿宋" w:eastAsia="仿宋" w:cs="仿宋"/>
          <w:bCs/>
          <w:color w:val="auto"/>
          <w:sz w:val="24"/>
        </w:rPr>
        <w:t>（2）</w:t>
      </w:r>
      <w:bookmarkEnd w:id="57"/>
      <w:r>
        <w:rPr>
          <w:rFonts w:hint="eastAsia" w:ascii="仿宋" w:hAnsi="仿宋" w:eastAsia="仿宋" w:cs="仿宋"/>
          <w:bCs/>
          <w:color w:val="auto"/>
          <w:sz w:val="24"/>
        </w:rPr>
        <w:t>应急广播适配器</w:t>
      </w:r>
    </w:p>
    <w:p>
      <w:pPr>
        <w:spacing w:line="360" w:lineRule="auto"/>
        <w:ind w:firstLine="480" w:firstLineChars="200"/>
        <w:jc w:val="left"/>
        <w:rPr>
          <w:rFonts w:hint="eastAsia" w:ascii="仿宋" w:hAnsi="仿宋" w:eastAsia="仿宋" w:cs="仿宋"/>
          <w:bCs/>
          <w:color w:val="auto"/>
          <w:sz w:val="24"/>
        </w:rPr>
      </w:pPr>
      <w:r>
        <w:rPr>
          <w:rFonts w:hint="eastAsia" w:ascii="仿宋" w:hAnsi="仿宋" w:eastAsia="仿宋" w:cs="仿宋"/>
          <w:bCs/>
          <w:color w:val="auto"/>
          <w:sz w:val="24"/>
        </w:rPr>
        <w:t>通过安装应急广播适配器，对原有农村有线广播系统进行升级改造，完成日常广播和应急广播的播出。</w:t>
      </w:r>
    </w:p>
    <w:p>
      <w:pPr>
        <w:keepNext/>
        <w:keepLines/>
        <w:spacing w:line="360" w:lineRule="auto"/>
        <w:ind w:left="315" w:leftChars="150"/>
        <w:rPr>
          <w:rFonts w:hint="eastAsia" w:ascii="仿宋" w:hAnsi="仿宋" w:eastAsia="仿宋" w:cs="仿宋"/>
          <w:bCs/>
          <w:color w:val="auto"/>
          <w:sz w:val="24"/>
        </w:rPr>
      </w:pPr>
      <w:bookmarkStart w:id="58" w:name="_Toc10102"/>
      <w:r>
        <w:rPr>
          <w:rFonts w:hint="eastAsia" w:ascii="仿宋" w:hAnsi="仿宋" w:eastAsia="仿宋" w:cs="仿宋"/>
          <w:bCs/>
          <w:color w:val="auto"/>
          <w:sz w:val="24"/>
        </w:rPr>
        <w:t>（3）应急备用电源</w:t>
      </w:r>
      <w:bookmarkEnd w:id="58"/>
    </w:p>
    <w:p>
      <w:pPr>
        <w:widowControl/>
        <w:shd w:val="clear" w:color="auto" w:fill="FFFFFF"/>
        <w:spacing w:line="360" w:lineRule="auto"/>
        <w:ind w:firstLine="480" w:firstLineChars="200"/>
        <w:jc w:val="left"/>
        <w:rPr>
          <w:rFonts w:hint="eastAsia" w:ascii="仿宋" w:hAnsi="仿宋" w:eastAsia="仿宋" w:cs="仿宋"/>
          <w:bCs/>
          <w:color w:val="auto"/>
          <w:sz w:val="24"/>
        </w:rPr>
      </w:pPr>
      <w:r>
        <w:rPr>
          <w:rFonts w:hint="eastAsia" w:ascii="仿宋" w:hAnsi="仿宋" w:eastAsia="仿宋" w:cs="仿宋"/>
          <w:bCs/>
          <w:color w:val="auto"/>
          <w:sz w:val="24"/>
        </w:rPr>
        <w:t>为了确保在突发事件供电网络中断的情况下，能够第一时间将应急广播节目及时播出，在应急避灾等重点公共区域应急广播接收终端配置太阳能备用供电模块。该模块由太阳能电池板、蓄电池以及智能控制器等构成。根据规划设计为断电备用3小时。</w:t>
      </w:r>
    </w:p>
    <w:p>
      <w:pPr>
        <w:spacing w:line="360" w:lineRule="auto"/>
        <w:jc w:val="center"/>
        <w:outlineLvl w:val="4"/>
        <w:rPr>
          <w:rFonts w:hint="eastAsia" w:ascii="仿宋" w:hAnsi="仿宋" w:eastAsia="仿宋" w:cs="仿宋"/>
          <w:b/>
          <w:color w:val="auto"/>
          <w:sz w:val="24"/>
        </w:rPr>
      </w:pPr>
      <w:r>
        <w:rPr>
          <w:rFonts w:hint="eastAsia" w:ascii="仿宋" w:hAnsi="仿宋" w:eastAsia="仿宋" w:cs="仿宋"/>
          <w:b/>
          <w:color w:val="auto"/>
          <w:sz w:val="24"/>
        </w:rPr>
        <w:t>萧山区应急广播终端设备明细表</w:t>
      </w:r>
    </w:p>
    <w:tbl>
      <w:tblPr>
        <w:tblStyle w:val="62"/>
        <w:tblW w:w="5000" w:type="pct"/>
        <w:tblInd w:w="0" w:type="dxa"/>
        <w:tblLayout w:type="autofit"/>
        <w:tblCellMar>
          <w:top w:w="0" w:type="dxa"/>
          <w:left w:w="108" w:type="dxa"/>
          <w:bottom w:w="0" w:type="dxa"/>
          <w:right w:w="108" w:type="dxa"/>
        </w:tblCellMar>
      </w:tblPr>
      <w:tblGrid>
        <w:gridCol w:w="486"/>
        <w:gridCol w:w="1836"/>
        <w:gridCol w:w="2016"/>
        <w:gridCol w:w="513"/>
        <w:gridCol w:w="928"/>
        <w:gridCol w:w="717"/>
        <w:gridCol w:w="457"/>
        <w:gridCol w:w="766"/>
        <w:gridCol w:w="776"/>
      </w:tblGrid>
      <w:tr>
        <w:tblPrEx>
          <w:tblCellMar>
            <w:top w:w="0" w:type="dxa"/>
            <w:left w:w="108" w:type="dxa"/>
            <w:bottom w:w="0" w:type="dxa"/>
            <w:right w:w="108" w:type="dxa"/>
          </w:tblCellMar>
        </w:tblPrEx>
        <w:trPr>
          <w:trHeight w:val="864" w:hRule="atLeast"/>
        </w:trPr>
        <w:tc>
          <w:tcPr>
            <w:tcW w:w="28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序号</w:t>
            </w:r>
          </w:p>
        </w:tc>
        <w:tc>
          <w:tcPr>
            <w:tcW w:w="833" w:type="pct"/>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名称</w:t>
            </w:r>
          </w:p>
        </w:tc>
        <w:tc>
          <w:tcPr>
            <w:tcW w:w="925" w:type="pct"/>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名称</w:t>
            </w:r>
          </w:p>
        </w:tc>
        <w:tc>
          <w:tcPr>
            <w:tcW w:w="447" w:type="pct"/>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应急广播IP音柱</w:t>
            </w:r>
          </w:p>
        </w:tc>
        <w:tc>
          <w:tcPr>
            <w:tcW w:w="619" w:type="pct"/>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地质灾害点区域应急广播IP音柱</w:t>
            </w:r>
          </w:p>
        </w:tc>
        <w:tc>
          <w:tcPr>
            <w:tcW w:w="495" w:type="pct"/>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避灾点应急广播IP音柱</w:t>
            </w:r>
          </w:p>
        </w:tc>
        <w:tc>
          <w:tcPr>
            <w:tcW w:w="342" w:type="pct"/>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其他风险点</w:t>
            </w:r>
          </w:p>
        </w:tc>
        <w:tc>
          <w:tcPr>
            <w:tcW w:w="523" w:type="pct"/>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应急广播适配器（用于有线广播对接）</w:t>
            </w:r>
          </w:p>
        </w:tc>
        <w:tc>
          <w:tcPr>
            <w:tcW w:w="530" w:type="pct"/>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IP话筒（村或个别点播发）</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楼塔镇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大同一村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10</w:t>
            </w: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楼塔镇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大同二村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楼塔镇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大同三村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楼塔镇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管村村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楼塔镇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楼英村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6</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楼塔镇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楼家塔村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7</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楼塔镇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雪环桥头村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8</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楼塔镇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雀山岭村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9</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楼塔镇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大黄岭村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10</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楼塔镇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萧南村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11</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楼塔镇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岩山村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12</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楼塔镇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岩上村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13</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楼塔镇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仙岩社区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14</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河上镇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祥河桥村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17</w:t>
            </w: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15</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河上镇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大桥村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16</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河上镇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紫霞村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17</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河上镇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紫东村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18</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河上镇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璇山下村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19</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河上镇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下门村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20</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河上镇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众联村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21</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河上镇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溪头村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22</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河上镇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伟民村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23</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河上镇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朱家村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24</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河上镇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凤凰坞村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25</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河上镇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东山村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26</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河上镇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三联村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27</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河上镇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里都村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28</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河上镇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联发村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29</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河上镇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长春社区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30</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戴村镇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骆家舍村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w:t>
            </w:r>
          </w:p>
        </w:tc>
        <w:tc>
          <w:tcPr>
            <w:tcW w:w="495"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12</w:t>
            </w: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31</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戴村镇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尖山下村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32</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戴村镇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方溪村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6</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33</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戴村镇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顾家溪村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34</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戴村镇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枫桥村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35</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戴村镇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青山村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36</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戴村镇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沈村村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37</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戴村镇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佛山村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38</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戴村镇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半山村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39</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戴村镇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马谷村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40</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戴村镇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八都村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41</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戴村镇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三头村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42</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戴村镇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南三村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43</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戴村镇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戴村村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44</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戴村镇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上董村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45</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戴村镇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大石盖村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46</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戴村镇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石马头村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47</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戴村镇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张家弄村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48</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戴村镇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河杨湖村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49</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戴村镇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东风村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50</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戴村镇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郁家山下村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51</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戴村镇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永富村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52</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临浦镇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横一村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19</w:t>
            </w: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53</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临浦镇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浦南村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54</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临浦镇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横二村　</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55</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临浦镇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新港村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56</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临浦镇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浦二村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57</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临浦镇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新联村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58</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临浦镇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南江村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59</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临浦镇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临一村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60</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临浦镇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苎萝村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61</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临浦镇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通一村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62</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临浦镇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白鹿塘村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63</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临浦镇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苎东村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64</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临浦镇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通二村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65</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临浦镇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塘郎孙村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66</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临浦镇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华家村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67</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临浦镇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临北村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68</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临浦镇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新河村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69</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临浦镇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大庄村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70</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临浦镇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王村村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71</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临浦镇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三峰村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72</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临浦镇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临东社区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73</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临浦镇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高田陈社区　</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74</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临浦镇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自由孔社区　</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75</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临浦镇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詹家埭社区　</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76</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临浦镇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石塔社区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77</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临浦镇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前孔社区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78</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临浦镇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柏山陈社区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79</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临浦镇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谭家埭社区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80</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临浦镇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戴家桥社区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81</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临浦镇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东麓池社区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82</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临浦镇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蔡东藩社区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83</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临浦镇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山阴街社区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312"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84</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临浦镇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运河里社区</w:t>
            </w:r>
            <w:r>
              <w:rPr>
                <w:rFonts w:hint="eastAsia" w:ascii="仿宋" w:hAnsi="仿宋" w:eastAsia="仿宋" w:cs="仿宋"/>
                <w:b/>
                <w:bCs/>
                <w:color w:val="auto"/>
                <w:kern w:val="0"/>
                <w:sz w:val="18"/>
                <w:szCs w:val="18"/>
              </w:rPr>
              <w:t>　</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85</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临浦镇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浴美施社区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86</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浦阳镇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曹坞村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15</w:t>
            </w: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87</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浦阳镇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安山村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88</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浦阳镇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江西俞村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89</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浦阳镇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径游村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90</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浦阳镇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江南村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91</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浦阳镇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浦一村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92</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浦阳镇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谢家村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93</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浦阳镇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尖湖村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94</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浦阳镇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桃源村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95</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浦阳镇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灵山村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96</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浦阳镇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十三房村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97</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浦阳镇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舜湖村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98</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浦阳镇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桃湖村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99</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浦阳镇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新谊村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100</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浦阳镇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尖山村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101</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浦阳镇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桃北村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102</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浦阳镇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临江村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103</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浦阳镇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新河口村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104</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浦阳镇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金浦社区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105</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进化镇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东山村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15</w:t>
            </w: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106</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进化镇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吉山村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107</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进化镇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华家垫村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108</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进化镇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天乐村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109</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进化镇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太平桥村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110</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进化镇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平阳村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111</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进化镇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华锋村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112</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进化镇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王家闸村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113</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进化镇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裘家坞村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114</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进化镇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云飞村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115</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进化镇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大汤坞新村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116</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进化镇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城山村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117</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进化镇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沈家渡村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118</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进化镇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三江村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119</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进化镇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凤凰山村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120</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进化镇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诸坞村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121</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进化镇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傅墩村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122</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进化镇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墅上王村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123</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进化镇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下坂底村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124</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进化镇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欢潭村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125</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进化镇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岳联村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126</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进化镇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新江村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127</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进化镇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涂川村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128</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进化镇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祝家村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129</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进化镇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三浦村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130</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进化镇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鹿鸣社区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131</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所前镇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东复村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12</w:t>
            </w: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132</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所前镇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传芳村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133</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所前镇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城南村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134</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所前镇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山里王村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135</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所前镇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李家村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136</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所前镇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祥里王村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137</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所前镇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联谊村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138</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所前镇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越山村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139</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所前镇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金临湖村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140</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所前镇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三泉王村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141</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所前镇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信谊村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142</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所前镇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山联村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143</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所前镇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孔湖村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144</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所前镇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来苏周村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145</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所前镇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缪家村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146</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所前镇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袄庄陈村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147</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所前镇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越王村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148</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所前镇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金山村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149</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所前镇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杜家村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150</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所前镇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天乐社区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151</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所前镇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南城社区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152</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义桥镇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义桥村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19</w:t>
            </w: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153</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义桥镇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新坝村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154</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义桥镇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联三村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155</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义桥镇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湘东村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156</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义桥镇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湘南村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157</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义桥镇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山后村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158</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义桥镇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民丰村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159</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义桥镇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富春村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160</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义桥镇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西山村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161</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义桥镇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河西村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162</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义桥镇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罗幕村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163</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义桥镇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蛟山村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164</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义桥镇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田丰村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165</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义桥镇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勤里村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166</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义桥镇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云峰村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167</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义桥镇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北坞村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168</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义桥镇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昇光村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169</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义桥镇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復兴村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170</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义桥镇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七里店村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171</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义桥镇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丁家庄村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172</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义桥镇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徐童山下村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173</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义桥镇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罗峰社区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174</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义桥镇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杨岐社区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175</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义桥镇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渔浦社区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176</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衙前镇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螺山村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13</w:t>
            </w: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177</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衙前镇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杨汛村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178</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衙前镇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南庄王村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179</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衙前镇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新林周村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180</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衙前镇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衙前村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181</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衙前镇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吟龙村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182</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衙前镇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项漾村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183</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衙前镇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四漾村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184</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衙前镇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明华村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185</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衙前镇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山南富村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186</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衙前镇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凤凰村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187</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衙前镇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毕公桥社区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188</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衙前镇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创业新村社区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189</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瓜沥镇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航民村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52</w:t>
            </w: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190</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瓜沥镇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明朗村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191</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瓜沥镇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东恩村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192</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瓜沥镇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如松村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193</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瓜沥镇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大义村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194</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瓜沥镇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东湖村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195</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瓜沥镇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长巷村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196</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瓜沥镇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群联村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197</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瓜沥镇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渔庄村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198</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瓜沥镇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低田畈村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199</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瓜沥镇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进化村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200</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瓜沥镇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东方村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201</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瓜沥镇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运东村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202</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瓜沥镇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运西村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203</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瓜沥镇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永福村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204</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瓜沥镇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友谊村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205</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瓜沥镇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永联村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206</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瓜沥镇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沙田头村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207</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瓜沥镇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横埂头村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208</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瓜沥镇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渭水桥村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209</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瓜沥镇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靖一村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210</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瓜沥镇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隆兴和村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211</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瓜沥镇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大园村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212</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瓜沥镇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凤升村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213</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瓜沥镇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勇建村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214</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瓜沥镇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荣新村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215</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瓜沥镇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工农村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216</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瓜沥镇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张神殿村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217</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瓜沥镇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群谊村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218</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瓜沥镇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东社村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219</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瓜沥镇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孙家弄村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220</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瓜沥镇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甘露亭村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221</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瓜沥镇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民丰河村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222</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瓜沥镇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八大村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223</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瓜沥镇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沿塘村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224</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瓜沥镇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三岔路村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225</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瓜沥镇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新港村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226</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瓜沥镇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梅仙村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227</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瓜沥镇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建盈村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228</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瓜沥镇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三盈村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229</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瓜沥镇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国庆村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230</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瓜沥镇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万安村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231</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瓜沥镇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党山村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232</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瓜沥镇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信源村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233</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瓜沥镇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梅林村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234</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瓜沥镇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车路湾村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235</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瓜沥镇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八里桥村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236</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瓜沥镇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世安桥村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237</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瓜沥镇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官一村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238</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瓜沥镇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前兴村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239</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瓜沥镇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群力村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240</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瓜沥镇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群益村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241</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瓜沥镇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兴围村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242</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瓜沥镇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长联村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243</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瓜沥镇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解放村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244</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瓜沥镇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山北村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245</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瓜沥镇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大池溇村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246</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瓜沥镇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山三村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247</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瓜沥镇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众安村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248</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瓜沥镇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开源村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249</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瓜沥镇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单木桥村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250</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瓜沥镇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中沙村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251</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瓜沥镇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张潭村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252</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瓜沥镇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塘头社区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253</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瓜沥镇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芭蕉砚社区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254</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瓜沥镇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东灵社区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255</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瓜沥镇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航坞社区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256</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瓜沥镇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城中社区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257</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瓜沥镇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七彩社区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258</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瓜沥镇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新凉亭社区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259</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瓜沥镇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塘上社区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260</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瓜沥镇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振兴社区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261</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瓜沥镇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下街社区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262</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瓜沥镇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南大房社区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263</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瓜沥镇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碧苑新村社区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264</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益农镇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众力村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15</w:t>
            </w: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265</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益农镇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镇龙殿村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266</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益农镇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星联村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267</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益农镇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五六二村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268</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益农镇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东联村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269</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益农镇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赵家湾村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270</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益农镇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久联村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271</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益农镇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新发村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272</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益农镇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东村村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273</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益农镇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益农村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274</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益农镇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东江村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275</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益农镇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民围村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276</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益农镇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群围村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277</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益农镇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三围村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278</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益农镇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兴裕村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279</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益农镇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东沙村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280</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益农镇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群英村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281</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益农镇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长北村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282</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益农镇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利围村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283</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党湾镇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幸福村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15</w:t>
            </w: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284</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党湾镇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大西村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285</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党湾镇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裕民村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286</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党湾镇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德北村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287</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党湾镇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老埠头村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288</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党湾镇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团结村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289</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党湾镇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曙光村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290</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党湾镇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新梅村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291</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党湾镇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新前村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292</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党湾镇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梅东村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293</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党湾镇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永安村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294</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党湾镇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永乐村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295</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党湾镇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先锋村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296</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党湾镇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勤联村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297</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党湾镇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红界村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298</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党湾镇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镇中村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299</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党湾镇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庆丰村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300</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党湾镇</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卫东桥社区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301</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城厢街道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藕湖浜社区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21</w:t>
            </w: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302</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城厢街道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陈公桥社区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303</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城厢街道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东阳桥社区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304</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城厢街道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回澜北苑社区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305</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城厢街道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回澜南苑社区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306</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城厢街道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育才东苑社区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307</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城厢街道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燕子河社区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308</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城厢街道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江寺社区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309</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城厢街道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百尺溇社区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310</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城厢街道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太平弄社区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311</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城厢街道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拱秀社区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312</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城厢街道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丁家庄社区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313</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城厢街道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南市社区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314</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城厢街道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万寿桥社区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315</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城厢街道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西河路社区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316</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城厢街道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俊良社区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317</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城厢街道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崇化社区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318</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城厢街道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潘水社区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319</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城厢街道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南门江社区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320</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城厢街道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潇湘社区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321</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城厢街道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美之园社区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322</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城厢街道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休博园社区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323</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城厢街道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湘湖社区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324</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城厢街道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天逸社区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325</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城厢街道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车家埭社区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326</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城厢街道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新桥头社区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327</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城厢街道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高桥社区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328</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城厢街道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梅花楼社区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329</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城厢街道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徐家河社区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330</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城厢街道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南门社区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331</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城厢街道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仙家里社区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332</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城厢街道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湖头陈社区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333</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城厢街道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东湘社区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334</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城厢街道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东白马湖社区（筹建）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335</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城厢街道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杜湖社区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336</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城厢街道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藕湖浜社区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337</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城厢街道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陈公桥社区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338</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北干街道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明星村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18</w:t>
            </w: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339</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北干街道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兴议村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340</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北干街道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荣星村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341</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北干街道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荣庄村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342</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北干街道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城北村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343</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北干街道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塘湾村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344</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北干街道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施家桥社区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345</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北干街道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畈里张社区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346</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北干街道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墩里吴社区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347</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北干街道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永久社区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348</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北干街道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高田社区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349</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北干街道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荣联社区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350</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北干街道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柳桥社区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351</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北干街道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工人路社区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352</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北干街道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北干一苑社区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353</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北干街道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北干二苑社区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354</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北干街道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绿茵园社区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355</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北干街道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华达社区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356</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北干街道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银河社区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357</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北干街道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星都社区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358</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北干街道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萧然社区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359</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北干街道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广德社区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360</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北干街道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金泰苑社区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361</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北干街道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中誉新城社区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362</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北干街道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金山西苑社区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363</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北干街道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湖滨花园社区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364</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北干街道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加德社区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365</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北干街道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金风社区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366</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北干街道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金稼苑社区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367</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北干街道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钱塘明月社区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368</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北干街道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天悦社区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369</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北干街道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江南星城</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370</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北干街道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风情科创社区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371</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北干街道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绿意楼宇社区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372</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北干街道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太汇楼宇</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373</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北干街道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金城楼宇社区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374</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北干街道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蓝苑楼宇社区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375</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蜀山街道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知章村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15</w:t>
            </w: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376</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蜀山街道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金西村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377</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蜀山街道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湖东村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378</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蜀山街道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黄家章村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379</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蜀山街道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赵家墩村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380</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蜀山街道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章潘桥村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381</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蜀山街道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沙里吴村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382</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蜀山街道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桥头陈村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383</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蜀山街道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湖山社区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384</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蜀山街道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沈家里社区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385</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蜀山街道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金家埭社区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386</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蜀山街道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联华社区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387</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蜀山街道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严家埭社区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388</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蜀山街道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安桥社区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389</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蜀山街道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联丰社区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390</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蜀山街道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戚家池社区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391</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蜀山街道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向阳社区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392</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蜀山街道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曹家桥社区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393</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蜀山街道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鲁公桥社区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394</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蜀山街道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黄家河社区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395</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蜀山街道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溪头黄社区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396</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蜀山街道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越寨社区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397</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蜀山街道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祝家桥社区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398</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蜀山街道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朝阳社区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399</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蜀山街道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山水苑社区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400</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蜀山街道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广宁社区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401</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蜀山街道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秀水社区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402</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蜀山街道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湘源社区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403</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蜀山街道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晨晖社区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404</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蜀山街道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湘乐社区（筹备中）</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405</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新塘街道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娄下陈村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22</w:t>
            </w: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406</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新塘街道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和平桥村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407</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新塘街道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朱家坛村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408</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新塘街道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五联村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409</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新塘街道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姑娘桥村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410</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新塘街道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涝湖村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411</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新塘街道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西许村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412</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新塘街道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双桥社区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413</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新塘街道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行头村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414</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新塘街道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下潦社区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415</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新塘街道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下畈朱社区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416</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新塘街道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郎家浜社区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417</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新塘街道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琴山下社区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418</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新塘街道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裘江新村村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419</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新塘街道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吕才庄社区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420</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新塘街道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董家埭社区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421</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新塘街道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畈里童社区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422</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新塘街道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井头王社区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423</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新塘街道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曾家桥社区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424</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新塘街道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姚江岸社区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425</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新塘街道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王有史社区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426</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新塘街道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金家浜社区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427</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新塘街道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文源社区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428</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新塘街道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半爿街社区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429</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新塘街道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霞江村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430</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新塘街道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联华新村村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431</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新塘街道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桥南沈村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432</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新塘街道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傅楼村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433</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新塘街道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新丰村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434</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新塘街道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浙东村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435</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新塘街道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塘里陈社区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436</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新塘街道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前塘社区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437</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新塘街道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紫霞村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438</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新塘街道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油树下社区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439</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新塘街道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一都孙村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440</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新塘街道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商城社区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441</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新塘街道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泰和社区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442</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新塘街道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汇宇社区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443</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新塘街道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四季花城社区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444</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新塘街道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广泽社区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445</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新塘街道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新南郡社区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446</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新塘街道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南晖社区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447</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新塘街道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罗婆路社区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448</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新塘街道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名望府社区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449</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闻堰街道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三江口村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18</w:t>
            </w: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450</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闻堰街道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老虎洞村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451</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闻堰街道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黄山村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452</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闻堰街道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长安村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453</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闻堰街道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闻兴村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454</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闻堰街道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山河村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455</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闻堰街道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湘湖人家社区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456</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闻堰街道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湘湖南苑社区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457</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闻堰街道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闻家堰社区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458</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闻堰街道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南岸社区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459</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闻堰街道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三江社区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460</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闻堰街道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相墅社区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461</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闻堰街道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闻江社区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462</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宁围街道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金二社区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6</w:t>
            </w: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463</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宁围街道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金一社区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464</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宁围街道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宁安社区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465</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宁围街道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宁东社区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466</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宁围街道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宁税社区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467</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宁围街道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新华村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468</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宁围街道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宁新村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469</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宁围街道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宁牧村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470</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宁围街道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新安村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471</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宁围街道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二桥村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472</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宁围街道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顺坝村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473</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宁围街道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振宁社区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474</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宁围街道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水博社区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475</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盈丰街道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新中村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12</w:t>
            </w: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476</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盈丰街道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丰东村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477</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盈丰街道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盈一村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478</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盈丰街道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盈二村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479</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盈丰街道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丰二村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480</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盈丰街道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丰北村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481</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盈丰街道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合丰村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482</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盈丰街道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利一村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483</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盈丰街道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利二村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484</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盈丰街道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佳境社区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485</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盈丰街道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美哉社区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486</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盈丰街道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立涛园社区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487</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盈丰街道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和美社区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488</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盈丰街道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利丰社区（筹建中）</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489</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盈丰街道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奔竞社区（筹建中）</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490</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盈丰街道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潮韵社区（筹建中）</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491</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新街街道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江南村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17</w:t>
            </w: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492</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新街街道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盈中村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493</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新街街道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沿江村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494</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新街街道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山末址村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495</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新街街道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双圩村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496</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新街街道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元沙村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497</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新街街道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芝兰村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498</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新街街道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陈家园村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499</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新街街道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新塘头村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500</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新街街道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长山头村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501</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新街街道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新盛村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502</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新街街道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盛乐村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503</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新街街道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同兴村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504</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新街街道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盛中村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505</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新街街道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盛东村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506</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新街街道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花城社区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507</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新街街道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长山社区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508</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新街街道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新和社区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509</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新街街道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新润社区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510</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新街街道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新宜社区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511</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靖江街道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光明村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restart"/>
            <w:tcBorders>
              <w:top w:val="nil"/>
              <w:left w:val="single" w:color="auto" w:sz="4" w:space="0"/>
              <w:bottom w:val="nil"/>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17</w:t>
            </w: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512</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靖江街道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东桥村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nil"/>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513</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靖江街道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甘露村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nil"/>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312"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514</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靖江街道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协谊村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nil"/>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515</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靖江街道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义南村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nil"/>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516</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靖江街道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靖港村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nil"/>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517</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靖江街道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和顺村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nil"/>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518</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靖江街道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雷东村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nil"/>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519</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靖江街道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靖南村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nil"/>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520</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靖江街道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靖东村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nil"/>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521</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靖江街道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伟南村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nil"/>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522</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靖江街道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花神庙社区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nil"/>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312"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523</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靖江街道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黎明社区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nil"/>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312"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524</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靖江街道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安澜桥社区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nil"/>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525</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靖江街道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小石桥社区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nil"/>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526</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靖江街道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靖安社区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nil"/>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527</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靖江街道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靖美社区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nil"/>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528</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南阳街道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雷山村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10</w:t>
            </w: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529</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南阳街道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南翔村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530</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南阳街道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赭东村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531</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南阳街道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东风村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532</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南阳街道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永利村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533</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南阳街道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远大村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534</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南阳街道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红山村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535</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南阳街道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坞里村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536</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南阳街道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横蓬村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537</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南阳街道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岩峰村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538</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南阳街道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南兴村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539</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南阳街道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南丰村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540</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南阳街道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龙虎村</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541</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南阳街道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南阳社区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542</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南阳街道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赭山社区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543</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南阳街道</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潮都社区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544</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红山农场</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同舟社区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w:t>
            </w: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545</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红山农场</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同德社区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546</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红山农场</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同心社区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547</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经济开发区</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青茵社区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7</w:t>
            </w: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548</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经济开发区</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钱江社区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549</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经济开发区</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信息港社区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550</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经济开发区</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市北社区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551</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经济开发区</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市心社区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552</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经济开发区</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红垦社区</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仿宋" w:hAnsi="仿宋" w:eastAsia="仿宋" w:cs="仿宋"/>
                <w:color w:val="auto"/>
                <w:kern w:val="0"/>
                <w:sz w:val="18"/>
                <w:szCs w:val="18"/>
              </w:rPr>
            </w:pP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553</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杭州空港经济区</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554</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钱江世纪城管委会</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555</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湘湖国家旅游度假区</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49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556</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农开办围垦避灾点</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49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w:t>
            </w: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r>
      <w:tr>
        <w:tblPrEx>
          <w:tblCellMar>
            <w:top w:w="0" w:type="dxa"/>
            <w:left w:w="108" w:type="dxa"/>
            <w:bottom w:w="0" w:type="dxa"/>
            <w:right w:w="108" w:type="dxa"/>
          </w:tblCellMar>
        </w:tblPrEx>
        <w:trPr>
          <w:trHeight w:val="288" w:hRule="atLeast"/>
        </w:trPr>
        <w:tc>
          <w:tcPr>
            <w:tcW w:w="28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92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44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355</w:t>
            </w:r>
          </w:p>
        </w:tc>
        <w:tc>
          <w:tcPr>
            <w:tcW w:w="6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19</w:t>
            </w:r>
          </w:p>
        </w:tc>
        <w:tc>
          <w:tcPr>
            <w:tcW w:w="49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383</w:t>
            </w:r>
          </w:p>
        </w:tc>
        <w:tc>
          <w:tcPr>
            <w:tcW w:w="34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355</w:t>
            </w:r>
          </w:p>
        </w:tc>
        <w:tc>
          <w:tcPr>
            <w:tcW w:w="530"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355</w:t>
            </w:r>
          </w:p>
        </w:tc>
      </w:tr>
      <w:tr>
        <w:tblPrEx>
          <w:tblCellMar>
            <w:top w:w="0" w:type="dxa"/>
            <w:left w:w="108" w:type="dxa"/>
            <w:bottom w:w="0" w:type="dxa"/>
            <w:right w:w="108" w:type="dxa"/>
          </w:tblCellMar>
        </w:tblPrEx>
        <w:trPr>
          <w:trHeight w:val="288" w:hRule="atLeast"/>
        </w:trPr>
        <w:tc>
          <w:tcPr>
            <w:tcW w:w="2045" w:type="pct"/>
            <w:gridSpan w:val="3"/>
            <w:tcBorders>
              <w:top w:val="single" w:color="auto" w:sz="4" w:space="0"/>
              <w:left w:val="single" w:color="auto" w:sz="4" w:space="0"/>
              <w:bottom w:val="single" w:color="auto" w:sz="4" w:space="0"/>
              <w:right w:val="nil"/>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IP音柱合计</w:t>
            </w:r>
          </w:p>
        </w:tc>
        <w:tc>
          <w:tcPr>
            <w:tcW w:w="2955" w:type="pct"/>
            <w:gridSpan w:val="6"/>
            <w:tcBorders>
              <w:top w:val="single" w:color="auto" w:sz="4" w:space="0"/>
              <w:left w:val="nil"/>
              <w:bottom w:val="single" w:color="auto" w:sz="4" w:space="0"/>
              <w:right w:val="single" w:color="000000"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757</w:t>
            </w:r>
          </w:p>
        </w:tc>
      </w:tr>
      <w:tr>
        <w:tblPrEx>
          <w:tblCellMar>
            <w:top w:w="0" w:type="dxa"/>
            <w:left w:w="108" w:type="dxa"/>
            <w:bottom w:w="0" w:type="dxa"/>
            <w:right w:w="108" w:type="dxa"/>
          </w:tblCellMar>
        </w:tblPrEx>
        <w:trPr>
          <w:trHeight w:val="288" w:hRule="atLeast"/>
        </w:trPr>
        <w:tc>
          <w:tcPr>
            <w:tcW w:w="2045" w:type="pct"/>
            <w:gridSpan w:val="3"/>
            <w:tcBorders>
              <w:top w:val="single" w:color="auto" w:sz="4" w:space="0"/>
              <w:left w:val="single" w:color="auto" w:sz="4" w:space="0"/>
              <w:bottom w:val="single" w:color="auto" w:sz="4" w:space="0"/>
              <w:right w:val="nil"/>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应急广播适配器</w:t>
            </w:r>
          </w:p>
        </w:tc>
        <w:tc>
          <w:tcPr>
            <w:tcW w:w="2955" w:type="pct"/>
            <w:gridSpan w:val="6"/>
            <w:tcBorders>
              <w:top w:val="single" w:color="auto" w:sz="4" w:space="0"/>
              <w:left w:val="nil"/>
              <w:bottom w:val="single" w:color="auto" w:sz="4" w:space="0"/>
              <w:right w:val="single" w:color="000000"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355</w:t>
            </w:r>
          </w:p>
        </w:tc>
      </w:tr>
      <w:tr>
        <w:tblPrEx>
          <w:tblCellMar>
            <w:top w:w="0" w:type="dxa"/>
            <w:left w:w="108" w:type="dxa"/>
            <w:bottom w:w="0" w:type="dxa"/>
            <w:right w:w="108" w:type="dxa"/>
          </w:tblCellMar>
        </w:tblPrEx>
        <w:trPr>
          <w:trHeight w:val="288" w:hRule="atLeast"/>
        </w:trPr>
        <w:tc>
          <w:tcPr>
            <w:tcW w:w="2045" w:type="pct"/>
            <w:gridSpan w:val="3"/>
            <w:tcBorders>
              <w:top w:val="single" w:color="auto" w:sz="4" w:space="0"/>
              <w:left w:val="single" w:color="auto" w:sz="4" w:space="0"/>
              <w:bottom w:val="single" w:color="auto" w:sz="4" w:space="0"/>
              <w:right w:val="nil"/>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IP话筒</w:t>
            </w:r>
          </w:p>
        </w:tc>
        <w:tc>
          <w:tcPr>
            <w:tcW w:w="2955" w:type="pct"/>
            <w:gridSpan w:val="6"/>
            <w:tcBorders>
              <w:top w:val="single" w:color="auto" w:sz="4" w:space="0"/>
              <w:left w:val="nil"/>
              <w:bottom w:val="single" w:color="auto" w:sz="4" w:space="0"/>
              <w:right w:val="single" w:color="000000" w:sz="4" w:space="0"/>
            </w:tcBorders>
            <w:shd w:val="clear" w:color="auto" w:fill="auto"/>
            <w:noWrap/>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355</w:t>
            </w:r>
          </w:p>
        </w:tc>
      </w:tr>
    </w:tbl>
    <w:p>
      <w:pPr>
        <w:spacing w:line="360" w:lineRule="auto"/>
        <w:rPr>
          <w:rFonts w:hint="eastAsia" w:ascii="仿宋" w:hAnsi="仿宋" w:eastAsia="仿宋" w:cs="仿宋"/>
          <w:b/>
          <w:color w:val="auto"/>
          <w:sz w:val="24"/>
        </w:rPr>
      </w:pPr>
    </w:p>
    <w:p>
      <w:pPr>
        <w:widowControl/>
        <w:adjustRightInd/>
        <w:jc w:val="left"/>
        <w:rPr>
          <w:rFonts w:hint="eastAsia" w:ascii="仿宋" w:hAnsi="仿宋" w:eastAsia="仿宋" w:cs="仿宋"/>
          <w:b/>
          <w:color w:val="auto"/>
          <w:sz w:val="24"/>
        </w:rPr>
      </w:pPr>
      <w:r>
        <w:rPr>
          <w:rFonts w:hint="eastAsia" w:ascii="仿宋" w:hAnsi="仿宋" w:eastAsia="仿宋" w:cs="仿宋"/>
          <w:b/>
          <w:color w:val="auto"/>
          <w:sz w:val="24"/>
        </w:rPr>
        <w:br w:type="page"/>
      </w:r>
    </w:p>
    <w:p>
      <w:pPr>
        <w:snapToGrid w:val="0"/>
        <w:spacing w:line="360" w:lineRule="auto"/>
        <w:outlineLvl w:val="3"/>
        <w:rPr>
          <w:rFonts w:hint="eastAsia" w:ascii="仿宋" w:hAnsi="仿宋" w:eastAsia="仿宋" w:cs="仿宋"/>
          <w:b/>
          <w:bCs/>
          <w:color w:val="auto"/>
          <w:sz w:val="24"/>
        </w:rPr>
      </w:pPr>
      <w:r>
        <w:rPr>
          <w:rFonts w:hint="eastAsia" w:ascii="仿宋" w:hAnsi="仿宋" w:eastAsia="仿宋" w:cs="仿宋"/>
          <w:b/>
          <w:bCs/>
          <w:color w:val="auto"/>
          <w:sz w:val="24"/>
        </w:rPr>
        <w:t>1.4、采购清单</w:t>
      </w:r>
    </w:p>
    <w:p>
      <w:pPr>
        <w:spacing w:line="360" w:lineRule="auto"/>
        <w:ind w:firstLine="482" w:firstLineChars="200"/>
        <w:outlineLvl w:val="4"/>
        <w:rPr>
          <w:rFonts w:hint="eastAsia" w:ascii="仿宋" w:hAnsi="仿宋" w:eastAsia="仿宋" w:cs="仿宋"/>
          <w:b/>
          <w:color w:val="auto"/>
          <w:sz w:val="24"/>
        </w:rPr>
      </w:pPr>
      <w:r>
        <w:rPr>
          <w:rFonts w:hint="eastAsia" w:ascii="仿宋" w:hAnsi="仿宋" w:eastAsia="仿宋" w:cs="仿宋"/>
          <w:b/>
          <w:color w:val="auto"/>
          <w:sz w:val="24"/>
        </w:rPr>
        <w:t>一、平台部分</w:t>
      </w:r>
    </w:p>
    <w:tbl>
      <w:tblPr>
        <w:tblStyle w:val="62"/>
        <w:tblW w:w="53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
        <w:gridCol w:w="745"/>
        <w:gridCol w:w="873"/>
        <w:gridCol w:w="5389"/>
        <w:gridCol w:w="729"/>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0"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序号</w:t>
            </w:r>
          </w:p>
        </w:tc>
        <w:tc>
          <w:tcPr>
            <w:tcW w:w="413"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功能模块</w:t>
            </w:r>
          </w:p>
        </w:tc>
        <w:tc>
          <w:tcPr>
            <w:tcW w:w="484"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工程或费用名称</w:t>
            </w:r>
          </w:p>
        </w:tc>
        <w:tc>
          <w:tcPr>
            <w:tcW w:w="2986"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配置/功能描述</w:t>
            </w:r>
          </w:p>
        </w:tc>
        <w:tc>
          <w:tcPr>
            <w:tcW w:w="404"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单位</w:t>
            </w:r>
          </w:p>
        </w:tc>
        <w:tc>
          <w:tcPr>
            <w:tcW w:w="403"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000" w:type="pct"/>
            <w:gridSpan w:val="6"/>
            <w:shd w:val="clear" w:color="auto" w:fill="auto"/>
            <w:vAlign w:val="center"/>
          </w:tcPr>
          <w:p>
            <w:pPr>
              <w:widowControl/>
              <w:adjustRightInd/>
              <w:jc w:val="left"/>
              <w:rPr>
                <w:rFonts w:hint="eastAsia" w:ascii="仿宋" w:hAnsi="仿宋" w:eastAsia="仿宋" w:cs="仿宋"/>
                <w:b/>
                <w:bCs/>
                <w:color w:val="auto"/>
                <w:kern w:val="0"/>
                <w:sz w:val="18"/>
                <w:szCs w:val="18"/>
              </w:rPr>
            </w:pPr>
            <w:r>
              <w:rPr>
                <w:rFonts w:hint="eastAsia" w:ascii="仿宋" w:hAnsi="仿宋" w:eastAsia="仿宋" w:cs="仿宋"/>
                <w:b/>
                <w:bCs/>
                <w:color w:val="auto"/>
                <w:kern w:val="0"/>
                <w:sz w:val="18"/>
                <w:szCs w:val="18"/>
              </w:rPr>
              <w:t>1、应急信息流转发布系统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2" w:hRule="atLeast"/>
          <w:jc w:val="center"/>
        </w:trPr>
        <w:tc>
          <w:tcPr>
            <w:tcW w:w="310"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413" w:type="pct"/>
            <w:vMerge w:val="restar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信息接入</w:t>
            </w:r>
          </w:p>
        </w:tc>
        <w:tc>
          <w:tcPr>
            <w:tcW w:w="484"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应急接入子系统</w:t>
            </w:r>
          </w:p>
        </w:tc>
        <w:tc>
          <w:tcPr>
            <w:tcW w:w="2986" w:type="pct"/>
            <w:shd w:val="clear" w:color="auto" w:fill="auto"/>
            <w:vAlign w:val="center"/>
          </w:tcPr>
          <w:p>
            <w:pPr>
              <w:widowControl/>
              <w:adjustRightInd/>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 xml:space="preserve">应急接入子系统负责接收并处理应急信息发布的需求。系统具备安全策略，对于消息来源及内容进行安全性校验，在通过后将以消息形式呈现，通知提醒相应负责人。在人工模式下，可审核内容是否符合相关规定及客观事件，如不符合则可驳回该应急广播接入消息。相关负责人在确定来源信息符合相关规定、节目内容完整清晰且不包含非法内容后，可将来源信息封装发送给联动调度平台进行方案的生成。方案下发的预估效果将在界面上呈现，也可根据特殊情况进行方案的修改。在自动模式下，来源信息将由应急业务发起部门在自有系统中进行审核，信息接入子系统在接到应急广播业务后会对消息内容进行校验，如无问题将直接下发业务，并将业务信息在页面记录并呈现。                                                                                  （1）信息通知：系统按照处理状态分别展示。未处理的消息为系统内初次产生，等待用户进行处理；处理中作为消息处理的一个中间环节，可供用户查看，了解当前消息的处理进度，当所有的处理流程走完之后，消息将会被放入已处理。                                                                                                   （2）内容审核：系统能对应急接入信息的审核、处置以及驳回功能，包括：对未处理消息的各类资源进行预览，支持处理中、已处理消息的资源详情展示。支持处理中、已处理消息的消息流程节点、消息状态展示。支持未处理消息的处置、驳回操作。                                                                                （3）接入平台管理：支持接入平台的增删改查操作。支持开通关闭接入平台。支持接入平台详情信息展示操作。支持数字证书的导入和验证。                                                                                    （4）广播内容采集：支持文字类型素材的采集。支持音视频文件类型素材的采集。支持实时语音素材的采集。支持直播流素材的采集。支持采集前的预览。支持提交制播审核。支持给素材添加标签、语种等辅助信息。                                                  </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应急事件管理：应急事件管理可以查看应急广播事件的预警和效果评估，可以是外部接入部门发来的应急信息或者是应急广播平台产生的应急广播信息。应急事件管理功能支持预警信息事前展示、处理信息事后评估、关联信息展示、衍生事件展示、衍生事件下发等功能。所有接入该系统以及由该系统产生、衍生的应急事件，均再此页面进行展示、管理。</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含应急接入子系统服务端，配置要求如下：</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1、处理器：不低于2个Intel Xeon-Silver 4210(2.2GHz/10 核/13.75MB/85W)</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2、内存：不低于4*16GB 内存</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3、硬盘：不低于4*2T 硬盘</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4、RAID：PERC H730P RADID控制器，2GB NV缓存，支持RAID 1+RAID 5；</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5、网卡：不低于4 口 千兆以太网卡</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xml:space="preserve">6、电源：2 个 750W 电源， 1+1 热插拔冗余； </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7、包含正版软件</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含应急接入子系统终端，配置要求如下：</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1、CPU：不低于Intel酷睿 i7-10700 (8-核, 16MB 缓存, 2.9GHz 至 4.8GHz)</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2、内存：不低于8GB DDR4 2666MH</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3、硬盘：不低于1TB 7200转+128G SSD固态硬盘</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4、显卡：不低于AMD Radeon RX640 4GB 高性能独显</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5、显示器：液晶19英寸</w:t>
            </w:r>
          </w:p>
        </w:tc>
        <w:tc>
          <w:tcPr>
            <w:tcW w:w="404"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套</w:t>
            </w:r>
          </w:p>
        </w:tc>
        <w:tc>
          <w:tcPr>
            <w:tcW w:w="403"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8" w:hRule="atLeast"/>
          <w:jc w:val="center"/>
        </w:trPr>
        <w:tc>
          <w:tcPr>
            <w:tcW w:w="310"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w:t>
            </w:r>
          </w:p>
        </w:tc>
        <w:tc>
          <w:tcPr>
            <w:tcW w:w="413" w:type="pct"/>
            <w:vMerge w:val="continue"/>
            <w:vAlign w:val="center"/>
          </w:tcPr>
          <w:p>
            <w:pPr>
              <w:widowControl/>
              <w:adjustRightInd/>
              <w:jc w:val="left"/>
              <w:rPr>
                <w:rFonts w:hint="eastAsia" w:ascii="仿宋" w:hAnsi="仿宋" w:eastAsia="仿宋" w:cs="仿宋"/>
                <w:color w:val="auto"/>
                <w:kern w:val="0"/>
                <w:sz w:val="18"/>
                <w:szCs w:val="18"/>
              </w:rPr>
            </w:pPr>
          </w:p>
        </w:tc>
        <w:tc>
          <w:tcPr>
            <w:tcW w:w="484"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方案生成子系统</w:t>
            </w:r>
          </w:p>
        </w:tc>
        <w:tc>
          <w:tcPr>
            <w:tcW w:w="2986" w:type="pct"/>
            <w:shd w:val="clear" w:color="auto" w:fill="auto"/>
            <w:vAlign w:val="center"/>
          </w:tcPr>
          <w:p>
            <w:pPr>
              <w:widowControl/>
              <w:adjustRightInd/>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 xml:space="preserve">方案生成子系统负责应急广播指令的生成、下发。在成功接收到各应急业务发起部门的信息发布平台传来的应急广播发布需求后，方案生成模块将根据调度控制平台中的资源管理模块内的实时记录进行综合评估。                                                        </w:t>
            </w:r>
          </w:p>
          <w:p>
            <w:pPr>
              <w:widowControl/>
              <w:adjustRightInd/>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 xml:space="preserve">（1）审核机制管理：系统具备自主广播和自动广播两种方式，对于外部应急办等部门发来的应急信息通过发布前置系统或者应急广播平台上下级间，通过维度配置等相关配置，到达应急信息接入系统之后是自动播发还是人工干预播发的目的，可对事件级别进行配置。                                                                       （2）呈现方式管理：系统支持多种应急广播内容，包括视频、音频、文字、图片等方式，可对本机所属播放设备进行切台、切音频、切字幕、切图片等设置；同时对每种呈现方式设置不同的事件级别。                                                                （3）方案模板管理：方案模板作为自主广播的辅助手段，可提前配置，方便后续使用。方案模板元素丰富，可覆盖多数广播需求，一次添加，长期受益。模板管理页面通过列表的形式直观展示模板信息，用户可快速进行各种增删改查操作。                                                                                               （4）任务队列管理：系统支持对任务的智能化队列处理，支持任务两级缓存队列处理，可对并发任务按优先级处理、按区域级别处理，支持任务按照开始时间排序以及结束时间过期的判断，任务销毁处理等。                                                     </w:t>
            </w:r>
          </w:p>
          <w:p>
            <w:pPr>
              <w:widowControl/>
              <w:adjustRightInd/>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 xml:space="preserve">（5）应急预案生成：系统可根据下级平台及台站可用资源及应急上级平台或外部应急发布部门信息级别设置应急预案，及时、快速响应。系统支持对下级平台、上报的发射资源自动录入数据库，根据应急广播信息中的关键要素如级别、区域、属地等信息进行最优筛选，对最优筛选不能达到覆盖指标的方案逐步放松筛选条件以最终达标。                                                                                                （6）下发优先级管理：系统支持灵活的优先级配置策略，包括：支持对事件级别进行优先级配置。支持对信息类型进行优先级配置。支持对信息紧迫程度进行优先级配置。                                                         </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（7）区域分组管理：支持对行政区域进行分组的新增、修改、删除。支持行政区域树状结构展示及选取。支持对创建的分组进行查看显示所包含的区域信息。</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含方案生成子系统服务端，配置要求如下：</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1、处理器：不低于2个Intel Xeon-Silver 4210(2.2GHz/10 核/13.75MB/85W)</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2、内存：不低于4*16GB 内存</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3、硬盘：不低于4*2T 硬盘</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4、RAID：PERC H730P RADID控制器，2GB NV缓存，支持RAID 1+RAID 5；</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5、网卡：不低于4 口 千兆以太网卡</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xml:space="preserve">6、电源：2 个 750W 电源， 1+1 热插拔冗余； </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7、包含正版软件</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含方案生成子系统终端，配置要求如下：</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1、CPU：不低于Intel酷睿 i7-10700 (8-核, 16MB 缓存, 2.9GHz 至 4.8GHz)</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2、内存：不低于8GB DDR4 2666MH</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3、硬盘：不低于1TB 7200转+128G SSD固态硬盘</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4、显卡：不低于AMD Radeon RX640 4GB 高性能独显</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5、显示器：液晶19英寸</w:t>
            </w:r>
          </w:p>
        </w:tc>
        <w:tc>
          <w:tcPr>
            <w:tcW w:w="404"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套</w:t>
            </w:r>
          </w:p>
        </w:tc>
        <w:tc>
          <w:tcPr>
            <w:tcW w:w="403"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310"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w:t>
            </w:r>
          </w:p>
        </w:tc>
        <w:tc>
          <w:tcPr>
            <w:tcW w:w="413"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应急信息制作</w:t>
            </w:r>
          </w:p>
        </w:tc>
        <w:tc>
          <w:tcPr>
            <w:tcW w:w="484"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制作播出子系统</w:t>
            </w:r>
          </w:p>
        </w:tc>
        <w:tc>
          <w:tcPr>
            <w:tcW w:w="2986" w:type="pct"/>
            <w:shd w:val="clear" w:color="auto" w:fill="auto"/>
            <w:vAlign w:val="center"/>
          </w:tcPr>
          <w:p>
            <w:pPr>
              <w:widowControl/>
              <w:adjustRightInd/>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 xml:space="preserve">制作播出子系统实现预警信息快速处理，制作成相应的音视频节目和多媒体信息等应急广播信息，将其传输到同级调度控制平台或实现信息分发和策略建议功能给下级平台。                                                    </w:t>
            </w:r>
          </w:p>
          <w:p>
            <w:pPr>
              <w:widowControl/>
              <w:adjustRightInd/>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 xml:space="preserve">（1）内容接入：内容接入模块主要负责接收各级应急部门发送的应急信息，以及根据调控平台下发的媒资制作任务，并对接入内容进行人工分析审核，审核过程中对制播任务进行驳回。                                             </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（2）节目制作：节目制作模块主要负责将采集的原始数据制作成相应的音视频节目和多媒体信息等应急广播信息。包括内容采集、内容管理两个功能模块。                                                              （3）信息存储：信息存储模块主要负责制作完成的媒资内容和调度控制平台下发内容的存储。信息存储模块可以对存储文件的物理空间进行管理，包括物理空间地址、访问方式、系统容量、可用容量、存储系统健康状况等进行展示。当存储系统发生异常情况的时候会产生告警并通知相关管理人员及时处理保证存储系统的正常运行。                                                                                                  （4）可实现下级平台及应急广播终端应急信息下发。</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含制作播出子系统服务端，配置要求如下：</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1、处理器：不低于2个Intel Xeon-Silver 4210(2.2GHz/10 核/13.75MB/85W)</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2、内存：不低于4*16GB 内存</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3、硬盘：不低于4*2T 硬盘</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4、RAID：PERC H730P RADID控制器，2GB NV缓存，支持RAID 1+RAID 5；</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5、网卡：不低于4 口 千兆以太网卡</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xml:space="preserve">6、电源：2 个 750W 电源， 1+1 热插拔冗余； </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7、包含正版软件</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含制作播出子系统终端，配置要求如下：</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1、CPU：不低于Intel酷睿 i7-10700 (8-核, 16MB 缓存, 2.9GHz 至 4.8GHz)</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2、内存：不低于8GB DDR4 2666MH</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3、硬盘：不低于1TB 7200转+128G SSD固态硬盘</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4、显卡：不低于AMD Radeon RX640 4GB 高性能独显</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5、显示器：液晶19英寸</w:t>
            </w:r>
          </w:p>
        </w:tc>
        <w:tc>
          <w:tcPr>
            <w:tcW w:w="404"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套</w:t>
            </w:r>
          </w:p>
        </w:tc>
        <w:tc>
          <w:tcPr>
            <w:tcW w:w="403"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jc w:val="center"/>
        </w:trPr>
        <w:tc>
          <w:tcPr>
            <w:tcW w:w="310"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w:t>
            </w:r>
          </w:p>
        </w:tc>
        <w:tc>
          <w:tcPr>
            <w:tcW w:w="413" w:type="pct"/>
            <w:vMerge w:val="restar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调度控制</w:t>
            </w:r>
          </w:p>
        </w:tc>
        <w:tc>
          <w:tcPr>
            <w:tcW w:w="484"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资源发布子系统</w:t>
            </w:r>
          </w:p>
        </w:tc>
        <w:tc>
          <w:tcPr>
            <w:tcW w:w="2986" w:type="pct"/>
            <w:shd w:val="clear" w:color="auto" w:fill="auto"/>
            <w:vAlign w:val="center"/>
          </w:tcPr>
          <w:p>
            <w:pPr>
              <w:widowControl/>
              <w:adjustRightInd/>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 xml:space="preserve">负责应急广播消息发布的执行，包括传输覆盖和联动播发。                                                           （1）传输覆盖：支持对县级整体、乡级、自然村级不同的区域进行寻址广播。支持同时对多个相同级别或不同级别的区域进行广播。支持至少同时下发多路不同的广播内容。支持各类传输覆盖方案的播发资源。支持终端管理功能。支持终端开户及设置功能。支持终端资源回传功能。                                                     </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（2）联动播发：此功能完成应急广播上下级平台，以及与外部应急发布部门和大喇叭平台的多级联动播发，结合了区域树选+分组广播+GIS地图直观展示+下发区域列表展示的方式。</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含资源发布子系统服务端，配置要求如下：</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1、处理器：不低于2个Intel Xeon-Silver 4210(2.2GHz/10 核/13.75MB/85W)</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2、内存：不低于4*16GB 内存</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3、硬盘：不低于4*2T 硬盘</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4、RAID：PERC H730P RADID控制器，2GB NV缓存，支持RAID 1+RAID 5；</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5、网卡：不低于4 口 千兆以太网卡</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xml:space="preserve">6、电源：2 个 750W 电源， 1+1 热插拔冗余； </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7、包含正版软件</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含资源发布子系统终端，配置要求如下：</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1、CPU：不低于Intel酷睿 i7-10700 (8-核, 16MB 缓存, 2.9GHz 至 4.8GHz)</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2、内存：不低于8GB DDR4 2666MH</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3、硬盘：不低于1TB 7200转+128G SSD固态硬盘</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4、显卡：不低于AMD Radeon RX640 4GB 高性能独显</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5、显示器：液晶19英寸</w:t>
            </w:r>
          </w:p>
        </w:tc>
        <w:tc>
          <w:tcPr>
            <w:tcW w:w="404"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套</w:t>
            </w:r>
          </w:p>
        </w:tc>
        <w:tc>
          <w:tcPr>
            <w:tcW w:w="403"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0" w:hRule="atLeast"/>
          <w:jc w:val="center"/>
        </w:trPr>
        <w:tc>
          <w:tcPr>
            <w:tcW w:w="310"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w:t>
            </w:r>
          </w:p>
        </w:tc>
        <w:tc>
          <w:tcPr>
            <w:tcW w:w="413" w:type="pct"/>
            <w:vMerge w:val="continue"/>
            <w:vAlign w:val="center"/>
          </w:tcPr>
          <w:p>
            <w:pPr>
              <w:widowControl/>
              <w:adjustRightInd/>
              <w:jc w:val="left"/>
              <w:rPr>
                <w:rFonts w:hint="eastAsia" w:ascii="仿宋" w:hAnsi="仿宋" w:eastAsia="仿宋" w:cs="仿宋"/>
                <w:color w:val="auto"/>
                <w:kern w:val="0"/>
                <w:sz w:val="18"/>
                <w:szCs w:val="18"/>
              </w:rPr>
            </w:pPr>
          </w:p>
        </w:tc>
        <w:tc>
          <w:tcPr>
            <w:tcW w:w="484"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资源管理子系统</w:t>
            </w:r>
          </w:p>
        </w:tc>
        <w:tc>
          <w:tcPr>
            <w:tcW w:w="2986" w:type="pct"/>
            <w:shd w:val="clear" w:color="auto" w:fill="auto"/>
            <w:vAlign w:val="center"/>
          </w:tcPr>
          <w:p>
            <w:pPr>
              <w:widowControl/>
              <w:adjustRightInd/>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 xml:space="preserve">资源管理子系统负责管理应急广播各级平台及广播台站资源，实现应急广播资源状况的定期同步采集，并记录在数据库进行统一管控。                                                                                      （1）平台管理：负责管理上下级应急广播平台及大喇叭平台的关系，所有的上下级平台均通过此界面进行添加并执行注册、注销等操作，注册成功后方可正常使用。同时显示已注册平台的心跳状态，可修改平台属性信息。平台列表展示与当前平台有关系的所有平台的信息，可通过查询条件（名称、所属区域、接入类型、状态等）快速查找。                                                                                                   （2）台站/前端信息管理：用来管理调度控制平台的台站/前端资源，可执行增删改查的操作。以列表形式展示本级平台主动添加的台站/前端资源和下级平台上报的资源信息。通过添加及修改页面，可执行台站/前端资源的新增以及部分信息的修改工作。通过设置查询的过滤条件（名称、所属区域、状态等）快速高效查找。                        </w:t>
            </w:r>
          </w:p>
          <w:p>
            <w:pPr>
              <w:widowControl/>
              <w:adjustRightInd/>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 xml:space="preserve">（3）适配器信息管理：该功能主要用来管理当前调度控制平台内所有适配器资源。查询列表页面可展示当前平台自身的以及下级平台上报的资源信息。添加/修改功能，可执行设备的新增以及部分属性的修改操作。通过设置查询条件（名称、所属区域、状态等）快速查找。                                                                 （4）终端列表：终端管理界面，展示当前调度控制平台内，所有下级平台上报的终端信息情况。通过设置查询条件，快速查找某一个或者多个终端。列表展示了每一个终端的信息情况。                                                                 </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（5）运维数据请求：该功能用来展示调度控制平台请求下级的增量以及全量数据。通过设置筛选条件，执行请求操作，可快速高效的获得数据。</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含资源管理子系统服务端，配置要求如下：</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1、处理器：不低于2个Intel Xeon-Silver 4210(2.2GHz/10 核/13.75MB/85W)</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2、内存：不低于4*16GB 内存</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3、硬盘：不低于4*2T 硬盘</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4、RAID：PERC H730P RADID控制器，2GB NV缓存，支持RAID 1+RAID 5；</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5、网卡：不低于4 口 千兆以太网卡</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xml:space="preserve">6、电源：2 个 750W 电源， 1+1 热插拔冗余； </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7、包含正版软件</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含资源管理子系统终端，配置要求如下：</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1、CPU：不低于Intel酷睿 i7-10700 (8-核, 16MB 缓存, 2.9GHz 至 4.8GHz)</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2、内存：不低于8GB DDR4 2666MH</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3、硬盘：不低于1TB 7200转+128G SSD固态硬盘</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4、显卡：不低于AMD Radeon RX640 4GB 高性能独显</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5、显示器：液晶19英寸</w:t>
            </w:r>
          </w:p>
        </w:tc>
        <w:tc>
          <w:tcPr>
            <w:tcW w:w="404"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套</w:t>
            </w:r>
          </w:p>
        </w:tc>
        <w:tc>
          <w:tcPr>
            <w:tcW w:w="403"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310"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6</w:t>
            </w:r>
          </w:p>
        </w:tc>
        <w:tc>
          <w:tcPr>
            <w:tcW w:w="413" w:type="pct"/>
            <w:vMerge w:val="restar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接口适配</w:t>
            </w:r>
          </w:p>
        </w:tc>
        <w:tc>
          <w:tcPr>
            <w:tcW w:w="484"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接口适配（北向）</w:t>
            </w:r>
          </w:p>
        </w:tc>
        <w:tc>
          <w:tcPr>
            <w:tcW w:w="2986" w:type="pct"/>
            <w:shd w:val="clear" w:color="auto" w:fill="auto"/>
            <w:vAlign w:val="center"/>
          </w:tcPr>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开发符合国家广播电视总局最新应急广播技术规范的对接接口，按照GDJ 083-2018《应急广播平台接口规范》完成与浙江省应急广播平台的对接，具备应急信息和应急广播消息的接入能力。</w:t>
            </w:r>
          </w:p>
        </w:tc>
        <w:tc>
          <w:tcPr>
            <w:tcW w:w="404"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项</w:t>
            </w:r>
          </w:p>
        </w:tc>
        <w:tc>
          <w:tcPr>
            <w:tcW w:w="403"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310" w:type="pct"/>
            <w:vMerge w:val="restart"/>
            <w:shd w:val="clear" w:color="auto" w:fill="auto"/>
            <w:vAlign w:val="center"/>
          </w:tcPr>
          <w:p>
            <w:pPr>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7</w:t>
            </w:r>
          </w:p>
        </w:tc>
        <w:tc>
          <w:tcPr>
            <w:tcW w:w="413" w:type="pct"/>
            <w:vMerge w:val="continue"/>
            <w:vAlign w:val="center"/>
          </w:tcPr>
          <w:p>
            <w:pPr>
              <w:widowControl/>
              <w:adjustRightInd/>
              <w:jc w:val="left"/>
              <w:rPr>
                <w:rFonts w:hint="eastAsia" w:ascii="仿宋" w:hAnsi="仿宋" w:eastAsia="仿宋" w:cs="仿宋"/>
                <w:color w:val="auto"/>
                <w:kern w:val="0"/>
                <w:sz w:val="18"/>
                <w:szCs w:val="18"/>
              </w:rPr>
            </w:pPr>
          </w:p>
        </w:tc>
        <w:tc>
          <w:tcPr>
            <w:tcW w:w="484" w:type="pct"/>
            <w:vMerge w:val="restar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接口适配（南向）</w:t>
            </w:r>
          </w:p>
        </w:tc>
        <w:tc>
          <w:tcPr>
            <w:tcW w:w="2986" w:type="pct"/>
            <w:shd w:val="clear" w:color="auto" w:fill="auto"/>
            <w:vAlign w:val="center"/>
          </w:tcPr>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开发符合国家广播电视总局最新应急广播技术规范的对接接口，按照GDJ 083-2018《应急广播平台接口规范》完成与杭州市下属区县应急广播平台的对接，具备应急信息和应急广播消息的发布能力。</w:t>
            </w:r>
          </w:p>
        </w:tc>
        <w:tc>
          <w:tcPr>
            <w:tcW w:w="404"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套</w:t>
            </w:r>
          </w:p>
        </w:tc>
        <w:tc>
          <w:tcPr>
            <w:tcW w:w="403"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310" w:type="pct"/>
            <w:vMerge w:val="continue"/>
            <w:shd w:val="clear" w:color="auto" w:fill="auto"/>
            <w:vAlign w:val="center"/>
          </w:tcPr>
          <w:p>
            <w:pPr>
              <w:jc w:val="center"/>
              <w:rPr>
                <w:rFonts w:hint="eastAsia" w:ascii="仿宋" w:hAnsi="仿宋" w:eastAsia="仿宋" w:cs="仿宋"/>
                <w:color w:val="auto"/>
                <w:kern w:val="0"/>
                <w:sz w:val="18"/>
                <w:szCs w:val="18"/>
              </w:rPr>
            </w:pPr>
          </w:p>
        </w:tc>
        <w:tc>
          <w:tcPr>
            <w:tcW w:w="413" w:type="pct"/>
            <w:vMerge w:val="continue"/>
            <w:vAlign w:val="center"/>
          </w:tcPr>
          <w:p>
            <w:pPr>
              <w:widowControl/>
              <w:adjustRightInd/>
              <w:jc w:val="left"/>
              <w:rPr>
                <w:rFonts w:hint="eastAsia" w:ascii="仿宋" w:hAnsi="仿宋" w:eastAsia="仿宋" w:cs="仿宋"/>
                <w:color w:val="auto"/>
                <w:kern w:val="0"/>
                <w:sz w:val="18"/>
                <w:szCs w:val="18"/>
              </w:rPr>
            </w:pPr>
          </w:p>
        </w:tc>
        <w:tc>
          <w:tcPr>
            <w:tcW w:w="484" w:type="pct"/>
            <w:vMerge w:val="continue"/>
            <w:vAlign w:val="center"/>
          </w:tcPr>
          <w:p>
            <w:pPr>
              <w:widowControl/>
              <w:adjustRightInd/>
              <w:jc w:val="left"/>
              <w:rPr>
                <w:rFonts w:hint="eastAsia" w:ascii="仿宋" w:hAnsi="仿宋" w:eastAsia="仿宋" w:cs="仿宋"/>
                <w:color w:val="auto"/>
                <w:kern w:val="0"/>
                <w:sz w:val="18"/>
                <w:szCs w:val="18"/>
              </w:rPr>
            </w:pPr>
          </w:p>
        </w:tc>
        <w:tc>
          <w:tcPr>
            <w:tcW w:w="2986" w:type="pct"/>
            <w:shd w:val="clear" w:color="auto" w:fill="auto"/>
            <w:vAlign w:val="center"/>
          </w:tcPr>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开发完成与市应急管理局对接接口，具备应急信息和应急广播消息的接入能力，具备在应急管理部门展示本平台功能。对接接口协议根据具体情况而定。</w:t>
            </w:r>
          </w:p>
        </w:tc>
        <w:tc>
          <w:tcPr>
            <w:tcW w:w="404"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套</w:t>
            </w:r>
          </w:p>
        </w:tc>
        <w:tc>
          <w:tcPr>
            <w:tcW w:w="403"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310" w:type="pct"/>
            <w:vMerge w:val="continue"/>
            <w:shd w:val="clear" w:color="auto" w:fill="auto"/>
            <w:vAlign w:val="center"/>
          </w:tcPr>
          <w:p>
            <w:pPr>
              <w:jc w:val="center"/>
              <w:rPr>
                <w:rFonts w:hint="eastAsia" w:ascii="仿宋" w:hAnsi="仿宋" w:eastAsia="仿宋" w:cs="仿宋"/>
                <w:color w:val="auto"/>
                <w:kern w:val="0"/>
                <w:sz w:val="18"/>
                <w:szCs w:val="18"/>
              </w:rPr>
            </w:pPr>
          </w:p>
        </w:tc>
        <w:tc>
          <w:tcPr>
            <w:tcW w:w="413" w:type="pct"/>
            <w:vMerge w:val="continue"/>
            <w:vAlign w:val="center"/>
          </w:tcPr>
          <w:p>
            <w:pPr>
              <w:widowControl/>
              <w:adjustRightInd/>
              <w:jc w:val="left"/>
              <w:rPr>
                <w:rFonts w:hint="eastAsia" w:ascii="仿宋" w:hAnsi="仿宋" w:eastAsia="仿宋" w:cs="仿宋"/>
                <w:color w:val="auto"/>
                <w:kern w:val="0"/>
                <w:sz w:val="18"/>
                <w:szCs w:val="18"/>
              </w:rPr>
            </w:pPr>
          </w:p>
        </w:tc>
        <w:tc>
          <w:tcPr>
            <w:tcW w:w="484" w:type="pct"/>
            <w:vMerge w:val="continue"/>
            <w:vAlign w:val="center"/>
          </w:tcPr>
          <w:p>
            <w:pPr>
              <w:widowControl/>
              <w:adjustRightInd/>
              <w:jc w:val="left"/>
              <w:rPr>
                <w:rFonts w:hint="eastAsia" w:ascii="仿宋" w:hAnsi="仿宋" w:eastAsia="仿宋" w:cs="仿宋"/>
                <w:color w:val="auto"/>
                <w:kern w:val="0"/>
                <w:sz w:val="18"/>
                <w:szCs w:val="18"/>
              </w:rPr>
            </w:pPr>
          </w:p>
        </w:tc>
        <w:tc>
          <w:tcPr>
            <w:tcW w:w="2986" w:type="pct"/>
            <w:shd w:val="clear" w:color="auto" w:fill="auto"/>
            <w:vAlign w:val="center"/>
          </w:tcPr>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按照GD/083-2018与GD/J086-2018规范要求对接现有TVOS应急广播。</w:t>
            </w:r>
          </w:p>
        </w:tc>
        <w:tc>
          <w:tcPr>
            <w:tcW w:w="404"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套</w:t>
            </w:r>
          </w:p>
        </w:tc>
        <w:tc>
          <w:tcPr>
            <w:tcW w:w="403"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310" w:type="pct"/>
            <w:vMerge w:val="continue"/>
            <w:shd w:val="clear" w:color="auto" w:fill="auto"/>
            <w:vAlign w:val="center"/>
          </w:tcPr>
          <w:p>
            <w:pPr>
              <w:widowControl/>
              <w:adjustRightInd/>
              <w:jc w:val="center"/>
              <w:rPr>
                <w:rFonts w:hint="eastAsia" w:ascii="仿宋" w:hAnsi="仿宋" w:eastAsia="仿宋" w:cs="仿宋"/>
                <w:color w:val="auto"/>
                <w:kern w:val="0"/>
                <w:sz w:val="18"/>
                <w:szCs w:val="18"/>
              </w:rPr>
            </w:pPr>
          </w:p>
        </w:tc>
        <w:tc>
          <w:tcPr>
            <w:tcW w:w="413" w:type="pct"/>
            <w:vMerge w:val="continue"/>
            <w:vAlign w:val="center"/>
          </w:tcPr>
          <w:p>
            <w:pPr>
              <w:widowControl/>
              <w:adjustRightInd/>
              <w:jc w:val="left"/>
              <w:rPr>
                <w:rFonts w:hint="eastAsia" w:ascii="仿宋" w:hAnsi="仿宋" w:eastAsia="仿宋" w:cs="仿宋"/>
                <w:color w:val="auto"/>
                <w:kern w:val="0"/>
                <w:sz w:val="18"/>
                <w:szCs w:val="18"/>
              </w:rPr>
            </w:pPr>
          </w:p>
        </w:tc>
        <w:tc>
          <w:tcPr>
            <w:tcW w:w="484" w:type="pct"/>
            <w:vMerge w:val="continue"/>
            <w:vAlign w:val="center"/>
          </w:tcPr>
          <w:p>
            <w:pPr>
              <w:widowControl/>
              <w:adjustRightInd/>
              <w:jc w:val="left"/>
              <w:rPr>
                <w:rFonts w:hint="eastAsia" w:ascii="仿宋" w:hAnsi="仿宋" w:eastAsia="仿宋" w:cs="仿宋"/>
                <w:color w:val="auto"/>
                <w:kern w:val="0"/>
                <w:sz w:val="18"/>
                <w:szCs w:val="18"/>
              </w:rPr>
            </w:pPr>
          </w:p>
        </w:tc>
        <w:tc>
          <w:tcPr>
            <w:tcW w:w="2986" w:type="pct"/>
            <w:shd w:val="clear" w:color="auto" w:fill="auto"/>
            <w:vAlign w:val="center"/>
          </w:tcPr>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支持与现有视频监控平台对接，支持与主流视频监控系统对接，具备与之无缝对接能力，可实现应急信息接入和应急信息发布的双重功能。</w:t>
            </w:r>
          </w:p>
        </w:tc>
        <w:tc>
          <w:tcPr>
            <w:tcW w:w="404"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套</w:t>
            </w:r>
          </w:p>
        </w:tc>
        <w:tc>
          <w:tcPr>
            <w:tcW w:w="403"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000" w:type="pct"/>
            <w:gridSpan w:val="6"/>
            <w:shd w:val="clear" w:color="auto" w:fill="auto"/>
            <w:vAlign w:val="center"/>
          </w:tcPr>
          <w:p>
            <w:pPr>
              <w:widowControl/>
              <w:adjustRightInd/>
              <w:jc w:val="left"/>
              <w:rPr>
                <w:rFonts w:hint="eastAsia" w:ascii="仿宋" w:hAnsi="仿宋" w:eastAsia="仿宋" w:cs="仿宋"/>
                <w:b/>
                <w:bCs/>
                <w:color w:val="auto"/>
                <w:kern w:val="0"/>
                <w:sz w:val="18"/>
                <w:szCs w:val="18"/>
              </w:rPr>
            </w:pPr>
            <w:r>
              <w:rPr>
                <w:rFonts w:hint="eastAsia" w:ascii="仿宋" w:hAnsi="仿宋" w:eastAsia="仿宋" w:cs="仿宋"/>
                <w:b/>
                <w:bCs/>
                <w:color w:val="auto"/>
                <w:kern w:val="0"/>
                <w:sz w:val="18"/>
                <w:szCs w:val="18"/>
              </w:rPr>
              <w:t>2、应急信息流转发布系统配套设备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1" w:hRule="atLeast"/>
          <w:jc w:val="center"/>
        </w:trPr>
        <w:tc>
          <w:tcPr>
            <w:tcW w:w="310"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413"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★信息接入专用设备</w:t>
            </w:r>
          </w:p>
        </w:tc>
        <w:tc>
          <w:tcPr>
            <w:tcW w:w="484"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适配器</w:t>
            </w:r>
          </w:p>
        </w:tc>
        <w:tc>
          <w:tcPr>
            <w:tcW w:w="2986" w:type="pct"/>
            <w:shd w:val="clear" w:color="auto" w:fill="auto"/>
            <w:vAlign w:val="center"/>
          </w:tcPr>
          <w:p>
            <w:pPr>
              <w:widowControl/>
              <w:adjustRightInd/>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1、集成设备设计，以确保广播电视安全播出的稳定可靠。</w:t>
            </w:r>
          </w:p>
          <w:p>
            <w:pPr>
              <w:widowControl/>
              <w:adjustRightInd/>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2、设备配置管理，应急广播业务配置与监测，均可通过浏览器访问操作。</w:t>
            </w:r>
          </w:p>
          <w:p>
            <w:pPr>
              <w:widowControl/>
              <w:adjustRightInd/>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3、支持应急广播节目的接收和存储、解码。</w:t>
            </w:r>
          </w:p>
          <w:p>
            <w:pPr>
              <w:widowControl/>
              <w:adjustRightInd/>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4、支持应急广播指令的接收和存储、分析。</w:t>
            </w:r>
          </w:p>
          <w:p>
            <w:pPr>
              <w:widowControl/>
              <w:adjustRightInd/>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5、单个计算节点CPU能力：主频1.8GHz，可扩展至3.2GHz；支持4核8线程；具备6MB的缓存。</w:t>
            </w:r>
          </w:p>
          <w:p>
            <w:pPr>
              <w:widowControl/>
              <w:adjustRightInd/>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6、单个计算节点内存容量：16G；</w:t>
            </w:r>
          </w:p>
          <w:p>
            <w:pPr>
              <w:widowControl/>
              <w:adjustRightInd/>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7、整机支持计算节点板卡的热插拔；</w:t>
            </w:r>
          </w:p>
          <w:p>
            <w:pPr>
              <w:widowControl/>
              <w:adjustRightInd/>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8、具备双电源供电，电源支持交/直流可选，支持电源模块的热备份及热插拔。</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9、设备具备网管IP接口，可支持软件升级。</w:t>
            </w:r>
          </w:p>
        </w:tc>
        <w:tc>
          <w:tcPr>
            <w:tcW w:w="404"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台</w:t>
            </w:r>
          </w:p>
        </w:tc>
        <w:tc>
          <w:tcPr>
            <w:tcW w:w="403"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3" w:hRule="atLeast"/>
          <w:jc w:val="center"/>
        </w:trPr>
        <w:tc>
          <w:tcPr>
            <w:tcW w:w="310"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w:t>
            </w:r>
          </w:p>
        </w:tc>
        <w:tc>
          <w:tcPr>
            <w:tcW w:w="413"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接入交换机</w:t>
            </w:r>
          </w:p>
        </w:tc>
        <w:tc>
          <w:tcPr>
            <w:tcW w:w="484"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接入交换机</w:t>
            </w:r>
          </w:p>
        </w:tc>
        <w:tc>
          <w:tcPr>
            <w:tcW w:w="2986" w:type="pct"/>
            <w:shd w:val="clear" w:color="auto" w:fill="auto"/>
            <w:vAlign w:val="center"/>
          </w:tcPr>
          <w:p>
            <w:pPr>
              <w:widowControl/>
              <w:adjustRightInd/>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 xml:space="preserve">1、交换容量：不低于756Gbps/7.56Tbps； </w:t>
            </w:r>
          </w:p>
          <w:p>
            <w:pPr>
              <w:widowControl/>
              <w:adjustRightInd/>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 xml:space="preserve">2、转发性能：不低于252Mpps/432Mpps； </w:t>
            </w:r>
          </w:p>
          <w:p>
            <w:pPr>
              <w:widowControl/>
              <w:adjustRightInd/>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3、固定端口：48个10/100/1000Base-T自适应以太网端口，4个万兆SFP+口（含4个万兆多模光模块）；</w:t>
            </w:r>
          </w:p>
          <w:p>
            <w:pPr>
              <w:widowControl/>
              <w:adjustRightInd/>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 xml:space="preserve">4、电源：模块化双电源； </w:t>
            </w:r>
          </w:p>
          <w:p>
            <w:pPr>
              <w:widowControl/>
              <w:adjustRightInd/>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 xml:space="preserve">5、风扇：模块化双风扇，前/后通风，风道可调； </w:t>
            </w:r>
          </w:p>
          <w:p>
            <w:pPr>
              <w:widowControl/>
              <w:adjustRightInd/>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 xml:space="preserve">6、性能指标：MAC地址表不低于64K，路由表容量不低于32K，ARP：不低于32K； </w:t>
            </w:r>
          </w:p>
          <w:p>
            <w:pPr>
              <w:widowControl/>
              <w:adjustRightInd/>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 xml:space="preserve">7、最大堆叠台数9台； </w:t>
            </w:r>
          </w:p>
          <w:p>
            <w:pPr>
              <w:widowControl/>
              <w:adjustRightInd/>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 xml:space="preserve">8、链路聚合：支持最多8个GE口或4个10GE端口聚合；可扩展支持128个聚合组 IRF2）；支持LACP；两条线缆做聚合，其中一条线缆断开后，链路快速收敛，收敛时间＜50ms； </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9、路由协议支持 IPv4 静态路由、RIP V1/V2、OSPF、BGP；IPV4 路由条目数32K；支持 IPv6 静态路由、RIPng、OSPFv3、BGP4+；支持IPv4 和 IPv6 环境下的策略路由；</w:t>
            </w:r>
          </w:p>
        </w:tc>
        <w:tc>
          <w:tcPr>
            <w:tcW w:w="404"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台</w:t>
            </w:r>
          </w:p>
        </w:tc>
        <w:tc>
          <w:tcPr>
            <w:tcW w:w="403"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310"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w:t>
            </w:r>
          </w:p>
        </w:tc>
        <w:tc>
          <w:tcPr>
            <w:tcW w:w="413"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电话接入网关</w:t>
            </w:r>
          </w:p>
        </w:tc>
        <w:tc>
          <w:tcPr>
            <w:tcW w:w="484"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电话接入网关</w:t>
            </w:r>
          </w:p>
        </w:tc>
        <w:tc>
          <w:tcPr>
            <w:tcW w:w="2986" w:type="pct"/>
            <w:shd w:val="clear" w:color="auto" w:fill="auto"/>
            <w:vAlign w:val="center"/>
          </w:tcPr>
          <w:p>
            <w:pPr>
              <w:widowControl/>
              <w:adjustRightInd/>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用于应急语音呼入</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xml:space="preserve">机架式1U硬件平台；语音端口数 8FXO/上行WAN端口(RJ45)  1个10/100M Base-T以太网接口/串行接口 1个RS232接口/指示灯电源、网口、语音接口；GW-8FXO/8个模拟中继接口，支持8路并发；支持SIP协议 </w:t>
            </w:r>
          </w:p>
        </w:tc>
        <w:tc>
          <w:tcPr>
            <w:tcW w:w="404"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台</w:t>
            </w:r>
          </w:p>
        </w:tc>
        <w:tc>
          <w:tcPr>
            <w:tcW w:w="403"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310"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w:t>
            </w:r>
          </w:p>
        </w:tc>
        <w:tc>
          <w:tcPr>
            <w:tcW w:w="413"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短信语音接入网关</w:t>
            </w:r>
          </w:p>
        </w:tc>
        <w:tc>
          <w:tcPr>
            <w:tcW w:w="484"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短信语音接入网关</w:t>
            </w:r>
          </w:p>
        </w:tc>
        <w:tc>
          <w:tcPr>
            <w:tcW w:w="2986" w:type="pct"/>
            <w:shd w:val="clear" w:color="auto" w:fill="auto"/>
            <w:vAlign w:val="center"/>
          </w:tcPr>
          <w:p>
            <w:pPr>
              <w:widowControl/>
              <w:adjustRightInd/>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用于应急短信发送及接收</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GW-8GSM/8个GSM卡槽及通道，支持 8路接收，100路并发；支持850/900/1800/1900 MHz频段；支持SIP协议，1U机架式。</w:t>
            </w:r>
          </w:p>
        </w:tc>
        <w:tc>
          <w:tcPr>
            <w:tcW w:w="404"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台</w:t>
            </w:r>
          </w:p>
        </w:tc>
        <w:tc>
          <w:tcPr>
            <w:tcW w:w="403"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0"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w:t>
            </w:r>
          </w:p>
        </w:tc>
        <w:tc>
          <w:tcPr>
            <w:tcW w:w="413"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多媒体网关</w:t>
            </w:r>
          </w:p>
        </w:tc>
        <w:tc>
          <w:tcPr>
            <w:tcW w:w="484"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多媒体网关</w:t>
            </w:r>
          </w:p>
        </w:tc>
        <w:tc>
          <w:tcPr>
            <w:tcW w:w="2986" w:type="pct"/>
            <w:shd w:val="clear" w:color="auto" w:fill="auto"/>
            <w:vAlign w:val="center"/>
          </w:tcPr>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产品结构：19英寸标准机架式</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重量：4.5公斤（净重）、5.5公斤（毛重）</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尺寸：430 x 44.5 x 380(1U机架式)</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电源：100 ~ 220V交流；功耗：35W (最大）</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存储：16GB CF卡</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网口：10/100/1000M，2个上行，2个下行</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其他：1个串口，2个USB接口</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工作温度：-10 ~ 60摄氏度</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存储温度：-40 ~ 85摄氏度</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相对湿度：-10 ~ 95无冷凝</w:t>
            </w:r>
          </w:p>
        </w:tc>
        <w:tc>
          <w:tcPr>
            <w:tcW w:w="404"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台</w:t>
            </w:r>
          </w:p>
        </w:tc>
        <w:tc>
          <w:tcPr>
            <w:tcW w:w="403"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310"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6</w:t>
            </w:r>
          </w:p>
        </w:tc>
        <w:tc>
          <w:tcPr>
            <w:tcW w:w="413"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语音寻呼话筒</w:t>
            </w:r>
          </w:p>
        </w:tc>
        <w:tc>
          <w:tcPr>
            <w:tcW w:w="484"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语音寻呼话筒</w:t>
            </w:r>
          </w:p>
        </w:tc>
        <w:tc>
          <w:tcPr>
            <w:tcW w:w="2986" w:type="pct"/>
            <w:shd w:val="clear" w:color="auto" w:fill="auto"/>
            <w:vAlign w:val="center"/>
          </w:tcPr>
          <w:p>
            <w:pPr>
              <w:widowControl/>
              <w:adjustRightInd/>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支持语音对讲</w:t>
            </w:r>
          </w:p>
          <w:p>
            <w:pPr>
              <w:widowControl/>
              <w:adjustRightInd/>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支持自动应答</w:t>
            </w:r>
          </w:p>
          <w:p>
            <w:pPr>
              <w:widowControl/>
              <w:adjustRightInd/>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 xml:space="preserve"> 支持音量调节钮</w:t>
            </w:r>
          </w:p>
          <w:p>
            <w:pPr>
              <w:widowControl/>
              <w:adjustRightInd/>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支持4个速拨建</w:t>
            </w:r>
          </w:p>
          <w:p>
            <w:pPr>
              <w:widowControl/>
              <w:adjustRightInd/>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内置3W喇叭</w:t>
            </w:r>
          </w:p>
          <w:p>
            <w:pPr>
              <w:widowControl/>
              <w:adjustRightInd/>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支持丢包补偿(PLC)</w:t>
            </w:r>
          </w:p>
          <w:p>
            <w:pPr>
              <w:widowControl/>
              <w:adjustRightInd/>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提供96ms回音消除技术</w:t>
            </w:r>
          </w:p>
          <w:p>
            <w:pPr>
              <w:widowControl/>
              <w:adjustRightInd/>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动态自适应抖动缓存最高达300ms</w:t>
            </w:r>
          </w:p>
          <w:p>
            <w:pPr>
              <w:widowControl/>
              <w:adjustRightInd/>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支持G.722、G.729、G.711等语音编码</w:t>
            </w:r>
          </w:p>
          <w:p>
            <w:pPr>
              <w:widowControl/>
              <w:adjustRightInd/>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提供4*5键盘和显示屏</w:t>
            </w:r>
          </w:p>
          <w:p>
            <w:pPr>
              <w:widowControl/>
              <w:adjustRightInd/>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IP获取方式：静态IP</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可支持多种网络协议，适应各种网络环境，支持跨网段和跨路由</w:t>
            </w:r>
          </w:p>
        </w:tc>
        <w:tc>
          <w:tcPr>
            <w:tcW w:w="404"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台</w:t>
            </w:r>
          </w:p>
        </w:tc>
        <w:tc>
          <w:tcPr>
            <w:tcW w:w="403"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310"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7</w:t>
            </w:r>
          </w:p>
        </w:tc>
        <w:tc>
          <w:tcPr>
            <w:tcW w:w="413"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校时设备</w:t>
            </w:r>
          </w:p>
        </w:tc>
        <w:tc>
          <w:tcPr>
            <w:tcW w:w="484"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校时设备</w:t>
            </w:r>
          </w:p>
        </w:tc>
        <w:tc>
          <w:tcPr>
            <w:tcW w:w="2986" w:type="pct"/>
            <w:shd w:val="clear" w:color="auto" w:fill="auto"/>
            <w:vAlign w:val="center"/>
          </w:tcPr>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具备GPS北斗天线接口/10MHz信号/1pps信号/监控信号/天线接口,采用N型接头,阴型,输入阻抗50Ω,提供DC+5V馈电</w:t>
            </w:r>
          </w:p>
        </w:tc>
        <w:tc>
          <w:tcPr>
            <w:tcW w:w="404"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台</w:t>
            </w:r>
          </w:p>
        </w:tc>
        <w:tc>
          <w:tcPr>
            <w:tcW w:w="403"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jc w:val="center"/>
        </w:trPr>
        <w:tc>
          <w:tcPr>
            <w:tcW w:w="310"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8</w:t>
            </w:r>
          </w:p>
        </w:tc>
        <w:tc>
          <w:tcPr>
            <w:tcW w:w="413"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液晶KVM切换一体机</w:t>
            </w:r>
          </w:p>
        </w:tc>
        <w:tc>
          <w:tcPr>
            <w:tcW w:w="484"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液晶KVM切换一体机</w:t>
            </w:r>
          </w:p>
        </w:tc>
        <w:tc>
          <w:tcPr>
            <w:tcW w:w="2986" w:type="pct"/>
            <w:shd w:val="clear" w:color="auto" w:fill="auto"/>
            <w:vAlign w:val="center"/>
          </w:tcPr>
          <w:p>
            <w:pPr>
              <w:widowControl/>
              <w:adjustRightInd/>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1、4合1一体机，实现显示器、键盘、鼠标、切换器功能，依据标准19寸机架之1U高度设计；</w:t>
            </w:r>
          </w:p>
          <w:p>
            <w:pPr>
              <w:widowControl/>
              <w:adjustRightInd/>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2、可直接连接 16台电脑或服务器,输出接口RJ45；</w:t>
            </w:r>
          </w:p>
          <w:p>
            <w:pPr>
              <w:widowControl/>
              <w:adjustRightInd/>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3、适用于XP/7/10,WinNT,Unix,Linux等操作系统</w:t>
            </w:r>
          </w:p>
          <w:p>
            <w:pPr>
              <w:widowControl/>
              <w:adjustRightInd/>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4、无需安装软件-通过输入热键指令及画面选择切换实现操作</w:t>
            </w:r>
          </w:p>
          <w:p>
            <w:pPr>
              <w:widowControl/>
              <w:adjustRightInd/>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5、导轨带自动锁止装置</w:t>
            </w:r>
          </w:p>
          <w:p>
            <w:pPr>
              <w:widowControl/>
              <w:adjustRightInd/>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6、自动扫描功能，自动对电脑逐一扫描，通过OSD视控菜单对每台服务器进行命名，以方便管理</w:t>
            </w:r>
          </w:p>
          <w:p>
            <w:pPr>
              <w:widowControl/>
              <w:adjustRightInd/>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7、内置电源，电源自动开关</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8、热插拔-具有即插即用功能，增加或拆掉一台PC进行维修时，无需断电，允许控制端即插即用</w:t>
            </w:r>
          </w:p>
        </w:tc>
        <w:tc>
          <w:tcPr>
            <w:tcW w:w="404"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台</w:t>
            </w:r>
          </w:p>
        </w:tc>
        <w:tc>
          <w:tcPr>
            <w:tcW w:w="403"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000" w:type="pct"/>
            <w:gridSpan w:val="6"/>
            <w:shd w:val="clear" w:color="auto" w:fill="auto"/>
            <w:vAlign w:val="center"/>
          </w:tcPr>
          <w:p>
            <w:pPr>
              <w:widowControl/>
              <w:adjustRightInd/>
              <w:jc w:val="left"/>
              <w:rPr>
                <w:rFonts w:hint="eastAsia" w:ascii="仿宋" w:hAnsi="仿宋" w:eastAsia="仿宋" w:cs="仿宋"/>
                <w:b/>
                <w:bCs/>
                <w:color w:val="auto"/>
                <w:kern w:val="0"/>
                <w:sz w:val="18"/>
                <w:szCs w:val="18"/>
              </w:rPr>
            </w:pPr>
            <w:r>
              <w:rPr>
                <w:rFonts w:hint="eastAsia" w:ascii="仿宋" w:hAnsi="仿宋" w:eastAsia="仿宋" w:cs="仿宋"/>
                <w:b/>
                <w:bCs/>
                <w:color w:val="auto"/>
                <w:kern w:val="0"/>
                <w:sz w:val="18"/>
                <w:szCs w:val="18"/>
              </w:rPr>
              <w:t>3、综合呈现系统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0" w:hRule="atLeast"/>
          <w:jc w:val="center"/>
        </w:trPr>
        <w:tc>
          <w:tcPr>
            <w:tcW w:w="310"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413" w:type="pct"/>
            <w:vMerge w:val="restar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聚合展示</w:t>
            </w:r>
          </w:p>
        </w:tc>
        <w:tc>
          <w:tcPr>
            <w:tcW w:w="484"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聚合展示子系统</w:t>
            </w:r>
          </w:p>
        </w:tc>
        <w:tc>
          <w:tcPr>
            <w:tcW w:w="2986" w:type="pct"/>
            <w:shd w:val="clear" w:color="auto" w:fill="auto"/>
            <w:vAlign w:val="center"/>
          </w:tcPr>
          <w:p>
            <w:pPr>
              <w:widowControl/>
              <w:adjustRightInd/>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 xml:space="preserve">聚合展示子系统的主要功能是将关键信息聚合展示在大屏上，要求可视化设计美观度高、科技感强，并根据需要进行展示界面定制开发。将杭州市应急广播覆盖率（如行政村覆盖率等）、在线率（如终端实时在线率、平均在线率等）、广播情况（如广播任务次数统计、区域发送统计、信息级别统计等）、资源数量（平台、台站、适配器、终端等的总数、在线数、离线数等）、广播成功率进行统计，用直观饼图、柱状图、曲线图等形式体现。需对统计数据实时更新，采用便捷的导航方式。 呈现功能包括但不限于：                                          （1）媒资制作：循环动态展示媒资制作的详情，包括媒资名称、类型、属性、描述信息、采集时间、采集人等信息。                                                                                                   （2）消息通知：展示国家应急中心、省应急办、本地等各类消息通知，使用不同颜色标示不同级别的广播消息，最新的消息会高亮展示，显示包含消息级别、消息类型、消息来源、消息影响区域、消息生产时间等。                                                          </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（3）资源数据展示：支持应急广播相关数据分组并列展示，对平台、终端、适配器、台站数量及状态进行展现并支持数据自动刷新；                                                                                    （4）调度发布：通过GIS地图展示应急事件调度和发布过程，地图显示目标覆盖区域、预期资源覆盖区域和预期无法覆盖区域，显示发布链路和资源的接收反馈效果，可实时显示无人机的回传画面等信息。                                                                            （5）效果反馈：展示广播播发的详细流程及反馈评估，包含开始广播、审核通过、预案生成、指令生成、打包加签、分发传输、接收回执、播发反馈，并详细显示每一步的具体信息，展示预期/实际的覆盖人口、面积以及节点到达详情列表（目的资源名称，反馈时间和下发结果），覆盖率统计，通过不同颜色的面积重合，对事前预估，事中下发，事后效果进行三维立体统计，方便了解消息覆盖程度，以更好的优化网络部署和下一步的预警工作。                                                                                                      （6）视播融合：将视频监控与应急广播终端融合，可实现视频回传呈现在大屏上，可以与应急广播平台实现融合展示。</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含聚合展示子系统服务端，配置要求如下：</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1、处理器：不低于2个Intel Xeon-Silver 4210(2.2GHz/10 核/13.75MB/85W)</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2、内存：不低于4*16GB 内存</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3、硬盘：不低于4*2T 硬盘</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4、RAID：PERC H730P RADID控制器，2GB NV缓存，支持RAID 1+RAID 5；</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5、网卡：不低于4 口 千兆以太网卡</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xml:space="preserve">6、电源：2 个 750W 电源， 1+1 热插拔冗余； </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7、包含正版软件</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含聚合展示子系统终端，配置要求如下：</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1、CPU：不低于Intel酷睿 i7-10700 (8-核, 16MB 缓存, 2.9GHz 至 4.8GHz)</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2、内存：不低于8GB DDR4 2666MH</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3、硬盘：不低于1TB 7200转+128G SSD固态硬盘</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4、显卡：不低于AMD Radeon RX640 4GB 高性能独显</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5、显示器：液晶19英寸</w:t>
            </w:r>
          </w:p>
        </w:tc>
        <w:tc>
          <w:tcPr>
            <w:tcW w:w="404"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套</w:t>
            </w:r>
          </w:p>
        </w:tc>
        <w:tc>
          <w:tcPr>
            <w:tcW w:w="403"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0" w:hRule="atLeast"/>
          <w:jc w:val="center"/>
        </w:trPr>
        <w:tc>
          <w:tcPr>
            <w:tcW w:w="310"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w:t>
            </w:r>
          </w:p>
        </w:tc>
        <w:tc>
          <w:tcPr>
            <w:tcW w:w="413" w:type="pct"/>
            <w:vMerge w:val="continue"/>
            <w:vAlign w:val="center"/>
          </w:tcPr>
          <w:p>
            <w:pPr>
              <w:widowControl/>
              <w:adjustRightInd/>
              <w:jc w:val="left"/>
              <w:rPr>
                <w:rFonts w:hint="eastAsia" w:ascii="仿宋" w:hAnsi="仿宋" w:eastAsia="仿宋" w:cs="仿宋"/>
                <w:color w:val="auto"/>
                <w:kern w:val="0"/>
                <w:sz w:val="18"/>
                <w:szCs w:val="18"/>
              </w:rPr>
            </w:pPr>
          </w:p>
        </w:tc>
        <w:tc>
          <w:tcPr>
            <w:tcW w:w="484"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GIS数据及应用子系统</w:t>
            </w:r>
          </w:p>
        </w:tc>
        <w:tc>
          <w:tcPr>
            <w:tcW w:w="2986" w:type="pct"/>
            <w:shd w:val="clear" w:color="auto" w:fill="auto"/>
            <w:vAlign w:val="center"/>
          </w:tcPr>
          <w:p>
            <w:pPr>
              <w:widowControl/>
              <w:adjustRightInd/>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 xml:space="preserve">GIS应用提供地图服务、空间数据访问与管理服务，提供涵盖数据加载、数据转换、类型转换、数据浏览和编辑、地图制图、场景操作、布局排版和打印等在内的所有常规的GIS功能，可以满足应急广播平台使用需求。                                                            </w:t>
            </w:r>
          </w:p>
          <w:p>
            <w:pPr>
              <w:widowControl/>
              <w:adjustRightInd/>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 xml:space="preserve">（1）支持在大多数主流计算机平台上运行Windows、主流UNIX、Linux等环境；支持GB18030中文编码字符集。                                     </w:t>
            </w:r>
          </w:p>
          <w:p>
            <w:pPr>
              <w:widowControl/>
              <w:adjustRightInd/>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 xml:space="preserve">（2）具有良好的开放性，遵循国际主流IT标准：网格协议TCP/IP、HTTP，WEB、XML，遵循ISO、FGDC、OGC规范，支持UML统一建模语言。                                                                                           （3）具有良好的可伸缩性、通用性和兼容性，支持从上到下多个产品层次，支持无缝地扩展和升级。                                </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（4）B/S构架，支持包括快速定位、图层管理，缩放等功能模块；支持基本的地图浏览、空间和属性查询、统计图表和报表生成、地图符号化。                                                                                 （5）支持数据视图和地图视图的动态切换，提供比例尺，图例，对象，动态文本等地图整饰元素，比例尺1:10000。                                                                                                     （6）2D地图，通用的瓦片格式（png或jpg），支持矢量图，支持卫星图。                                                       （7）提供元素选择、要素识别、查找、坐标定位、Html弹出框等地图浏览工具。                                                       （8）包括标杭州市及下属区县地图，3年免费升级。</w:t>
            </w:r>
          </w:p>
        </w:tc>
        <w:tc>
          <w:tcPr>
            <w:tcW w:w="404"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套</w:t>
            </w:r>
          </w:p>
        </w:tc>
        <w:tc>
          <w:tcPr>
            <w:tcW w:w="403"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310"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w:t>
            </w:r>
          </w:p>
        </w:tc>
        <w:tc>
          <w:tcPr>
            <w:tcW w:w="413"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监测监管</w:t>
            </w:r>
          </w:p>
        </w:tc>
        <w:tc>
          <w:tcPr>
            <w:tcW w:w="484"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监管监测子系统</w:t>
            </w:r>
          </w:p>
        </w:tc>
        <w:tc>
          <w:tcPr>
            <w:tcW w:w="2986" w:type="pct"/>
            <w:shd w:val="clear" w:color="auto" w:fill="auto"/>
            <w:vAlign w:val="center"/>
          </w:tcPr>
          <w:p>
            <w:pPr>
              <w:widowControl/>
              <w:adjustRightInd/>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 xml:space="preserve">监管监测子系统负责整个应急广播业务下发覆盖的效果呈现，包括任务监管、全网监测、广播资源拓扑及监测综合展示等。                                                                                             （1）任务监管：支持对任务进行列表查看。支持对任务进行详情展示，详情包括任务内容列表等。                                                           </w:t>
            </w:r>
          </w:p>
          <w:p>
            <w:pPr>
              <w:widowControl/>
              <w:adjustRightInd/>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 xml:space="preserve">（2）全网监测：以GIS地图为显示手段，搭配区域树和部分列表的形式，展示当前调度控制平台所属的全省各行政村的各种广播资源的分布情况、健康情况等信息。用户可以圆形、长方形、任意多边形等灵活勾选统计区域范围，显示资源类型等信息，进行切换展示。可查看实时故障及历史故障信息。                                        </w:t>
            </w:r>
          </w:p>
          <w:p>
            <w:pPr>
              <w:widowControl/>
              <w:adjustRightInd/>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 xml:space="preserve">（3）广播资源拓扑：以拓扑图的形式，直观展示当前调度控制平台的组网信息。通过动态、手动的方式录入组网信息，后台实时监控网络状态并在图上以醒目的方式提示，帮助用户在第一时间发现故障信息，快速解决。上级平台可通过选择区域的方式，查看本级或者下级平台的组网图。                                                 </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监测综合展示：系统可采用多种呈现方式展示监测的综合情况。消息级别统计；消息类型统计；广播任务级别统计；广播任务统计；历史广播热力图展；消息通过驳回统计；支持多维度消息统计展示；支持设置页面定时自动刷新。                                                                                                  （5）内容监管：支持对广播中的任务进行监听操作和补发操作。支持对所有任务进行地图的查看功能、删除及批量删除操作。                                                                                            （6）分发传输效果监控：此模块监测所有类型广播分发传输的界面，可以清晰直观的展示当前平台的广播分发状态，并自动执行数据更新。通过筛选过滤条件，用户可快速找打想要查看的任务信息，通过详情了解更加细致的信息。                                                                                                                                                                                                      （7）指挥调控：指挥调控以大屏GIS地图搭配列表及其他醒目的信息提示框为展示手段，宏观醒目的展示当前调度控制平台的信息。GIS地图上以动画效果展示最新的一条任务各个节点的到达情况，界面下发两个列表分别展示当前任务信息详情和历史任务信息详情。用户可通过列表中的按钮查看任务详情，进行监听回溯等操作。GIS地图右上角，展示最新应急消息及终端设备的巡检信息并定期更新。 当有最新的应急消息接入系统，并且需要处理的时候，界面会给出声音提示，用户通过方便的操作可快速对应急消息执行处理。</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含监管监测子系统服务端，配置要求如下：</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1、处理器：2个Intel Xeon-Silver 4210(2.2GHz/10 核/13.75MB/85W)</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2、内存：4*16GB 内存</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3、硬盘：4*2T 硬盘</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4、RAID：PERC H730P RADID控制器，2GB NV缓存，支持RAID 1+RAID 5；</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5、网卡：4 口 千兆以太网卡</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xml:space="preserve">6、电源：2 个 750W 电源， 1+1 热插拔冗余； </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7、包含正版软件</w:t>
            </w:r>
          </w:p>
        </w:tc>
        <w:tc>
          <w:tcPr>
            <w:tcW w:w="404"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套</w:t>
            </w:r>
          </w:p>
        </w:tc>
        <w:tc>
          <w:tcPr>
            <w:tcW w:w="403"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0" w:hRule="atLeast"/>
          <w:jc w:val="center"/>
        </w:trPr>
        <w:tc>
          <w:tcPr>
            <w:tcW w:w="310"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w:t>
            </w:r>
          </w:p>
        </w:tc>
        <w:tc>
          <w:tcPr>
            <w:tcW w:w="413" w:type="pct"/>
            <w:vMerge w:val="restar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分析评估</w:t>
            </w:r>
          </w:p>
        </w:tc>
        <w:tc>
          <w:tcPr>
            <w:tcW w:w="484"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分析报表子系统（分析评估系统）</w:t>
            </w:r>
          </w:p>
        </w:tc>
        <w:tc>
          <w:tcPr>
            <w:tcW w:w="2986" w:type="pct"/>
            <w:shd w:val="clear" w:color="auto" w:fill="auto"/>
            <w:vAlign w:val="center"/>
          </w:tcPr>
          <w:p>
            <w:pPr>
              <w:widowControl/>
              <w:adjustRightInd/>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 xml:space="preserve">对应急信息、应急广播任务、相关设备和终端的情况进行统计，支持设置查询条件（数据类型、字段等）excel等文件格式的数据导出功能。                                                                              （1）应急信息统计：按照应急事件类型和应急事件级别为统计维度，统计调度控制平台所有应急事件的占比情况，以图形等方式呈现，直观易懂。                                                                        （2）广播任务统计：以三维饼图、柱状图、曲线图等方式，多角度展示调度控制平台广播任务统计情况，分别展示不同级别消息比例、不同类型消息比例、不同级别消息个数和动态消息个数。                                           </w:t>
            </w:r>
          </w:p>
          <w:p>
            <w:pPr>
              <w:widowControl/>
              <w:adjustRightInd/>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 xml:space="preserve">（3）广播设备统计：采用三维饼图、柱状图、曲线图等相结合的方式，多角度展示调度控制平台各类型广播设备的统计情况。包括不同类型设备占比情况、不同区域不同类型设备个数、不同类型设备状态比例。                                                             </w:t>
            </w:r>
          </w:p>
          <w:p>
            <w:pPr>
              <w:widowControl/>
              <w:adjustRightInd/>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 xml:space="preserve">（4）广播终端统计：使用三维饼图、柱状图、曲线图等相结合，全方位展示调度控制平台所有终端的情况。包括不同类型终端比例、不同区域不同类型终端个数、不同类型终端状态比。                                                </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（5）广播资源在线率统计：实时统计平台在线时长及资源设备在线时长。</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含分析报表子系统服务端，配置要求如下：</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1、处理器：2个Intel Xeon-Silver 4210(2.2GHz/10 核/13.75MB/85W)</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2、内存：4*16GB 内存</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3、硬盘：4*2T 硬盘</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4、RAID：PERC H730P RADID控制器，2GB NV缓存，支持RAID 1+RAID 5；</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5、网卡：4 口 千兆以太网卡</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xml:space="preserve">6、电源：2 个 750W 电源， 1+1 热插拔冗余； </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7、包含正版软件</w:t>
            </w:r>
          </w:p>
        </w:tc>
        <w:tc>
          <w:tcPr>
            <w:tcW w:w="404"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套</w:t>
            </w:r>
          </w:p>
        </w:tc>
        <w:tc>
          <w:tcPr>
            <w:tcW w:w="403"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310"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w:t>
            </w:r>
          </w:p>
        </w:tc>
        <w:tc>
          <w:tcPr>
            <w:tcW w:w="413" w:type="pct"/>
            <w:vMerge w:val="continue"/>
            <w:vAlign w:val="center"/>
          </w:tcPr>
          <w:p>
            <w:pPr>
              <w:widowControl/>
              <w:adjustRightInd/>
              <w:jc w:val="left"/>
              <w:rPr>
                <w:rFonts w:hint="eastAsia" w:ascii="仿宋" w:hAnsi="仿宋" w:eastAsia="仿宋" w:cs="仿宋"/>
                <w:color w:val="auto"/>
                <w:kern w:val="0"/>
                <w:sz w:val="18"/>
                <w:szCs w:val="18"/>
              </w:rPr>
            </w:pPr>
          </w:p>
        </w:tc>
        <w:tc>
          <w:tcPr>
            <w:tcW w:w="484"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支撑维护子系统</w:t>
            </w:r>
          </w:p>
        </w:tc>
        <w:tc>
          <w:tcPr>
            <w:tcW w:w="2986" w:type="pct"/>
            <w:shd w:val="clear" w:color="auto" w:fill="auto"/>
            <w:vAlign w:val="center"/>
          </w:tcPr>
          <w:p>
            <w:pPr>
              <w:widowControl/>
              <w:adjustRightInd/>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 xml:space="preserve">支撑维护子系统主要完成对应急广播平台的整体管理和支撑，包括用户管理、角色管理、权限管理、广播权限管理、操作日志管理、系统报警管理和平台综合管理等。                                                               </w:t>
            </w:r>
          </w:p>
          <w:p>
            <w:pPr>
              <w:widowControl/>
              <w:adjustRightInd/>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 xml:space="preserve">（1）用户管理：管理调度控制平台的用户，执行用户的增删改查操作支持超级管理员用户的密码修改、联系方式修改、邮箱修改。                                                                             （2）角色管理：可为平台设置不同权限的角色，将用户账户与角色绑定，实现平台操作审核的严格管控。                                      </w:t>
            </w:r>
          </w:p>
          <w:p>
            <w:pPr>
              <w:widowControl/>
              <w:adjustRightInd/>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 xml:space="preserve">（3）操作权限管理：给每个配置的角色设置操作权限，不具备操作权限的角色无法看到此操作相关的界面。                                   </w:t>
            </w:r>
          </w:p>
          <w:p>
            <w:pPr>
              <w:widowControl/>
              <w:adjustRightInd/>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 xml:space="preserve">（4）用户操作日志：①支持操作日志的列表展示。②支持按照用户、关键词、时间等信息查询操作日志信息。③支持列表中的某一条日志信息查看详情。④支持操作日志的下载。                                        </w:t>
            </w:r>
          </w:p>
          <w:p>
            <w:pPr>
              <w:widowControl/>
              <w:adjustRightInd/>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 xml:space="preserve">（5）系统告警管理：①支持实时告警、历史告警、已屏蔽告警查看。②支持按条件（告警级别、告警类型、是否屏蔽、告警时间、告警内容等）查询告警信息并列表展示。③支持最新告警信息右上角醒目提示。④支持告警信息详情展示。⑤支持告警实时通知设置，支持设置某类型、级别告警以邮件或短信方式或钉钉通知操作员。                                                                     </w:t>
            </w:r>
          </w:p>
          <w:p>
            <w:pPr>
              <w:widowControl/>
              <w:adjustRightInd/>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 xml:space="preserve">（6）平台综合管理：支持菜单管理，包括单个添加、结构改变、名称修改、URL地址修改等。                                                </w:t>
            </w:r>
          </w:p>
          <w:p>
            <w:pPr>
              <w:widowControl/>
              <w:adjustRightInd/>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 xml:space="preserve">（7）广播权限管理：广播下发作为应急广播播发的最关键一步，平台可为用户配置不同类型的权限。                                       </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（8）电话本管理：电话本管理模块，可用户向调度控制平台添加电话，该功能配合广播权限使用，控制短信广播、电话广播、巡检信息接收等功能。只有白名单里的电话可供使用，黑名单的将不再有权限。                                                                （9）敏感词管理：提供敏感词库的编辑功能。用户可通过新增/修改操作，完成敏感词库的编辑。所有录入敏感词库的词，都可以用于广播下发时的敏感词校验，敏感词将不会被下发，确保了应急广播系统的播出安全性。</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含支撑维护子系统服务端，配置要求如下：</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1、处理器：不低于2个Intel Xeon-Silver 4210(2.2GHz/10 核/13.75MB/85W)</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2、内存：不低于4*16GB 内存</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3、硬盘：不低于4*2T 硬盘</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4、RAID：PERC H730P RADID控制器，2GB NV缓存，支持RAID 1+RAID 5；</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5、网卡：不低于4 口 千兆以太网卡</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xml:space="preserve">6、电源：2 个 750W 电源， 1+1 热插拔冗余； </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7、包含正版软件</w:t>
            </w:r>
          </w:p>
        </w:tc>
        <w:tc>
          <w:tcPr>
            <w:tcW w:w="404"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套</w:t>
            </w:r>
          </w:p>
        </w:tc>
        <w:tc>
          <w:tcPr>
            <w:tcW w:w="403"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0"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6</w:t>
            </w:r>
          </w:p>
        </w:tc>
        <w:tc>
          <w:tcPr>
            <w:tcW w:w="413" w:type="pct"/>
            <w:shd w:val="clear" w:color="auto" w:fill="auto"/>
            <w:vAlign w:val="center"/>
          </w:tcPr>
          <w:p>
            <w:pPr>
              <w:widowControl/>
              <w:adjustRightInd/>
              <w:jc w:val="left"/>
              <w:rPr>
                <w:rFonts w:hint="eastAsia" w:ascii="仿宋" w:hAnsi="仿宋" w:eastAsia="仿宋" w:cs="仿宋"/>
                <w:color w:val="auto"/>
                <w:kern w:val="0"/>
                <w:sz w:val="18"/>
                <w:szCs w:val="18"/>
              </w:rPr>
            </w:pPr>
          </w:p>
        </w:tc>
        <w:tc>
          <w:tcPr>
            <w:tcW w:w="484"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广电级专业播出机房</w:t>
            </w:r>
          </w:p>
        </w:tc>
        <w:tc>
          <w:tcPr>
            <w:tcW w:w="2986" w:type="pct"/>
            <w:shd w:val="clear" w:color="auto" w:fill="auto"/>
            <w:vAlign w:val="center"/>
          </w:tcPr>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平台部署于萧山区信息化IDC机房，与“城市大脑·萧山平台”同机房，2年服务费用</w:t>
            </w:r>
          </w:p>
        </w:tc>
        <w:tc>
          <w:tcPr>
            <w:tcW w:w="404"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项</w:t>
            </w:r>
          </w:p>
        </w:tc>
        <w:tc>
          <w:tcPr>
            <w:tcW w:w="403"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000" w:type="pct"/>
            <w:gridSpan w:val="6"/>
            <w:shd w:val="clear" w:color="auto" w:fill="auto"/>
            <w:vAlign w:val="center"/>
          </w:tcPr>
          <w:p>
            <w:pPr>
              <w:widowControl/>
              <w:adjustRightInd/>
              <w:jc w:val="left"/>
              <w:rPr>
                <w:rFonts w:hint="eastAsia" w:ascii="仿宋" w:hAnsi="仿宋" w:eastAsia="仿宋" w:cs="仿宋"/>
                <w:b/>
                <w:bCs/>
                <w:color w:val="auto"/>
                <w:kern w:val="0"/>
                <w:sz w:val="18"/>
                <w:szCs w:val="18"/>
              </w:rPr>
            </w:pPr>
            <w:r>
              <w:rPr>
                <w:rFonts w:hint="eastAsia" w:ascii="仿宋" w:hAnsi="仿宋" w:eastAsia="仿宋" w:cs="仿宋"/>
                <w:b/>
                <w:bCs/>
                <w:color w:val="auto"/>
                <w:kern w:val="0"/>
                <w:sz w:val="18"/>
                <w:szCs w:val="18"/>
              </w:rPr>
              <w:t>4、安全防护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310"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413" w:type="pct"/>
            <w:vMerge w:val="restar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安全防护</w:t>
            </w:r>
          </w:p>
        </w:tc>
        <w:tc>
          <w:tcPr>
            <w:tcW w:w="484"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防火墙</w:t>
            </w:r>
          </w:p>
        </w:tc>
        <w:tc>
          <w:tcPr>
            <w:tcW w:w="2986" w:type="pct"/>
            <w:shd w:val="clear" w:color="auto" w:fill="auto"/>
            <w:vAlign w:val="center"/>
          </w:tcPr>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机架式NG防火墙，吞吐量不低于8Gbps, IPS 吞吐量不低于2Gbps, 防病毒吞吐量不低于2Gbps, 最大并发连接数不低于210万，每秒新建连接数不低于10万，不低于6个10/100/1000M以太网业务接口，不低于4个SFP光业务口， 接口可扩展，双电源冗余，支持IPS、防病毒等功能，并开启相应授权及三年特征库升级服务</w:t>
            </w:r>
          </w:p>
        </w:tc>
        <w:tc>
          <w:tcPr>
            <w:tcW w:w="404"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台</w:t>
            </w:r>
          </w:p>
        </w:tc>
        <w:tc>
          <w:tcPr>
            <w:tcW w:w="403"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10"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w:t>
            </w:r>
          </w:p>
        </w:tc>
        <w:tc>
          <w:tcPr>
            <w:tcW w:w="413" w:type="pct"/>
            <w:vMerge w:val="continue"/>
            <w:vAlign w:val="center"/>
          </w:tcPr>
          <w:p>
            <w:pPr>
              <w:jc w:val="center"/>
              <w:rPr>
                <w:rFonts w:hint="eastAsia" w:ascii="仿宋" w:hAnsi="仿宋" w:eastAsia="仿宋" w:cs="仿宋"/>
                <w:color w:val="auto"/>
                <w:kern w:val="0"/>
                <w:sz w:val="18"/>
                <w:szCs w:val="18"/>
              </w:rPr>
            </w:pPr>
          </w:p>
        </w:tc>
        <w:tc>
          <w:tcPr>
            <w:tcW w:w="484"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数据网闸</w:t>
            </w:r>
          </w:p>
        </w:tc>
        <w:tc>
          <w:tcPr>
            <w:tcW w:w="2986" w:type="pct"/>
            <w:shd w:val="clear" w:color="auto" w:fill="auto"/>
            <w:vAlign w:val="center"/>
          </w:tcPr>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数据文件处理吞吐量不低于600Mbps</w:t>
            </w:r>
          </w:p>
        </w:tc>
        <w:tc>
          <w:tcPr>
            <w:tcW w:w="404"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台</w:t>
            </w:r>
          </w:p>
        </w:tc>
        <w:tc>
          <w:tcPr>
            <w:tcW w:w="403"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310"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w:t>
            </w:r>
          </w:p>
        </w:tc>
        <w:tc>
          <w:tcPr>
            <w:tcW w:w="413" w:type="pct"/>
            <w:vMerge w:val="continue"/>
            <w:vAlign w:val="center"/>
          </w:tcPr>
          <w:p>
            <w:pPr>
              <w:jc w:val="center"/>
              <w:rPr>
                <w:rFonts w:hint="eastAsia" w:ascii="仿宋" w:hAnsi="仿宋" w:eastAsia="仿宋" w:cs="仿宋"/>
                <w:color w:val="auto"/>
                <w:kern w:val="0"/>
                <w:sz w:val="18"/>
                <w:szCs w:val="18"/>
              </w:rPr>
            </w:pPr>
          </w:p>
        </w:tc>
        <w:tc>
          <w:tcPr>
            <w:tcW w:w="484"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运维审计</w:t>
            </w:r>
          </w:p>
        </w:tc>
        <w:tc>
          <w:tcPr>
            <w:tcW w:w="2986" w:type="pct"/>
            <w:shd w:val="clear" w:color="auto" w:fill="auto"/>
            <w:vAlign w:val="center"/>
          </w:tcPr>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支持不低于500个可管理资产，配置不低于6个10/100/1000M电口，不低于4个SFP千兆模块接口，支持不低于2个接口扩展槽位，内置不低于4TB硬盘，冗余电源，支持液晶屏，最大支持不低于300路图形会话或800路字符会话并发。 含不低于50个UKEY, 实现对运维操作的集中管理、访问控制、单点登录以及操作审计等功能</w:t>
            </w:r>
          </w:p>
        </w:tc>
        <w:tc>
          <w:tcPr>
            <w:tcW w:w="404"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台</w:t>
            </w:r>
          </w:p>
        </w:tc>
        <w:tc>
          <w:tcPr>
            <w:tcW w:w="403"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310"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w:t>
            </w:r>
          </w:p>
        </w:tc>
        <w:tc>
          <w:tcPr>
            <w:tcW w:w="413" w:type="pct"/>
            <w:vMerge w:val="continue"/>
            <w:vAlign w:val="center"/>
          </w:tcPr>
          <w:p>
            <w:pPr>
              <w:jc w:val="center"/>
              <w:rPr>
                <w:rFonts w:hint="eastAsia" w:ascii="仿宋" w:hAnsi="仿宋" w:eastAsia="仿宋" w:cs="仿宋"/>
                <w:color w:val="auto"/>
                <w:kern w:val="0"/>
                <w:sz w:val="18"/>
                <w:szCs w:val="18"/>
              </w:rPr>
            </w:pPr>
          </w:p>
        </w:tc>
        <w:tc>
          <w:tcPr>
            <w:tcW w:w="484"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入侵检测</w:t>
            </w:r>
          </w:p>
        </w:tc>
        <w:tc>
          <w:tcPr>
            <w:tcW w:w="2986" w:type="pct"/>
            <w:shd w:val="clear" w:color="auto" w:fill="auto"/>
            <w:vAlign w:val="center"/>
          </w:tcPr>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配置不低于4个10/100/1000以太网接口， 最大并发连接数不低于30万，每秒新建连接数不低于6 万，检测能力吞吐量不低于1Gbps, 内置特征库并可自动／手动升级， 支持自定义策略， 支持标准syslog日志格式，支持B/S界面配置方式</w:t>
            </w:r>
          </w:p>
        </w:tc>
        <w:tc>
          <w:tcPr>
            <w:tcW w:w="404"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台</w:t>
            </w:r>
          </w:p>
        </w:tc>
        <w:tc>
          <w:tcPr>
            <w:tcW w:w="403"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310"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w:t>
            </w:r>
          </w:p>
        </w:tc>
        <w:tc>
          <w:tcPr>
            <w:tcW w:w="413" w:type="pct"/>
            <w:vMerge w:val="continue"/>
            <w:vAlign w:val="center"/>
          </w:tcPr>
          <w:p>
            <w:pPr>
              <w:jc w:val="center"/>
              <w:rPr>
                <w:rFonts w:hint="eastAsia" w:ascii="仿宋" w:hAnsi="仿宋" w:eastAsia="仿宋" w:cs="仿宋"/>
                <w:color w:val="auto"/>
                <w:kern w:val="0"/>
                <w:sz w:val="18"/>
                <w:szCs w:val="18"/>
              </w:rPr>
            </w:pPr>
          </w:p>
        </w:tc>
        <w:tc>
          <w:tcPr>
            <w:tcW w:w="484"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服务器加固组件</w:t>
            </w:r>
          </w:p>
        </w:tc>
        <w:tc>
          <w:tcPr>
            <w:tcW w:w="2986" w:type="pct"/>
            <w:shd w:val="clear" w:color="auto" w:fill="auto"/>
            <w:vAlign w:val="center"/>
          </w:tcPr>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硬件提供不低于4个10/100/1000M接口，具备服务器状态监测、 安全基线管理、 补丁漏洞升级管理， 包括数据库服务器等，支持操作系统Windows系列， 支持操作系统Linux / UNIX系列, 且提供30台Windows Server操作系统授权及30台 Linux操作系统授权</w:t>
            </w:r>
          </w:p>
        </w:tc>
        <w:tc>
          <w:tcPr>
            <w:tcW w:w="404"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套</w:t>
            </w:r>
          </w:p>
        </w:tc>
        <w:tc>
          <w:tcPr>
            <w:tcW w:w="403"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0" w:hRule="atLeast"/>
          <w:jc w:val="center"/>
        </w:trPr>
        <w:tc>
          <w:tcPr>
            <w:tcW w:w="310"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6</w:t>
            </w:r>
          </w:p>
        </w:tc>
        <w:tc>
          <w:tcPr>
            <w:tcW w:w="413" w:type="pct"/>
            <w:vMerge w:val="continue"/>
            <w:vAlign w:val="center"/>
          </w:tcPr>
          <w:p>
            <w:pPr>
              <w:jc w:val="center"/>
              <w:rPr>
                <w:rFonts w:hint="eastAsia" w:ascii="仿宋" w:hAnsi="仿宋" w:eastAsia="仿宋" w:cs="仿宋"/>
                <w:color w:val="auto"/>
                <w:kern w:val="0"/>
                <w:sz w:val="18"/>
                <w:szCs w:val="18"/>
              </w:rPr>
            </w:pPr>
          </w:p>
        </w:tc>
        <w:tc>
          <w:tcPr>
            <w:tcW w:w="484"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安全保障子系统</w:t>
            </w:r>
          </w:p>
        </w:tc>
        <w:tc>
          <w:tcPr>
            <w:tcW w:w="2986" w:type="pct"/>
            <w:shd w:val="clear" w:color="auto" w:fill="auto"/>
            <w:vAlign w:val="center"/>
          </w:tcPr>
          <w:p>
            <w:pPr>
              <w:widowControl/>
              <w:adjustRightInd/>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（1）按照《GD/J 081-2018 应急广播安全保护技术规范数字签名》的要求，应急广播各平台之间传递的应急广播消息以及在广播电视传输覆盖网中传递的应急广播传输覆盖指令采用基于非对称密码算法的数字签名技术实现真实性、合法性和完整性保护</w:t>
            </w:r>
          </w:p>
          <w:p>
            <w:pPr>
              <w:widowControl/>
              <w:adjustRightInd/>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2）应急广播消息和指令的发送端采用自身的私钥，对应急广播信息主体文件、应急广播节目资源文件、应急广播消息指令文件和应急广播传输覆盖指令计算数字签名，并将数字签名附带在应急广播消息和传输覆盖数据中传递，应急广播消息和应急广播传输覆盖数据的接收端采用发送端的公钥对数字签名进行验证，确保接收端只接收合法的应急广播消息，只处理合法的应急广播指令。</w:t>
            </w:r>
          </w:p>
          <w:p>
            <w:pPr>
              <w:widowControl/>
              <w:adjustRightInd/>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（3）应急广播数字签名的密码算法采用GB/T 32918、GB/T 32905—2016规定的SM2、SM3算法；应急广播消息接收端回传信息以及自身状态时，需接收端将设备信息注册到应急广播数字证书安全管理中，回传消息及状态到达应急广播平台时，平台通过调用证书安全管理中的信息列表，核对信息来源的准确性，并确保应急广播平台接收到的回传信息是由合法的接收终端所发送；</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（4）本平台具备网络防护和信息保护的双重保护措施；若网络防护被攻破，则具有信息保护措施。若遇到极端情况，则通过关闭软件、切断网络等手段，并对全平台进行网络安全检查；</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含安全保障子系统服务端，配置要求如下：</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1、处理器：不低于2个Intel Xeon-Silver 4210(2.2GHz/10 核/13.75MB/85W)</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2、内存：不低于4*16GB 内存</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3、硬盘：不低于4*2T 硬盘</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4、RAID：PERC H730P RADID控制器，2GB NV缓存，支持RAID 1+RAID 5；</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5、网卡：不低于4 口 千兆以太网卡</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xml:space="preserve">6、电源：2 个 750W 电源， 1+1 热插拔冗余； </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7、包含正版软件</w:t>
            </w:r>
          </w:p>
        </w:tc>
        <w:tc>
          <w:tcPr>
            <w:tcW w:w="404"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套</w:t>
            </w:r>
          </w:p>
        </w:tc>
        <w:tc>
          <w:tcPr>
            <w:tcW w:w="403"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310"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7</w:t>
            </w:r>
          </w:p>
        </w:tc>
        <w:tc>
          <w:tcPr>
            <w:tcW w:w="413" w:type="pct"/>
            <w:vMerge w:val="continue"/>
            <w:vAlign w:val="center"/>
          </w:tcPr>
          <w:p>
            <w:pPr>
              <w:jc w:val="center"/>
              <w:rPr>
                <w:rFonts w:hint="eastAsia" w:ascii="仿宋" w:hAnsi="仿宋" w:eastAsia="仿宋" w:cs="仿宋"/>
                <w:color w:val="auto"/>
                <w:kern w:val="0"/>
                <w:sz w:val="18"/>
                <w:szCs w:val="18"/>
              </w:rPr>
            </w:pPr>
          </w:p>
        </w:tc>
        <w:tc>
          <w:tcPr>
            <w:tcW w:w="484"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安全管理中心</w:t>
            </w:r>
          </w:p>
        </w:tc>
        <w:tc>
          <w:tcPr>
            <w:tcW w:w="2986" w:type="pct"/>
            <w:shd w:val="clear" w:color="auto" w:fill="auto"/>
            <w:vAlign w:val="center"/>
          </w:tcPr>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含全量日志采集管理、资产统一管理、资产状态管理、补丁及恶意代码管理、审计管理等功能，搭载足够高性能硬件设备，实现集中运行监控、统一风险管理等。</w:t>
            </w:r>
          </w:p>
        </w:tc>
        <w:tc>
          <w:tcPr>
            <w:tcW w:w="404"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套</w:t>
            </w:r>
          </w:p>
        </w:tc>
        <w:tc>
          <w:tcPr>
            <w:tcW w:w="403"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0" w:hRule="atLeast"/>
          <w:jc w:val="center"/>
        </w:trPr>
        <w:tc>
          <w:tcPr>
            <w:tcW w:w="310"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8</w:t>
            </w:r>
          </w:p>
        </w:tc>
        <w:tc>
          <w:tcPr>
            <w:tcW w:w="413" w:type="pct"/>
            <w:vMerge w:val="continue"/>
            <w:vAlign w:val="center"/>
          </w:tcPr>
          <w:p>
            <w:pPr>
              <w:jc w:val="center"/>
              <w:rPr>
                <w:rFonts w:hint="eastAsia" w:ascii="仿宋" w:hAnsi="仿宋" w:eastAsia="仿宋" w:cs="仿宋"/>
                <w:color w:val="auto"/>
                <w:kern w:val="0"/>
                <w:sz w:val="18"/>
                <w:szCs w:val="18"/>
              </w:rPr>
            </w:pPr>
          </w:p>
        </w:tc>
        <w:tc>
          <w:tcPr>
            <w:tcW w:w="484"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★安全服务专用一体机</w:t>
            </w:r>
          </w:p>
        </w:tc>
        <w:tc>
          <w:tcPr>
            <w:tcW w:w="2986" w:type="pct"/>
            <w:shd w:val="clear" w:color="auto" w:fill="auto"/>
            <w:vAlign w:val="center"/>
          </w:tcPr>
          <w:p>
            <w:pPr>
              <w:widowControl/>
              <w:adjustRightInd/>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1、专用硬件加密机。</w:t>
            </w:r>
          </w:p>
          <w:p>
            <w:pPr>
              <w:widowControl/>
              <w:adjustRightInd/>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2、支持国密SM系列算法。</w:t>
            </w:r>
          </w:p>
          <w:p>
            <w:pPr>
              <w:widowControl/>
              <w:adjustRightInd/>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3、对外接口采用https安全通讯协议。</w:t>
            </w:r>
          </w:p>
          <w:p>
            <w:pPr>
              <w:widowControl/>
              <w:adjustRightInd/>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4、具有签名、验签功能，设备签名验签符合GD/J081-2018应急广播安全保护技术规范要求。</w:t>
            </w:r>
          </w:p>
          <w:p>
            <w:pPr>
              <w:widowControl/>
              <w:adjustRightInd/>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5、签名、验签处理性能&gt;1000次/秒。</w:t>
            </w:r>
          </w:p>
          <w:p>
            <w:pPr>
              <w:widowControl/>
              <w:adjustRightInd/>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6、具有证书管理，证书导入；配置生成信任列表；在线连接CA中心对信任列表签名；离线方式对信任列表签名；权限分级管理。</w:t>
            </w:r>
          </w:p>
          <w:p>
            <w:pPr>
              <w:widowControl/>
              <w:adjustRightInd/>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7、具有日志管理。</w:t>
            </w:r>
          </w:p>
          <w:p>
            <w:pPr>
              <w:widowControl/>
              <w:adjustRightInd/>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8、安全认证处理延时小于100ms。</w:t>
            </w:r>
          </w:p>
          <w:p>
            <w:pPr>
              <w:widowControl/>
              <w:adjustRightInd/>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9、证书列表导入功能：支持导入认证中心发布的证书列表文件。</w:t>
            </w:r>
          </w:p>
          <w:p>
            <w:pPr>
              <w:widowControl/>
              <w:adjustRightInd/>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10、符合GM/T 0039-2015《密码模块安全检测要求》安全等级第一级相关要求。</w:t>
            </w:r>
          </w:p>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11、包含安全服务专用lincese</w:t>
            </w:r>
          </w:p>
        </w:tc>
        <w:tc>
          <w:tcPr>
            <w:tcW w:w="404"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台</w:t>
            </w:r>
          </w:p>
        </w:tc>
        <w:tc>
          <w:tcPr>
            <w:tcW w:w="403"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0"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9</w:t>
            </w:r>
          </w:p>
        </w:tc>
        <w:tc>
          <w:tcPr>
            <w:tcW w:w="413" w:type="pct"/>
            <w:vMerge w:val="continue"/>
            <w:shd w:val="clear" w:color="auto" w:fill="auto"/>
            <w:vAlign w:val="center"/>
          </w:tcPr>
          <w:p>
            <w:pPr>
              <w:widowControl/>
              <w:adjustRightInd/>
              <w:jc w:val="center"/>
              <w:rPr>
                <w:rFonts w:hint="eastAsia" w:ascii="仿宋" w:hAnsi="仿宋" w:eastAsia="仿宋" w:cs="仿宋"/>
                <w:color w:val="auto"/>
                <w:kern w:val="0"/>
                <w:sz w:val="18"/>
                <w:szCs w:val="18"/>
              </w:rPr>
            </w:pPr>
          </w:p>
        </w:tc>
        <w:tc>
          <w:tcPr>
            <w:tcW w:w="484"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专用通讯链路</w:t>
            </w:r>
          </w:p>
        </w:tc>
        <w:tc>
          <w:tcPr>
            <w:tcW w:w="2986" w:type="pct"/>
            <w:shd w:val="clear" w:color="auto" w:fill="auto"/>
            <w:vAlign w:val="center"/>
          </w:tcPr>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与杭州市应急广播、区应急局、区气象局、区融媒体中心互联互通，2年服务费用</w:t>
            </w:r>
          </w:p>
        </w:tc>
        <w:tc>
          <w:tcPr>
            <w:tcW w:w="404"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条</w:t>
            </w:r>
          </w:p>
        </w:tc>
        <w:tc>
          <w:tcPr>
            <w:tcW w:w="403"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w:t>
            </w:r>
          </w:p>
        </w:tc>
      </w:tr>
    </w:tbl>
    <w:p>
      <w:pPr>
        <w:rPr>
          <w:rFonts w:hint="eastAsia" w:ascii="仿宋" w:hAnsi="仿宋" w:eastAsia="仿宋" w:cs="仿宋"/>
          <w:color w:val="auto"/>
        </w:rPr>
      </w:pPr>
    </w:p>
    <w:p>
      <w:pPr>
        <w:widowControl/>
        <w:adjustRightInd/>
        <w:jc w:val="left"/>
        <w:rPr>
          <w:rFonts w:hint="eastAsia" w:ascii="仿宋" w:hAnsi="仿宋" w:eastAsia="仿宋" w:cs="仿宋"/>
          <w:color w:val="auto"/>
        </w:rPr>
      </w:pPr>
      <w:r>
        <w:rPr>
          <w:rFonts w:hint="eastAsia" w:ascii="仿宋" w:hAnsi="仿宋" w:eastAsia="仿宋" w:cs="仿宋"/>
          <w:color w:val="auto"/>
        </w:rPr>
        <w:br w:type="page"/>
      </w:r>
    </w:p>
    <w:p>
      <w:pPr>
        <w:rPr>
          <w:rFonts w:hint="eastAsia" w:ascii="仿宋" w:hAnsi="仿宋" w:eastAsia="仿宋" w:cs="仿宋"/>
          <w:color w:val="auto"/>
        </w:rPr>
      </w:pPr>
    </w:p>
    <w:p>
      <w:pPr>
        <w:spacing w:line="360" w:lineRule="auto"/>
        <w:outlineLvl w:val="4"/>
        <w:rPr>
          <w:rFonts w:hint="eastAsia" w:ascii="仿宋" w:hAnsi="仿宋" w:eastAsia="仿宋" w:cs="仿宋"/>
          <w:b/>
          <w:color w:val="auto"/>
          <w:sz w:val="24"/>
        </w:rPr>
      </w:pPr>
      <w:r>
        <w:rPr>
          <w:rFonts w:hint="eastAsia" w:ascii="仿宋" w:hAnsi="仿宋" w:eastAsia="仿宋" w:cs="仿宋"/>
          <w:b/>
          <w:color w:val="auto"/>
          <w:sz w:val="24"/>
        </w:rPr>
        <w:t>二、前端部分</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1869"/>
        <w:gridCol w:w="1599"/>
        <w:gridCol w:w="739"/>
        <w:gridCol w:w="1041"/>
        <w:gridCol w:w="2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35"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序号</w:t>
            </w:r>
          </w:p>
        </w:tc>
        <w:tc>
          <w:tcPr>
            <w:tcW w:w="1100"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场景</w:t>
            </w:r>
          </w:p>
        </w:tc>
        <w:tc>
          <w:tcPr>
            <w:tcW w:w="941"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设备名称</w:t>
            </w:r>
          </w:p>
        </w:tc>
        <w:tc>
          <w:tcPr>
            <w:tcW w:w="435"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单位</w:t>
            </w:r>
          </w:p>
        </w:tc>
        <w:tc>
          <w:tcPr>
            <w:tcW w:w="613"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数量</w:t>
            </w:r>
          </w:p>
        </w:tc>
        <w:tc>
          <w:tcPr>
            <w:tcW w:w="1476"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6"/>
            <w:shd w:val="clear" w:color="auto" w:fill="auto"/>
            <w:vAlign w:val="center"/>
          </w:tcPr>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行政村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35"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1100" w:type="pct"/>
            <w:vMerge w:val="restar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与原有有线广播对接并安装一处室外IP音柱</w:t>
            </w:r>
          </w:p>
        </w:tc>
        <w:tc>
          <w:tcPr>
            <w:tcW w:w="941"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IP话筒</w:t>
            </w:r>
          </w:p>
        </w:tc>
        <w:tc>
          <w:tcPr>
            <w:tcW w:w="435"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只</w:t>
            </w:r>
          </w:p>
        </w:tc>
        <w:tc>
          <w:tcPr>
            <w:tcW w:w="613"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xml:space="preserve">411.00 </w:t>
            </w:r>
          </w:p>
        </w:tc>
        <w:tc>
          <w:tcPr>
            <w:tcW w:w="1476"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用于村级播控室，网络与有线广播控制器复用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35"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w:t>
            </w:r>
          </w:p>
        </w:tc>
        <w:tc>
          <w:tcPr>
            <w:tcW w:w="1100" w:type="pct"/>
            <w:vMerge w:val="continue"/>
            <w:vAlign w:val="center"/>
          </w:tcPr>
          <w:p>
            <w:pPr>
              <w:widowControl/>
              <w:adjustRightInd/>
              <w:jc w:val="left"/>
              <w:rPr>
                <w:rFonts w:hint="eastAsia" w:ascii="仿宋" w:hAnsi="仿宋" w:eastAsia="仿宋" w:cs="仿宋"/>
                <w:color w:val="auto"/>
                <w:kern w:val="0"/>
                <w:sz w:val="18"/>
                <w:szCs w:val="18"/>
              </w:rPr>
            </w:pPr>
          </w:p>
        </w:tc>
        <w:tc>
          <w:tcPr>
            <w:tcW w:w="941"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应急广播适配器</w:t>
            </w:r>
          </w:p>
        </w:tc>
        <w:tc>
          <w:tcPr>
            <w:tcW w:w="435"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只</w:t>
            </w:r>
          </w:p>
        </w:tc>
        <w:tc>
          <w:tcPr>
            <w:tcW w:w="613"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xml:space="preserve">411.00 </w:t>
            </w:r>
          </w:p>
        </w:tc>
        <w:tc>
          <w:tcPr>
            <w:tcW w:w="1476"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用于与原有线广播对接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35"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w:t>
            </w:r>
          </w:p>
        </w:tc>
        <w:tc>
          <w:tcPr>
            <w:tcW w:w="1100" w:type="pct"/>
            <w:vMerge w:val="continue"/>
            <w:vAlign w:val="center"/>
          </w:tcPr>
          <w:p>
            <w:pPr>
              <w:widowControl/>
              <w:adjustRightInd/>
              <w:jc w:val="left"/>
              <w:rPr>
                <w:rFonts w:hint="eastAsia" w:ascii="仿宋" w:hAnsi="仿宋" w:eastAsia="仿宋" w:cs="仿宋"/>
                <w:color w:val="auto"/>
                <w:kern w:val="0"/>
                <w:sz w:val="18"/>
                <w:szCs w:val="18"/>
              </w:rPr>
            </w:pPr>
          </w:p>
        </w:tc>
        <w:tc>
          <w:tcPr>
            <w:tcW w:w="941"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室外IP音柱</w:t>
            </w:r>
          </w:p>
        </w:tc>
        <w:tc>
          <w:tcPr>
            <w:tcW w:w="435"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只</w:t>
            </w:r>
          </w:p>
        </w:tc>
        <w:tc>
          <w:tcPr>
            <w:tcW w:w="613"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xml:space="preserve">355.00 </w:t>
            </w:r>
          </w:p>
        </w:tc>
        <w:tc>
          <w:tcPr>
            <w:tcW w:w="1476"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25W,室外一体音柱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6"/>
            <w:shd w:val="clear" w:color="auto" w:fill="auto"/>
            <w:vAlign w:val="center"/>
          </w:tcPr>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防灾点（安置点）、社区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35"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1100" w:type="pct"/>
            <w:shd w:val="clear" w:color="auto" w:fill="auto"/>
            <w:vAlign w:val="center"/>
          </w:tcPr>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防灾点（安置点）、社区（音柱含后备电池</w:t>
            </w:r>
          </w:p>
        </w:tc>
        <w:tc>
          <w:tcPr>
            <w:tcW w:w="941"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室外IP音柱</w:t>
            </w:r>
          </w:p>
        </w:tc>
        <w:tc>
          <w:tcPr>
            <w:tcW w:w="435"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只</w:t>
            </w:r>
          </w:p>
        </w:tc>
        <w:tc>
          <w:tcPr>
            <w:tcW w:w="613" w:type="pct"/>
            <w:shd w:val="clear" w:color="auto" w:fill="auto"/>
            <w:vAlign w:val="center"/>
          </w:tcPr>
          <w:p>
            <w:pPr>
              <w:widowControl/>
              <w:adjustRightInd/>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xml:space="preserve">402.00 </w:t>
            </w:r>
          </w:p>
        </w:tc>
        <w:tc>
          <w:tcPr>
            <w:tcW w:w="1476" w:type="pct"/>
            <w:shd w:val="clear" w:color="auto" w:fill="auto"/>
            <w:vAlign w:val="center"/>
          </w:tcPr>
          <w:p>
            <w:pPr>
              <w:widowControl/>
              <w:adjustRightInd/>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w:t>
            </w:r>
          </w:p>
        </w:tc>
      </w:tr>
    </w:tbl>
    <w:p>
      <w:pPr>
        <w:widowControl/>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rPr>
        <w:t>二）商务需求</w:t>
      </w:r>
    </w:p>
    <w:p>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1.交货时间及地点</w:t>
      </w:r>
    </w:p>
    <w:p>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▲(1)中标人应在合同签订后，</w:t>
      </w:r>
      <w:r>
        <w:rPr>
          <w:rFonts w:hint="eastAsia" w:ascii="仿宋" w:hAnsi="仿宋" w:eastAsia="仿宋" w:cs="仿宋"/>
          <w:color w:val="auto"/>
          <w:sz w:val="24"/>
          <w:lang w:val="en-US" w:eastAsia="zh-CN"/>
        </w:rPr>
        <w:t>90</w:t>
      </w:r>
      <w:r>
        <w:rPr>
          <w:rFonts w:hint="eastAsia" w:ascii="仿宋" w:hAnsi="仿宋" w:eastAsia="仿宋" w:cs="仿宋"/>
          <w:color w:val="auto"/>
          <w:sz w:val="24"/>
        </w:rPr>
        <w:t>日历天内完成所有设备的安装、调试工作。</w:t>
      </w:r>
    </w:p>
    <w:p>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(2)交货地点：采购人指定地点。                            </w:t>
      </w:r>
    </w:p>
    <w:p>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(3)中标人提供的中标物品，必须符合本采购文件要求、原包装送达采购单位；如有不符，采购人可以无条件退货，所造成的损失由中标人承担。更换后的零部件质保期按更换日起顺延。</w:t>
      </w:r>
    </w:p>
    <w:p>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2.质保期及售后技术服务要求</w:t>
      </w:r>
    </w:p>
    <w:p>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▲(1)质保期：</w:t>
      </w:r>
      <w:r>
        <w:rPr>
          <w:rFonts w:hint="eastAsia" w:ascii="仿宋" w:hAnsi="仿宋" w:eastAsia="仿宋" w:cs="仿宋"/>
          <w:color w:val="auto"/>
          <w:sz w:val="24"/>
          <w:lang w:eastAsia="zh-CN"/>
        </w:rPr>
        <w:t>不少于</w:t>
      </w:r>
      <w:r>
        <w:rPr>
          <w:rFonts w:hint="eastAsia" w:ascii="仿宋" w:hAnsi="仿宋" w:eastAsia="仿宋" w:cs="仿宋"/>
          <w:color w:val="auto"/>
          <w:sz w:val="24"/>
        </w:rPr>
        <w:t>2年。</w:t>
      </w:r>
    </w:p>
    <w:p>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(2)质量保证期内提供免费上门维护、升级服务，如设备出现故障，供货单位在接到电话后，立即响应，2小时以内到现场处理，12小时内修复，现场不能修复的，必须采取无偿提供采购物品的备用件或整机等措施，保证用户单位的正常使用。</w:t>
      </w:r>
    </w:p>
    <w:p>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(3)投标人应提供技术支持方案，内容由投标人根据实际选择以下要点：服务机构（维保点）的地址、人员状况、维修能力、联系方式、营业执照、公司资质材料、相关案例等。</w:t>
      </w:r>
    </w:p>
    <w:p>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(4)完整准确地表述原厂家的标准售后服务承诺（范围、标准及期限等）、投标人可能增加的服务承诺等。</w:t>
      </w:r>
    </w:p>
    <w:p>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(5)明示服务承诺可能涉及的前提设定和费用，否则将被认为是无条件和免费的。</w:t>
      </w:r>
    </w:p>
    <w:p>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3.项目实施计划</w:t>
      </w:r>
    </w:p>
    <w:p>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项目实施的组织工作方案：工作时间进度表、工作程序或步骤、管理和协调方法、送货方案等。</w:t>
      </w:r>
    </w:p>
    <w:p>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▲4。付款方式</w:t>
      </w:r>
    </w:p>
    <w:p>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（1）合同签订后</w:t>
      </w:r>
      <w:r>
        <w:rPr>
          <w:rFonts w:hint="eastAsia" w:ascii="仿宋" w:hAnsi="仿宋" w:eastAsia="仿宋" w:cs="仿宋"/>
          <w:color w:val="auto"/>
          <w:sz w:val="24"/>
          <w:lang w:eastAsia="zh-CN"/>
        </w:rPr>
        <w:t>中标人</w:t>
      </w:r>
      <w:r>
        <w:rPr>
          <w:rFonts w:hint="eastAsia" w:ascii="仿宋" w:hAnsi="仿宋" w:eastAsia="仿宋" w:cs="仿宋"/>
          <w:color w:val="auto"/>
          <w:sz w:val="24"/>
        </w:rPr>
        <w:t>支付</w:t>
      </w:r>
      <w:r>
        <w:rPr>
          <w:rFonts w:hint="eastAsia" w:ascii="仿宋" w:hAnsi="仿宋" w:eastAsia="仿宋" w:cs="仿宋"/>
          <w:color w:val="auto"/>
          <w:sz w:val="24"/>
          <w:lang w:eastAsia="zh-CN"/>
        </w:rPr>
        <w:t>中标金额</w:t>
      </w:r>
      <w:r>
        <w:rPr>
          <w:rFonts w:hint="eastAsia" w:ascii="仿宋" w:hAnsi="仿宋" w:eastAsia="仿宋" w:cs="仿宋"/>
          <w:color w:val="auto"/>
          <w:sz w:val="24"/>
        </w:rPr>
        <w:t>的</w:t>
      </w:r>
      <w:r>
        <w:rPr>
          <w:rFonts w:hint="eastAsia" w:ascii="仿宋" w:hAnsi="仿宋" w:eastAsia="仿宋" w:cs="仿宋"/>
          <w:color w:val="auto"/>
          <w:sz w:val="24"/>
          <w:lang w:val="en-US" w:eastAsia="zh-CN"/>
        </w:rPr>
        <w:t>2.</w:t>
      </w:r>
      <w:r>
        <w:rPr>
          <w:rFonts w:hint="eastAsia" w:ascii="仿宋" w:hAnsi="仿宋" w:eastAsia="仿宋" w:cs="仿宋"/>
          <w:color w:val="auto"/>
          <w:sz w:val="24"/>
        </w:rPr>
        <w:t>5%作为履约保证金（接受保函）。</w:t>
      </w:r>
    </w:p>
    <w:p>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（2）合同签订后，采购人向</w:t>
      </w:r>
      <w:r>
        <w:rPr>
          <w:rFonts w:hint="eastAsia" w:ascii="仿宋" w:hAnsi="仿宋" w:eastAsia="仿宋" w:cs="仿宋"/>
          <w:color w:val="auto"/>
          <w:sz w:val="24"/>
          <w:lang w:eastAsia="zh-CN"/>
        </w:rPr>
        <w:t>中标人</w:t>
      </w:r>
      <w:r>
        <w:rPr>
          <w:rFonts w:hint="eastAsia" w:ascii="仿宋" w:hAnsi="仿宋" w:eastAsia="仿宋" w:cs="仿宋"/>
          <w:color w:val="auto"/>
          <w:sz w:val="24"/>
        </w:rPr>
        <w:t>支付</w:t>
      </w:r>
      <w:r>
        <w:rPr>
          <w:rFonts w:hint="eastAsia" w:ascii="仿宋" w:hAnsi="仿宋" w:eastAsia="仿宋" w:cs="仿宋"/>
          <w:color w:val="auto"/>
          <w:sz w:val="24"/>
          <w:lang w:eastAsia="zh-CN"/>
        </w:rPr>
        <w:t>中标金额</w:t>
      </w:r>
      <w:r>
        <w:rPr>
          <w:rFonts w:hint="eastAsia" w:ascii="仿宋" w:hAnsi="仿宋" w:eastAsia="仿宋" w:cs="仿宋"/>
          <w:color w:val="auto"/>
          <w:sz w:val="24"/>
        </w:rPr>
        <w:t>的</w:t>
      </w:r>
      <w:r>
        <w:rPr>
          <w:rFonts w:hint="eastAsia" w:ascii="仿宋" w:hAnsi="仿宋" w:eastAsia="仿宋" w:cs="仿宋"/>
          <w:color w:val="auto"/>
          <w:sz w:val="24"/>
          <w:lang w:val="en-US" w:eastAsia="zh-CN"/>
        </w:rPr>
        <w:t>4</w:t>
      </w:r>
      <w:r>
        <w:rPr>
          <w:rFonts w:hint="eastAsia" w:ascii="仿宋" w:hAnsi="仿宋" w:eastAsia="仿宋" w:cs="仿宋"/>
          <w:color w:val="auto"/>
          <w:sz w:val="24"/>
        </w:rPr>
        <w:t>0%</w:t>
      </w:r>
      <w:r>
        <w:rPr>
          <w:rFonts w:hint="eastAsia" w:ascii="仿宋" w:hAnsi="仿宋" w:eastAsia="仿宋" w:cs="仿宋"/>
          <w:color w:val="auto"/>
          <w:sz w:val="24"/>
          <w:lang w:eastAsia="zh-CN"/>
        </w:rPr>
        <w:t>预付款</w:t>
      </w:r>
      <w:r>
        <w:rPr>
          <w:rFonts w:hint="eastAsia" w:ascii="仿宋" w:hAnsi="仿宋" w:eastAsia="仿宋" w:cs="仿宋"/>
          <w:color w:val="auto"/>
          <w:sz w:val="24"/>
        </w:rPr>
        <w:t>。</w:t>
      </w:r>
    </w:p>
    <w:p>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（3）安装调试完成后，采购人向</w:t>
      </w:r>
      <w:r>
        <w:rPr>
          <w:rFonts w:hint="eastAsia" w:ascii="仿宋" w:hAnsi="仿宋" w:eastAsia="仿宋" w:cs="仿宋"/>
          <w:color w:val="auto"/>
          <w:sz w:val="24"/>
          <w:lang w:eastAsia="zh-CN"/>
        </w:rPr>
        <w:t>中标人</w:t>
      </w:r>
      <w:r>
        <w:rPr>
          <w:rFonts w:hint="eastAsia" w:ascii="仿宋" w:hAnsi="仿宋" w:eastAsia="仿宋" w:cs="仿宋"/>
          <w:color w:val="auto"/>
          <w:sz w:val="24"/>
        </w:rPr>
        <w:t>支付至</w:t>
      </w:r>
      <w:r>
        <w:rPr>
          <w:rFonts w:hint="eastAsia" w:ascii="仿宋" w:hAnsi="仿宋" w:eastAsia="仿宋" w:cs="仿宋"/>
          <w:color w:val="auto"/>
          <w:sz w:val="24"/>
          <w:lang w:eastAsia="zh-CN"/>
        </w:rPr>
        <w:t>中标金额</w:t>
      </w:r>
      <w:r>
        <w:rPr>
          <w:rFonts w:hint="eastAsia" w:ascii="仿宋" w:hAnsi="仿宋" w:eastAsia="仿宋" w:cs="仿宋"/>
          <w:color w:val="auto"/>
          <w:sz w:val="24"/>
        </w:rPr>
        <w:t>的80%。</w:t>
      </w:r>
    </w:p>
    <w:p>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（4）验收合格完成后，采购人向</w:t>
      </w:r>
      <w:r>
        <w:rPr>
          <w:rFonts w:hint="eastAsia" w:ascii="仿宋" w:hAnsi="仿宋" w:eastAsia="仿宋" w:cs="仿宋"/>
          <w:color w:val="auto"/>
          <w:sz w:val="24"/>
          <w:lang w:eastAsia="zh-CN"/>
        </w:rPr>
        <w:t>中标人</w:t>
      </w:r>
      <w:r>
        <w:rPr>
          <w:rFonts w:hint="eastAsia" w:ascii="仿宋" w:hAnsi="仿宋" w:eastAsia="仿宋" w:cs="仿宋"/>
          <w:color w:val="auto"/>
          <w:sz w:val="24"/>
        </w:rPr>
        <w:t>支付至</w:t>
      </w:r>
      <w:r>
        <w:rPr>
          <w:rFonts w:hint="eastAsia" w:ascii="仿宋" w:hAnsi="仿宋" w:eastAsia="仿宋" w:cs="仿宋"/>
          <w:color w:val="auto"/>
          <w:sz w:val="24"/>
          <w:lang w:eastAsia="zh-CN"/>
        </w:rPr>
        <w:t>中标金额</w:t>
      </w:r>
      <w:r>
        <w:rPr>
          <w:rFonts w:hint="eastAsia" w:ascii="仿宋" w:hAnsi="仿宋" w:eastAsia="仿宋" w:cs="仿宋"/>
          <w:color w:val="auto"/>
          <w:sz w:val="24"/>
        </w:rPr>
        <w:t>的100%，同时采购人无息退还履约保证金。</w:t>
      </w:r>
    </w:p>
    <w:p>
      <w:pPr>
        <w:widowControl/>
        <w:spacing w:line="360" w:lineRule="auto"/>
        <w:ind w:firstLine="480" w:firstLineChars="200"/>
        <w:rPr>
          <w:rFonts w:hint="eastAsia" w:ascii="仿宋" w:hAnsi="仿宋" w:eastAsia="仿宋" w:cs="仿宋"/>
          <w:color w:val="auto"/>
          <w:sz w:val="24"/>
        </w:rPr>
      </w:pPr>
    </w:p>
    <w:p>
      <w:pPr>
        <w:spacing w:line="48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注：</w:t>
      </w:r>
    </w:p>
    <w:p>
      <w:pPr>
        <w:spacing w:line="48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1、除标注的参考品牌外，欢迎其它能满足本项目技术需求且性能与所注品牌相当的产品参与。</w:t>
      </w:r>
    </w:p>
    <w:p>
      <w:pPr>
        <w:spacing w:line="48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2、如有附图，仅作参考。</w:t>
      </w:r>
    </w:p>
    <w:p>
      <w:pPr>
        <w:spacing w:line="48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3、打▲内容为实质性要求，不允许有负偏离，否则将以涉及无效投标条款作无效投标。</w:t>
      </w:r>
    </w:p>
    <w:p>
      <w:pPr>
        <w:spacing w:line="48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4、</w:t>
      </w:r>
      <w:r>
        <w:rPr>
          <w:rFonts w:hint="eastAsia" w:ascii="仿宋" w:hAnsi="仿宋" w:eastAsia="仿宋" w:cs="仿宋"/>
          <w:color w:val="auto"/>
          <w:sz w:val="24"/>
          <w:lang w:eastAsia="zh-CN"/>
        </w:rPr>
        <w:t>中标人</w:t>
      </w:r>
      <w:r>
        <w:rPr>
          <w:rFonts w:hint="eastAsia" w:ascii="仿宋" w:hAnsi="仿宋" w:eastAsia="仿宋" w:cs="仿宋"/>
          <w:color w:val="auto"/>
          <w:sz w:val="24"/>
        </w:rPr>
        <w:t>所提供的货物、服务须与投标承诺一致，不得以次充好、偷工减料，若在项目验收中发现有上述情况，将向有关部门举报，根据相关规定进行处理。</w:t>
      </w:r>
    </w:p>
    <w:p>
      <w:pPr>
        <w:rPr>
          <w:rFonts w:hint="eastAsia" w:ascii="仿宋" w:hAnsi="仿宋" w:eastAsia="仿宋" w:cs="仿宋"/>
          <w:color w:val="auto"/>
        </w:rPr>
      </w:pPr>
    </w:p>
    <w:p>
      <w:pPr>
        <w:pStyle w:val="6"/>
        <w:numPr>
          <w:ilvl w:val="2"/>
          <w:numId w:val="0"/>
        </w:numPr>
        <w:ind w:left="180" w:leftChars="0"/>
        <w:rPr>
          <w:rFonts w:hint="eastAsia" w:ascii="仿宋" w:hAnsi="仿宋" w:eastAsia="仿宋" w:cs="仿宋"/>
          <w:color w:val="auto"/>
        </w:rPr>
      </w:pPr>
    </w:p>
    <w:p>
      <w:pPr>
        <w:rPr>
          <w:rFonts w:hint="eastAsia" w:ascii="仿宋" w:hAnsi="仿宋" w:eastAsia="仿宋" w:cs="仿宋"/>
          <w:color w:val="auto"/>
        </w:rPr>
      </w:pPr>
    </w:p>
    <w:p>
      <w:pPr>
        <w:pStyle w:val="6"/>
        <w:numPr>
          <w:ilvl w:val="2"/>
          <w:numId w:val="0"/>
        </w:numPr>
        <w:ind w:left="180" w:leftChars="0"/>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b/>
          <w:bCs/>
          <w:color w:val="auto"/>
          <w:sz w:val="24"/>
          <w:lang w:eastAsia="zh-CN"/>
        </w:rPr>
        <w:sectPr>
          <w:footerReference r:id="rId4" w:type="default"/>
          <w:pgSz w:w="11907" w:h="16840"/>
          <w:pgMar w:top="1474" w:right="1814" w:bottom="1474" w:left="1814" w:header="851" w:footer="851" w:gutter="0"/>
          <w:pgNumType w:fmt="decimal" w:start="1"/>
          <w:cols w:space="720" w:num="1"/>
        </w:sectPr>
      </w:pPr>
    </w:p>
    <w:p>
      <w:pPr>
        <w:rPr>
          <w:rFonts w:hint="eastAsia" w:ascii="仿宋" w:hAnsi="仿宋" w:eastAsia="仿宋" w:cs="仿宋"/>
          <w:b/>
          <w:color w:val="auto"/>
          <w:sz w:val="36"/>
          <w:szCs w:val="36"/>
        </w:rPr>
      </w:pPr>
    </w:p>
    <w:p>
      <w:pPr>
        <w:snapToGrid w:val="0"/>
        <w:spacing w:line="36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 xml:space="preserve">第四部分   </w:t>
      </w:r>
      <w:bookmarkStart w:id="59" w:name="_Toc184313306"/>
      <w:bookmarkEnd w:id="59"/>
      <w:bookmarkStart w:id="60" w:name="_Toc184312104"/>
      <w:bookmarkEnd w:id="60"/>
      <w:bookmarkStart w:id="61" w:name="_Toc184308087"/>
      <w:bookmarkEnd w:id="61"/>
      <w:bookmarkStart w:id="62" w:name="_Toc184308071"/>
      <w:bookmarkEnd w:id="62"/>
      <w:bookmarkStart w:id="63" w:name="_Toc184308107"/>
      <w:bookmarkEnd w:id="63"/>
      <w:bookmarkStart w:id="64" w:name="_Toc184310316"/>
      <w:bookmarkEnd w:id="64"/>
      <w:bookmarkStart w:id="65" w:name="_Toc184308066"/>
      <w:bookmarkEnd w:id="65"/>
      <w:bookmarkStart w:id="66" w:name="_Toc184314471"/>
      <w:bookmarkEnd w:id="66"/>
      <w:bookmarkStart w:id="67" w:name="_Toc184310297"/>
      <w:bookmarkEnd w:id="67"/>
      <w:bookmarkStart w:id="68" w:name="_Toc184313265"/>
      <w:bookmarkEnd w:id="68"/>
      <w:bookmarkStart w:id="69" w:name="_Toc184314479"/>
      <w:bookmarkEnd w:id="69"/>
      <w:bookmarkStart w:id="70" w:name="_Toc184314463"/>
      <w:bookmarkEnd w:id="70"/>
      <w:bookmarkStart w:id="71" w:name="_Toc184314455"/>
      <w:bookmarkEnd w:id="71"/>
      <w:bookmarkStart w:id="72" w:name="_Toc184310337"/>
      <w:bookmarkEnd w:id="72"/>
      <w:bookmarkStart w:id="73" w:name="_Toc184312135"/>
      <w:bookmarkEnd w:id="73"/>
      <w:bookmarkStart w:id="74" w:name="_Toc184314421"/>
      <w:bookmarkEnd w:id="74"/>
      <w:bookmarkStart w:id="75" w:name="_Toc184312102"/>
      <w:bookmarkEnd w:id="75"/>
      <w:bookmarkStart w:id="76" w:name="_Toc184314438"/>
      <w:bookmarkEnd w:id="76"/>
      <w:bookmarkStart w:id="77" w:name="_Toc184312129"/>
      <w:bookmarkEnd w:id="77"/>
      <w:bookmarkStart w:id="78" w:name="_Toc184314416"/>
      <w:bookmarkEnd w:id="78"/>
      <w:bookmarkStart w:id="79" w:name="_Toc184312101"/>
      <w:bookmarkEnd w:id="79"/>
      <w:bookmarkStart w:id="80" w:name="_Toc184312115"/>
      <w:bookmarkEnd w:id="80"/>
      <w:bookmarkStart w:id="81" w:name="_Toc184308072"/>
      <w:bookmarkEnd w:id="81"/>
      <w:bookmarkStart w:id="82" w:name="_Toc184313283"/>
      <w:bookmarkEnd w:id="82"/>
      <w:bookmarkStart w:id="83" w:name="_Toc184313277"/>
      <w:bookmarkEnd w:id="83"/>
      <w:bookmarkStart w:id="84" w:name="_Toc184308076"/>
      <w:bookmarkEnd w:id="84"/>
      <w:bookmarkStart w:id="85" w:name="_Toc184310296"/>
      <w:bookmarkEnd w:id="85"/>
      <w:bookmarkStart w:id="86" w:name="_Toc184314482"/>
      <w:bookmarkEnd w:id="86"/>
      <w:bookmarkStart w:id="87" w:name="_Toc184310324"/>
      <w:bookmarkEnd w:id="87"/>
      <w:bookmarkStart w:id="88" w:name="_Toc184313248"/>
      <w:bookmarkEnd w:id="88"/>
      <w:bookmarkStart w:id="89" w:name="_Toc184308048"/>
      <w:bookmarkEnd w:id="89"/>
      <w:bookmarkStart w:id="90" w:name="_Toc184313305"/>
      <w:bookmarkEnd w:id="90"/>
      <w:bookmarkStart w:id="91" w:name="_Toc184314411"/>
      <w:bookmarkEnd w:id="91"/>
      <w:bookmarkStart w:id="92" w:name="_Toc184314435"/>
      <w:bookmarkEnd w:id="92"/>
      <w:bookmarkStart w:id="93" w:name="_Toc184310294"/>
      <w:bookmarkEnd w:id="93"/>
      <w:bookmarkStart w:id="94" w:name="_Toc184308061"/>
      <w:bookmarkEnd w:id="94"/>
      <w:bookmarkStart w:id="95" w:name="_Toc184313282"/>
      <w:bookmarkEnd w:id="95"/>
      <w:bookmarkStart w:id="96" w:name="_Toc184314469"/>
      <w:bookmarkEnd w:id="96"/>
      <w:bookmarkStart w:id="97" w:name="_Toc184310290"/>
      <w:bookmarkEnd w:id="97"/>
      <w:bookmarkStart w:id="98" w:name="_Toc184310299"/>
      <w:bookmarkEnd w:id="98"/>
      <w:bookmarkStart w:id="99" w:name="_Toc184308086"/>
      <w:bookmarkEnd w:id="99"/>
      <w:bookmarkStart w:id="100" w:name="_Toc184312092"/>
      <w:bookmarkEnd w:id="100"/>
      <w:bookmarkStart w:id="101" w:name="_Toc184310342"/>
      <w:bookmarkEnd w:id="101"/>
      <w:bookmarkStart w:id="102" w:name="_Toc184312079"/>
      <w:bookmarkEnd w:id="102"/>
      <w:bookmarkStart w:id="103" w:name="_Toc184314454"/>
      <w:bookmarkEnd w:id="103"/>
      <w:bookmarkStart w:id="104" w:name="_Toc184310327"/>
      <w:bookmarkEnd w:id="104"/>
      <w:bookmarkStart w:id="105" w:name="_Toc184314460"/>
      <w:bookmarkEnd w:id="105"/>
      <w:bookmarkStart w:id="106" w:name="_Toc184314477"/>
      <w:bookmarkEnd w:id="106"/>
      <w:bookmarkStart w:id="107" w:name="_Toc184310318"/>
      <w:bookmarkEnd w:id="107"/>
      <w:bookmarkStart w:id="108" w:name="_Toc184310293"/>
      <w:bookmarkEnd w:id="108"/>
      <w:bookmarkStart w:id="109" w:name="_Toc184308045"/>
      <w:bookmarkEnd w:id="109"/>
      <w:bookmarkStart w:id="110" w:name="_Toc184314457"/>
      <w:bookmarkEnd w:id="110"/>
      <w:bookmarkStart w:id="111" w:name="_Toc184310314"/>
      <w:bookmarkEnd w:id="111"/>
      <w:bookmarkStart w:id="112" w:name="_Toc184313301"/>
      <w:bookmarkEnd w:id="112"/>
      <w:bookmarkStart w:id="113" w:name="_Toc184308046"/>
      <w:bookmarkEnd w:id="113"/>
      <w:bookmarkStart w:id="114" w:name="_Toc184308097"/>
      <w:bookmarkEnd w:id="114"/>
      <w:bookmarkStart w:id="115" w:name="_Toc184308039"/>
      <w:bookmarkEnd w:id="115"/>
      <w:bookmarkStart w:id="116" w:name="_Toc184313244"/>
      <w:bookmarkEnd w:id="116"/>
      <w:bookmarkStart w:id="117" w:name="_Toc184312085"/>
      <w:bookmarkEnd w:id="117"/>
      <w:bookmarkStart w:id="118" w:name="_Toc184308068"/>
      <w:bookmarkEnd w:id="118"/>
      <w:bookmarkStart w:id="119" w:name="_Toc184308054"/>
      <w:bookmarkEnd w:id="119"/>
      <w:bookmarkStart w:id="120" w:name="_Toc184312072"/>
      <w:bookmarkEnd w:id="120"/>
      <w:bookmarkStart w:id="121" w:name="_Toc184312128"/>
      <w:bookmarkEnd w:id="121"/>
      <w:bookmarkStart w:id="122" w:name="_Toc184313249"/>
      <w:bookmarkEnd w:id="122"/>
      <w:bookmarkStart w:id="123" w:name="_Toc184308099"/>
      <w:bookmarkEnd w:id="123"/>
      <w:bookmarkStart w:id="124" w:name="_Toc184310338"/>
      <w:bookmarkEnd w:id="124"/>
      <w:bookmarkStart w:id="125" w:name="_Toc184310304"/>
      <w:bookmarkEnd w:id="125"/>
      <w:bookmarkStart w:id="126" w:name="_Toc184313310"/>
      <w:bookmarkEnd w:id="126"/>
      <w:bookmarkStart w:id="127" w:name="_Toc184314452"/>
      <w:bookmarkEnd w:id="127"/>
      <w:bookmarkStart w:id="128" w:name="_Toc184314425"/>
      <w:bookmarkEnd w:id="128"/>
      <w:bookmarkStart w:id="129" w:name="_Toc184312117"/>
      <w:bookmarkEnd w:id="129"/>
      <w:bookmarkStart w:id="130" w:name="_Toc184310313"/>
      <w:bookmarkEnd w:id="130"/>
      <w:bookmarkStart w:id="131" w:name="_Toc184313273"/>
      <w:bookmarkEnd w:id="131"/>
      <w:bookmarkStart w:id="132" w:name="_Toc184312118"/>
      <w:bookmarkEnd w:id="132"/>
      <w:bookmarkStart w:id="133" w:name="_Toc184313250"/>
      <w:bookmarkEnd w:id="133"/>
      <w:bookmarkStart w:id="134" w:name="_Toc184314466"/>
      <w:bookmarkEnd w:id="134"/>
      <w:bookmarkStart w:id="135" w:name="_Toc184310308"/>
      <w:bookmarkEnd w:id="135"/>
      <w:bookmarkStart w:id="136" w:name="_Toc184313293"/>
      <w:bookmarkEnd w:id="136"/>
      <w:bookmarkStart w:id="137" w:name="_Toc184308088"/>
      <w:bookmarkEnd w:id="137"/>
      <w:bookmarkStart w:id="138" w:name="_Toc184314441"/>
      <w:bookmarkEnd w:id="138"/>
      <w:bookmarkStart w:id="139" w:name="_Toc184310322"/>
      <w:bookmarkEnd w:id="139"/>
      <w:bookmarkStart w:id="140" w:name="_Toc184310286"/>
      <w:bookmarkEnd w:id="140"/>
      <w:bookmarkStart w:id="141" w:name="_Toc184312069"/>
      <w:bookmarkEnd w:id="141"/>
      <w:bookmarkStart w:id="142" w:name="_Toc184314481"/>
      <w:bookmarkEnd w:id="142"/>
      <w:bookmarkStart w:id="143" w:name="_Toc184312116"/>
      <w:bookmarkEnd w:id="143"/>
      <w:bookmarkStart w:id="144" w:name="_Toc184313285"/>
      <w:bookmarkEnd w:id="144"/>
      <w:bookmarkStart w:id="145" w:name="_Toc184308049"/>
      <w:bookmarkEnd w:id="145"/>
      <w:bookmarkStart w:id="146" w:name="_Toc184313263"/>
      <w:bookmarkEnd w:id="146"/>
      <w:bookmarkStart w:id="147" w:name="_Toc184310321"/>
      <w:bookmarkEnd w:id="147"/>
      <w:bookmarkStart w:id="148" w:name="_Toc184310310"/>
      <w:bookmarkEnd w:id="148"/>
      <w:bookmarkStart w:id="149" w:name="_Toc184312130"/>
      <w:bookmarkEnd w:id="149"/>
      <w:bookmarkStart w:id="150" w:name="_Toc184314413"/>
      <w:bookmarkEnd w:id="150"/>
      <w:bookmarkStart w:id="151" w:name="_Toc184310319"/>
      <w:bookmarkEnd w:id="151"/>
      <w:bookmarkStart w:id="152" w:name="_Toc184312125"/>
      <w:bookmarkEnd w:id="152"/>
      <w:bookmarkStart w:id="153" w:name="_Toc184314456"/>
      <w:bookmarkEnd w:id="153"/>
      <w:bookmarkStart w:id="154" w:name="_Toc184308040"/>
      <w:bookmarkEnd w:id="154"/>
      <w:bookmarkStart w:id="155" w:name="_Toc184312087"/>
      <w:bookmarkEnd w:id="155"/>
      <w:bookmarkStart w:id="156" w:name="_Toc184308064"/>
      <w:bookmarkEnd w:id="156"/>
      <w:bookmarkStart w:id="157" w:name="_Toc184308089"/>
      <w:bookmarkEnd w:id="157"/>
      <w:bookmarkStart w:id="158" w:name="_Toc184310315"/>
      <w:bookmarkEnd w:id="158"/>
      <w:bookmarkStart w:id="159" w:name="_Toc184314474"/>
      <w:bookmarkEnd w:id="159"/>
      <w:bookmarkStart w:id="160" w:name="_Toc184312134"/>
      <w:bookmarkEnd w:id="160"/>
      <w:bookmarkStart w:id="161" w:name="_Toc184310278"/>
      <w:bookmarkEnd w:id="161"/>
      <w:bookmarkStart w:id="162" w:name="_Toc184308065"/>
      <w:bookmarkEnd w:id="162"/>
      <w:bookmarkStart w:id="163" w:name="_Toc184310301"/>
      <w:bookmarkEnd w:id="163"/>
      <w:bookmarkStart w:id="164" w:name="_Toc184314430"/>
      <w:bookmarkEnd w:id="164"/>
      <w:bookmarkStart w:id="165" w:name="_Toc184314476"/>
      <w:bookmarkEnd w:id="165"/>
      <w:bookmarkStart w:id="166" w:name="_Toc184308102"/>
      <w:bookmarkEnd w:id="166"/>
      <w:bookmarkStart w:id="167" w:name="_Toc184308105"/>
      <w:bookmarkEnd w:id="167"/>
      <w:bookmarkStart w:id="168" w:name="_Toc184310280"/>
      <w:bookmarkEnd w:id="168"/>
      <w:bookmarkStart w:id="169" w:name="_Toc184313299"/>
      <w:bookmarkEnd w:id="169"/>
      <w:bookmarkStart w:id="170" w:name="_Toc184313280"/>
      <w:bookmarkEnd w:id="170"/>
      <w:bookmarkStart w:id="171" w:name="_Toc184313270"/>
      <w:bookmarkEnd w:id="171"/>
      <w:bookmarkStart w:id="172" w:name="_Toc184310333"/>
      <w:bookmarkEnd w:id="172"/>
      <w:bookmarkStart w:id="173" w:name="_Toc184310325"/>
      <w:bookmarkEnd w:id="173"/>
      <w:bookmarkStart w:id="174" w:name="_Toc184312114"/>
      <w:bookmarkEnd w:id="174"/>
      <w:bookmarkStart w:id="175" w:name="_Toc184310306"/>
      <w:bookmarkEnd w:id="175"/>
      <w:bookmarkStart w:id="176" w:name="_Toc184312120"/>
      <w:bookmarkEnd w:id="176"/>
      <w:bookmarkStart w:id="177" w:name="_Toc184313278"/>
      <w:bookmarkEnd w:id="177"/>
      <w:bookmarkStart w:id="178" w:name="_Toc184308067"/>
      <w:bookmarkEnd w:id="178"/>
      <w:bookmarkStart w:id="179" w:name="_Toc184312100"/>
      <w:bookmarkEnd w:id="179"/>
      <w:bookmarkStart w:id="180" w:name="_Toc184313287"/>
      <w:bookmarkEnd w:id="180"/>
      <w:bookmarkStart w:id="181" w:name="_Toc184313240"/>
      <w:bookmarkEnd w:id="181"/>
      <w:bookmarkStart w:id="182" w:name="_Toc184308058"/>
      <w:bookmarkEnd w:id="182"/>
      <w:bookmarkStart w:id="183" w:name="_Toc184313241"/>
      <w:bookmarkEnd w:id="183"/>
      <w:bookmarkStart w:id="184" w:name="_Toc184312137"/>
      <w:bookmarkEnd w:id="184"/>
      <w:bookmarkStart w:id="185" w:name="_Toc184310329"/>
      <w:bookmarkEnd w:id="185"/>
      <w:bookmarkStart w:id="186" w:name="_Toc184314446"/>
      <w:bookmarkEnd w:id="186"/>
      <w:bookmarkStart w:id="187" w:name="_Toc184314459"/>
      <w:bookmarkEnd w:id="187"/>
      <w:bookmarkStart w:id="188" w:name="_Toc184312094"/>
      <w:bookmarkEnd w:id="188"/>
      <w:bookmarkStart w:id="189" w:name="_Toc184313242"/>
      <w:bookmarkEnd w:id="189"/>
      <w:bookmarkStart w:id="190" w:name="_Toc184314443"/>
      <w:bookmarkEnd w:id="190"/>
      <w:bookmarkStart w:id="191" w:name="_Toc184310303"/>
      <w:bookmarkEnd w:id="191"/>
      <w:bookmarkStart w:id="192" w:name="_Toc184314465"/>
      <w:bookmarkEnd w:id="192"/>
      <w:bookmarkStart w:id="193" w:name="_Toc184313297"/>
      <w:bookmarkEnd w:id="193"/>
      <w:bookmarkStart w:id="194" w:name="_Toc184312109"/>
      <w:bookmarkEnd w:id="194"/>
      <w:bookmarkStart w:id="195" w:name="_Toc184310335"/>
      <w:bookmarkEnd w:id="195"/>
      <w:bookmarkStart w:id="196" w:name="_Toc184313296"/>
      <w:bookmarkEnd w:id="196"/>
      <w:bookmarkStart w:id="197" w:name="_Toc184312126"/>
      <w:bookmarkEnd w:id="197"/>
      <w:bookmarkStart w:id="198" w:name="_Toc184310340"/>
      <w:bookmarkEnd w:id="198"/>
      <w:bookmarkStart w:id="199" w:name="_Toc184310331"/>
      <w:bookmarkEnd w:id="199"/>
      <w:bookmarkStart w:id="200" w:name="_Toc184314427"/>
      <w:bookmarkEnd w:id="200"/>
      <w:bookmarkStart w:id="201" w:name="_Toc184308042"/>
      <w:bookmarkEnd w:id="201"/>
      <w:bookmarkStart w:id="202" w:name="_Toc184308037"/>
      <w:bookmarkEnd w:id="202"/>
      <w:bookmarkStart w:id="203" w:name="_Toc184312097"/>
      <w:bookmarkEnd w:id="203"/>
      <w:bookmarkStart w:id="204" w:name="_Toc184310295"/>
      <w:bookmarkEnd w:id="204"/>
      <w:bookmarkStart w:id="205" w:name="_Toc184314475"/>
      <w:bookmarkEnd w:id="205"/>
      <w:bookmarkStart w:id="206" w:name="_Toc184313276"/>
      <w:bookmarkEnd w:id="206"/>
      <w:bookmarkStart w:id="207" w:name="_Toc184313247"/>
      <w:bookmarkEnd w:id="207"/>
      <w:bookmarkStart w:id="208" w:name="_Toc184308085"/>
      <w:bookmarkEnd w:id="208"/>
      <w:bookmarkStart w:id="209" w:name="_Toc184308094"/>
      <w:bookmarkEnd w:id="209"/>
      <w:bookmarkStart w:id="210" w:name="_Toc184308103"/>
      <w:bookmarkEnd w:id="210"/>
      <w:bookmarkStart w:id="211" w:name="_Toc184313308"/>
      <w:bookmarkEnd w:id="211"/>
      <w:bookmarkStart w:id="212" w:name="_Toc184312091"/>
      <w:bookmarkEnd w:id="212"/>
      <w:bookmarkStart w:id="213" w:name="_Toc184310334"/>
      <w:bookmarkEnd w:id="213"/>
      <w:bookmarkStart w:id="214" w:name="_Toc184312121"/>
      <w:bookmarkEnd w:id="214"/>
      <w:bookmarkStart w:id="215" w:name="_Toc184312122"/>
      <w:bookmarkEnd w:id="215"/>
      <w:bookmarkStart w:id="216" w:name="_Toc184312068"/>
      <w:bookmarkEnd w:id="216"/>
      <w:bookmarkStart w:id="217" w:name="_Toc184313253"/>
      <w:bookmarkEnd w:id="217"/>
      <w:bookmarkStart w:id="218" w:name="_Toc184314424"/>
      <w:bookmarkEnd w:id="218"/>
      <w:bookmarkStart w:id="219" w:name="_Toc184312076"/>
      <w:bookmarkEnd w:id="219"/>
      <w:bookmarkStart w:id="220" w:name="_Toc184312083"/>
      <w:bookmarkEnd w:id="220"/>
      <w:bookmarkStart w:id="221" w:name="_Toc184308055"/>
      <w:bookmarkEnd w:id="221"/>
      <w:bookmarkStart w:id="222" w:name="_Toc184308093"/>
      <w:bookmarkEnd w:id="222"/>
      <w:bookmarkStart w:id="223" w:name="_Toc184310291"/>
      <w:bookmarkEnd w:id="223"/>
      <w:bookmarkStart w:id="224" w:name="_Toc184310320"/>
      <w:bookmarkEnd w:id="224"/>
      <w:bookmarkStart w:id="225" w:name="_Toc184314439"/>
      <w:bookmarkEnd w:id="225"/>
      <w:bookmarkStart w:id="226" w:name="_Toc184312132"/>
      <w:bookmarkEnd w:id="226"/>
      <w:bookmarkStart w:id="227" w:name="_Toc184313303"/>
      <w:bookmarkEnd w:id="227"/>
      <w:bookmarkStart w:id="228" w:name="_Toc184308104"/>
      <w:bookmarkEnd w:id="228"/>
      <w:bookmarkStart w:id="229" w:name="_Toc184312113"/>
      <w:bookmarkEnd w:id="229"/>
      <w:bookmarkStart w:id="230" w:name="_Toc184308056"/>
      <w:bookmarkEnd w:id="230"/>
      <w:bookmarkStart w:id="231" w:name="_Toc184313288"/>
      <w:bookmarkEnd w:id="231"/>
      <w:bookmarkStart w:id="232" w:name="_Toc184313304"/>
      <w:bookmarkEnd w:id="232"/>
      <w:bookmarkStart w:id="233" w:name="_Toc184308077"/>
      <w:bookmarkEnd w:id="233"/>
      <w:bookmarkStart w:id="234" w:name="_Toc184308047"/>
      <w:bookmarkEnd w:id="234"/>
      <w:bookmarkStart w:id="235" w:name="_Toc184312096"/>
      <w:bookmarkEnd w:id="235"/>
      <w:bookmarkStart w:id="236" w:name="_Toc184312123"/>
      <w:bookmarkEnd w:id="236"/>
      <w:bookmarkStart w:id="237" w:name="_Toc184314440"/>
      <w:bookmarkEnd w:id="237"/>
      <w:bookmarkStart w:id="238" w:name="_Toc184308084"/>
      <w:bookmarkEnd w:id="238"/>
      <w:bookmarkStart w:id="239" w:name="_Toc184310305"/>
      <w:bookmarkEnd w:id="239"/>
      <w:bookmarkStart w:id="240" w:name="_Toc184312112"/>
      <w:bookmarkEnd w:id="240"/>
      <w:bookmarkStart w:id="241" w:name="_Toc184312108"/>
      <w:bookmarkEnd w:id="241"/>
      <w:bookmarkStart w:id="242" w:name="_Toc184313294"/>
      <w:bookmarkEnd w:id="242"/>
      <w:bookmarkStart w:id="243" w:name="_Toc184312136"/>
      <w:bookmarkEnd w:id="243"/>
      <w:bookmarkStart w:id="244" w:name="_Toc184314418"/>
      <w:bookmarkEnd w:id="244"/>
      <w:bookmarkStart w:id="245" w:name="_Toc184312070"/>
      <w:bookmarkEnd w:id="245"/>
      <w:bookmarkStart w:id="246" w:name="_Toc184308095"/>
      <w:bookmarkEnd w:id="246"/>
      <w:bookmarkStart w:id="247" w:name="_Toc184308060"/>
      <w:bookmarkEnd w:id="247"/>
      <w:bookmarkStart w:id="248" w:name="_Toc184314410"/>
      <w:bookmarkEnd w:id="248"/>
      <w:bookmarkStart w:id="249" w:name="_Toc184313298"/>
      <w:bookmarkEnd w:id="249"/>
      <w:bookmarkStart w:id="250" w:name="_Toc184312127"/>
      <w:bookmarkEnd w:id="250"/>
      <w:bookmarkStart w:id="251" w:name="_Toc184310332"/>
      <w:bookmarkEnd w:id="251"/>
      <w:bookmarkStart w:id="252" w:name="_Toc184308100"/>
      <w:bookmarkEnd w:id="252"/>
      <w:bookmarkStart w:id="253" w:name="_Toc184313289"/>
      <w:bookmarkEnd w:id="253"/>
      <w:bookmarkStart w:id="254" w:name="_Toc184308062"/>
      <w:bookmarkEnd w:id="254"/>
      <w:bookmarkStart w:id="255" w:name="_Toc184308052"/>
      <w:bookmarkEnd w:id="255"/>
      <w:bookmarkStart w:id="256" w:name="_Toc184313243"/>
      <w:bookmarkEnd w:id="256"/>
      <w:bookmarkStart w:id="257" w:name="_Toc184314467"/>
      <w:bookmarkEnd w:id="257"/>
      <w:bookmarkStart w:id="258" w:name="_Toc184314412"/>
      <w:bookmarkEnd w:id="258"/>
      <w:bookmarkStart w:id="259" w:name="_Toc184313260"/>
      <w:bookmarkEnd w:id="259"/>
      <w:bookmarkStart w:id="260" w:name="_Toc184310341"/>
      <w:bookmarkEnd w:id="260"/>
      <w:bookmarkStart w:id="261" w:name="_Toc184312081"/>
      <w:bookmarkEnd w:id="261"/>
      <w:bookmarkStart w:id="262" w:name="_Toc184314419"/>
      <w:bookmarkEnd w:id="262"/>
      <w:bookmarkStart w:id="263" w:name="_Toc184313239"/>
      <w:bookmarkEnd w:id="263"/>
      <w:bookmarkStart w:id="264" w:name="_Toc184310312"/>
      <w:bookmarkEnd w:id="264"/>
      <w:bookmarkStart w:id="265" w:name="_Toc184312088"/>
      <w:bookmarkEnd w:id="265"/>
      <w:bookmarkStart w:id="266" w:name="_Toc184314436"/>
      <w:bookmarkEnd w:id="266"/>
      <w:bookmarkStart w:id="267" w:name="_Toc184314420"/>
      <w:bookmarkEnd w:id="267"/>
      <w:bookmarkStart w:id="268" w:name="_Toc184308081"/>
      <w:bookmarkEnd w:id="268"/>
      <w:bookmarkStart w:id="269" w:name="_Toc184312073"/>
      <w:bookmarkEnd w:id="269"/>
      <w:bookmarkStart w:id="270" w:name="_Toc184313246"/>
      <w:bookmarkEnd w:id="270"/>
      <w:bookmarkStart w:id="271" w:name="_Toc184312078"/>
      <w:bookmarkEnd w:id="271"/>
      <w:bookmarkStart w:id="272" w:name="_Toc184308078"/>
      <w:bookmarkEnd w:id="272"/>
      <w:bookmarkStart w:id="273" w:name="_Toc184314447"/>
      <w:bookmarkEnd w:id="273"/>
      <w:bookmarkStart w:id="274" w:name="_Toc184314470"/>
      <w:bookmarkEnd w:id="274"/>
      <w:bookmarkStart w:id="275" w:name="_Toc184314480"/>
      <w:bookmarkEnd w:id="275"/>
      <w:bookmarkStart w:id="276" w:name="_Toc184313292"/>
      <w:bookmarkEnd w:id="276"/>
      <w:bookmarkStart w:id="277" w:name="_Toc184310317"/>
      <w:bookmarkEnd w:id="277"/>
      <w:bookmarkStart w:id="278" w:name="_Toc184313291"/>
      <w:bookmarkEnd w:id="278"/>
      <w:bookmarkStart w:id="279" w:name="_Toc184312090"/>
      <w:bookmarkEnd w:id="279"/>
      <w:bookmarkStart w:id="280" w:name="_Toc184308073"/>
      <w:bookmarkEnd w:id="280"/>
      <w:bookmarkStart w:id="281" w:name="_Toc184310330"/>
      <w:bookmarkEnd w:id="281"/>
      <w:bookmarkStart w:id="282" w:name="_Toc184313300"/>
      <w:bookmarkEnd w:id="282"/>
      <w:bookmarkStart w:id="283" w:name="_Toc184308036"/>
      <w:bookmarkEnd w:id="283"/>
      <w:bookmarkStart w:id="284" w:name="_Toc184312124"/>
      <w:bookmarkEnd w:id="284"/>
      <w:bookmarkStart w:id="285" w:name="_Toc184313272"/>
      <w:bookmarkEnd w:id="285"/>
      <w:bookmarkStart w:id="286" w:name="_Toc184310288"/>
      <w:bookmarkEnd w:id="286"/>
      <w:bookmarkStart w:id="287" w:name="_Toc184310302"/>
      <w:bookmarkEnd w:id="287"/>
      <w:bookmarkStart w:id="288" w:name="_Toc184312082"/>
      <w:bookmarkEnd w:id="288"/>
      <w:bookmarkStart w:id="289" w:name="_Toc184313245"/>
      <w:bookmarkEnd w:id="289"/>
      <w:bookmarkStart w:id="290" w:name="_Toc184308043"/>
      <w:bookmarkEnd w:id="290"/>
      <w:bookmarkStart w:id="291" w:name="_Toc184313269"/>
      <w:bookmarkEnd w:id="291"/>
      <w:bookmarkStart w:id="292" w:name="_Toc184308050"/>
      <w:bookmarkEnd w:id="292"/>
      <w:bookmarkStart w:id="293" w:name="_Toc184314464"/>
      <w:bookmarkEnd w:id="293"/>
      <w:bookmarkStart w:id="294" w:name="_Toc184308059"/>
      <w:bookmarkEnd w:id="294"/>
      <w:bookmarkStart w:id="295" w:name="_Toc184313255"/>
      <w:bookmarkEnd w:id="295"/>
      <w:bookmarkStart w:id="296" w:name="_Toc184312105"/>
      <w:bookmarkEnd w:id="296"/>
      <w:bookmarkStart w:id="297" w:name="_Toc184310309"/>
      <w:bookmarkEnd w:id="297"/>
      <w:bookmarkStart w:id="298" w:name="_Toc184314473"/>
      <w:bookmarkEnd w:id="298"/>
      <w:bookmarkStart w:id="299" w:name="_Toc184313266"/>
      <w:bookmarkEnd w:id="299"/>
      <w:bookmarkStart w:id="300" w:name="_Toc184308079"/>
      <w:bookmarkEnd w:id="300"/>
      <w:bookmarkStart w:id="301" w:name="_Toc184313256"/>
      <w:bookmarkEnd w:id="301"/>
      <w:bookmarkStart w:id="302" w:name="_Toc184308091"/>
      <w:bookmarkEnd w:id="302"/>
      <w:bookmarkStart w:id="303" w:name="_Toc184313309"/>
      <w:bookmarkEnd w:id="303"/>
      <w:bookmarkStart w:id="304" w:name="_Toc184314431"/>
      <w:bookmarkEnd w:id="304"/>
      <w:bookmarkStart w:id="305" w:name="_Toc184308057"/>
      <w:bookmarkEnd w:id="305"/>
      <w:bookmarkStart w:id="306" w:name="_Toc184313264"/>
      <w:bookmarkEnd w:id="306"/>
      <w:bookmarkStart w:id="307" w:name="_Toc184310326"/>
      <w:bookmarkEnd w:id="307"/>
      <w:bookmarkStart w:id="308" w:name="_Toc184313307"/>
      <w:bookmarkEnd w:id="308"/>
      <w:bookmarkStart w:id="309" w:name="_Toc184310276"/>
      <w:bookmarkEnd w:id="309"/>
      <w:bookmarkStart w:id="310" w:name="_Toc184312119"/>
      <w:bookmarkEnd w:id="310"/>
      <w:bookmarkStart w:id="311" w:name="_Toc184310272"/>
      <w:bookmarkEnd w:id="311"/>
      <w:bookmarkStart w:id="312" w:name="_Toc184310311"/>
      <w:bookmarkEnd w:id="312"/>
      <w:bookmarkStart w:id="313" w:name="_Toc184314478"/>
      <w:bookmarkEnd w:id="313"/>
      <w:bookmarkStart w:id="314" w:name="_Toc184310285"/>
      <w:bookmarkEnd w:id="314"/>
      <w:bookmarkStart w:id="315" w:name="_Toc184310273"/>
      <w:bookmarkEnd w:id="315"/>
      <w:bookmarkStart w:id="316" w:name="_Toc184308106"/>
      <w:bookmarkEnd w:id="316"/>
      <w:bookmarkStart w:id="317" w:name="_Toc184312093"/>
      <w:bookmarkEnd w:id="317"/>
      <w:bookmarkStart w:id="318" w:name="_Toc184314414"/>
      <w:bookmarkEnd w:id="318"/>
      <w:bookmarkStart w:id="319" w:name="_Toc184314448"/>
      <w:bookmarkEnd w:id="319"/>
      <w:bookmarkStart w:id="320" w:name="_Toc184310283"/>
      <w:bookmarkEnd w:id="320"/>
      <w:bookmarkStart w:id="321" w:name="_Toc184312139"/>
      <w:bookmarkEnd w:id="321"/>
      <w:bookmarkStart w:id="322" w:name="_Toc184312110"/>
      <w:bookmarkEnd w:id="322"/>
      <w:bookmarkStart w:id="323" w:name="_Toc184308051"/>
      <w:bookmarkEnd w:id="323"/>
      <w:bookmarkStart w:id="324" w:name="_Toc184312106"/>
      <w:bookmarkEnd w:id="324"/>
      <w:bookmarkStart w:id="325" w:name="_Toc184312067"/>
      <w:bookmarkEnd w:id="325"/>
      <w:bookmarkStart w:id="326" w:name="_Toc184312077"/>
      <w:bookmarkEnd w:id="326"/>
      <w:bookmarkStart w:id="327" w:name="_Toc184310275"/>
      <w:bookmarkEnd w:id="327"/>
      <w:bookmarkStart w:id="328" w:name="_Toc184314417"/>
      <w:bookmarkEnd w:id="328"/>
      <w:bookmarkStart w:id="329" w:name="_Toc184310339"/>
      <w:bookmarkEnd w:id="329"/>
      <w:bookmarkStart w:id="330" w:name="_Toc184312080"/>
      <w:bookmarkEnd w:id="330"/>
      <w:bookmarkStart w:id="331" w:name="_Toc184310279"/>
      <w:bookmarkEnd w:id="331"/>
      <w:bookmarkStart w:id="332" w:name="_Toc184312098"/>
      <w:bookmarkEnd w:id="332"/>
      <w:bookmarkStart w:id="333" w:name="_Toc184313252"/>
      <w:bookmarkEnd w:id="333"/>
      <w:bookmarkStart w:id="334" w:name="_Toc184314444"/>
      <w:bookmarkEnd w:id="334"/>
      <w:bookmarkStart w:id="335" w:name="_Toc184313238"/>
      <w:bookmarkEnd w:id="335"/>
      <w:bookmarkStart w:id="336" w:name="_Toc184310277"/>
      <w:bookmarkEnd w:id="336"/>
      <w:bookmarkStart w:id="337" w:name="_Toc184314453"/>
      <w:bookmarkEnd w:id="337"/>
      <w:bookmarkStart w:id="338" w:name="_Toc184314445"/>
      <w:bookmarkEnd w:id="338"/>
      <w:bookmarkStart w:id="339" w:name="_Toc184312138"/>
      <w:bookmarkEnd w:id="339"/>
      <w:bookmarkStart w:id="340" w:name="_Toc184314429"/>
      <w:bookmarkEnd w:id="340"/>
      <w:bookmarkStart w:id="341" w:name="_Toc184314433"/>
      <w:bookmarkEnd w:id="341"/>
      <w:bookmarkStart w:id="342" w:name="_Toc184308074"/>
      <w:bookmarkEnd w:id="342"/>
      <w:bookmarkStart w:id="343" w:name="_Toc184310300"/>
      <w:bookmarkEnd w:id="343"/>
      <w:bookmarkStart w:id="344" w:name="_Toc184314422"/>
      <w:bookmarkEnd w:id="344"/>
      <w:bookmarkStart w:id="345" w:name="_Toc184308080"/>
      <w:bookmarkEnd w:id="345"/>
      <w:bookmarkStart w:id="346" w:name="_Toc184313284"/>
      <w:bookmarkEnd w:id="346"/>
      <w:bookmarkStart w:id="347" w:name="_Toc184312107"/>
      <w:bookmarkEnd w:id="347"/>
      <w:bookmarkStart w:id="348" w:name="_Toc184312103"/>
      <w:bookmarkEnd w:id="348"/>
      <w:bookmarkStart w:id="349" w:name="_Toc184310274"/>
      <w:bookmarkEnd w:id="349"/>
      <w:bookmarkStart w:id="350" w:name="_Toc184313302"/>
      <w:bookmarkEnd w:id="350"/>
      <w:bookmarkStart w:id="351" w:name="_Toc184313257"/>
      <w:bookmarkEnd w:id="351"/>
      <w:bookmarkStart w:id="352" w:name="_Toc184312111"/>
      <w:bookmarkEnd w:id="352"/>
      <w:bookmarkStart w:id="353" w:name="_Toc184308096"/>
      <w:bookmarkEnd w:id="353"/>
      <w:bookmarkStart w:id="354" w:name="_Toc184313258"/>
      <w:bookmarkEnd w:id="354"/>
      <w:bookmarkStart w:id="355" w:name="_Toc184308090"/>
      <w:bookmarkEnd w:id="355"/>
      <w:bookmarkStart w:id="356" w:name="_Toc184312084"/>
      <w:bookmarkEnd w:id="356"/>
      <w:bookmarkStart w:id="357" w:name="_Toc184312099"/>
      <w:bookmarkEnd w:id="357"/>
      <w:bookmarkStart w:id="358" w:name="_Toc184312074"/>
      <w:bookmarkEnd w:id="358"/>
      <w:bookmarkStart w:id="359" w:name="_Toc184308098"/>
      <w:bookmarkEnd w:id="359"/>
      <w:bookmarkStart w:id="360" w:name="_Toc184313281"/>
      <w:bookmarkEnd w:id="360"/>
      <w:bookmarkStart w:id="361" w:name="_Toc184314415"/>
      <w:bookmarkEnd w:id="361"/>
      <w:bookmarkStart w:id="362" w:name="_Toc184313279"/>
      <w:bookmarkEnd w:id="362"/>
      <w:bookmarkStart w:id="363" w:name="_Toc184310323"/>
      <w:bookmarkEnd w:id="363"/>
      <w:bookmarkStart w:id="364" w:name="_Toc184308041"/>
      <w:bookmarkEnd w:id="364"/>
      <w:bookmarkStart w:id="365" w:name="_Toc184313286"/>
      <w:bookmarkEnd w:id="365"/>
      <w:bookmarkStart w:id="366" w:name="_Toc184308038"/>
      <w:bookmarkEnd w:id="366"/>
      <w:bookmarkStart w:id="367" w:name="_Toc184312071"/>
      <w:bookmarkEnd w:id="367"/>
      <w:bookmarkStart w:id="368" w:name="_Toc184314458"/>
      <w:bookmarkEnd w:id="368"/>
      <w:bookmarkStart w:id="369" w:name="_Toc184308108"/>
      <w:bookmarkEnd w:id="369"/>
      <w:bookmarkStart w:id="370" w:name="_Toc184308082"/>
      <w:bookmarkEnd w:id="370"/>
      <w:bookmarkStart w:id="371" w:name="_Toc184310292"/>
      <w:bookmarkEnd w:id="371"/>
      <w:bookmarkStart w:id="372" w:name="_Toc184313262"/>
      <w:bookmarkEnd w:id="372"/>
      <w:bookmarkStart w:id="373" w:name="_Toc184310287"/>
      <w:bookmarkEnd w:id="373"/>
      <w:bookmarkStart w:id="374" w:name="_Toc184314426"/>
      <w:bookmarkEnd w:id="374"/>
      <w:bookmarkStart w:id="375" w:name="_Toc184314428"/>
      <w:bookmarkEnd w:id="375"/>
      <w:bookmarkStart w:id="376" w:name="_Toc184310328"/>
      <w:bookmarkEnd w:id="376"/>
      <w:bookmarkStart w:id="377" w:name="_Toc184314468"/>
      <w:bookmarkEnd w:id="377"/>
      <w:bookmarkStart w:id="378" w:name="_Toc184308063"/>
      <w:bookmarkEnd w:id="378"/>
      <w:bookmarkStart w:id="379" w:name="_Toc184308053"/>
      <w:bookmarkEnd w:id="379"/>
      <w:bookmarkStart w:id="380" w:name="_Toc184312086"/>
      <w:bookmarkEnd w:id="380"/>
      <w:bookmarkStart w:id="381" w:name="_Toc184313267"/>
      <w:bookmarkEnd w:id="381"/>
      <w:bookmarkStart w:id="382" w:name="_Toc184313274"/>
      <w:bookmarkEnd w:id="382"/>
      <w:bookmarkStart w:id="383" w:name="_Toc184310298"/>
      <w:bookmarkEnd w:id="383"/>
      <w:bookmarkStart w:id="384" w:name="_Toc184310336"/>
      <w:bookmarkEnd w:id="384"/>
      <w:bookmarkStart w:id="385" w:name="_Toc184314432"/>
      <w:bookmarkEnd w:id="385"/>
      <w:bookmarkStart w:id="386" w:name="_Toc184314442"/>
      <w:bookmarkEnd w:id="386"/>
      <w:bookmarkStart w:id="387" w:name="_Toc184308044"/>
      <w:bookmarkEnd w:id="387"/>
      <w:bookmarkStart w:id="388" w:name="_Toc184314437"/>
      <w:bookmarkEnd w:id="388"/>
      <w:bookmarkStart w:id="389" w:name="_Toc184314451"/>
      <w:bookmarkEnd w:id="389"/>
      <w:bookmarkStart w:id="390" w:name="_Toc184313271"/>
      <w:bookmarkEnd w:id="390"/>
      <w:bookmarkStart w:id="391" w:name="_Toc184312131"/>
      <w:bookmarkEnd w:id="391"/>
      <w:bookmarkStart w:id="392" w:name="_Toc184310343"/>
      <w:bookmarkEnd w:id="392"/>
      <w:bookmarkStart w:id="393" w:name="_Toc184312089"/>
      <w:bookmarkEnd w:id="393"/>
      <w:bookmarkStart w:id="394" w:name="_Toc184310289"/>
      <w:bookmarkEnd w:id="394"/>
      <w:bookmarkStart w:id="395" w:name="_Toc184314472"/>
      <w:bookmarkEnd w:id="395"/>
      <w:bookmarkStart w:id="396" w:name="_Toc184313259"/>
      <w:bookmarkEnd w:id="396"/>
      <w:bookmarkStart w:id="397" w:name="_Toc184313295"/>
      <w:bookmarkEnd w:id="397"/>
      <w:bookmarkStart w:id="398" w:name="_Toc184313275"/>
      <w:bookmarkEnd w:id="398"/>
      <w:bookmarkStart w:id="399" w:name="_Toc184313251"/>
      <w:bookmarkEnd w:id="399"/>
      <w:bookmarkStart w:id="400" w:name="_Toc184310284"/>
      <w:bookmarkEnd w:id="400"/>
      <w:bookmarkStart w:id="401" w:name="_Toc184313290"/>
      <w:bookmarkEnd w:id="401"/>
      <w:bookmarkStart w:id="402" w:name="_Toc184308069"/>
      <w:bookmarkEnd w:id="402"/>
      <w:bookmarkStart w:id="403" w:name="_Toc184310282"/>
      <w:bookmarkEnd w:id="403"/>
      <w:bookmarkStart w:id="404" w:name="_Toc184312075"/>
      <w:bookmarkEnd w:id="404"/>
      <w:bookmarkStart w:id="405" w:name="_Toc184312095"/>
      <w:bookmarkEnd w:id="405"/>
      <w:bookmarkStart w:id="406" w:name="_Toc184308092"/>
      <w:bookmarkEnd w:id="406"/>
      <w:bookmarkStart w:id="407" w:name="_Toc184308083"/>
      <w:bookmarkEnd w:id="407"/>
      <w:bookmarkStart w:id="408" w:name="_Toc184314423"/>
      <w:bookmarkEnd w:id="408"/>
      <w:bookmarkStart w:id="409" w:name="_Toc184313268"/>
      <w:bookmarkEnd w:id="409"/>
      <w:bookmarkStart w:id="410" w:name="_Toc184314462"/>
      <w:bookmarkEnd w:id="410"/>
      <w:bookmarkStart w:id="411" w:name="_Toc184312133"/>
      <w:bookmarkEnd w:id="411"/>
      <w:bookmarkStart w:id="412" w:name="_Toc184310344"/>
      <w:bookmarkEnd w:id="412"/>
      <w:bookmarkStart w:id="413" w:name="_Toc184314461"/>
      <w:bookmarkEnd w:id="413"/>
      <w:bookmarkStart w:id="414" w:name="_Toc184308070"/>
      <w:bookmarkEnd w:id="414"/>
      <w:bookmarkStart w:id="415" w:name="_Toc184308101"/>
      <w:bookmarkEnd w:id="415"/>
      <w:bookmarkStart w:id="416" w:name="_Toc184310281"/>
      <w:bookmarkEnd w:id="416"/>
      <w:bookmarkStart w:id="417" w:name="_Toc184314450"/>
      <w:bookmarkEnd w:id="417"/>
      <w:bookmarkStart w:id="418" w:name="_Toc184313261"/>
      <w:bookmarkEnd w:id="418"/>
      <w:bookmarkStart w:id="419" w:name="_Toc184314434"/>
      <w:bookmarkEnd w:id="419"/>
      <w:bookmarkStart w:id="420" w:name="_Toc184310307"/>
      <w:bookmarkEnd w:id="420"/>
      <w:bookmarkStart w:id="421" w:name="_Toc184313254"/>
      <w:bookmarkEnd w:id="421"/>
      <w:bookmarkStart w:id="422" w:name="_Toc184314449"/>
      <w:bookmarkEnd w:id="422"/>
      <w:bookmarkStart w:id="423" w:name="_Toc184308075"/>
      <w:bookmarkEnd w:id="423"/>
      <w:r>
        <w:rPr>
          <w:rFonts w:hint="eastAsia" w:ascii="仿宋" w:hAnsi="仿宋" w:eastAsia="仿宋" w:cs="仿宋"/>
          <w:b/>
          <w:color w:val="auto"/>
          <w:sz w:val="36"/>
          <w:szCs w:val="36"/>
        </w:rPr>
        <w:t>评标办法</w:t>
      </w:r>
    </w:p>
    <w:p>
      <w:pPr>
        <w:snapToGrid w:val="0"/>
        <w:spacing w:line="360" w:lineRule="auto"/>
        <w:jc w:val="center"/>
        <w:rPr>
          <w:rFonts w:hint="eastAsia" w:ascii="仿宋" w:hAnsi="仿宋" w:eastAsia="仿宋" w:cs="仿宋"/>
          <w:b/>
          <w:color w:val="auto"/>
          <w:sz w:val="32"/>
          <w:szCs w:val="20"/>
        </w:rPr>
      </w:pPr>
      <w:r>
        <w:rPr>
          <w:rFonts w:hint="eastAsia" w:ascii="仿宋" w:hAnsi="仿宋" w:eastAsia="仿宋" w:cs="仿宋"/>
          <w:b/>
          <w:color w:val="auto"/>
          <w:sz w:val="32"/>
          <w:szCs w:val="20"/>
        </w:rPr>
        <w:t>评标办法前附表</w:t>
      </w:r>
    </w:p>
    <w:p>
      <w:pPr>
        <w:widowControl/>
        <w:spacing w:line="360" w:lineRule="auto"/>
        <w:outlineLvl w:val="1"/>
        <w:rPr>
          <w:rFonts w:hint="eastAsia" w:ascii="仿宋" w:hAnsi="仿宋" w:eastAsia="仿宋" w:cs="仿宋"/>
          <w:color w:val="auto"/>
          <w:sz w:val="20"/>
          <w:szCs w:val="20"/>
          <w:shd w:val="clear" w:color="auto" w:fill="FFFFFF"/>
        </w:rPr>
      </w:pPr>
      <w:r>
        <w:rPr>
          <w:rFonts w:hint="eastAsia" w:ascii="仿宋" w:hAnsi="仿宋" w:eastAsia="仿宋" w:cs="仿宋"/>
          <w:color w:val="auto"/>
          <w:sz w:val="22"/>
          <w:szCs w:val="22"/>
        </w:rPr>
        <w:t>1、商务资信（</w:t>
      </w:r>
      <w:r>
        <w:rPr>
          <w:rFonts w:hint="eastAsia" w:ascii="仿宋" w:hAnsi="仿宋" w:eastAsia="仿宋" w:cs="仿宋"/>
          <w:color w:val="auto"/>
          <w:sz w:val="22"/>
          <w:szCs w:val="22"/>
          <w:lang w:val="en-US" w:eastAsia="zh-CN"/>
        </w:rPr>
        <w:t>19</w:t>
      </w:r>
      <w:r>
        <w:rPr>
          <w:rFonts w:hint="eastAsia" w:ascii="仿宋" w:hAnsi="仿宋" w:eastAsia="仿宋" w:cs="仿宋"/>
          <w:color w:val="auto"/>
          <w:sz w:val="22"/>
          <w:szCs w:val="22"/>
        </w:rPr>
        <w:t>分）</w:t>
      </w:r>
    </w:p>
    <w:tbl>
      <w:tblPr>
        <w:tblStyle w:val="62"/>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567"/>
        <w:gridCol w:w="5381"/>
        <w:gridCol w:w="85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46" w:type="dxa"/>
            <w:shd w:val="clear" w:color="auto" w:fill="auto"/>
            <w:vAlign w:val="center"/>
          </w:tcPr>
          <w:p>
            <w:pPr>
              <w:widowControl/>
              <w:spacing w:line="360" w:lineRule="auto"/>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w:t>序号</w:t>
            </w:r>
          </w:p>
        </w:tc>
        <w:tc>
          <w:tcPr>
            <w:tcW w:w="5948" w:type="dxa"/>
            <w:gridSpan w:val="2"/>
            <w:shd w:val="clear" w:color="auto" w:fill="auto"/>
            <w:vAlign w:val="center"/>
          </w:tcPr>
          <w:p>
            <w:pPr>
              <w:widowControl/>
              <w:spacing w:line="360" w:lineRule="auto"/>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w:t>评分内容和标准</w:t>
            </w:r>
          </w:p>
        </w:tc>
        <w:tc>
          <w:tcPr>
            <w:tcW w:w="851" w:type="dxa"/>
            <w:shd w:val="clear" w:color="auto" w:fill="auto"/>
            <w:vAlign w:val="center"/>
          </w:tcPr>
          <w:p>
            <w:pPr>
              <w:widowControl/>
              <w:spacing w:line="360" w:lineRule="auto"/>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w:t>权重</w:t>
            </w:r>
          </w:p>
        </w:tc>
        <w:tc>
          <w:tcPr>
            <w:tcW w:w="1134" w:type="dxa"/>
            <w:vAlign w:val="center"/>
          </w:tcPr>
          <w:p>
            <w:pPr>
              <w:widowControl/>
              <w:spacing w:line="360" w:lineRule="auto"/>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w:t>主客观分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46" w:type="dxa"/>
            <w:vMerge w:val="restart"/>
            <w:shd w:val="clear" w:color="auto" w:fill="auto"/>
            <w:vAlign w:val="center"/>
          </w:tcPr>
          <w:p>
            <w:pPr>
              <w:widowControl/>
              <w:spacing w:line="360" w:lineRule="auto"/>
              <w:rPr>
                <w:rFonts w:hint="eastAsia" w:ascii="仿宋" w:hAnsi="仿宋" w:eastAsia="仿宋" w:cs="仿宋"/>
                <w:color w:val="auto"/>
                <w:sz w:val="22"/>
                <w:szCs w:val="22"/>
              </w:rPr>
            </w:pPr>
            <w:r>
              <w:rPr>
                <w:rFonts w:hint="eastAsia" w:ascii="仿宋" w:hAnsi="仿宋" w:eastAsia="仿宋" w:cs="仿宋"/>
                <w:color w:val="auto"/>
                <w:sz w:val="22"/>
                <w:szCs w:val="22"/>
              </w:rPr>
              <w:t>商务资 信分(</w:t>
            </w:r>
            <w:r>
              <w:rPr>
                <w:rFonts w:hint="eastAsia" w:ascii="仿宋" w:hAnsi="仿宋" w:eastAsia="仿宋" w:cs="仿宋"/>
                <w:color w:val="auto"/>
                <w:sz w:val="22"/>
                <w:szCs w:val="22"/>
                <w:lang w:val="en-US" w:eastAsia="zh-CN"/>
              </w:rPr>
              <w:t>19</w:t>
            </w:r>
            <w:r>
              <w:rPr>
                <w:rFonts w:hint="eastAsia" w:ascii="仿宋" w:hAnsi="仿宋" w:eastAsia="仿宋" w:cs="仿宋"/>
                <w:color w:val="auto"/>
                <w:sz w:val="22"/>
                <w:szCs w:val="22"/>
              </w:rPr>
              <w:t>分)</w:t>
            </w:r>
          </w:p>
        </w:tc>
        <w:tc>
          <w:tcPr>
            <w:tcW w:w="567" w:type="dxa"/>
            <w:shd w:val="clear" w:color="auto" w:fill="auto"/>
            <w:vAlign w:val="center"/>
          </w:tcPr>
          <w:p>
            <w:pPr>
              <w:widowControl/>
              <w:spacing w:line="360"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1</w:t>
            </w:r>
          </w:p>
        </w:tc>
        <w:tc>
          <w:tcPr>
            <w:tcW w:w="5381" w:type="dxa"/>
            <w:shd w:val="clear" w:color="auto" w:fill="auto"/>
            <w:vAlign w:val="center"/>
          </w:tcPr>
          <w:p>
            <w:pPr>
              <w:widowControl/>
              <w:spacing w:line="360" w:lineRule="auto"/>
              <w:rPr>
                <w:rFonts w:hint="eastAsia" w:ascii="仿宋" w:hAnsi="仿宋" w:eastAsia="仿宋" w:cs="仿宋"/>
                <w:color w:val="auto"/>
                <w:sz w:val="22"/>
                <w:szCs w:val="22"/>
              </w:rPr>
            </w:pPr>
            <w:r>
              <w:rPr>
                <w:rFonts w:hint="eastAsia" w:ascii="仿宋" w:hAnsi="仿宋" w:eastAsia="仿宋" w:cs="仿宋"/>
                <w:color w:val="auto"/>
                <w:sz w:val="22"/>
                <w:szCs w:val="22"/>
              </w:rPr>
              <w:t>投标人自2018年1月1日至今（以合同签订时间为准）具有同类业绩的，每个业绩得1分，最高得</w:t>
            </w:r>
            <w:r>
              <w:rPr>
                <w:rFonts w:hint="eastAsia" w:ascii="仿宋" w:hAnsi="仿宋" w:eastAsia="仿宋" w:cs="仿宋"/>
                <w:color w:val="auto"/>
                <w:sz w:val="22"/>
                <w:szCs w:val="22"/>
                <w:lang w:val="en-US" w:eastAsia="zh-CN"/>
              </w:rPr>
              <w:t>3</w:t>
            </w:r>
            <w:r>
              <w:rPr>
                <w:rFonts w:hint="eastAsia" w:ascii="仿宋" w:hAnsi="仿宋" w:eastAsia="仿宋" w:cs="仿宋"/>
                <w:color w:val="auto"/>
                <w:sz w:val="22"/>
                <w:szCs w:val="22"/>
              </w:rPr>
              <w:t>分。</w:t>
            </w:r>
          </w:p>
          <w:p>
            <w:pPr>
              <w:widowControl/>
              <w:spacing w:line="360" w:lineRule="auto"/>
              <w:rPr>
                <w:rFonts w:hint="eastAsia" w:ascii="仿宋" w:hAnsi="仿宋" w:eastAsia="仿宋" w:cs="仿宋"/>
                <w:color w:val="auto"/>
                <w:sz w:val="22"/>
                <w:szCs w:val="22"/>
              </w:rPr>
            </w:pPr>
            <w:r>
              <w:rPr>
                <w:rFonts w:hint="eastAsia" w:ascii="仿宋" w:hAnsi="仿宋" w:eastAsia="仿宋" w:cs="仿宋"/>
                <w:color w:val="auto"/>
                <w:sz w:val="22"/>
                <w:szCs w:val="22"/>
              </w:rPr>
              <w:t>【同类业绩：指应急广播、应急联动指挥相关的同类项目业绩。证明材料：投标文件中提供合同复印件并加盖公章，</w:t>
            </w:r>
            <w:r>
              <w:rPr>
                <w:rFonts w:hint="eastAsia" w:ascii="仿宋" w:hAnsi="仿宋" w:eastAsia="仿宋" w:cs="仿宋"/>
                <w:color w:val="auto"/>
                <w:kern w:val="0"/>
                <w:sz w:val="22"/>
                <w:szCs w:val="22"/>
              </w:rPr>
              <w:t>未按要求提供证明材料的不得分</w:t>
            </w:r>
            <w:r>
              <w:rPr>
                <w:rFonts w:hint="eastAsia" w:ascii="仿宋" w:hAnsi="仿宋" w:eastAsia="仿宋" w:cs="仿宋"/>
                <w:color w:val="auto"/>
                <w:sz w:val="22"/>
                <w:szCs w:val="22"/>
              </w:rPr>
              <w:t>】</w:t>
            </w:r>
          </w:p>
        </w:tc>
        <w:tc>
          <w:tcPr>
            <w:tcW w:w="851" w:type="dxa"/>
            <w:shd w:val="clear" w:color="auto" w:fill="auto"/>
            <w:vAlign w:val="center"/>
          </w:tcPr>
          <w:p>
            <w:pPr>
              <w:widowControl/>
              <w:spacing w:line="360"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lang w:val="en-US" w:eastAsia="zh-CN"/>
              </w:rPr>
              <w:t>3</w:t>
            </w:r>
            <w:r>
              <w:rPr>
                <w:rFonts w:hint="eastAsia" w:ascii="仿宋" w:hAnsi="仿宋" w:eastAsia="仿宋" w:cs="仿宋"/>
                <w:color w:val="auto"/>
                <w:sz w:val="22"/>
                <w:szCs w:val="22"/>
              </w:rPr>
              <w:t>分</w:t>
            </w:r>
          </w:p>
        </w:tc>
        <w:tc>
          <w:tcPr>
            <w:tcW w:w="1134" w:type="dxa"/>
            <w:shd w:val="clear" w:color="auto" w:fill="auto"/>
            <w:vAlign w:val="center"/>
          </w:tcPr>
          <w:p>
            <w:pPr>
              <w:widowControl/>
              <w:spacing w:line="360"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846" w:type="dxa"/>
            <w:vMerge w:val="continue"/>
            <w:shd w:val="clear" w:color="auto" w:fill="auto"/>
            <w:vAlign w:val="center"/>
          </w:tcPr>
          <w:p>
            <w:pPr>
              <w:widowControl/>
              <w:spacing w:line="360" w:lineRule="auto"/>
              <w:rPr>
                <w:rFonts w:hint="eastAsia" w:ascii="仿宋" w:hAnsi="仿宋" w:eastAsia="仿宋" w:cs="仿宋"/>
                <w:color w:val="auto"/>
                <w:sz w:val="22"/>
                <w:szCs w:val="22"/>
              </w:rPr>
            </w:pPr>
          </w:p>
        </w:tc>
        <w:tc>
          <w:tcPr>
            <w:tcW w:w="567" w:type="dxa"/>
            <w:shd w:val="clear" w:color="auto" w:fill="auto"/>
            <w:vAlign w:val="center"/>
          </w:tcPr>
          <w:p>
            <w:pPr>
              <w:widowControl/>
              <w:spacing w:line="360"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2</w:t>
            </w:r>
          </w:p>
        </w:tc>
        <w:tc>
          <w:tcPr>
            <w:tcW w:w="5381" w:type="dxa"/>
            <w:shd w:val="clear" w:color="auto" w:fill="auto"/>
            <w:vAlign w:val="center"/>
          </w:tcPr>
          <w:p>
            <w:pPr>
              <w:pStyle w:val="518"/>
              <w:spacing w:line="300" w:lineRule="auto"/>
              <w:rPr>
                <w:rFonts w:hint="eastAsia" w:ascii="仿宋" w:hAnsi="仿宋" w:eastAsia="仿宋" w:cs="仿宋"/>
                <w:color w:val="auto"/>
                <w:sz w:val="22"/>
              </w:rPr>
            </w:pPr>
            <w:r>
              <w:rPr>
                <w:rFonts w:hint="eastAsia" w:ascii="仿宋" w:hAnsi="仿宋" w:eastAsia="仿宋" w:cs="仿宋"/>
                <w:color w:val="auto"/>
                <w:sz w:val="22"/>
              </w:rPr>
              <w:t>（1）投标人为在中华人民共和国范围内运营的基础电信运营商或其基础电信运营商授权的分支机构或者具备在中华人民共和国范围内运营的广电网络运营商或其广电网络运营商授权的分支机构的得1分；</w:t>
            </w:r>
          </w:p>
          <w:p>
            <w:pPr>
              <w:pStyle w:val="518"/>
              <w:spacing w:line="300" w:lineRule="auto"/>
              <w:rPr>
                <w:rFonts w:hint="eastAsia" w:ascii="仿宋" w:hAnsi="仿宋" w:eastAsia="仿宋" w:cs="仿宋"/>
                <w:color w:val="auto"/>
                <w:sz w:val="22"/>
              </w:rPr>
            </w:pPr>
            <w:r>
              <w:rPr>
                <w:rFonts w:hint="eastAsia" w:ascii="仿宋" w:hAnsi="仿宋" w:eastAsia="仿宋" w:cs="仿宋"/>
                <w:color w:val="auto"/>
                <w:sz w:val="22"/>
              </w:rPr>
              <w:t xml:space="preserve">（2）投标人具有增值电信业务经营许可证得1分； </w:t>
            </w:r>
          </w:p>
          <w:p>
            <w:pPr>
              <w:pStyle w:val="518"/>
              <w:spacing w:line="300" w:lineRule="auto"/>
              <w:rPr>
                <w:rFonts w:hint="eastAsia" w:ascii="仿宋" w:hAnsi="仿宋" w:eastAsia="仿宋" w:cs="仿宋"/>
                <w:color w:val="auto"/>
                <w:sz w:val="22"/>
              </w:rPr>
            </w:pPr>
            <w:r>
              <w:rPr>
                <w:rFonts w:hint="eastAsia" w:ascii="仿宋" w:hAnsi="仿宋" w:eastAsia="仿宋" w:cs="仿宋"/>
                <w:color w:val="auto"/>
                <w:sz w:val="22"/>
              </w:rPr>
              <w:t>（3）投标人具有ISO9001质量管理体系认证证书和ISO14001环境管理体系认证证书，每提供一项得1分，最高得2分；</w:t>
            </w:r>
          </w:p>
          <w:p>
            <w:pPr>
              <w:pStyle w:val="518"/>
              <w:spacing w:line="300" w:lineRule="auto"/>
              <w:rPr>
                <w:rFonts w:hint="eastAsia" w:ascii="仿宋" w:hAnsi="仿宋" w:eastAsia="仿宋" w:cs="仿宋"/>
                <w:color w:val="auto"/>
                <w:sz w:val="22"/>
              </w:rPr>
            </w:pPr>
            <w:r>
              <w:rPr>
                <w:rFonts w:hint="eastAsia" w:ascii="仿宋" w:hAnsi="仿宋" w:eastAsia="仿宋" w:cs="仿宋"/>
                <w:color w:val="auto"/>
                <w:sz w:val="22"/>
              </w:rPr>
              <w:t>（4）投标人具有省级及以上安全技术防范行业资信等级证书（二级及以上）的得2分；</w:t>
            </w:r>
          </w:p>
          <w:p>
            <w:pPr>
              <w:pStyle w:val="518"/>
              <w:spacing w:line="300" w:lineRule="auto"/>
              <w:rPr>
                <w:rFonts w:hint="eastAsia" w:ascii="仿宋" w:hAnsi="仿宋" w:eastAsia="仿宋" w:cs="仿宋"/>
                <w:color w:val="auto"/>
                <w:sz w:val="22"/>
              </w:rPr>
            </w:pPr>
            <w:r>
              <w:rPr>
                <w:rFonts w:hint="eastAsia" w:ascii="仿宋" w:hAnsi="仿宋" w:eastAsia="仿宋" w:cs="仿宋"/>
                <w:color w:val="auto"/>
                <w:sz w:val="22"/>
              </w:rPr>
              <w:t>（5）投标人具有国家安全生产监督管理总局颁发的安全生产标准化企业认证证书（三级及以上）的得2分；</w:t>
            </w:r>
          </w:p>
          <w:p>
            <w:pPr>
              <w:pStyle w:val="518"/>
              <w:spacing w:line="300" w:lineRule="auto"/>
              <w:rPr>
                <w:rFonts w:hint="eastAsia" w:ascii="仿宋" w:hAnsi="仿宋" w:eastAsia="仿宋" w:cs="仿宋"/>
                <w:color w:val="auto"/>
                <w:sz w:val="22"/>
              </w:rPr>
            </w:pPr>
            <w:r>
              <w:rPr>
                <w:rFonts w:hint="eastAsia" w:ascii="仿宋" w:hAnsi="仿宋" w:eastAsia="仿宋" w:cs="仿宋"/>
                <w:color w:val="auto"/>
                <w:sz w:val="22"/>
              </w:rPr>
              <w:t>（6）投标人具有高新技术企业证书的得2分。</w:t>
            </w:r>
          </w:p>
          <w:p>
            <w:pPr>
              <w:widowControl/>
              <w:spacing w:line="360" w:lineRule="auto"/>
              <w:rPr>
                <w:rFonts w:hint="eastAsia" w:ascii="仿宋" w:hAnsi="仿宋" w:eastAsia="仿宋" w:cs="仿宋"/>
                <w:color w:val="auto"/>
                <w:sz w:val="22"/>
                <w:szCs w:val="22"/>
              </w:rPr>
            </w:pPr>
            <w:r>
              <w:rPr>
                <w:rFonts w:hint="eastAsia" w:ascii="仿宋" w:hAnsi="仿宋" w:eastAsia="仿宋" w:cs="仿宋"/>
                <w:color w:val="auto"/>
                <w:sz w:val="22"/>
                <w:szCs w:val="22"/>
              </w:rPr>
              <w:t>【证明材料：投标文件中提供相应证书复印件并加盖公章，证书须在有效期内，</w:t>
            </w:r>
            <w:r>
              <w:rPr>
                <w:rFonts w:hint="eastAsia" w:ascii="仿宋" w:hAnsi="仿宋" w:eastAsia="仿宋" w:cs="仿宋"/>
                <w:color w:val="auto"/>
                <w:kern w:val="0"/>
                <w:sz w:val="22"/>
                <w:szCs w:val="22"/>
              </w:rPr>
              <w:t>未按要求提供证明材料的不得分</w:t>
            </w:r>
            <w:r>
              <w:rPr>
                <w:rFonts w:hint="eastAsia" w:ascii="仿宋" w:hAnsi="仿宋" w:eastAsia="仿宋" w:cs="仿宋"/>
                <w:color w:val="auto"/>
                <w:sz w:val="22"/>
                <w:szCs w:val="22"/>
              </w:rPr>
              <w:t>】</w:t>
            </w:r>
          </w:p>
        </w:tc>
        <w:tc>
          <w:tcPr>
            <w:tcW w:w="851" w:type="dxa"/>
            <w:shd w:val="clear" w:color="auto" w:fill="auto"/>
            <w:vAlign w:val="center"/>
          </w:tcPr>
          <w:p>
            <w:pPr>
              <w:widowControl/>
              <w:spacing w:line="360"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10分</w:t>
            </w:r>
          </w:p>
        </w:tc>
        <w:tc>
          <w:tcPr>
            <w:tcW w:w="1134" w:type="dxa"/>
            <w:shd w:val="clear" w:color="auto" w:fill="auto"/>
            <w:vAlign w:val="center"/>
          </w:tcPr>
          <w:p>
            <w:pPr>
              <w:widowControl/>
              <w:spacing w:line="360"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46" w:type="dxa"/>
            <w:vMerge w:val="continue"/>
            <w:shd w:val="clear" w:color="auto" w:fill="auto"/>
            <w:vAlign w:val="center"/>
          </w:tcPr>
          <w:p>
            <w:pPr>
              <w:widowControl/>
              <w:spacing w:line="360" w:lineRule="auto"/>
              <w:rPr>
                <w:rFonts w:hint="eastAsia" w:ascii="仿宋" w:hAnsi="仿宋" w:eastAsia="仿宋" w:cs="仿宋"/>
                <w:color w:val="auto"/>
                <w:sz w:val="22"/>
                <w:szCs w:val="22"/>
              </w:rPr>
            </w:pPr>
          </w:p>
        </w:tc>
        <w:tc>
          <w:tcPr>
            <w:tcW w:w="567" w:type="dxa"/>
            <w:shd w:val="clear" w:color="auto" w:fill="auto"/>
            <w:vAlign w:val="center"/>
          </w:tcPr>
          <w:p>
            <w:pPr>
              <w:widowControl/>
              <w:spacing w:line="360"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3</w:t>
            </w:r>
          </w:p>
        </w:tc>
        <w:tc>
          <w:tcPr>
            <w:tcW w:w="5381" w:type="dxa"/>
            <w:shd w:val="clear" w:color="auto" w:fill="auto"/>
            <w:vAlign w:val="center"/>
          </w:tcPr>
          <w:p>
            <w:pPr>
              <w:pStyle w:val="518"/>
              <w:spacing w:line="300" w:lineRule="auto"/>
              <w:rPr>
                <w:rFonts w:hint="eastAsia" w:ascii="仿宋" w:hAnsi="仿宋" w:eastAsia="仿宋" w:cs="仿宋"/>
                <w:color w:val="auto"/>
                <w:sz w:val="22"/>
              </w:rPr>
            </w:pPr>
            <w:r>
              <w:rPr>
                <w:rFonts w:hint="eastAsia" w:ascii="仿宋" w:hAnsi="仿宋" w:eastAsia="仿宋" w:cs="仿宋"/>
                <w:color w:val="auto"/>
                <w:sz w:val="22"/>
              </w:rPr>
              <w:t>根据投标产品制造商参与的国家广播电视总局应急广播技术规范情况进行评分，每参与1项以下技术规范起草，得2分，最多得6分。</w:t>
            </w:r>
          </w:p>
          <w:p>
            <w:pPr>
              <w:pStyle w:val="518"/>
              <w:spacing w:line="300" w:lineRule="auto"/>
              <w:rPr>
                <w:rFonts w:hint="eastAsia" w:ascii="仿宋" w:hAnsi="仿宋" w:eastAsia="仿宋" w:cs="仿宋"/>
                <w:color w:val="auto"/>
                <w:sz w:val="22"/>
              </w:rPr>
            </w:pPr>
            <w:r>
              <w:rPr>
                <w:rFonts w:hint="eastAsia" w:ascii="仿宋" w:hAnsi="仿宋" w:eastAsia="仿宋" w:cs="仿宋"/>
                <w:color w:val="auto"/>
                <w:sz w:val="22"/>
              </w:rPr>
              <w:t>（1）《GD/J 081-2018 应急广播安全保护技术规范 数字签名》</w:t>
            </w:r>
          </w:p>
          <w:p>
            <w:pPr>
              <w:pStyle w:val="518"/>
              <w:spacing w:line="300" w:lineRule="auto"/>
              <w:rPr>
                <w:rFonts w:hint="eastAsia" w:ascii="仿宋" w:hAnsi="仿宋" w:eastAsia="仿宋" w:cs="仿宋"/>
                <w:color w:val="auto"/>
                <w:sz w:val="22"/>
              </w:rPr>
            </w:pPr>
            <w:r>
              <w:rPr>
                <w:rFonts w:hint="eastAsia" w:ascii="仿宋" w:hAnsi="仿宋" w:eastAsia="仿宋" w:cs="仿宋"/>
                <w:color w:val="auto"/>
                <w:sz w:val="22"/>
              </w:rPr>
              <w:t>（2）《GD/J 083-2018 应急广播平台接口规范》</w:t>
            </w:r>
          </w:p>
          <w:p>
            <w:pPr>
              <w:pStyle w:val="518"/>
              <w:spacing w:line="300" w:lineRule="auto"/>
              <w:rPr>
                <w:rFonts w:hint="eastAsia" w:ascii="仿宋" w:hAnsi="仿宋" w:eastAsia="仿宋" w:cs="仿宋"/>
                <w:color w:val="auto"/>
                <w:sz w:val="22"/>
              </w:rPr>
            </w:pPr>
            <w:r>
              <w:rPr>
                <w:rFonts w:hint="eastAsia" w:ascii="仿宋" w:hAnsi="仿宋" w:eastAsia="仿宋" w:cs="仿宋"/>
                <w:color w:val="auto"/>
                <w:sz w:val="22"/>
              </w:rPr>
              <w:t>（3）《GD/J 086-2018 有线数字电视应急广播技术规范》</w:t>
            </w:r>
          </w:p>
          <w:p>
            <w:pPr>
              <w:widowControl/>
              <w:spacing w:line="360" w:lineRule="auto"/>
              <w:rPr>
                <w:rFonts w:hint="eastAsia" w:ascii="仿宋" w:hAnsi="仿宋" w:eastAsia="仿宋" w:cs="仿宋"/>
                <w:color w:val="auto"/>
                <w:sz w:val="22"/>
                <w:szCs w:val="22"/>
              </w:rPr>
            </w:pPr>
            <w:r>
              <w:rPr>
                <w:rFonts w:hint="eastAsia" w:ascii="仿宋" w:hAnsi="仿宋" w:eastAsia="仿宋" w:cs="仿宋"/>
                <w:color w:val="auto"/>
                <w:sz w:val="22"/>
                <w:szCs w:val="22"/>
              </w:rPr>
              <w:t>【证明材料：投标文件中提供国家广电总局官方网站查询下载有</w:t>
            </w:r>
            <w:r>
              <w:rPr>
                <w:rFonts w:hint="eastAsia" w:ascii="仿宋" w:hAnsi="仿宋" w:eastAsia="仿宋" w:cs="仿宋"/>
                <w:color w:val="auto"/>
                <w:sz w:val="22"/>
              </w:rPr>
              <w:t>投标产品制造商</w:t>
            </w:r>
            <w:r>
              <w:rPr>
                <w:rFonts w:hint="eastAsia" w:ascii="仿宋" w:hAnsi="仿宋" w:eastAsia="仿宋" w:cs="仿宋"/>
                <w:color w:val="auto"/>
                <w:sz w:val="22"/>
                <w:szCs w:val="22"/>
              </w:rPr>
              <w:t>名称的上述技术文件进行佐证，</w:t>
            </w:r>
            <w:r>
              <w:rPr>
                <w:rFonts w:hint="eastAsia" w:ascii="仿宋" w:hAnsi="仿宋" w:eastAsia="仿宋" w:cs="仿宋"/>
                <w:color w:val="auto"/>
                <w:kern w:val="0"/>
                <w:sz w:val="22"/>
                <w:szCs w:val="22"/>
              </w:rPr>
              <w:t>未按要求提供证明材料的不得分</w:t>
            </w:r>
            <w:r>
              <w:rPr>
                <w:rFonts w:hint="eastAsia" w:ascii="仿宋" w:hAnsi="仿宋" w:eastAsia="仿宋" w:cs="仿宋"/>
                <w:color w:val="auto"/>
                <w:sz w:val="22"/>
                <w:szCs w:val="22"/>
              </w:rPr>
              <w:t>】</w:t>
            </w:r>
          </w:p>
        </w:tc>
        <w:tc>
          <w:tcPr>
            <w:tcW w:w="851" w:type="dxa"/>
            <w:shd w:val="clear" w:color="auto" w:fill="auto"/>
            <w:vAlign w:val="center"/>
          </w:tcPr>
          <w:p>
            <w:pPr>
              <w:widowControl/>
              <w:spacing w:line="360"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6分</w:t>
            </w:r>
          </w:p>
        </w:tc>
        <w:tc>
          <w:tcPr>
            <w:tcW w:w="1134" w:type="dxa"/>
            <w:shd w:val="clear" w:color="auto" w:fill="auto"/>
            <w:vAlign w:val="center"/>
          </w:tcPr>
          <w:p>
            <w:pPr>
              <w:widowControl/>
              <w:spacing w:line="360"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客观分</w:t>
            </w:r>
          </w:p>
        </w:tc>
      </w:tr>
    </w:tbl>
    <w:p>
      <w:pPr>
        <w:widowControl/>
        <w:adjustRightInd/>
        <w:jc w:val="left"/>
        <w:rPr>
          <w:rFonts w:hint="eastAsia" w:ascii="仿宋" w:hAnsi="仿宋" w:eastAsia="仿宋" w:cs="仿宋"/>
          <w:color w:val="auto"/>
          <w:sz w:val="24"/>
        </w:rPr>
      </w:pPr>
      <w:r>
        <w:rPr>
          <w:rFonts w:hint="eastAsia" w:ascii="仿宋" w:hAnsi="仿宋" w:eastAsia="仿宋" w:cs="仿宋"/>
          <w:color w:val="auto"/>
          <w:sz w:val="24"/>
        </w:rPr>
        <w:br w:type="page"/>
      </w:r>
    </w:p>
    <w:p>
      <w:pPr>
        <w:widowControl/>
        <w:spacing w:line="360" w:lineRule="auto"/>
        <w:outlineLvl w:val="1"/>
        <w:rPr>
          <w:rFonts w:hint="eastAsia" w:ascii="仿宋" w:hAnsi="仿宋" w:eastAsia="仿宋" w:cs="仿宋"/>
          <w:color w:val="auto"/>
          <w:sz w:val="24"/>
        </w:rPr>
      </w:pPr>
      <w:r>
        <w:rPr>
          <w:rFonts w:hint="eastAsia" w:ascii="仿宋" w:hAnsi="仿宋" w:eastAsia="仿宋" w:cs="仿宋"/>
          <w:color w:val="auto"/>
          <w:sz w:val="24"/>
        </w:rPr>
        <w:t>2、技术和服务方案（5</w:t>
      </w:r>
      <w:r>
        <w:rPr>
          <w:rFonts w:hint="eastAsia" w:ascii="仿宋" w:hAnsi="仿宋" w:eastAsia="仿宋" w:cs="仿宋"/>
          <w:color w:val="auto"/>
          <w:sz w:val="24"/>
          <w:lang w:val="en-US" w:eastAsia="zh-CN"/>
        </w:rPr>
        <w:t>1</w:t>
      </w:r>
      <w:r>
        <w:rPr>
          <w:rFonts w:hint="eastAsia" w:ascii="仿宋" w:hAnsi="仿宋" w:eastAsia="仿宋" w:cs="仿宋"/>
          <w:color w:val="auto"/>
          <w:sz w:val="24"/>
        </w:rPr>
        <w:t>分）</w:t>
      </w:r>
    </w:p>
    <w:tbl>
      <w:tblPr>
        <w:tblStyle w:val="62"/>
        <w:tblW w:w="9280" w:type="dxa"/>
        <w:tblInd w:w="1"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70"/>
        <w:gridCol w:w="525"/>
        <w:gridCol w:w="1465"/>
        <w:gridCol w:w="4620"/>
        <w:gridCol w:w="810"/>
        <w:gridCol w:w="99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5" w:hRule="atLeast"/>
        </w:trPr>
        <w:tc>
          <w:tcPr>
            <w:tcW w:w="870"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序号</w:t>
            </w:r>
          </w:p>
        </w:tc>
        <w:tc>
          <w:tcPr>
            <w:tcW w:w="6610" w:type="dxa"/>
            <w:gridSpan w:val="3"/>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评分内容和标准</w:t>
            </w:r>
          </w:p>
        </w:tc>
        <w:tc>
          <w:tcPr>
            <w:tcW w:w="810"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权重</w:t>
            </w:r>
          </w:p>
        </w:tc>
        <w:tc>
          <w:tcPr>
            <w:tcW w:w="990"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主客观分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2" w:hRule="atLeast"/>
        </w:trPr>
        <w:tc>
          <w:tcPr>
            <w:tcW w:w="870" w:type="dxa"/>
            <w:vMerge w:val="restart"/>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技术分（57分）</w:t>
            </w:r>
          </w:p>
        </w:tc>
        <w:tc>
          <w:tcPr>
            <w:tcW w:w="525" w:type="dxa"/>
            <w:vMerge w:val="restart"/>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4</w:t>
            </w:r>
          </w:p>
        </w:tc>
        <w:tc>
          <w:tcPr>
            <w:tcW w:w="1465" w:type="dxa"/>
            <w:vMerge w:val="restart"/>
            <w:tcBorders>
              <w:right w:val="single" w:color="000000" w:sz="8" w:space="0"/>
              <w:tl2br w:val="nil"/>
              <w:tr2bl w:val="nil"/>
            </w:tcBorders>
            <w:shd w:val="clear" w:color="auto" w:fill="auto"/>
            <w:vAlign w:val="center"/>
          </w:tcPr>
          <w:p>
            <w:pPr>
              <w:widowControl/>
              <w:spacing w:line="360"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投标方案的合理性、科学性、全面性（根据对投标项目的理解程度、总体设计、组织实施、独到优势等情况综合评定对比打分）</w:t>
            </w:r>
          </w:p>
        </w:tc>
        <w:tc>
          <w:tcPr>
            <w:tcW w:w="4620" w:type="dxa"/>
            <w:tcBorders>
              <w:left w:val="single" w:color="000000" w:sz="8" w:space="0"/>
              <w:tl2br w:val="nil"/>
              <w:tr2bl w:val="nil"/>
            </w:tcBorders>
            <w:shd w:val="clear" w:color="auto" w:fill="auto"/>
            <w:vAlign w:val="center"/>
          </w:tcPr>
          <w:p>
            <w:pPr>
              <w:widowControl/>
              <w:spacing w:line="300" w:lineRule="auto"/>
              <w:rPr>
                <w:rFonts w:hint="eastAsia" w:ascii="仿宋" w:hAnsi="仿宋" w:eastAsia="仿宋" w:cs="仿宋"/>
                <w:color w:val="auto"/>
                <w:sz w:val="22"/>
                <w:szCs w:val="22"/>
              </w:rPr>
            </w:pPr>
            <w:r>
              <w:rPr>
                <w:rFonts w:hint="eastAsia" w:ascii="仿宋" w:hAnsi="仿宋" w:eastAsia="仿宋" w:cs="仿宋"/>
                <w:color w:val="auto"/>
                <w:sz w:val="22"/>
                <w:szCs w:val="22"/>
              </w:rPr>
              <w:t>投标人对于业务现状和需求熟悉情况的描述，评标委员会根据投标人熟悉情况综合评定打分：</w:t>
            </w:r>
          </w:p>
          <w:p>
            <w:pPr>
              <w:widowControl/>
              <w:spacing w:line="300" w:lineRule="auto"/>
              <w:rPr>
                <w:rFonts w:hint="eastAsia" w:ascii="仿宋" w:hAnsi="仿宋" w:eastAsia="仿宋" w:cs="仿宋"/>
                <w:color w:val="auto"/>
                <w:sz w:val="22"/>
                <w:szCs w:val="22"/>
              </w:rPr>
            </w:pPr>
            <w:r>
              <w:rPr>
                <w:rFonts w:hint="eastAsia" w:ascii="仿宋" w:hAnsi="仿宋" w:eastAsia="仿宋" w:cs="仿宋"/>
                <w:color w:val="auto"/>
                <w:sz w:val="22"/>
                <w:szCs w:val="22"/>
              </w:rPr>
              <w:t>①萧山区现有应急广播系统的建设现状</w:t>
            </w:r>
          </w:p>
          <w:p>
            <w:pPr>
              <w:widowControl/>
              <w:spacing w:line="300" w:lineRule="auto"/>
              <w:rPr>
                <w:rFonts w:hint="eastAsia" w:ascii="仿宋" w:hAnsi="仿宋" w:eastAsia="仿宋" w:cs="仿宋"/>
                <w:color w:val="auto"/>
                <w:sz w:val="22"/>
                <w:szCs w:val="22"/>
              </w:rPr>
            </w:pPr>
            <w:r>
              <w:rPr>
                <w:rFonts w:hint="eastAsia" w:ascii="仿宋" w:hAnsi="仿宋" w:eastAsia="仿宋" w:cs="仿宋"/>
                <w:color w:val="auto"/>
                <w:sz w:val="22"/>
                <w:szCs w:val="22"/>
              </w:rPr>
              <w:t>②萧山区建设应急广播系统的需求分析和建设目标的理解</w:t>
            </w:r>
          </w:p>
        </w:tc>
        <w:tc>
          <w:tcPr>
            <w:tcW w:w="810"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6分</w:t>
            </w:r>
          </w:p>
        </w:tc>
        <w:tc>
          <w:tcPr>
            <w:tcW w:w="990"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2" w:hRule="atLeast"/>
        </w:trPr>
        <w:tc>
          <w:tcPr>
            <w:tcW w:w="870" w:type="dxa"/>
            <w:vMerge w:val="continue"/>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2"/>
                <w:szCs w:val="22"/>
              </w:rPr>
            </w:pPr>
          </w:p>
        </w:tc>
        <w:tc>
          <w:tcPr>
            <w:tcW w:w="525" w:type="dxa"/>
            <w:vMerge w:val="continue"/>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2"/>
                <w:szCs w:val="22"/>
              </w:rPr>
            </w:pPr>
          </w:p>
        </w:tc>
        <w:tc>
          <w:tcPr>
            <w:tcW w:w="1465" w:type="dxa"/>
            <w:vMerge w:val="continue"/>
            <w:tcBorders>
              <w:right w:val="single" w:color="000000" w:sz="8" w:space="0"/>
              <w:tl2br w:val="nil"/>
              <w:tr2bl w:val="nil"/>
            </w:tcBorders>
            <w:shd w:val="clear" w:color="auto" w:fill="auto"/>
            <w:vAlign w:val="center"/>
          </w:tcPr>
          <w:p>
            <w:pPr>
              <w:widowControl/>
              <w:spacing w:line="360" w:lineRule="auto"/>
              <w:rPr>
                <w:rFonts w:hint="eastAsia" w:ascii="仿宋" w:hAnsi="仿宋" w:eastAsia="仿宋" w:cs="仿宋"/>
                <w:color w:val="auto"/>
                <w:sz w:val="22"/>
                <w:szCs w:val="22"/>
              </w:rPr>
            </w:pPr>
          </w:p>
        </w:tc>
        <w:tc>
          <w:tcPr>
            <w:tcW w:w="4620" w:type="dxa"/>
            <w:tcBorders>
              <w:left w:val="single" w:color="000000" w:sz="8" w:space="0"/>
              <w:tl2br w:val="nil"/>
              <w:tr2bl w:val="nil"/>
            </w:tcBorders>
            <w:shd w:val="clear" w:color="auto" w:fill="auto"/>
            <w:vAlign w:val="center"/>
          </w:tcPr>
          <w:p>
            <w:pPr>
              <w:widowControl/>
              <w:spacing w:line="300" w:lineRule="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根据投标人对本项目建设需求的理解，所提供的技术方案详细设计需包括：</w:t>
            </w:r>
          </w:p>
          <w:p>
            <w:pPr>
              <w:pStyle w:val="255"/>
              <w:widowControl/>
              <w:numPr>
                <w:ilvl w:val="0"/>
                <w:numId w:val="2"/>
              </w:numPr>
              <w:spacing w:line="300" w:lineRule="auto"/>
              <w:ind w:firstLineChars="0"/>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应急广播平台系统软件架构</w:t>
            </w:r>
          </w:p>
          <w:p>
            <w:pPr>
              <w:pStyle w:val="255"/>
              <w:widowControl/>
              <w:numPr>
                <w:ilvl w:val="0"/>
                <w:numId w:val="2"/>
              </w:numPr>
              <w:spacing w:line="300" w:lineRule="auto"/>
              <w:ind w:firstLineChars="0"/>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系统部署方案、系统拓扑图</w:t>
            </w:r>
          </w:p>
          <w:p>
            <w:pPr>
              <w:pStyle w:val="255"/>
              <w:widowControl/>
              <w:numPr>
                <w:ilvl w:val="0"/>
                <w:numId w:val="2"/>
              </w:numPr>
              <w:spacing w:line="300" w:lineRule="auto"/>
              <w:ind w:firstLineChars="0"/>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与各级应急广播平台，横向系统对接方案</w:t>
            </w:r>
          </w:p>
          <w:p>
            <w:pPr>
              <w:widowControl/>
              <w:spacing w:line="300" w:lineRule="auto"/>
              <w:rPr>
                <w:rFonts w:hint="eastAsia" w:ascii="仿宋" w:hAnsi="仿宋" w:eastAsia="仿宋" w:cs="仿宋"/>
                <w:color w:val="auto"/>
                <w:sz w:val="22"/>
                <w:szCs w:val="22"/>
              </w:rPr>
            </w:pPr>
            <w:r>
              <w:rPr>
                <w:rFonts w:hint="eastAsia" w:ascii="仿宋" w:hAnsi="仿宋" w:eastAsia="仿宋" w:cs="仿宋"/>
                <w:color w:val="auto"/>
                <w:kern w:val="0"/>
                <w:sz w:val="22"/>
                <w:szCs w:val="22"/>
              </w:rPr>
              <w:t>详细阐述应急广播信息接入、制作、调度播发的业务流程</w:t>
            </w:r>
          </w:p>
        </w:tc>
        <w:tc>
          <w:tcPr>
            <w:tcW w:w="810"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9分</w:t>
            </w:r>
          </w:p>
        </w:tc>
        <w:tc>
          <w:tcPr>
            <w:tcW w:w="990"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2" w:hRule="atLeast"/>
        </w:trPr>
        <w:tc>
          <w:tcPr>
            <w:tcW w:w="870" w:type="dxa"/>
            <w:vMerge w:val="continue"/>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2"/>
                <w:szCs w:val="22"/>
              </w:rPr>
            </w:pPr>
          </w:p>
        </w:tc>
        <w:tc>
          <w:tcPr>
            <w:tcW w:w="525" w:type="dxa"/>
            <w:vMerge w:val="restart"/>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5</w:t>
            </w:r>
          </w:p>
        </w:tc>
        <w:tc>
          <w:tcPr>
            <w:tcW w:w="1465" w:type="dxa"/>
            <w:vMerge w:val="restart"/>
            <w:tcBorders>
              <w:right w:val="single" w:color="000000" w:sz="8" w:space="0"/>
              <w:tl2br w:val="nil"/>
              <w:tr2bl w:val="nil"/>
            </w:tcBorders>
            <w:shd w:val="clear" w:color="auto" w:fill="auto"/>
            <w:vAlign w:val="center"/>
          </w:tcPr>
          <w:p>
            <w:pPr>
              <w:widowControl/>
              <w:spacing w:line="360" w:lineRule="auto"/>
              <w:rPr>
                <w:rFonts w:hint="eastAsia" w:ascii="仿宋" w:hAnsi="仿宋" w:eastAsia="仿宋" w:cs="仿宋"/>
                <w:color w:val="auto"/>
                <w:sz w:val="22"/>
                <w:szCs w:val="22"/>
              </w:rPr>
            </w:pPr>
            <w:r>
              <w:rPr>
                <w:rFonts w:hint="eastAsia" w:ascii="仿宋" w:hAnsi="仿宋" w:eastAsia="仿宋" w:cs="仿宋"/>
                <w:color w:val="auto"/>
                <w:sz w:val="22"/>
                <w:szCs w:val="22"/>
              </w:rPr>
              <w:t>投标方案中提供或使用主要设备的优劣</w:t>
            </w:r>
          </w:p>
        </w:tc>
        <w:tc>
          <w:tcPr>
            <w:tcW w:w="4620" w:type="dxa"/>
            <w:tcBorders>
              <w:left w:val="single" w:color="000000" w:sz="8" w:space="0"/>
              <w:tl2br w:val="nil"/>
              <w:tr2bl w:val="nil"/>
            </w:tcBorders>
            <w:shd w:val="clear" w:color="auto" w:fill="auto"/>
          </w:tcPr>
          <w:p>
            <w:pPr>
              <w:widowControl/>
              <w:spacing w:line="300" w:lineRule="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应急广播平台支持将接收到的Mp3音频文件转化成UDP-TS实时流。</w:t>
            </w:r>
          </w:p>
          <w:p>
            <w:pPr>
              <w:widowControl/>
              <w:spacing w:line="300" w:lineRule="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【需提供具有权威检测机构出具的检测报告复印件，支持且提供证明材料得2分，未按要求提供证明材料的不得分】</w:t>
            </w:r>
          </w:p>
        </w:tc>
        <w:tc>
          <w:tcPr>
            <w:tcW w:w="810"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2分</w:t>
            </w:r>
          </w:p>
        </w:tc>
        <w:tc>
          <w:tcPr>
            <w:tcW w:w="990"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客观分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2" w:hRule="atLeast"/>
        </w:trPr>
        <w:tc>
          <w:tcPr>
            <w:tcW w:w="870" w:type="dxa"/>
            <w:vMerge w:val="continue"/>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2"/>
                <w:szCs w:val="22"/>
              </w:rPr>
            </w:pPr>
          </w:p>
        </w:tc>
        <w:tc>
          <w:tcPr>
            <w:tcW w:w="525" w:type="dxa"/>
            <w:vMerge w:val="continue"/>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2"/>
                <w:szCs w:val="22"/>
              </w:rPr>
            </w:pPr>
          </w:p>
        </w:tc>
        <w:tc>
          <w:tcPr>
            <w:tcW w:w="1465" w:type="dxa"/>
            <w:vMerge w:val="continue"/>
            <w:tcBorders>
              <w:right w:val="single" w:color="000000" w:sz="8" w:space="0"/>
              <w:tl2br w:val="nil"/>
              <w:tr2bl w:val="nil"/>
            </w:tcBorders>
            <w:shd w:val="clear" w:color="auto" w:fill="auto"/>
            <w:vAlign w:val="center"/>
          </w:tcPr>
          <w:p>
            <w:pPr>
              <w:widowControl/>
              <w:spacing w:line="360" w:lineRule="auto"/>
              <w:rPr>
                <w:rFonts w:hint="eastAsia" w:ascii="仿宋" w:hAnsi="仿宋" w:eastAsia="仿宋" w:cs="仿宋"/>
                <w:color w:val="auto"/>
                <w:sz w:val="22"/>
                <w:szCs w:val="22"/>
              </w:rPr>
            </w:pPr>
          </w:p>
        </w:tc>
        <w:tc>
          <w:tcPr>
            <w:tcW w:w="4620" w:type="dxa"/>
            <w:tcBorders>
              <w:left w:val="single" w:color="000000" w:sz="8" w:space="0"/>
              <w:tl2br w:val="nil"/>
              <w:tr2bl w:val="nil"/>
            </w:tcBorders>
            <w:shd w:val="clear" w:color="auto" w:fill="auto"/>
          </w:tcPr>
          <w:p>
            <w:pPr>
              <w:widowControl/>
              <w:spacing w:line="300" w:lineRule="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应急广播平台支持终端资源的管理、资源编码的分配管理。</w:t>
            </w:r>
          </w:p>
          <w:p>
            <w:pPr>
              <w:widowControl/>
              <w:spacing w:line="300" w:lineRule="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【需提供具有权威检测机构出具的检测报告复印件，支持且提供证明材料得2分，未按要求提供证明材料的不得分】</w:t>
            </w:r>
          </w:p>
        </w:tc>
        <w:tc>
          <w:tcPr>
            <w:tcW w:w="810"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2分</w:t>
            </w:r>
          </w:p>
        </w:tc>
        <w:tc>
          <w:tcPr>
            <w:tcW w:w="990"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客观分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2" w:hRule="atLeast"/>
        </w:trPr>
        <w:tc>
          <w:tcPr>
            <w:tcW w:w="870" w:type="dxa"/>
            <w:vMerge w:val="continue"/>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2"/>
                <w:szCs w:val="22"/>
              </w:rPr>
            </w:pPr>
          </w:p>
        </w:tc>
        <w:tc>
          <w:tcPr>
            <w:tcW w:w="525" w:type="dxa"/>
            <w:vMerge w:val="continue"/>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2"/>
                <w:szCs w:val="22"/>
              </w:rPr>
            </w:pPr>
          </w:p>
        </w:tc>
        <w:tc>
          <w:tcPr>
            <w:tcW w:w="1465" w:type="dxa"/>
            <w:vMerge w:val="continue"/>
            <w:tcBorders>
              <w:right w:val="single" w:color="000000" w:sz="8" w:space="0"/>
              <w:tl2br w:val="nil"/>
              <w:tr2bl w:val="nil"/>
            </w:tcBorders>
            <w:shd w:val="clear" w:color="auto" w:fill="auto"/>
            <w:vAlign w:val="center"/>
          </w:tcPr>
          <w:p>
            <w:pPr>
              <w:widowControl/>
              <w:spacing w:line="360" w:lineRule="auto"/>
              <w:rPr>
                <w:rFonts w:hint="eastAsia" w:ascii="仿宋" w:hAnsi="仿宋" w:eastAsia="仿宋" w:cs="仿宋"/>
                <w:color w:val="auto"/>
                <w:sz w:val="22"/>
                <w:szCs w:val="22"/>
              </w:rPr>
            </w:pPr>
          </w:p>
        </w:tc>
        <w:tc>
          <w:tcPr>
            <w:tcW w:w="4620" w:type="dxa"/>
            <w:tcBorders>
              <w:left w:val="single" w:color="000000" w:sz="8" w:space="0"/>
              <w:tl2br w:val="nil"/>
              <w:tr2bl w:val="nil"/>
            </w:tcBorders>
            <w:shd w:val="clear" w:color="auto" w:fill="auto"/>
          </w:tcPr>
          <w:p>
            <w:pPr>
              <w:widowControl/>
              <w:spacing w:line="300" w:lineRule="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应急广播平台具备签名、验签功能，处理符合《GD/J 081-2018应急广播安全保护技术规范 数字签名》，支持国密SM系列算法。</w:t>
            </w:r>
          </w:p>
          <w:p>
            <w:pPr>
              <w:widowControl/>
              <w:spacing w:line="300" w:lineRule="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【需提供具有权威检测机构出具的检测报告复印件，支持且提供证明材料得2分，未按要求提供证明材料的不得分】</w:t>
            </w:r>
          </w:p>
        </w:tc>
        <w:tc>
          <w:tcPr>
            <w:tcW w:w="810"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2分</w:t>
            </w:r>
          </w:p>
        </w:tc>
        <w:tc>
          <w:tcPr>
            <w:tcW w:w="990"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客观分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2" w:hRule="atLeast"/>
        </w:trPr>
        <w:tc>
          <w:tcPr>
            <w:tcW w:w="870" w:type="dxa"/>
            <w:vMerge w:val="continue"/>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2"/>
                <w:szCs w:val="22"/>
              </w:rPr>
            </w:pPr>
          </w:p>
        </w:tc>
        <w:tc>
          <w:tcPr>
            <w:tcW w:w="525" w:type="dxa"/>
            <w:vMerge w:val="continue"/>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2"/>
                <w:szCs w:val="22"/>
              </w:rPr>
            </w:pPr>
          </w:p>
        </w:tc>
        <w:tc>
          <w:tcPr>
            <w:tcW w:w="1465" w:type="dxa"/>
            <w:vMerge w:val="continue"/>
            <w:tcBorders>
              <w:right w:val="single" w:color="000000" w:sz="8" w:space="0"/>
              <w:tl2br w:val="nil"/>
              <w:tr2bl w:val="nil"/>
            </w:tcBorders>
            <w:shd w:val="clear" w:color="auto" w:fill="auto"/>
            <w:vAlign w:val="center"/>
          </w:tcPr>
          <w:p>
            <w:pPr>
              <w:widowControl/>
              <w:spacing w:line="360" w:lineRule="auto"/>
              <w:rPr>
                <w:rFonts w:hint="eastAsia" w:ascii="仿宋" w:hAnsi="仿宋" w:eastAsia="仿宋" w:cs="仿宋"/>
                <w:color w:val="auto"/>
                <w:sz w:val="22"/>
                <w:szCs w:val="22"/>
              </w:rPr>
            </w:pPr>
          </w:p>
        </w:tc>
        <w:tc>
          <w:tcPr>
            <w:tcW w:w="4620" w:type="dxa"/>
            <w:tcBorders>
              <w:left w:val="single" w:color="000000" w:sz="8" w:space="0"/>
              <w:tl2br w:val="nil"/>
              <w:tr2bl w:val="nil"/>
            </w:tcBorders>
            <w:shd w:val="clear" w:color="auto" w:fill="auto"/>
          </w:tcPr>
          <w:p>
            <w:pPr>
              <w:widowControl/>
              <w:spacing w:line="300" w:lineRule="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安全服务专用一体机支持对上级应急广播平台发送的应急广播消息进行签名验签，上级应急广播平台发送正确签名消息，平台正常验签响应，并将正确的播发状态、应急广播适配器状态及终端状态反馈至上级应急广播平台。</w:t>
            </w:r>
          </w:p>
          <w:p>
            <w:pPr>
              <w:widowControl/>
              <w:spacing w:line="300" w:lineRule="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【需提供具有权威检测机构出具的检测报告复印件，支持且提供证明材料得2分，未按要求提供证明材料的不得分】</w:t>
            </w:r>
          </w:p>
        </w:tc>
        <w:tc>
          <w:tcPr>
            <w:tcW w:w="810"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2分</w:t>
            </w:r>
          </w:p>
        </w:tc>
        <w:tc>
          <w:tcPr>
            <w:tcW w:w="990"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客观分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2" w:hRule="atLeast"/>
        </w:trPr>
        <w:tc>
          <w:tcPr>
            <w:tcW w:w="870" w:type="dxa"/>
            <w:vMerge w:val="continue"/>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2"/>
                <w:szCs w:val="22"/>
              </w:rPr>
            </w:pPr>
          </w:p>
        </w:tc>
        <w:tc>
          <w:tcPr>
            <w:tcW w:w="525" w:type="dxa"/>
            <w:vMerge w:val="continue"/>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2"/>
                <w:szCs w:val="22"/>
              </w:rPr>
            </w:pPr>
          </w:p>
        </w:tc>
        <w:tc>
          <w:tcPr>
            <w:tcW w:w="1465" w:type="dxa"/>
            <w:vMerge w:val="continue"/>
            <w:tcBorders>
              <w:right w:val="single" w:color="000000" w:sz="8" w:space="0"/>
              <w:tl2br w:val="nil"/>
              <w:tr2bl w:val="nil"/>
            </w:tcBorders>
            <w:shd w:val="clear" w:color="auto" w:fill="auto"/>
            <w:vAlign w:val="center"/>
          </w:tcPr>
          <w:p>
            <w:pPr>
              <w:widowControl/>
              <w:spacing w:line="360" w:lineRule="auto"/>
              <w:rPr>
                <w:rFonts w:hint="eastAsia" w:ascii="仿宋" w:hAnsi="仿宋" w:eastAsia="仿宋" w:cs="仿宋"/>
                <w:color w:val="auto"/>
                <w:sz w:val="22"/>
                <w:szCs w:val="22"/>
              </w:rPr>
            </w:pPr>
          </w:p>
        </w:tc>
        <w:tc>
          <w:tcPr>
            <w:tcW w:w="4620" w:type="dxa"/>
            <w:tcBorders>
              <w:left w:val="single" w:color="000000" w:sz="8" w:space="0"/>
              <w:tl2br w:val="nil"/>
              <w:tr2bl w:val="nil"/>
            </w:tcBorders>
            <w:shd w:val="clear" w:color="auto" w:fill="auto"/>
          </w:tcPr>
          <w:p>
            <w:pPr>
              <w:widowControl/>
              <w:spacing w:line="300" w:lineRule="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安全服务专用一体机支持导入认证中心发布的证书列表文件。</w:t>
            </w:r>
          </w:p>
          <w:p>
            <w:pPr>
              <w:widowControl/>
              <w:spacing w:line="300" w:lineRule="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【需提供具有权威检测机构出具的检测报告复印件，支持且提供证明材料得2分，未按要求提供证明材料的不得分】</w:t>
            </w:r>
          </w:p>
        </w:tc>
        <w:tc>
          <w:tcPr>
            <w:tcW w:w="810"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2分</w:t>
            </w:r>
          </w:p>
        </w:tc>
        <w:tc>
          <w:tcPr>
            <w:tcW w:w="990"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客观分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2" w:hRule="atLeast"/>
        </w:trPr>
        <w:tc>
          <w:tcPr>
            <w:tcW w:w="870" w:type="dxa"/>
            <w:vMerge w:val="continue"/>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2"/>
                <w:szCs w:val="22"/>
              </w:rPr>
            </w:pPr>
          </w:p>
        </w:tc>
        <w:tc>
          <w:tcPr>
            <w:tcW w:w="525" w:type="dxa"/>
            <w:vMerge w:val="continue"/>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2"/>
                <w:szCs w:val="22"/>
              </w:rPr>
            </w:pPr>
          </w:p>
        </w:tc>
        <w:tc>
          <w:tcPr>
            <w:tcW w:w="1465" w:type="dxa"/>
            <w:vMerge w:val="continue"/>
            <w:tcBorders>
              <w:right w:val="single" w:color="000000" w:sz="8" w:space="0"/>
              <w:tl2br w:val="nil"/>
              <w:tr2bl w:val="nil"/>
            </w:tcBorders>
            <w:shd w:val="clear" w:color="auto" w:fill="auto"/>
            <w:vAlign w:val="center"/>
          </w:tcPr>
          <w:p>
            <w:pPr>
              <w:widowControl/>
              <w:spacing w:line="360" w:lineRule="auto"/>
              <w:rPr>
                <w:rFonts w:hint="eastAsia" w:ascii="仿宋" w:hAnsi="仿宋" w:eastAsia="仿宋" w:cs="仿宋"/>
                <w:color w:val="auto"/>
                <w:sz w:val="22"/>
                <w:szCs w:val="22"/>
              </w:rPr>
            </w:pPr>
          </w:p>
        </w:tc>
        <w:tc>
          <w:tcPr>
            <w:tcW w:w="4620" w:type="dxa"/>
            <w:tcBorders>
              <w:left w:val="single" w:color="000000" w:sz="8" w:space="0"/>
              <w:tl2br w:val="nil"/>
              <w:tr2bl w:val="nil"/>
            </w:tcBorders>
            <w:shd w:val="clear" w:color="auto" w:fill="auto"/>
            <w:vAlign w:val="center"/>
          </w:tcPr>
          <w:p>
            <w:pPr>
              <w:widowControl/>
              <w:spacing w:line="300" w:lineRule="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为满足《GDJ 081-2018 应急广播安全保护技术规范数字签名》要求，投标所用安全服务专用设备制造商需具有权威检测机构出具的安全产品检测报告，以及国家密码管理局颁布的支持国密SM系列算法的商用密码产品认证证书</w:t>
            </w:r>
          </w:p>
          <w:p>
            <w:pPr>
              <w:widowControl/>
              <w:spacing w:line="300" w:lineRule="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【需提供有效的检测报告和认证证书复印件，支持且提供证明材料得2分，未按要求提供证明材料的不得分】</w:t>
            </w:r>
          </w:p>
        </w:tc>
        <w:tc>
          <w:tcPr>
            <w:tcW w:w="810"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2分</w:t>
            </w:r>
          </w:p>
        </w:tc>
        <w:tc>
          <w:tcPr>
            <w:tcW w:w="990"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客观分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2" w:hRule="atLeast"/>
        </w:trPr>
        <w:tc>
          <w:tcPr>
            <w:tcW w:w="870" w:type="dxa"/>
            <w:vMerge w:val="continue"/>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2"/>
                <w:szCs w:val="22"/>
              </w:rPr>
            </w:pPr>
          </w:p>
        </w:tc>
        <w:tc>
          <w:tcPr>
            <w:tcW w:w="525"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6</w:t>
            </w:r>
          </w:p>
        </w:tc>
        <w:tc>
          <w:tcPr>
            <w:tcW w:w="1465" w:type="dxa"/>
            <w:tcBorders>
              <w:right w:val="single" w:color="000000" w:sz="8" w:space="0"/>
              <w:tl2br w:val="nil"/>
              <w:tr2bl w:val="nil"/>
            </w:tcBorders>
            <w:shd w:val="clear" w:color="auto" w:fill="auto"/>
            <w:vAlign w:val="center"/>
          </w:tcPr>
          <w:p>
            <w:pPr>
              <w:widowControl/>
              <w:spacing w:line="360" w:lineRule="auto"/>
              <w:rPr>
                <w:rFonts w:hint="eastAsia" w:ascii="仿宋" w:hAnsi="仿宋" w:eastAsia="仿宋" w:cs="仿宋"/>
                <w:color w:val="auto"/>
                <w:sz w:val="22"/>
                <w:szCs w:val="22"/>
              </w:rPr>
            </w:pPr>
            <w:r>
              <w:rPr>
                <w:rFonts w:hint="eastAsia" w:ascii="仿宋" w:hAnsi="仿宋" w:eastAsia="仿宋" w:cs="仿宋"/>
                <w:color w:val="auto"/>
                <w:sz w:val="22"/>
                <w:szCs w:val="22"/>
              </w:rPr>
              <w:t>保证进度和项目完成的方案和措施等综合评定</w:t>
            </w:r>
          </w:p>
        </w:tc>
        <w:tc>
          <w:tcPr>
            <w:tcW w:w="4620" w:type="dxa"/>
            <w:tcBorders>
              <w:left w:val="single" w:color="000000" w:sz="8" w:space="0"/>
              <w:tl2br w:val="nil"/>
              <w:tr2bl w:val="nil"/>
            </w:tcBorders>
            <w:shd w:val="clear" w:color="auto" w:fill="auto"/>
            <w:vAlign w:val="center"/>
          </w:tcPr>
          <w:p>
            <w:pPr>
              <w:widowControl/>
              <w:spacing w:line="300" w:lineRule="auto"/>
              <w:rPr>
                <w:rFonts w:hint="eastAsia" w:ascii="仿宋" w:hAnsi="仿宋" w:eastAsia="仿宋" w:cs="仿宋"/>
                <w:color w:val="auto"/>
                <w:kern w:val="0"/>
                <w:sz w:val="22"/>
                <w:szCs w:val="22"/>
              </w:rPr>
            </w:pPr>
            <w:r>
              <w:rPr>
                <w:rFonts w:hint="eastAsia" w:ascii="仿宋" w:hAnsi="仿宋" w:eastAsia="仿宋" w:cs="仿宋"/>
                <w:color w:val="auto"/>
                <w:sz w:val="22"/>
                <w:szCs w:val="22"/>
              </w:rPr>
              <w:t>根据投标人提交的组织施工方案及按照物资投入情况、施工进度保证、施工现场管理、项目质量保证、项目风险应对等方面综合评定打分。</w:t>
            </w:r>
          </w:p>
        </w:tc>
        <w:tc>
          <w:tcPr>
            <w:tcW w:w="810"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3分</w:t>
            </w:r>
          </w:p>
        </w:tc>
        <w:tc>
          <w:tcPr>
            <w:tcW w:w="990"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2" w:hRule="atLeast"/>
        </w:trPr>
        <w:tc>
          <w:tcPr>
            <w:tcW w:w="870" w:type="dxa"/>
            <w:vMerge w:val="continue"/>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2"/>
                <w:szCs w:val="22"/>
              </w:rPr>
            </w:pPr>
          </w:p>
        </w:tc>
        <w:tc>
          <w:tcPr>
            <w:tcW w:w="525"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7</w:t>
            </w:r>
          </w:p>
        </w:tc>
        <w:tc>
          <w:tcPr>
            <w:tcW w:w="1465" w:type="dxa"/>
            <w:tcBorders>
              <w:right w:val="single" w:color="000000" w:sz="8" w:space="0"/>
              <w:tl2br w:val="nil"/>
              <w:tr2bl w:val="nil"/>
            </w:tcBorders>
            <w:shd w:val="clear" w:color="auto" w:fill="auto"/>
            <w:vAlign w:val="center"/>
          </w:tcPr>
          <w:p>
            <w:pPr>
              <w:widowControl/>
              <w:spacing w:line="360" w:lineRule="auto"/>
              <w:rPr>
                <w:rFonts w:hint="eastAsia" w:ascii="仿宋" w:hAnsi="仿宋" w:eastAsia="仿宋" w:cs="仿宋"/>
                <w:color w:val="auto"/>
                <w:sz w:val="22"/>
                <w:szCs w:val="22"/>
              </w:rPr>
            </w:pPr>
            <w:r>
              <w:rPr>
                <w:rFonts w:hint="eastAsia" w:ascii="仿宋" w:hAnsi="仿宋" w:eastAsia="仿宋" w:cs="仿宋"/>
                <w:color w:val="auto"/>
                <w:sz w:val="22"/>
                <w:szCs w:val="22"/>
              </w:rPr>
              <w:t>项目负责人及技术力量安排等</w:t>
            </w:r>
          </w:p>
        </w:tc>
        <w:tc>
          <w:tcPr>
            <w:tcW w:w="4620" w:type="dxa"/>
            <w:tcBorders>
              <w:left w:val="single" w:color="000000" w:sz="8" w:space="0"/>
              <w:tl2br w:val="nil"/>
              <w:tr2bl w:val="nil"/>
            </w:tcBorders>
            <w:shd w:val="clear" w:color="auto" w:fill="auto"/>
            <w:vAlign w:val="center"/>
          </w:tcPr>
          <w:p>
            <w:pPr>
              <w:widowControl/>
              <w:spacing w:line="300" w:lineRule="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（1）项目负责人同时具备人力资源和社会保障厅或软件行业协会颁发的系统架构设计师资格证书和信息系统项目管理师资格证书的得4分，缺一项不得分。</w:t>
            </w:r>
          </w:p>
          <w:p>
            <w:pPr>
              <w:widowControl/>
              <w:spacing w:line="300" w:lineRule="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（2）项目团队其他成员，具有广播电视工程专业高级工程师2名及以上的得2分，具有广播电视工程专业中级工程师6名及以上的得3分。</w:t>
            </w:r>
          </w:p>
          <w:p>
            <w:pPr>
              <w:widowControl/>
              <w:spacing w:line="300" w:lineRule="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（3）项目团队其他成员，具有3名及以上人员同时具备网络工程师证书、电工证和登高证的，得3分。</w:t>
            </w:r>
          </w:p>
          <w:p>
            <w:pPr>
              <w:widowControl/>
              <w:spacing w:line="300" w:lineRule="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【证明材料：提供近三个月投标人为上述人员缴纳社保的证明材料及相应证书材料复印件，未按要求提供证明材料的不得分】</w:t>
            </w:r>
          </w:p>
        </w:tc>
        <w:tc>
          <w:tcPr>
            <w:tcW w:w="810"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12分</w:t>
            </w:r>
          </w:p>
        </w:tc>
        <w:tc>
          <w:tcPr>
            <w:tcW w:w="990"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客观分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2" w:hRule="atLeast"/>
        </w:trPr>
        <w:tc>
          <w:tcPr>
            <w:tcW w:w="870" w:type="dxa"/>
            <w:vMerge w:val="continue"/>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2"/>
                <w:szCs w:val="22"/>
              </w:rPr>
            </w:pPr>
          </w:p>
        </w:tc>
        <w:tc>
          <w:tcPr>
            <w:tcW w:w="525"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8</w:t>
            </w:r>
          </w:p>
        </w:tc>
        <w:tc>
          <w:tcPr>
            <w:tcW w:w="1465" w:type="dxa"/>
            <w:tcBorders>
              <w:right w:val="single" w:color="000000" w:sz="8" w:space="0"/>
              <w:tl2br w:val="nil"/>
              <w:tr2bl w:val="nil"/>
            </w:tcBorders>
            <w:shd w:val="clear" w:color="auto" w:fill="auto"/>
            <w:vAlign w:val="center"/>
          </w:tcPr>
          <w:p>
            <w:pPr>
              <w:widowControl/>
              <w:spacing w:line="360" w:lineRule="auto"/>
              <w:rPr>
                <w:rFonts w:hint="eastAsia" w:ascii="仿宋" w:hAnsi="仿宋" w:eastAsia="仿宋" w:cs="仿宋"/>
                <w:color w:val="auto"/>
                <w:sz w:val="22"/>
                <w:szCs w:val="22"/>
              </w:rPr>
            </w:pPr>
            <w:r>
              <w:rPr>
                <w:rFonts w:hint="eastAsia" w:ascii="仿宋" w:hAnsi="仿宋" w:eastAsia="仿宋" w:cs="仿宋"/>
                <w:color w:val="auto"/>
                <w:sz w:val="22"/>
                <w:szCs w:val="22"/>
              </w:rPr>
              <w:t>对本项目的合理化建议</w:t>
            </w:r>
          </w:p>
        </w:tc>
        <w:tc>
          <w:tcPr>
            <w:tcW w:w="4620" w:type="dxa"/>
            <w:tcBorders>
              <w:left w:val="single" w:color="000000" w:sz="8" w:space="0"/>
              <w:tl2br w:val="nil"/>
              <w:tr2bl w:val="nil"/>
            </w:tcBorders>
            <w:shd w:val="clear" w:color="auto" w:fill="auto"/>
            <w:vAlign w:val="center"/>
          </w:tcPr>
          <w:p>
            <w:pPr>
              <w:widowControl/>
              <w:spacing w:line="300" w:lineRule="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针对本项目建设，根据投标人提供的合理化建议综合评定打分。</w:t>
            </w:r>
          </w:p>
        </w:tc>
        <w:tc>
          <w:tcPr>
            <w:tcW w:w="810"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lang w:val="en-US" w:eastAsia="zh-CN"/>
              </w:rPr>
              <w:t>3</w:t>
            </w:r>
            <w:r>
              <w:rPr>
                <w:rFonts w:hint="eastAsia" w:ascii="仿宋" w:hAnsi="仿宋" w:eastAsia="仿宋" w:cs="仿宋"/>
                <w:color w:val="auto"/>
                <w:sz w:val="22"/>
                <w:szCs w:val="22"/>
              </w:rPr>
              <w:t>分</w:t>
            </w:r>
          </w:p>
        </w:tc>
        <w:tc>
          <w:tcPr>
            <w:tcW w:w="990"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7" w:hRule="atLeast"/>
        </w:trPr>
        <w:tc>
          <w:tcPr>
            <w:tcW w:w="870" w:type="dxa"/>
            <w:vMerge w:val="continue"/>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2"/>
                <w:szCs w:val="22"/>
              </w:rPr>
            </w:pPr>
          </w:p>
        </w:tc>
        <w:tc>
          <w:tcPr>
            <w:tcW w:w="525"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9</w:t>
            </w:r>
          </w:p>
        </w:tc>
        <w:tc>
          <w:tcPr>
            <w:tcW w:w="1465" w:type="dxa"/>
            <w:tcBorders>
              <w:right w:val="single" w:color="000000" w:sz="8" w:space="0"/>
              <w:tl2br w:val="nil"/>
              <w:tr2bl w:val="nil"/>
            </w:tcBorders>
            <w:shd w:val="clear" w:color="auto" w:fill="auto"/>
            <w:vAlign w:val="center"/>
          </w:tcPr>
          <w:p>
            <w:pPr>
              <w:widowControl/>
              <w:spacing w:line="360" w:lineRule="auto"/>
              <w:rPr>
                <w:rFonts w:hint="eastAsia" w:ascii="仿宋" w:hAnsi="仿宋" w:eastAsia="仿宋" w:cs="仿宋"/>
                <w:color w:val="auto"/>
                <w:sz w:val="22"/>
                <w:szCs w:val="22"/>
              </w:rPr>
            </w:pPr>
            <w:r>
              <w:rPr>
                <w:rFonts w:hint="eastAsia" w:ascii="仿宋" w:hAnsi="仿宋" w:eastAsia="仿宋" w:cs="仿宋"/>
                <w:color w:val="auto"/>
                <w:sz w:val="22"/>
                <w:szCs w:val="22"/>
              </w:rPr>
              <w:t>服务质量保证情况</w:t>
            </w:r>
          </w:p>
        </w:tc>
        <w:tc>
          <w:tcPr>
            <w:tcW w:w="4620" w:type="dxa"/>
            <w:tcBorders>
              <w:left w:val="single" w:color="000000" w:sz="8" w:space="0"/>
              <w:tl2br w:val="nil"/>
              <w:tr2bl w:val="nil"/>
            </w:tcBorders>
            <w:shd w:val="clear" w:color="auto" w:fill="auto"/>
            <w:vAlign w:val="center"/>
          </w:tcPr>
          <w:p>
            <w:pPr>
              <w:widowControl/>
              <w:spacing w:line="300" w:lineRule="auto"/>
              <w:rPr>
                <w:rFonts w:hint="eastAsia" w:ascii="仿宋" w:hAnsi="仿宋" w:eastAsia="仿宋" w:cs="仿宋"/>
                <w:color w:val="auto"/>
                <w:kern w:val="0"/>
                <w:sz w:val="22"/>
                <w:szCs w:val="22"/>
              </w:rPr>
            </w:pPr>
            <w:r>
              <w:rPr>
                <w:rFonts w:hint="eastAsia" w:ascii="仿宋" w:hAnsi="仿宋" w:eastAsia="仿宋" w:cs="仿宋"/>
                <w:color w:val="auto"/>
                <w:sz w:val="22"/>
                <w:szCs w:val="22"/>
              </w:rPr>
              <w:t>根据质保期限、可实现程度、提供优惠等情况综合评定打分</w:t>
            </w:r>
          </w:p>
        </w:tc>
        <w:tc>
          <w:tcPr>
            <w:tcW w:w="810"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2分</w:t>
            </w:r>
          </w:p>
        </w:tc>
        <w:tc>
          <w:tcPr>
            <w:tcW w:w="990"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2" w:hRule="atLeast"/>
        </w:trPr>
        <w:tc>
          <w:tcPr>
            <w:tcW w:w="870" w:type="dxa"/>
            <w:vMerge w:val="continue"/>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2"/>
                <w:szCs w:val="22"/>
              </w:rPr>
            </w:pPr>
          </w:p>
        </w:tc>
        <w:tc>
          <w:tcPr>
            <w:tcW w:w="525"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10</w:t>
            </w:r>
          </w:p>
        </w:tc>
        <w:tc>
          <w:tcPr>
            <w:tcW w:w="1465" w:type="dxa"/>
            <w:tcBorders>
              <w:right w:val="single" w:color="000000" w:sz="8" w:space="0"/>
              <w:tl2br w:val="nil"/>
              <w:tr2bl w:val="nil"/>
            </w:tcBorders>
            <w:shd w:val="clear" w:color="auto" w:fill="auto"/>
            <w:vAlign w:val="center"/>
          </w:tcPr>
          <w:p>
            <w:pPr>
              <w:widowControl/>
              <w:spacing w:line="360" w:lineRule="auto"/>
              <w:rPr>
                <w:rFonts w:hint="eastAsia" w:ascii="仿宋" w:hAnsi="仿宋" w:eastAsia="仿宋" w:cs="仿宋"/>
                <w:color w:val="auto"/>
                <w:sz w:val="22"/>
                <w:szCs w:val="22"/>
              </w:rPr>
            </w:pPr>
            <w:r>
              <w:rPr>
                <w:rFonts w:hint="eastAsia" w:ascii="仿宋" w:hAnsi="仿宋" w:eastAsia="仿宋" w:cs="仿宋"/>
                <w:color w:val="auto"/>
                <w:sz w:val="22"/>
                <w:szCs w:val="22"/>
              </w:rPr>
              <w:t>服务承诺（根据本地化服务能力、售后服务方案、措施、响应等情况综合评定）</w:t>
            </w:r>
          </w:p>
        </w:tc>
        <w:tc>
          <w:tcPr>
            <w:tcW w:w="4620" w:type="dxa"/>
            <w:tcBorders>
              <w:left w:val="single" w:color="000000" w:sz="8" w:space="0"/>
              <w:tl2br w:val="nil"/>
              <w:tr2bl w:val="nil"/>
            </w:tcBorders>
            <w:shd w:val="clear" w:color="auto" w:fill="auto"/>
            <w:vAlign w:val="center"/>
          </w:tcPr>
          <w:p>
            <w:pPr>
              <w:widowControl/>
              <w:spacing w:line="300" w:lineRule="auto"/>
              <w:rPr>
                <w:rFonts w:hint="eastAsia" w:ascii="仿宋" w:hAnsi="仿宋" w:eastAsia="仿宋" w:cs="仿宋"/>
                <w:color w:val="auto"/>
                <w:sz w:val="22"/>
                <w:szCs w:val="22"/>
              </w:rPr>
            </w:pPr>
            <w:r>
              <w:rPr>
                <w:rFonts w:hint="eastAsia" w:ascii="仿宋" w:hAnsi="仿宋" w:eastAsia="仿宋" w:cs="仿宋"/>
                <w:color w:val="auto"/>
                <w:sz w:val="22"/>
                <w:szCs w:val="22"/>
              </w:rPr>
              <w:t>（1）详细阐述本项目的运维服务承诺及响应情况（0-2）；</w:t>
            </w:r>
          </w:p>
          <w:p>
            <w:pPr>
              <w:widowControl/>
              <w:spacing w:line="300" w:lineRule="auto"/>
              <w:rPr>
                <w:rFonts w:hint="eastAsia" w:ascii="仿宋" w:hAnsi="仿宋" w:eastAsia="仿宋" w:cs="仿宋"/>
                <w:color w:val="auto"/>
                <w:sz w:val="22"/>
                <w:szCs w:val="22"/>
              </w:rPr>
            </w:pPr>
            <w:r>
              <w:rPr>
                <w:rFonts w:hint="eastAsia" w:ascii="仿宋" w:hAnsi="仿宋" w:eastAsia="仿宋" w:cs="仿宋"/>
                <w:color w:val="auto"/>
                <w:sz w:val="22"/>
                <w:szCs w:val="22"/>
              </w:rPr>
              <w:t>（2）本项目拟投入10人及以上运维服务团队承诺（0-</w:t>
            </w:r>
            <w:r>
              <w:rPr>
                <w:rFonts w:hint="eastAsia" w:ascii="仿宋" w:hAnsi="仿宋" w:eastAsia="仿宋" w:cs="仿宋"/>
                <w:color w:val="auto"/>
                <w:sz w:val="22"/>
                <w:szCs w:val="22"/>
                <w:lang w:val="en-US" w:eastAsia="zh-CN"/>
              </w:rPr>
              <w:t>2</w:t>
            </w:r>
            <w:r>
              <w:rPr>
                <w:rFonts w:hint="eastAsia" w:ascii="仿宋" w:hAnsi="仿宋" w:eastAsia="仿宋" w:cs="仿宋"/>
                <w:color w:val="auto"/>
                <w:sz w:val="22"/>
                <w:szCs w:val="22"/>
              </w:rPr>
              <w:t>分）。</w:t>
            </w:r>
          </w:p>
          <w:p>
            <w:pPr>
              <w:widowControl/>
              <w:spacing w:line="300" w:lineRule="auto"/>
              <w:rPr>
                <w:rFonts w:hint="eastAsia" w:ascii="仿宋" w:hAnsi="仿宋" w:eastAsia="仿宋" w:cs="仿宋"/>
                <w:color w:val="auto"/>
                <w:kern w:val="0"/>
                <w:sz w:val="22"/>
                <w:szCs w:val="22"/>
              </w:rPr>
            </w:pPr>
            <w:r>
              <w:rPr>
                <w:rFonts w:hint="eastAsia" w:ascii="仿宋" w:hAnsi="仿宋" w:eastAsia="仿宋" w:cs="仿宋"/>
                <w:color w:val="auto"/>
                <w:sz w:val="22"/>
                <w:szCs w:val="22"/>
              </w:rPr>
              <w:t>【</w:t>
            </w:r>
            <w:r>
              <w:rPr>
                <w:rFonts w:hint="eastAsia" w:ascii="仿宋" w:hAnsi="仿宋" w:eastAsia="仿宋" w:cs="仿宋"/>
                <w:color w:val="auto"/>
                <w:kern w:val="0"/>
                <w:sz w:val="22"/>
                <w:szCs w:val="22"/>
              </w:rPr>
              <w:t>证明材料：提供近</w:t>
            </w:r>
            <w:r>
              <w:rPr>
                <w:rFonts w:hint="eastAsia" w:ascii="仿宋" w:hAnsi="仿宋" w:eastAsia="仿宋" w:cs="仿宋"/>
                <w:color w:val="auto"/>
                <w:kern w:val="0"/>
                <w:sz w:val="22"/>
                <w:szCs w:val="22"/>
                <w:lang w:val="en-US" w:eastAsia="zh-CN"/>
              </w:rPr>
              <w:t>2021年12月-2022年2月</w:t>
            </w:r>
            <w:r>
              <w:rPr>
                <w:rFonts w:hint="eastAsia" w:ascii="仿宋" w:hAnsi="仿宋" w:eastAsia="仿宋" w:cs="仿宋"/>
                <w:color w:val="auto"/>
                <w:kern w:val="0"/>
                <w:sz w:val="22"/>
                <w:szCs w:val="22"/>
              </w:rPr>
              <w:t>为上述人员缴纳社保的证明材料及相应证书材料复印件，未按要求提供证明材料的不得分</w:t>
            </w:r>
            <w:r>
              <w:rPr>
                <w:rFonts w:hint="eastAsia" w:ascii="仿宋" w:hAnsi="仿宋" w:eastAsia="仿宋" w:cs="仿宋"/>
                <w:color w:val="auto"/>
                <w:sz w:val="22"/>
                <w:szCs w:val="22"/>
              </w:rPr>
              <w:t>】</w:t>
            </w:r>
          </w:p>
        </w:tc>
        <w:tc>
          <w:tcPr>
            <w:tcW w:w="810"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lang w:val="en-US" w:eastAsia="zh-CN"/>
              </w:rPr>
              <w:t>4</w:t>
            </w:r>
            <w:r>
              <w:rPr>
                <w:rFonts w:hint="eastAsia" w:ascii="仿宋" w:hAnsi="仿宋" w:eastAsia="仿宋" w:cs="仿宋"/>
                <w:color w:val="auto"/>
                <w:sz w:val="22"/>
                <w:szCs w:val="22"/>
              </w:rPr>
              <w:t>分</w:t>
            </w:r>
          </w:p>
        </w:tc>
        <w:tc>
          <w:tcPr>
            <w:tcW w:w="990"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主观分</w:t>
            </w:r>
          </w:p>
        </w:tc>
      </w:tr>
    </w:tbl>
    <w:p>
      <w:pPr>
        <w:widowControl/>
        <w:spacing w:line="360" w:lineRule="auto"/>
        <w:ind w:left="-140" w:leftChars="-400" w:hanging="700" w:hangingChars="350"/>
        <w:rPr>
          <w:rFonts w:hint="eastAsia" w:ascii="仿宋" w:hAnsi="仿宋" w:eastAsia="仿宋" w:cs="仿宋"/>
          <w:color w:val="auto"/>
          <w:sz w:val="20"/>
          <w:szCs w:val="20"/>
          <w:shd w:val="clear" w:color="auto" w:fill="FFFFFF"/>
        </w:rPr>
      </w:pPr>
      <w:r>
        <w:rPr>
          <w:rFonts w:hint="eastAsia" w:ascii="仿宋" w:hAnsi="仿宋" w:eastAsia="仿宋" w:cs="仿宋"/>
          <w:color w:val="auto"/>
          <w:sz w:val="20"/>
          <w:szCs w:val="20"/>
          <w:shd w:val="clear" w:color="auto" w:fill="FFFFFF"/>
        </w:rPr>
        <w:t> *</w:t>
      </w:r>
    </w:p>
    <w:p>
      <w:pPr>
        <w:widowControl/>
        <w:spacing w:line="360" w:lineRule="auto"/>
        <w:rPr>
          <w:rFonts w:hint="eastAsia" w:ascii="仿宋" w:hAnsi="仿宋" w:eastAsia="仿宋" w:cs="仿宋"/>
          <w:b w:val="0"/>
          <w:bCs w:val="0"/>
          <w:color w:val="auto"/>
          <w:sz w:val="24"/>
          <w:lang w:val="en-US" w:eastAsia="zh-CN"/>
        </w:rPr>
      </w:pPr>
      <w:r>
        <w:rPr>
          <w:rFonts w:hint="eastAsia" w:ascii="仿宋" w:hAnsi="仿宋" w:eastAsia="仿宋" w:cs="仿宋"/>
          <w:b/>
          <w:color w:val="auto"/>
          <w:sz w:val="24"/>
        </w:rPr>
        <w:t>备注：</w:t>
      </w:r>
      <w:r>
        <w:rPr>
          <w:rFonts w:hint="eastAsia" w:ascii="仿宋" w:hAnsi="仿宋" w:eastAsia="仿宋" w:cs="仿宋"/>
          <w:b w:val="0"/>
          <w:bCs w:val="0"/>
          <w:color w:val="auto"/>
          <w:sz w:val="24"/>
          <w:lang w:val="en-US" w:eastAsia="zh-CN"/>
        </w:rPr>
        <w:t>1、评分条款中涉及的业绩、荣誉、人员、社保等分公司均有效。</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lang w:val="en-US" w:eastAsia="zh-CN"/>
        </w:rPr>
        <w:t>3、</w:t>
      </w:r>
      <w:r>
        <w:rPr>
          <w:rFonts w:hint="eastAsia" w:ascii="仿宋" w:hAnsi="仿宋" w:eastAsia="仿宋" w:cs="仿宋"/>
          <w:color w:val="auto"/>
          <w:sz w:val="24"/>
        </w:rPr>
        <w:t>投标人编制投标文件（商务技术文件部分）时，建议按此目录（序号和内容）提供评标标准相应的商务技术资料。 </w:t>
      </w:r>
    </w:p>
    <w:p>
      <w:pPr>
        <w:widowControl/>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价格分（</w:t>
      </w:r>
      <w:r>
        <w:rPr>
          <w:rFonts w:hint="eastAsia" w:ascii="仿宋" w:hAnsi="仿宋" w:eastAsia="仿宋" w:cs="仿宋"/>
          <w:color w:val="auto"/>
          <w:sz w:val="24"/>
          <w:lang w:val="en-US" w:eastAsia="zh-CN"/>
        </w:rPr>
        <w:t>30</w:t>
      </w:r>
      <w:r>
        <w:rPr>
          <w:rFonts w:hint="eastAsia" w:ascii="仿宋" w:hAnsi="仿宋" w:eastAsia="仿宋" w:cs="仿宋"/>
          <w:color w:val="auto"/>
          <w:sz w:val="24"/>
        </w:rPr>
        <w:t>分）</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价格权值</w:t>
            </w:r>
          </w:p>
        </w:tc>
        <w:tc>
          <w:tcPr>
            <w:tcW w:w="659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hint="eastAsia" w:ascii="仿宋" w:hAnsi="仿宋" w:eastAsia="仿宋" w:cs="仿宋"/>
                <w:color w:val="auto"/>
                <w:sz w:val="24"/>
                <w:lang w:val="en-US" w:eastAsia="zh-CN"/>
              </w:rPr>
            </w:pPr>
            <w:r>
              <w:rPr>
                <w:rFonts w:hint="eastAsia" w:ascii="仿宋" w:hAnsi="仿宋" w:eastAsia="仿宋" w:cs="仿宋"/>
                <w:color w:val="auto"/>
                <w:sz w:val="24"/>
              </w:rPr>
              <w:t>价格权值=</w:t>
            </w:r>
            <w:r>
              <w:rPr>
                <w:rFonts w:hint="eastAsia" w:ascii="仿宋" w:hAnsi="仿宋" w:eastAsia="仿宋" w:cs="仿宋"/>
                <w:color w:val="auto"/>
                <w:sz w:val="24"/>
                <w:lang w:val="en-US" w:eastAsia="zh-CN"/>
              </w:rPr>
              <w:t>0.3</w:t>
            </w:r>
          </w:p>
        </w:tc>
        <w:tc>
          <w:tcPr>
            <w:tcW w:w="659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最低有效投标价格为评标基准价</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投标报价得分=(评标基准价／投标报价)×价格权值×100 </w:t>
            </w:r>
          </w:p>
          <w:p>
            <w:pPr>
              <w:widowControl/>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（计算得分保留小数点后2位）</w:t>
            </w:r>
          </w:p>
        </w:tc>
      </w:tr>
    </w:tbl>
    <w:p>
      <w:pPr>
        <w:pStyle w:val="5"/>
        <w:rPr>
          <w:rFonts w:hint="eastAsia" w:ascii="仿宋" w:hAnsi="仿宋" w:eastAsia="仿宋" w:cs="仿宋"/>
          <w:color w:val="auto"/>
        </w:rPr>
      </w:pPr>
    </w:p>
    <w:p>
      <w:pPr>
        <w:rPr>
          <w:rFonts w:hint="eastAsia" w:ascii="仿宋" w:hAnsi="仿宋" w:eastAsia="仿宋" w:cs="仿宋"/>
          <w:b/>
          <w:color w:val="auto"/>
          <w:sz w:val="32"/>
        </w:rPr>
      </w:pPr>
      <w:r>
        <w:rPr>
          <w:rFonts w:hint="eastAsia" w:ascii="仿宋" w:hAnsi="仿宋" w:eastAsia="仿宋" w:cs="仿宋"/>
          <w:b/>
          <w:color w:val="auto"/>
          <w:sz w:val="32"/>
        </w:rPr>
        <w:br w:type="page"/>
      </w:r>
    </w:p>
    <w:p>
      <w:pPr>
        <w:snapToGrid w:val="0"/>
        <w:spacing w:line="360" w:lineRule="auto"/>
        <w:rPr>
          <w:rFonts w:hint="eastAsia" w:ascii="仿宋" w:hAnsi="仿宋" w:eastAsia="仿宋" w:cs="仿宋"/>
          <w:b/>
          <w:color w:val="auto"/>
          <w:sz w:val="28"/>
          <w:szCs w:val="28"/>
        </w:rPr>
      </w:pPr>
      <w:r>
        <w:rPr>
          <w:rFonts w:hint="eastAsia" w:ascii="仿宋" w:hAnsi="仿宋" w:eastAsia="仿宋" w:cs="仿宋"/>
          <w:b/>
          <w:color w:val="auto"/>
          <w:sz w:val="32"/>
        </w:rPr>
        <w:t>一、评标方法</w:t>
      </w:r>
    </w:p>
    <w:p>
      <w:pPr>
        <w:adjustRightInd/>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1.本项目采用综合评分法。</w:t>
      </w:r>
      <w:r>
        <w:rPr>
          <w:rFonts w:hint="eastAsia" w:ascii="仿宋" w:hAnsi="仿宋" w:eastAsia="仿宋" w:cs="仿宋"/>
          <w:color w:val="auto"/>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color w:val="auto"/>
          <w:kern w:val="0"/>
          <w:sz w:val="24"/>
        </w:rPr>
      </w:pPr>
      <w:r>
        <w:rPr>
          <w:rFonts w:hint="eastAsia" w:ascii="仿宋" w:hAnsi="仿宋" w:eastAsia="仿宋" w:cs="仿宋"/>
          <w:b/>
          <w:color w:val="auto"/>
          <w:sz w:val="32"/>
        </w:rPr>
        <w:t>二、评标标准</w:t>
      </w:r>
    </w:p>
    <w:p>
      <w:pPr>
        <w:spacing w:line="360" w:lineRule="auto"/>
        <w:ind w:firstLine="472" w:firstLineChars="196"/>
        <w:rPr>
          <w:rFonts w:hint="eastAsia" w:ascii="仿宋" w:hAnsi="仿宋" w:eastAsia="仿宋" w:cs="仿宋"/>
          <w:b/>
          <w:color w:val="auto"/>
          <w:sz w:val="24"/>
        </w:rPr>
      </w:pPr>
      <w:r>
        <w:rPr>
          <w:rFonts w:hint="eastAsia" w:ascii="仿宋" w:hAnsi="仿宋" w:eastAsia="仿宋" w:cs="仿宋"/>
          <w:b/>
          <w:color w:val="auto"/>
          <w:sz w:val="24"/>
        </w:rPr>
        <w:t>2.</w:t>
      </w:r>
      <w:r>
        <w:rPr>
          <w:rFonts w:hint="eastAsia" w:ascii="仿宋" w:hAnsi="仿宋" w:eastAsia="仿宋" w:cs="仿宋"/>
          <w:color w:val="auto"/>
        </w:rPr>
        <w:t xml:space="preserve"> </w:t>
      </w:r>
      <w:r>
        <w:rPr>
          <w:rFonts w:hint="eastAsia" w:ascii="仿宋" w:hAnsi="仿宋" w:eastAsia="仿宋" w:cs="仿宋"/>
          <w:b/>
          <w:color w:val="auto"/>
          <w:sz w:val="24"/>
        </w:rPr>
        <w:t>评标标准：</w:t>
      </w:r>
      <w:r>
        <w:rPr>
          <w:rFonts w:hint="eastAsia" w:ascii="仿宋" w:hAnsi="仿宋" w:eastAsia="仿宋" w:cs="仿宋"/>
          <w:color w:val="auto"/>
          <w:kern w:val="0"/>
          <w:sz w:val="24"/>
        </w:rPr>
        <w:t>见评标办法前附表。</w:t>
      </w:r>
    </w:p>
    <w:p>
      <w:pPr>
        <w:spacing w:line="360" w:lineRule="auto"/>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三、评标程序</w:t>
      </w:r>
    </w:p>
    <w:p>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3.1符合性审查。</w:t>
      </w:r>
      <w:r>
        <w:rPr>
          <w:rFonts w:hint="eastAsia" w:ascii="仿宋" w:hAnsi="仿宋" w:eastAsia="仿宋" w:cs="仿宋"/>
          <w:color w:val="auto"/>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3.2 比较与评价。</w:t>
      </w:r>
      <w:r>
        <w:rPr>
          <w:rFonts w:hint="eastAsia" w:ascii="仿宋" w:hAnsi="仿宋" w:eastAsia="仿宋" w:cs="仿宋"/>
          <w:color w:val="auto"/>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3.3汇总商务技术得分。</w:t>
      </w:r>
      <w:r>
        <w:rPr>
          <w:rFonts w:hint="eastAsia" w:ascii="仿宋" w:hAnsi="仿宋" w:eastAsia="仿宋" w:cs="仿宋"/>
          <w:color w:val="auto"/>
          <w:kern w:val="0"/>
          <w:sz w:val="24"/>
        </w:rPr>
        <w:t>评标委员会各成员应当独立对每个投标人的商务和技术文件进行评价，并汇总商务技术得分情况。</w:t>
      </w:r>
    </w:p>
    <w:p>
      <w:pPr>
        <w:spacing w:line="360" w:lineRule="auto"/>
        <w:ind w:firstLine="472" w:firstLineChars="196"/>
        <w:rPr>
          <w:rFonts w:hint="eastAsia" w:ascii="仿宋" w:hAnsi="仿宋" w:eastAsia="仿宋" w:cs="仿宋"/>
          <w:b/>
          <w:color w:val="auto"/>
          <w:kern w:val="0"/>
          <w:sz w:val="24"/>
        </w:rPr>
      </w:pPr>
      <w:r>
        <w:rPr>
          <w:rFonts w:hint="eastAsia" w:ascii="仿宋" w:hAnsi="仿宋" w:eastAsia="仿宋" w:cs="仿宋"/>
          <w:b/>
          <w:color w:val="auto"/>
          <w:kern w:val="0"/>
          <w:sz w:val="24"/>
        </w:rPr>
        <w:t>3.4报价评审。</w:t>
      </w:r>
    </w:p>
    <w:p>
      <w:pPr>
        <w:pStyle w:val="128"/>
        <w:spacing w:before="0"/>
        <w:ind w:firstLine="508" w:firstLineChars="212"/>
        <w:rPr>
          <w:rFonts w:hint="eastAsia" w:ascii="仿宋" w:hAnsi="仿宋" w:eastAsia="仿宋" w:cs="仿宋"/>
          <w:color w:val="auto"/>
          <w:kern w:val="0"/>
        </w:rPr>
      </w:pPr>
      <w:r>
        <w:rPr>
          <w:rFonts w:hint="eastAsia" w:ascii="仿宋" w:hAnsi="仿宋" w:eastAsia="仿宋" w:cs="仿宋"/>
          <w:color w:val="auto"/>
          <w:kern w:val="0"/>
        </w:rPr>
        <w:t>3.4.1投标文件报价出现前后不一致的，按照下列规定修正：</w:t>
      </w:r>
    </w:p>
    <w:p>
      <w:pPr>
        <w:pStyle w:val="128"/>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3.4.1.1投标文件中开标一览表(报价表)内容与投标文件中相应内容不一致的，以开标一览表(报价表)为准;</w:t>
      </w:r>
    </w:p>
    <w:p>
      <w:pPr>
        <w:pStyle w:val="128"/>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3.4.1.2大写金额和小写金额不一致的，以大写金额为准;</w:t>
      </w:r>
    </w:p>
    <w:p>
      <w:pPr>
        <w:pStyle w:val="128"/>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3.4.1.3单价金额小数点或者百分比有明显错位的，以开标一览表的总价为准，并修改单价;</w:t>
      </w:r>
    </w:p>
    <w:p>
      <w:pPr>
        <w:pStyle w:val="128"/>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3.4.1.4总价金额与按单价汇总金额不一致的，以单价金额计算结果为准。</w:t>
      </w:r>
    </w:p>
    <w:p>
      <w:pPr>
        <w:pStyle w:val="128"/>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3.4.3投标报价超过招标文件中规定的预算金额或者最高限价的，投标无效。</w:t>
      </w:r>
    </w:p>
    <w:p>
      <w:pPr>
        <w:pStyle w:val="128"/>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color w:val="auto"/>
          <w:kern w:val="0"/>
          <w:sz w:val="24"/>
        </w:rPr>
      </w:pPr>
      <w:r>
        <w:rPr>
          <w:rFonts w:hint="eastAsia" w:ascii="仿宋" w:hAnsi="仿宋" w:eastAsia="仿宋" w:cs="仿宋"/>
          <w:b/>
          <w:color w:val="auto"/>
          <w:kern w:val="0"/>
          <w:sz w:val="24"/>
        </w:rPr>
        <w:t>3.5排序与推荐。</w:t>
      </w:r>
      <w:r>
        <w:rPr>
          <w:rFonts w:hint="eastAsia" w:ascii="仿宋" w:hAnsi="仿宋" w:eastAsia="仿宋" w:cs="仿宋"/>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hint="eastAsia" w:ascii="仿宋" w:hAnsi="仿宋" w:eastAsia="仿宋" w:cs="仿宋"/>
          <w:b/>
          <w:color w:val="auto"/>
          <w:kern w:val="0"/>
          <w:sz w:val="24"/>
        </w:rPr>
      </w:pPr>
      <w:r>
        <w:rPr>
          <w:rFonts w:hint="eastAsia" w:ascii="仿宋" w:hAnsi="仿宋" w:eastAsia="仿宋" w:cs="仿宋"/>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3.6编写评标报告。</w:t>
      </w:r>
      <w:r>
        <w:rPr>
          <w:rFonts w:hint="eastAsia" w:ascii="仿宋" w:hAnsi="仿宋" w:eastAsia="仿宋" w:cs="仿宋"/>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 w:hAnsi="仿宋" w:eastAsia="仿宋" w:cs="仿宋"/>
          <w:b/>
          <w:color w:val="auto"/>
          <w:sz w:val="32"/>
        </w:rPr>
      </w:pPr>
      <w:r>
        <w:rPr>
          <w:rFonts w:hint="eastAsia" w:ascii="仿宋" w:hAnsi="仿宋" w:eastAsia="仿宋" w:cs="仿宋"/>
          <w:b/>
          <w:color w:val="auto"/>
          <w:sz w:val="32"/>
        </w:rPr>
        <w:t>四、评标中的其他事项</w:t>
      </w:r>
    </w:p>
    <w:p>
      <w:pPr>
        <w:pStyle w:val="128"/>
        <w:spacing w:before="0"/>
        <w:ind w:firstLine="472" w:firstLineChars="196"/>
        <w:rPr>
          <w:rFonts w:hint="eastAsia" w:ascii="仿宋" w:hAnsi="仿宋" w:eastAsia="仿宋" w:cs="仿宋"/>
          <w:color w:val="auto"/>
          <w:kern w:val="0"/>
          <w:szCs w:val="24"/>
        </w:rPr>
      </w:pPr>
      <w:r>
        <w:rPr>
          <w:rFonts w:hint="eastAsia" w:ascii="仿宋" w:hAnsi="仿宋" w:eastAsia="仿宋" w:cs="仿宋"/>
          <w:b/>
          <w:color w:val="auto"/>
          <w:kern w:val="0"/>
          <w:szCs w:val="24"/>
        </w:rPr>
        <w:t>4.1投标人澄清、说明或者补正。</w:t>
      </w:r>
      <w:r>
        <w:rPr>
          <w:rFonts w:hint="eastAsia" w:ascii="仿宋" w:hAnsi="仿宋" w:eastAsia="仿宋" w:cs="仿宋"/>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hint="eastAsia" w:ascii="仿宋" w:hAnsi="仿宋" w:eastAsia="仿宋" w:cs="仿宋"/>
          <w:color w:val="auto"/>
          <w:szCs w:val="21"/>
        </w:rPr>
      </w:pPr>
      <w:r>
        <w:rPr>
          <w:rFonts w:hint="eastAsia" w:ascii="仿宋" w:hAnsi="仿宋" w:eastAsia="仿宋" w:cs="仿宋"/>
          <w:b/>
          <w:color w:val="auto"/>
          <w:kern w:val="0"/>
        </w:rPr>
        <w:t>4.2投标无效。</w:t>
      </w:r>
      <w:r>
        <w:rPr>
          <w:rFonts w:hint="eastAsia" w:ascii="仿宋" w:hAnsi="仿宋" w:eastAsia="仿宋" w:cs="仿宋"/>
          <w:color w:val="auto"/>
          <w:szCs w:val="21"/>
        </w:rPr>
        <w:t>有下列情形之一的，投标无效：</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4.2.2投标文件未按照招标文件要求签署、盖章的；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4.2.4投标文件含有采购人不能接受的附加条件的；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color w:val="auto"/>
          <w:kern w:val="0"/>
          <w:sz w:val="24"/>
        </w:rPr>
      </w:pPr>
      <w:r>
        <w:rPr>
          <w:rFonts w:hint="eastAsia" w:ascii="仿宋" w:hAnsi="仿宋" w:eastAsia="仿宋" w:cs="仿宋"/>
          <w:color w:val="auto"/>
          <w:kern w:val="0"/>
          <w:sz w:val="24"/>
        </w:rPr>
        <w:t xml:space="preserve">   4.2.6投标文件出现不是唯一的、有选择性投标报价的;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4.2.7投标报价超过招标文件中规定的预算金额或者最高限价的;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4.2.9投标人对根据修正原则修正后的报价不确认的；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4.2.10投标人提供虚假材料投标的；</w:t>
      </w:r>
    </w:p>
    <w:p>
      <w:pPr>
        <w:spacing w:line="360" w:lineRule="auto"/>
        <w:ind w:firstLine="240" w:firstLineChars="100"/>
        <w:rPr>
          <w:rFonts w:hint="eastAsia" w:ascii="仿宋" w:hAnsi="仿宋" w:eastAsia="仿宋" w:cs="仿宋"/>
          <w:color w:val="auto"/>
          <w:kern w:val="0"/>
          <w:sz w:val="24"/>
        </w:rPr>
      </w:pPr>
      <w:r>
        <w:rPr>
          <w:rFonts w:hint="eastAsia" w:ascii="仿宋" w:hAnsi="仿宋" w:eastAsia="仿宋" w:cs="仿宋"/>
          <w:color w:val="auto"/>
          <w:kern w:val="0"/>
          <w:sz w:val="24"/>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4.2.12投标人仅提交备份投标文件，未在电子交易平台传输递交投标文件的，投标无效；</w:t>
      </w:r>
    </w:p>
    <w:p>
      <w:pPr>
        <w:pStyle w:val="5"/>
        <w:ind w:left="862" w:leftChars="205"/>
        <w:rPr>
          <w:rFonts w:hint="eastAsia" w:ascii="仿宋" w:hAnsi="仿宋" w:eastAsia="仿宋" w:cs="仿宋"/>
          <w:b w:val="0"/>
          <w:bCs w:val="0"/>
          <w:color w:val="auto"/>
          <w:kern w:val="0"/>
          <w:sz w:val="24"/>
          <w:szCs w:val="24"/>
          <w:lang w:val="en-US"/>
        </w:rPr>
      </w:pPr>
      <w:r>
        <w:rPr>
          <w:rFonts w:hint="eastAsia" w:ascii="仿宋" w:hAnsi="仿宋" w:eastAsia="仿宋" w:cs="仿宋"/>
          <w:b w:val="0"/>
          <w:bCs w:val="0"/>
          <w:color w:val="auto"/>
          <w:kern w:val="0"/>
          <w:sz w:val="24"/>
          <w:szCs w:val="24"/>
          <w:lang w:val="en-US"/>
        </w:rPr>
        <w:t>4.2.13 投标文件不满足招标文件的其它实质性要求的；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4.2.14法律、法规、规章（适用本市的）及省级以上规范性文件（适用本市的）规定的其他无效情形。</w:t>
      </w:r>
    </w:p>
    <w:p>
      <w:pPr>
        <w:pStyle w:val="25"/>
        <w:snapToGrid w:val="0"/>
        <w:spacing w:line="360" w:lineRule="auto"/>
        <w:ind w:firstLine="472" w:firstLineChars="196"/>
        <w:rPr>
          <w:rFonts w:hint="eastAsia" w:ascii="仿宋" w:hAnsi="仿宋" w:eastAsia="仿宋" w:cs="仿宋"/>
          <w:color w:val="auto"/>
        </w:rPr>
      </w:pPr>
      <w:r>
        <w:rPr>
          <w:rFonts w:hint="eastAsia" w:ascii="仿宋" w:hAnsi="仿宋" w:eastAsia="仿宋" w:cs="仿宋"/>
          <w:b/>
          <w:color w:val="auto"/>
        </w:rPr>
        <w:t>5.废标。</w:t>
      </w:r>
      <w:r>
        <w:rPr>
          <w:rFonts w:hint="eastAsia" w:ascii="仿宋" w:hAnsi="仿宋" w:eastAsia="仿宋" w:cs="仿宋"/>
          <w:color w:val="auto"/>
        </w:rPr>
        <w:t>根据《中华人民共和国政府采购法》第三十六条之规定，在采购中，出现下列情形之一的，应予废标：</w:t>
      </w:r>
    </w:p>
    <w:p>
      <w:pPr>
        <w:pStyle w:val="25"/>
        <w:snapToGrid w:val="0"/>
        <w:spacing w:line="360" w:lineRule="auto"/>
        <w:rPr>
          <w:rFonts w:hint="eastAsia" w:ascii="仿宋" w:hAnsi="仿宋" w:eastAsia="仿宋" w:cs="仿宋"/>
          <w:color w:val="auto"/>
        </w:rPr>
      </w:pPr>
      <w:r>
        <w:rPr>
          <w:rFonts w:hint="eastAsia" w:ascii="仿宋" w:hAnsi="仿宋" w:eastAsia="仿宋" w:cs="仿宋"/>
          <w:color w:val="auto"/>
        </w:rPr>
        <w:t>5.1符合专业条件的供应商或者对招标文件作实质响应的供应商不足3家的；</w:t>
      </w:r>
    </w:p>
    <w:p>
      <w:pPr>
        <w:pStyle w:val="25"/>
        <w:snapToGrid w:val="0"/>
        <w:spacing w:line="360" w:lineRule="auto"/>
        <w:rPr>
          <w:rFonts w:hint="eastAsia" w:ascii="仿宋" w:hAnsi="仿宋" w:eastAsia="仿宋" w:cs="仿宋"/>
          <w:color w:val="auto"/>
        </w:rPr>
      </w:pPr>
      <w:r>
        <w:rPr>
          <w:rFonts w:hint="eastAsia" w:ascii="仿宋" w:hAnsi="仿宋" w:eastAsia="仿宋" w:cs="仿宋"/>
          <w:color w:val="auto"/>
        </w:rPr>
        <w:t>5.2出现影响采购公正的违法、违规行为的；</w:t>
      </w:r>
    </w:p>
    <w:p>
      <w:pPr>
        <w:pStyle w:val="25"/>
        <w:snapToGrid w:val="0"/>
        <w:spacing w:line="360" w:lineRule="auto"/>
        <w:rPr>
          <w:rFonts w:hint="eastAsia" w:ascii="仿宋" w:hAnsi="仿宋" w:eastAsia="仿宋" w:cs="仿宋"/>
          <w:color w:val="auto"/>
        </w:rPr>
      </w:pPr>
      <w:r>
        <w:rPr>
          <w:rFonts w:hint="eastAsia" w:ascii="仿宋" w:hAnsi="仿宋" w:eastAsia="仿宋" w:cs="仿宋"/>
          <w:color w:val="auto"/>
        </w:rPr>
        <w:t>5.3投标人的报价均超过了采购预算，采购人不能支付的；</w:t>
      </w:r>
    </w:p>
    <w:p>
      <w:pPr>
        <w:pStyle w:val="25"/>
        <w:snapToGrid w:val="0"/>
        <w:spacing w:line="360" w:lineRule="auto"/>
        <w:rPr>
          <w:rFonts w:hint="eastAsia" w:ascii="仿宋" w:hAnsi="仿宋" w:eastAsia="仿宋" w:cs="仿宋"/>
          <w:color w:val="auto"/>
        </w:rPr>
      </w:pPr>
      <w:r>
        <w:rPr>
          <w:rFonts w:hint="eastAsia" w:ascii="仿宋" w:hAnsi="仿宋" w:eastAsia="仿宋" w:cs="仿宋"/>
          <w:color w:val="auto"/>
        </w:rPr>
        <w:t>5.4因重大变故，采购任务取消的。</w:t>
      </w:r>
    </w:p>
    <w:p>
      <w:pPr>
        <w:pStyle w:val="25"/>
        <w:snapToGrid w:val="0"/>
        <w:spacing w:line="360" w:lineRule="auto"/>
        <w:rPr>
          <w:rFonts w:hint="eastAsia" w:ascii="仿宋" w:hAnsi="仿宋" w:eastAsia="仿宋" w:cs="仿宋"/>
          <w:color w:val="auto"/>
        </w:rPr>
      </w:pPr>
      <w:r>
        <w:rPr>
          <w:rFonts w:hint="eastAsia" w:ascii="仿宋" w:hAnsi="仿宋" w:eastAsia="仿宋" w:cs="仿宋"/>
          <w:color w:val="auto"/>
        </w:rPr>
        <w:t>废标后，采购机构应当将废标理由通知所有投标人。</w:t>
      </w:r>
    </w:p>
    <w:p>
      <w:pPr>
        <w:pStyle w:val="25"/>
        <w:snapToGrid w:val="0"/>
        <w:spacing w:line="360" w:lineRule="auto"/>
        <w:ind w:firstLine="590" w:firstLineChars="245"/>
        <w:rPr>
          <w:rFonts w:hint="eastAsia" w:ascii="仿宋" w:hAnsi="仿宋" w:eastAsia="仿宋" w:cs="仿宋"/>
          <w:color w:val="auto"/>
        </w:rPr>
      </w:pPr>
      <w:r>
        <w:rPr>
          <w:rFonts w:hint="eastAsia" w:ascii="仿宋" w:hAnsi="仿宋" w:eastAsia="仿宋" w:cs="仿宋"/>
          <w:b/>
          <w:color w:val="auto"/>
        </w:rPr>
        <w:t>6.修改招标文件，重新组织采购活动。</w:t>
      </w:r>
      <w:r>
        <w:rPr>
          <w:rFonts w:hint="eastAsia" w:ascii="仿宋" w:hAnsi="仿宋" w:eastAsia="仿宋" w:cs="仿宋"/>
          <w:color w:val="auto"/>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napToGrid w:val="0"/>
        <w:spacing w:line="360" w:lineRule="auto"/>
        <w:ind w:firstLine="590" w:firstLineChars="245"/>
        <w:rPr>
          <w:rFonts w:hint="eastAsia" w:ascii="仿宋" w:hAnsi="仿宋" w:eastAsia="仿宋" w:cs="仿宋"/>
          <w:color w:val="auto"/>
        </w:rPr>
      </w:pPr>
      <w:r>
        <w:rPr>
          <w:rFonts w:hint="eastAsia" w:ascii="仿宋" w:hAnsi="仿宋" w:eastAsia="仿宋" w:cs="仿宋"/>
          <w:b/>
          <w:color w:val="auto"/>
          <w:kern w:val="0"/>
        </w:rPr>
        <w:t>7.重新开展采购。</w:t>
      </w:r>
      <w:r>
        <w:rPr>
          <w:rFonts w:hint="eastAsia" w:ascii="仿宋" w:hAnsi="仿宋" w:eastAsia="仿宋" w:cs="仿宋"/>
          <w:color w:val="auto"/>
        </w:rPr>
        <w:t>有政府采购法第七十一条、第七十二条规定的违法行为之一，影响或者可能影响中标、成交结果的，依照下列规定处理：</w:t>
      </w:r>
    </w:p>
    <w:p>
      <w:pPr>
        <w:pStyle w:val="25"/>
        <w:snapToGrid w:val="0"/>
        <w:spacing w:line="360" w:lineRule="auto"/>
        <w:ind w:firstLine="600" w:firstLineChars="250"/>
        <w:rPr>
          <w:rFonts w:hint="eastAsia" w:ascii="仿宋" w:hAnsi="仿宋" w:eastAsia="仿宋" w:cs="仿宋"/>
          <w:color w:val="auto"/>
        </w:rPr>
      </w:pPr>
      <w:r>
        <w:rPr>
          <w:rFonts w:hint="eastAsia" w:ascii="仿宋" w:hAnsi="仿宋" w:eastAsia="仿宋" w:cs="仿宋"/>
          <w:color w:val="auto"/>
        </w:rPr>
        <w:t>7.1未确定中标或者中标人的，终止本次政府采购活动，重新开展政府采购活动。</w:t>
      </w:r>
    </w:p>
    <w:p>
      <w:pPr>
        <w:pStyle w:val="25"/>
        <w:snapToGrid w:val="0"/>
        <w:spacing w:line="360" w:lineRule="auto"/>
        <w:ind w:firstLine="600" w:firstLineChars="250"/>
        <w:rPr>
          <w:rFonts w:hint="eastAsia" w:ascii="仿宋" w:hAnsi="仿宋" w:eastAsia="仿宋" w:cs="仿宋"/>
          <w:color w:val="auto"/>
        </w:rPr>
      </w:pPr>
      <w:r>
        <w:rPr>
          <w:rFonts w:hint="eastAsia" w:ascii="仿宋" w:hAnsi="仿宋" w:eastAsia="仿宋" w:cs="仿宋"/>
          <w:color w:val="auto"/>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5"/>
        <w:snapToGrid w:val="0"/>
        <w:spacing w:line="360" w:lineRule="auto"/>
        <w:ind w:firstLine="600" w:firstLineChars="250"/>
        <w:rPr>
          <w:rFonts w:hint="eastAsia" w:ascii="仿宋" w:hAnsi="仿宋" w:eastAsia="仿宋" w:cs="仿宋"/>
          <w:color w:val="auto"/>
        </w:rPr>
      </w:pPr>
      <w:r>
        <w:rPr>
          <w:rFonts w:hint="eastAsia" w:ascii="仿宋" w:hAnsi="仿宋" w:eastAsia="仿宋" w:cs="仿宋"/>
          <w:color w:val="auto"/>
        </w:rPr>
        <w:t>7.3政府采购合同已签订但尚未履行的，撤销合同，从合格的中标或者成交候选人中另行确定中标或者中标人；没有合格的中标或者成交候选人的，重新开展政府采购活动。</w:t>
      </w:r>
    </w:p>
    <w:p>
      <w:pPr>
        <w:pStyle w:val="25"/>
        <w:snapToGrid w:val="0"/>
        <w:spacing w:line="360" w:lineRule="auto"/>
        <w:rPr>
          <w:rFonts w:hint="eastAsia" w:ascii="仿宋" w:hAnsi="仿宋" w:eastAsia="仿宋" w:cs="仿宋"/>
          <w:color w:val="auto"/>
        </w:rPr>
      </w:pPr>
      <w:r>
        <w:rPr>
          <w:rFonts w:hint="eastAsia" w:ascii="仿宋" w:hAnsi="仿宋" w:eastAsia="仿宋" w:cs="仿宋"/>
          <w:color w:val="auto"/>
        </w:rPr>
        <w:t>7.4政府采购合同已经履行，给采购人、供应商造成损失的，由责任人承担赔偿责任。</w:t>
      </w:r>
    </w:p>
    <w:p>
      <w:pPr>
        <w:pStyle w:val="25"/>
        <w:snapToGrid w:val="0"/>
        <w:spacing w:line="360" w:lineRule="auto"/>
        <w:rPr>
          <w:rFonts w:hint="eastAsia" w:ascii="仿宋" w:hAnsi="仿宋" w:eastAsia="仿宋" w:cs="仿宋"/>
          <w:b/>
          <w:color w:val="auto"/>
          <w:sz w:val="36"/>
          <w:szCs w:val="36"/>
        </w:rPr>
      </w:pPr>
      <w:r>
        <w:rPr>
          <w:rFonts w:hint="eastAsia" w:ascii="仿宋" w:hAnsi="仿宋" w:eastAsia="仿宋" w:cs="仿宋"/>
          <w:color w:val="auto"/>
        </w:rPr>
        <w:t>7.5政府采购当事人有其他违反政府采购法</w:t>
      </w:r>
      <w:r>
        <w:rPr>
          <w:rFonts w:hint="eastAsia" w:ascii="仿宋" w:hAnsi="仿宋" w:eastAsia="仿宋" w:cs="仿宋"/>
          <w:color w:val="auto"/>
          <w:kern w:val="0"/>
        </w:rPr>
        <w:t>或者政府采购法实施条例等法律法规规定</w:t>
      </w:r>
      <w:r>
        <w:rPr>
          <w:rFonts w:hint="eastAsia" w:ascii="仿宋" w:hAnsi="仿宋" w:eastAsia="仿宋" w:cs="仿宋"/>
          <w:color w:val="auto"/>
        </w:rPr>
        <w:t>的行为，经改正后仍然影响或者可能影响中标、成交结果或者依法被认定为中标、成交无效的，依照7.1-7.4规定处理。</w:t>
      </w:r>
      <w:bookmarkEnd w:id="15"/>
      <w:bookmarkStart w:id="424" w:name="第五部分"/>
      <w:bookmarkStart w:id="425" w:name="_Toc86217003"/>
    </w:p>
    <w:p>
      <w:pPr>
        <w:spacing w:line="360" w:lineRule="auto"/>
        <w:ind w:left="720" w:leftChars="343" w:firstLine="1084" w:firstLineChars="300"/>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第五部分 拟签订的合同文本</w:t>
      </w:r>
    </w:p>
    <w:p>
      <w:pPr>
        <w:pStyle w:val="25"/>
        <w:snapToGrid w:val="0"/>
        <w:spacing w:line="360" w:lineRule="auto"/>
        <w:rPr>
          <w:rFonts w:hint="eastAsia" w:ascii="仿宋" w:hAnsi="仿宋" w:eastAsia="仿宋" w:cs="仿宋"/>
          <w:color w:val="auto"/>
          <w:lang w:val="en-US" w:eastAsia="zh-CN"/>
        </w:rPr>
      </w:pPr>
      <w:r>
        <w:rPr>
          <w:rFonts w:hint="eastAsia" w:ascii="仿宋" w:hAnsi="仿宋" w:eastAsia="仿宋" w:cs="仿宋"/>
          <w:color w:val="auto"/>
          <w:lang w:val="en-US" w:eastAsia="zh-CN"/>
        </w:rPr>
        <w:t>服务类合同建议可按照参考格式按照实际情况调整修改。</w:t>
      </w:r>
    </w:p>
    <w:p>
      <w:pPr>
        <w:rPr>
          <w:rFonts w:hint="eastAsia" w:ascii="仿宋" w:hAnsi="仿宋" w:eastAsia="仿宋" w:cs="仿宋"/>
          <w:color w:val="auto"/>
          <w:sz w:val="24"/>
          <w:u w:val="single"/>
        </w:rPr>
      </w:pPr>
      <w:r>
        <w:rPr>
          <w:rFonts w:hint="eastAsia" w:ascii="仿宋" w:hAnsi="仿宋" w:eastAsia="仿宋" w:cs="仿宋"/>
          <w:color w:val="auto"/>
          <w:sz w:val="24"/>
        </w:rPr>
        <w:t>合同编号：</w:t>
      </w:r>
      <w:r>
        <w:rPr>
          <w:rFonts w:hint="eastAsia" w:ascii="仿宋" w:hAnsi="仿宋" w:eastAsia="仿宋" w:cs="仿宋"/>
          <w:color w:val="auto"/>
          <w:sz w:val="24"/>
          <w:u w:val="single"/>
        </w:rPr>
        <w:t xml:space="preserve">           </w:t>
      </w:r>
    </w:p>
    <w:p>
      <w:pPr>
        <w:spacing w:line="480" w:lineRule="auto"/>
        <w:jc w:val="center"/>
        <w:rPr>
          <w:rFonts w:hint="eastAsia" w:ascii="仿宋" w:hAnsi="仿宋" w:eastAsia="仿宋" w:cs="仿宋"/>
          <w:b/>
          <w:color w:val="auto"/>
          <w:sz w:val="28"/>
          <w:szCs w:val="28"/>
        </w:rPr>
      </w:pPr>
    </w:p>
    <w:p>
      <w:pPr>
        <w:spacing w:line="480" w:lineRule="auto"/>
        <w:jc w:val="center"/>
        <w:rPr>
          <w:rFonts w:hint="eastAsia" w:ascii="仿宋" w:hAnsi="仿宋" w:eastAsia="仿宋" w:cs="仿宋"/>
          <w:b/>
          <w:color w:val="auto"/>
          <w:sz w:val="24"/>
        </w:rPr>
      </w:pPr>
    </w:p>
    <w:p>
      <w:pPr>
        <w:spacing w:line="480" w:lineRule="auto"/>
        <w:jc w:val="center"/>
        <w:rPr>
          <w:rFonts w:hint="eastAsia" w:ascii="仿宋" w:hAnsi="仿宋" w:eastAsia="仿宋" w:cs="仿宋"/>
          <w:b/>
          <w:color w:val="auto"/>
          <w:sz w:val="24"/>
        </w:rPr>
      </w:pPr>
    </w:p>
    <w:p>
      <w:pPr>
        <w:spacing w:line="48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政府采购合同参考范本</w:t>
      </w:r>
    </w:p>
    <w:p>
      <w:pPr>
        <w:spacing w:line="48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（货物类）</w:t>
      </w:r>
    </w:p>
    <w:p>
      <w:pPr>
        <w:pStyle w:val="699"/>
        <w:rPr>
          <w:rFonts w:hint="eastAsia" w:ascii="仿宋" w:hAnsi="仿宋" w:eastAsia="仿宋" w:cs="仿宋"/>
          <w:color w:val="auto"/>
          <w:szCs w:val="24"/>
        </w:rPr>
      </w:pPr>
    </w:p>
    <w:p>
      <w:pPr>
        <w:pStyle w:val="699"/>
        <w:rPr>
          <w:rFonts w:hint="eastAsia" w:ascii="仿宋" w:hAnsi="仿宋" w:eastAsia="仿宋" w:cs="仿宋"/>
          <w:color w:val="auto"/>
          <w:szCs w:val="24"/>
        </w:rPr>
      </w:pPr>
    </w:p>
    <w:p>
      <w:pPr>
        <w:pStyle w:val="699"/>
        <w:jc w:val="center"/>
        <w:rPr>
          <w:rFonts w:hint="eastAsia" w:ascii="仿宋" w:hAnsi="仿宋" w:eastAsia="仿宋" w:cs="仿宋"/>
          <w:color w:val="auto"/>
          <w:szCs w:val="24"/>
        </w:rPr>
      </w:pPr>
    </w:p>
    <w:p>
      <w:pPr>
        <w:pStyle w:val="699"/>
        <w:ind w:firstLine="2843" w:firstLineChars="1180"/>
        <w:rPr>
          <w:rFonts w:hint="eastAsia" w:ascii="仿宋" w:hAnsi="仿宋" w:eastAsia="仿宋" w:cs="仿宋"/>
          <w:b/>
          <w:color w:val="auto"/>
          <w:szCs w:val="24"/>
        </w:rPr>
      </w:pPr>
      <w:r>
        <w:rPr>
          <w:rFonts w:hint="eastAsia" w:ascii="仿宋" w:hAnsi="仿宋" w:eastAsia="仿宋" w:cs="仿宋"/>
          <w:b/>
          <w:color w:val="auto"/>
          <w:szCs w:val="24"/>
        </w:rPr>
        <w:t>第一部分 合同书</w:t>
      </w:r>
    </w:p>
    <w:p>
      <w:pPr>
        <w:pStyle w:val="699"/>
        <w:rPr>
          <w:rFonts w:hint="eastAsia" w:ascii="仿宋" w:hAnsi="仿宋" w:eastAsia="仿宋" w:cs="仿宋"/>
          <w:color w:val="auto"/>
          <w:szCs w:val="24"/>
        </w:rPr>
      </w:pPr>
    </w:p>
    <w:p>
      <w:pPr>
        <w:pStyle w:val="699"/>
        <w:rPr>
          <w:rFonts w:hint="eastAsia" w:ascii="仿宋" w:hAnsi="仿宋" w:eastAsia="仿宋" w:cs="仿宋"/>
          <w:color w:val="auto"/>
          <w:szCs w:val="24"/>
        </w:rPr>
      </w:pPr>
    </w:p>
    <w:p>
      <w:pPr>
        <w:spacing w:before="120" w:line="22" w:lineRule="atLeast"/>
        <w:rPr>
          <w:rFonts w:hint="eastAsia" w:ascii="仿宋" w:hAnsi="仿宋" w:eastAsia="仿宋" w:cs="仿宋"/>
          <w:color w:val="auto"/>
          <w:sz w:val="24"/>
        </w:rPr>
      </w:pPr>
    </w:p>
    <w:p>
      <w:pPr>
        <w:spacing w:before="120" w:line="22" w:lineRule="atLeast"/>
        <w:ind w:left="960"/>
        <w:rPr>
          <w:rFonts w:hint="eastAsia" w:ascii="仿宋" w:hAnsi="仿宋" w:eastAsia="仿宋" w:cs="仿宋"/>
          <w:color w:val="auto"/>
          <w:sz w:val="24"/>
        </w:rPr>
      </w:pPr>
      <w:r>
        <w:rPr>
          <w:rFonts w:hint="eastAsia" w:ascii="仿宋" w:hAnsi="仿宋" w:eastAsia="仿宋" w:cs="仿宋"/>
          <w:color w:val="auto"/>
          <w:sz w:val="24"/>
        </w:rPr>
        <w:t>项目名称：</w:t>
      </w:r>
      <w:r>
        <w:rPr>
          <w:rFonts w:hint="eastAsia" w:ascii="仿宋" w:hAnsi="仿宋" w:eastAsia="仿宋" w:cs="仿宋"/>
          <w:color w:val="auto"/>
          <w:sz w:val="24"/>
          <w:u w:val="single"/>
        </w:rPr>
        <w:t xml:space="preserve">                                   </w:t>
      </w:r>
    </w:p>
    <w:p>
      <w:pPr>
        <w:pStyle w:val="596"/>
        <w:spacing w:before="120" w:line="22" w:lineRule="atLeast"/>
        <w:rPr>
          <w:rFonts w:hint="eastAsia" w:ascii="仿宋" w:hAnsi="仿宋" w:eastAsia="仿宋" w:cs="仿宋"/>
          <w:color w:val="auto"/>
          <w:szCs w:val="24"/>
        </w:rPr>
      </w:pPr>
    </w:p>
    <w:p>
      <w:pPr>
        <w:pStyle w:val="596"/>
        <w:spacing w:before="120" w:line="22" w:lineRule="atLeast"/>
        <w:rPr>
          <w:rFonts w:hint="eastAsia" w:ascii="仿宋" w:hAnsi="仿宋" w:eastAsia="仿宋" w:cs="仿宋"/>
          <w:color w:val="auto"/>
          <w:szCs w:val="24"/>
        </w:rPr>
      </w:pPr>
    </w:p>
    <w:p>
      <w:pPr>
        <w:rPr>
          <w:rFonts w:hint="eastAsia" w:ascii="仿宋" w:hAnsi="仿宋" w:eastAsia="仿宋" w:cs="仿宋"/>
          <w:color w:val="auto"/>
          <w:sz w:val="24"/>
        </w:rPr>
      </w:pPr>
    </w:p>
    <w:p>
      <w:pPr>
        <w:spacing w:before="120" w:line="22" w:lineRule="atLeast"/>
        <w:ind w:left="960"/>
        <w:rPr>
          <w:rFonts w:hint="eastAsia" w:ascii="仿宋" w:hAnsi="仿宋" w:eastAsia="仿宋" w:cs="仿宋"/>
          <w:color w:val="auto"/>
          <w:sz w:val="24"/>
          <w:u w:val="single"/>
        </w:rPr>
      </w:pPr>
      <w:r>
        <w:rPr>
          <w:rFonts w:hint="eastAsia" w:ascii="仿宋" w:hAnsi="仿宋" w:eastAsia="仿宋" w:cs="仿宋"/>
          <w:color w:val="auto"/>
          <w:sz w:val="24"/>
        </w:rPr>
        <w:t>甲方：</w:t>
      </w:r>
      <w:r>
        <w:rPr>
          <w:rFonts w:hint="eastAsia" w:ascii="仿宋" w:hAnsi="仿宋" w:eastAsia="仿宋" w:cs="仿宋"/>
          <w:color w:val="auto"/>
          <w:sz w:val="24"/>
          <w:u w:val="single"/>
        </w:rPr>
        <w:t xml:space="preserve">                                       </w:t>
      </w:r>
    </w:p>
    <w:p>
      <w:pPr>
        <w:spacing w:before="120" w:line="22" w:lineRule="atLeast"/>
        <w:rPr>
          <w:rFonts w:hint="eastAsia" w:ascii="仿宋" w:hAnsi="仿宋" w:eastAsia="仿宋" w:cs="仿宋"/>
          <w:color w:val="auto"/>
          <w:sz w:val="24"/>
        </w:rPr>
      </w:pPr>
    </w:p>
    <w:p>
      <w:pPr>
        <w:spacing w:before="120" w:line="22" w:lineRule="atLeast"/>
        <w:ind w:left="960"/>
        <w:rPr>
          <w:rFonts w:hint="eastAsia" w:ascii="仿宋" w:hAnsi="仿宋" w:eastAsia="仿宋" w:cs="仿宋"/>
          <w:color w:val="auto"/>
          <w:sz w:val="24"/>
          <w:u w:val="single"/>
        </w:rPr>
      </w:pPr>
      <w:r>
        <w:rPr>
          <w:rFonts w:hint="eastAsia" w:ascii="仿宋" w:hAnsi="仿宋" w:eastAsia="仿宋" w:cs="仿宋"/>
          <w:color w:val="auto"/>
          <w:sz w:val="24"/>
        </w:rPr>
        <w:t>乙方：</w:t>
      </w:r>
      <w:r>
        <w:rPr>
          <w:rFonts w:hint="eastAsia" w:ascii="仿宋" w:hAnsi="仿宋" w:eastAsia="仿宋" w:cs="仿宋"/>
          <w:color w:val="auto"/>
          <w:sz w:val="24"/>
          <w:u w:val="single"/>
        </w:rPr>
        <w:t xml:space="preserve">                                       </w:t>
      </w:r>
    </w:p>
    <w:p>
      <w:pPr>
        <w:spacing w:before="120" w:line="22" w:lineRule="atLeast"/>
        <w:rPr>
          <w:rFonts w:hint="eastAsia" w:ascii="仿宋" w:hAnsi="仿宋" w:eastAsia="仿宋" w:cs="仿宋"/>
          <w:color w:val="auto"/>
          <w:sz w:val="24"/>
        </w:rPr>
      </w:pPr>
    </w:p>
    <w:p>
      <w:pPr>
        <w:spacing w:before="120" w:line="22" w:lineRule="atLeast"/>
        <w:ind w:firstLine="960" w:firstLineChars="400"/>
        <w:rPr>
          <w:rFonts w:hint="eastAsia" w:ascii="仿宋" w:hAnsi="仿宋" w:eastAsia="仿宋" w:cs="仿宋"/>
          <w:color w:val="auto"/>
          <w:sz w:val="24"/>
          <w:u w:val="single"/>
        </w:rPr>
      </w:pPr>
      <w:r>
        <w:rPr>
          <w:rFonts w:hint="eastAsia" w:ascii="仿宋" w:hAnsi="仿宋" w:eastAsia="仿宋" w:cs="仿宋"/>
          <w:color w:val="auto"/>
          <w:sz w:val="24"/>
        </w:rPr>
        <w:t>签订地：</w:t>
      </w:r>
      <w:r>
        <w:rPr>
          <w:rFonts w:hint="eastAsia" w:ascii="仿宋" w:hAnsi="仿宋" w:eastAsia="仿宋" w:cs="仿宋"/>
          <w:color w:val="auto"/>
          <w:sz w:val="24"/>
          <w:u w:val="single"/>
        </w:rPr>
        <w:t xml:space="preserve">                                     </w:t>
      </w:r>
    </w:p>
    <w:p>
      <w:pPr>
        <w:spacing w:before="120" w:line="22" w:lineRule="atLeast"/>
        <w:rPr>
          <w:rFonts w:hint="eastAsia" w:ascii="仿宋" w:hAnsi="仿宋" w:eastAsia="仿宋" w:cs="仿宋"/>
          <w:color w:val="auto"/>
          <w:sz w:val="24"/>
        </w:rPr>
      </w:pPr>
    </w:p>
    <w:p>
      <w:pPr>
        <w:spacing w:before="120" w:line="22" w:lineRule="atLeast"/>
        <w:ind w:firstLine="960" w:firstLineChars="400"/>
        <w:rPr>
          <w:rFonts w:hint="eastAsia" w:ascii="仿宋" w:hAnsi="仿宋" w:eastAsia="仿宋" w:cs="仿宋"/>
          <w:color w:val="auto"/>
          <w:sz w:val="24"/>
          <w:u w:val="single"/>
        </w:rPr>
      </w:pPr>
      <w:r>
        <w:rPr>
          <w:rFonts w:hint="eastAsia" w:ascii="仿宋" w:hAnsi="仿宋" w:eastAsia="仿宋" w:cs="仿宋"/>
          <w:color w:val="auto"/>
          <w:sz w:val="24"/>
        </w:rPr>
        <w:t>签订日期：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pPr>
        <w:widowControl/>
        <w:jc w:val="left"/>
        <w:rPr>
          <w:rFonts w:hint="eastAsia" w:ascii="仿宋" w:hAnsi="仿宋" w:eastAsia="仿宋" w:cs="仿宋"/>
          <w:color w:val="auto"/>
          <w:kern w:val="0"/>
          <w:sz w:val="24"/>
        </w:rPr>
        <w:sectPr>
          <w:headerReference r:id="rId5" w:type="default"/>
          <w:footerReference r:id="rId6" w:type="default"/>
          <w:pgSz w:w="11907" w:h="16840"/>
          <w:pgMar w:top="1474" w:right="1814" w:bottom="1474" w:left="1814" w:header="851" w:footer="851" w:gutter="0"/>
          <w:pgNumType w:fmt="decimal"/>
          <w:cols w:space="720" w:num="1"/>
        </w:sectPr>
      </w:pP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年</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月</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日</w:t>
      </w:r>
      <w:r>
        <w:rPr>
          <w:rFonts w:hint="eastAsia" w:ascii="仿宋" w:hAnsi="仿宋" w:eastAsia="仿宋" w:cs="仿宋"/>
          <w:color w:val="auto"/>
          <w:sz w:val="24"/>
        </w:rPr>
        <w:t>，</w:t>
      </w:r>
      <w:r>
        <w:rPr>
          <w:rFonts w:hint="eastAsia" w:ascii="仿宋" w:hAnsi="仿宋" w:eastAsia="仿宋" w:cs="仿宋"/>
          <w:color w:val="auto"/>
          <w:sz w:val="24"/>
          <w:u w:val="single"/>
        </w:rPr>
        <w:t xml:space="preserve">   （采购人）   </w:t>
      </w:r>
      <w:r>
        <w:rPr>
          <w:rFonts w:hint="eastAsia" w:ascii="仿宋" w:hAnsi="仿宋" w:eastAsia="仿宋" w:cs="仿宋"/>
          <w:color w:val="auto"/>
          <w:sz w:val="24"/>
        </w:rPr>
        <w:t>以</w:t>
      </w:r>
      <w:r>
        <w:rPr>
          <w:rFonts w:hint="eastAsia" w:ascii="仿宋" w:hAnsi="仿宋" w:eastAsia="仿宋" w:cs="仿宋"/>
          <w:color w:val="auto"/>
          <w:sz w:val="24"/>
          <w:u w:val="single"/>
        </w:rPr>
        <w:t xml:space="preserve">   （政府采购方式）  </w:t>
      </w:r>
      <w:r>
        <w:rPr>
          <w:rFonts w:hint="eastAsia" w:ascii="仿宋" w:hAnsi="仿宋" w:eastAsia="仿宋" w:cs="仿宋"/>
          <w:color w:val="auto"/>
          <w:sz w:val="24"/>
        </w:rPr>
        <w:t>对</w:t>
      </w:r>
      <w:r>
        <w:rPr>
          <w:rFonts w:hint="eastAsia" w:ascii="仿宋" w:hAnsi="仿宋" w:eastAsia="仿宋" w:cs="仿宋"/>
          <w:color w:val="auto"/>
          <w:sz w:val="24"/>
          <w:u w:val="single"/>
        </w:rPr>
        <w:t xml:space="preserve">   （同前页项目名称）   </w:t>
      </w:r>
      <w:r>
        <w:rPr>
          <w:rFonts w:hint="eastAsia" w:ascii="仿宋" w:hAnsi="仿宋" w:eastAsia="仿宋" w:cs="仿宋"/>
          <w:color w:val="auto"/>
          <w:sz w:val="24"/>
        </w:rPr>
        <w:t>项目进行了采购。经</w:t>
      </w:r>
      <w:r>
        <w:rPr>
          <w:rFonts w:hint="eastAsia" w:ascii="仿宋" w:hAnsi="仿宋" w:eastAsia="仿宋" w:cs="仿宋"/>
          <w:color w:val="auto"/>
          <w:sz w:val="24"/>
          <w:u w:val="single"/>
        </w:rPr>
        <w:t xml:space="preserve">   （相关评定主体名称）   </w:t>
      </w:r>
      <w:r>
        <w:rPr>
          <w:rFonts w:hint="eastAsia" w:ascii="仿宋" w:hAnsi="仿宋" w:eastAsia="仿宋" w:cs="仿宋"/>
          <w:color w:val="auto"/>
          <w:sz w:val="24"/>
        </w:rPr>
        <w:t>评定，</w:t>
      </w:r>
      <w:r>
        <w:rPr>
          <w:rFonts w:hint="eastAsia" w:ascii="仿宋" w:hAnsi="仿宋" w:eastAsia="仿宋" w:cs="仿宋"/>
          <w:color w:val="auto"/>
          <w:sz w:val="24"/>
          <w:u w:val="single"/>
        </w:rPr>
        <w:t xml:space="preserve">   （中标供应商名称）</w:t>
      </w:r>
      <w:r>
        <w:rPr>
          <w:rFonts w:hint="eastAsia" w:ascii="仿宋" w:hAnsi="仿宋" w:eastAsia="仿宋" w:cs="仿宋"/>
          <w:color w:val="auto"/>
          <w:sz w:val="24"/>
        </w:rPr>
        <w:t>为该项目中标供应商。现于中标通知书发出之日起三十日内，按照采购文件确定的事项签订本合同。</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sz w:val="24"/>
          <w:u w:val="single"/>
        </w:rPr>
        <w:t xml:space="preserve">   （采购人）   </w:t>
      </w:r>
      <w:r>
        <w:rPr>
          <w:rFonts w:hint="eastAsia" w:ascii="仿宋" w:hAnsi="仿宋" w:eastAsia="仿宋" w:cs="仿宋"/>
          <w:color w:val="auto"/>
          <w:sz w:val="24"/>
          <w:lang w:val="zh-CN"/>
        </w:rPr>
        <w:t>(以下简称：甲方)和</w:t>
      </w:r>
      <w:r>
        <w:rPr>
          <w:rFonts w:hint="eastAsia" w:ascii="仿宋" w:hAnsi="仿宋" w:eastAsia="仿宋" w:cs="仿宋"/>
          <w:color w:val="auto"/>
          <w:sz w:val="24"/>
          <w:u w:val="single"/>
        </w:rPr>
        <w:t xml:space="preserve">   （中标供应商名称）   </w:t>
      </w:r>
      <w:r>
        <w:rPr>
          <w:rFonts w:hint="eastAsia" w:ascii="仿宋" w:hAnsi="仿宋" w:eastAsia="仿宋" w:cs="仿宋"/>
          <w:color w:val="auto"/>
          <w:sz w:val="24"/>
          <w:lang w:val="zh-CN"/>
        </w:rPr>
        <w:t>(以下简称：乙方)协商一致，约定以下合同</w:t>
      </w:r>
      <w:r>
        <w:rPr>
          <w:rFonts w:hint="eastAsia" w:ascii="仿宋" w:hAnsi="仿宋" w:eastAsia="仿宋" w:cs="仿宋"/>
          <w:color w:val="auto"/>
          <w:sz w:val="24"/>
        </w:rPr>
        <w:t>条款，以兹共同遵守、全面履行。</w:t>
      </w:r>
    </w:p>
    <w:p>
      <w:pPr>
        <w:spacing w:line="560" w:lineRule="exact"/>
        <w:ind w:firstLine="482" w:firstLineChars="200"/>
        <w:outlineLvl w:val="0"/>
        <w:rPr>
          <w:rFonts w:hint="eastAsia" w:ascii="仿宋" w:hAnsi="仿宋" w:eastAsia="仿宋" w:cs="仿宋"/>
          <w:b/>
          <w:color w:val="auto"/>
          <w:sz w:val="24"/>
        </w:rPr>
      </w:pPr>
      <w:bookmarkStart w:id="426" w:name="_Toc24059"/>
      <w:bookmarkStart w:id="427" w:name="_Toc3029"/>
      <w:bookmarkStart w:id="428" w:name="_Toc2232"/>
      <w:r>
        <w:rPr>
          <w:rFonts w:hint="eastAsia" w:ascii="仿宋" w:hAnsi="仿宋" w:eastAsia="仿宋" w:cs="仿宋"/>
          <w:b/>
          <w:color w:val="auto"/>
          <w:sz w:val="24"/>
        </w:rPr>
        <w:t>1.1 合同组成部分</w:t>
      </w:r>
      <w:bookmarkEnd w:id="426"/>
      <w:bookmarkEnd w:id="427"/>
      <w:bookmarkEnd w:id="428"/>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1.1.1 本合同及其补充合同、变更协议；</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1.1.2 中标通知书；</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1.1.3 投标文件（含澄清或者说明文件）；</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1.1.4 招标文件（含澄清或者修改文件）；</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1.1.5 其他相关采购文件。</w:t>
      </w:r>
    </w:p>
    <w:p>
      <w:pPr>
        <w:spacing w:line="560" w:lineRule="exact"/>
        <w:ind w:firstLine="482" w:firstLineChars="200"/>
        <w:outlineLvl w:val="0"/>
        <w:rPr>
          <w:rFonts w:hint="eastAsia" w:ascii="仿宋" w:hAnsi="仿宋" w:eastAsia="仿宋" w:cs="仿宋"/>
          <w:b/>
          <w:color w:val="auto"/>
          <w:sz w:val="24"/>
        </w:rPr>
      </w:pPr>
      <w:bookmarkStart w:id="429" w:name="_Toc21295"/>
      <w:bookmarkStart w:id="430" w:name="_Toc24300"/>
      <w:bookmarkStart w:id="431" w:name="_Toc27126"/>
      <w:r>
        <w:rPr>
          <w:rFonts w:hint="eastAsia" w:ascii="仿宋" w:hAnsi="仿宋" w:eastAsia="仿宋" w:cs="仿宋"/>
          <w:b/>
          <w:color w:val="auto"/>
          <w:sz w:val="24"/>
        </w:rPr>
        <w:t>1.2 货物</w:t>
      </w:r>
      <w:bookmarkEnd w:id="429"/>
      <w:bookmarkEnd w:id="430"/>
      <w:bookmarkEnd w:id="431"/>
    </w:p>
    <w:p>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1.2.1 货物名称：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1.2.2 货物数量：</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1.2.3 货物质量：</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560" w:lineRule="exact"/>
        <w:ind w:firstLine="482" w:firstLineChars="200"/>
        <w:outlineLvl w:val="0"/>
        <w:rPr>
          <w:rFonts w:hint="eastAsia" w:ascii="仿宋" w:hAnsi="仿宋" w:eastAsia="仿宋" w:cs="仿宋"/>
          <w:b/>
          <w:color w:val="auto"/>
          <w:sz w:val="24"/>
        </w:rPr>
      </w:pPr>
      <w:bookmarkStart w:id="432" w:name="_Toc21551"/>
      <w:bookmarkStart w:id="433" w:name="_Toc23292"/>
      <w:bookmarkStart w:id="434" w:name="_Toc21631"/>
      <w:r>
        <w:rPr>
          <w:rFonts w:hint="eastAsia" w:ascii="仿宋" w:hAnsi="仿宋" w:eastAsia="仿宋" w:cs="仿宋"/>
          <w:b/>
          <w:color w:val="auto"/>
          <w:sz w:val="24"/>
        </w:rPr>
        <w:t>1.3 价款</w:t>
      </w:r>
      <w:bookmarkEnd w:id="432"/>
      <w:bookmarkEnd w:id="433"/>
      <w:bookmarkEnd w:id="434"/>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本合同总价为：￥</w:t>
      </w:r>
      <w:r>
        <w:rPr>
          <w:rFonts w:hint="eastAsia" w:ascii="仿宋" w:hAnsi="仿宋" w:eastAsia="仿宋" w:cs="仿宋"/>
          <w:color w:val="auto"/>
          <w:sz w:val="24"/>
          <w:u w:val="single"/>
        </w:rPr>
        <w:t xml:space="preserve">           </w:t>
      </w:r>
      <w:r>
        <w:rPr>
          <w:rFonts w:hint="eastAsia" w:ascii="仿宋" w:hAnsi="仿宋" w:eastAsia="仿宋" w:cs="仿宋"/>
          <w:color w:val="auto"/>
          <w:sz w:val="24"/>
        </w:rPr>
        <w:t>元（大写：</w:t>
      </w:r>
      <w:r>
        <w:rPr>
          <w:rFonts w:hint="eastAsia" w:ascii="仿宋" w:hAnsi="仿宋" w:eastAsia="仿宋" w:cs="仿宋"/>
          <w:color w:val="auto"/>
          <w:sz w:val="24"/>
          <w:u w:val="single"/>
        </w:rPr>
        <w:t xml:space="preserve">                 </w:t>
      </w:r>
      <w:r>
        <w:rPr>
          <w:rFonts w:hint="eastAsia" w:ascii="仿宋" w:hAnsi="仿宋" w:eastAsia="仿宋" w:cs="仿宋"/>
          <w:color w:val="auto"/>
          <w:sz w:val="24"/>
        </w:rPr>
        <w:t>元人民币）。</w:t>
      </w:r>
    </w:p>
    <w:p>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int="eastAsia" w:ascii="仿宋" w:hAnsi="仿宋" w:eastAsia="仿宋" w:cs="仿宋"/>
                <w:color w:val="auto"/>
                <w:sz w:val="24"/>
                <w:szCs w:val="24"/>
              </w:rPr>
            </w:pPr>
            <w:r>
              <w:rPr>
                <w:rFonts w:hint="eastAsia" w:ascii="仿宋" w:hAnsi="仿宋" w:eastAsia="仿宋" w:cs="仿宋"/>
                <w:color w:val="auto"/>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int="eastAsia" w:ascii="仿宋" w:hAnsi="仿宋" w:eastAsia="仿宋" w:cs="仿宋"/>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int="eastAsia" w:ascii="仿宋" w:hAnsi="仿宋" w:eastAsia="仿宋" w:cs="仿宋"/>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int="eastAsia" w:ascii="仿宋" w:hAnsi="仿宋" w:eastAsia="仿宋" w:cs="仿宋"/>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int="eastAsia" w:ascii="仿宋" w:hAnsi="仿宋" w:eastAsia="仿宋" w:cs="仿宋"/>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int="eastAsia" w:ascii="仿宋" w:hAnsi="仿宋" w:eastAsia="仿宋" w:cs="仿宋"/>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int="eastAsia" w:ascii="仿宋" w:hAnsi="仿宋" w:eastAsia="仿宋" w:cs="仿宋"/>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int="eastAsia" w:ascii="仿宋" w:hAnsi="仿宋" w:eastAsia="仿宋" w:cs="仿宋"/>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int="eastAsia" w:ascii="仿宋" w:hAnsi="仿宋" w:eastAsia="仿宋" w:cs="仿宋"/>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int="eastAsia" w:ascii="仿宋" w:hAnsi="仿宋" w:eastAsia="仿宋" w:cs="仿宋"/>
                <w:color w:val="auto"/>
                <w:sz w:val="24"/>
                <w:szCs w:val="24"/>
              </w:rPr>
            </w:pPr>
            <w:r>
              <w:rPr>
                <w:rFonts w:hint="eastAsia" w:ascii="仿宋" w:hAnsi="仿宋" w:eastAsia="仿宋" w:cs="仿宋"/>
                <w:color w:val="auto"/>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int="eastAsia" w:ascii="仿宋" w:hAnsi="仿宋" w:eastAsia="仿宋" w:cs="仿宋"/>
                <w:color w:val="auto"/>
                <w:sz w:val="24"/>
                <w:szCs w:val="24"/>
              </w:rPr>
            </w:pPr>
          </w:p>
        </w:tc>
      </w:tr>
    </w:tbl>
    <w:p>
      <w:pPr>
        <w:spacing w:line="560" w:lineRule="exact"/>
        <w:ind w:firstLine="482" w:firstLineChars="200"/>
        <w:outlineLvl w:val="0"/>
        <w:rPr>
          <w:rFonts w:hint="eastAsia" w:ascii="仿宋" w:hAnsi="仿宋" w:eastAsia="仿宋" w:cs="仿宋"/>
          <w:b/>
          <w:color w:val="auto"/>
          <w:sz w:val="24"/>
        </w:rPr>
      </w:pPr>
      <w:bookmarkStart w:id="435" w:name="_Toc10340"/>
      <w:bookmarkStart w:id="436" w:name="_Toc1814"/>
      <w:bookmarkStart w:id="437" w:name="_Toc22618"/>
      <w:r>
        <w:rPr>
          <w:rFonts w:hint="eastAsia" w:ascii="仿宋" w:hAnsi="仿宋" w:eastAsia="仿宋" w:cs="仿宋"/>
          <w:b/>
          <w:color w:val="auto"/>
          <w:sz w:val="24"/>
        </w:rPr>
        <w:t>1.4 付款</w:t>
      </w:r>
      <w:bookmarkEnd w:id="435"/>
      <w:bookmarkEnd w:id="436"/>
      <w:bookmarkEnd w:id="437"/>
      <w:r>
        <w:rPr>
          <w:rFonts w:hint="eastAsia" w:ascii="仿宋" w:hAnsi="仿宋" w:eastAsia="仿宋" w:cs="仿宋"/>
          <w:b/>
          <w:color w:val="auto"/>
          <w:sz w:val="24"/>
        </w:rPr>
        <w:t>方式、时间和条件</w:t>
      </w:r>
    </w:p>
    <w:p>
      <w:pPr>
        <w:pStyle w:val="957"/>
        <w:spacing w:before="0" w:beforeAutospacing="0" w:after="0" w:afterAutospacing="0" w:line="360" w:lineRule="auto"/>
        <w:ind w:firstLine="480"/>
        <w:rPr>
          <w:rFonts w:hint="eastAsia" w:ascii="仿宋" w:hAnsi="仿宋" w:eastAsia="仿宋" w:cs="仿宋"/>
          <w:color w:val="auto"/>
        </w:rPr>
      </w:pPr>
      <w:r>
        <w:rPr>
          <w:rFonts w:hint="eastAsia" w:ascii="仿宋" w:hAnsi="仿宋" w:eastAsia="仿宋" w:cs="仿宋"/>
          <w:color w:val="auto"/>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1.4.2甲方在政府采购合同中约定预付款，预付款比例为合同金额的30％,对中小企业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560" w:lineRule="exact"/>
        <w:ind w:firstLine="480" w:firstLineChars="200"/>
        <w:outlineLvl w:val="0"/>
        <w:rPr>
          <w:rFonts w:hint="eastAsia" w:ascii="仿宋" w:hAnsi="仿宋" w:eastAsia="仿宋" w:cs="仿宋"/>
          <w:color w:val="auto"/>
          <w:sz w:val="24"/>
        </w:rPr>
      </w:pPr>
      <w:r>
        <w:rPr>
          <w:rFonts w:hint="eastAsia" w:ascii="仿宋" w:hAnsi="仿宋" w:eastAsia="仿宋" w:cs="仿宋"/>
          <w:color w:val="auto"/>
          <w:sz w:val="24"/>
        </w:rPr>
        <w:t>1.4.4资金支付的方式、时间和条件详见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0" w:firstLineChars="200"/>
        <w:outlineLvl w:val="0"/>
        <w:rPr>
          <w:rFonts w:hint="eastAsia" w:ascii="仿宋" w:hAnsi="仿宋" w:eastAsia="仿宋" w:cs="仿宋"/>
          <w:color w:val="auto"/>
          <w:sz w:val="24"/>
        </w:rPr>
      </w:pPr>
      <w:r>
        <w:rPr>
          <w:rFonts w:hint="eastAsia" w:ascii="仿宋" w:hAnsi="仿宋" w:eastAsia="仿宋" w:cs="仿宋"/>
          <w:color w:val="auto"/>
          <w:sz w:val="24"/>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560" w:lineRule="exact"/>
        <w:ind w:firstLine="482" w:firstLineChars="200"/>
        <w:outlineLvl w:val="0"/>
        <w:rPr>
          <w:rFonts w:hint="eastAsia" w:ascii="仿宋" w:hAnsi="仿宋" w:eastAsia="仿宋" w:cs="仿宋"/>
          <w:b/>
          <w:color w:val="auto"/>
          <w:sz w:val="24"/>
        </w:rPr>
      </w:pPr>
      <w:bookmarkStart w:id="438" w:name="_Toc32071"/>
      <w:bookmarkStart w:id="439" w:name="_Toc2846"/>
      <w:bookmarkStart w:id="440" w:name="_Toc19304"/>
      <w:r>
        <w:rPr>
          <w:rFonts w:hint="eastAsia" w:ascii="仿宋" w:hAnsi="仿宋" w:eastAsia="仿宋" w:cs="仿宋"/>
          <w:b/>
          <w:color w:val="auto"/>
          <w:sz w:val="24"/>
        </w:rPr>
        <w:t>1.5 货物交付期限、地点和方式</w:t>
      </w:r>
      <w:bookmarkEnd w:id="438"/>
      <w:bookmarkEnd w:id="439"/>
      <w:bookmarkEnd w:id="440"/>
    </w:p>
    <w:p>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1.5.1 交付期限：详见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1.5.2 交付地点：</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1.5.3 交付方式：</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2" w:firstLineChars="200"/>
        <w:outlineLvl w:val="0"/>
        <w:rPr>
          <w:rFonts w:hint="eastAsia" w:ascii="仿宋" w:hAnsi="仿宋" w:eastAsia="仿宋" w:cs="仿宋"/>
          <w:b/>
          <w:color w:val="auto"/>
          <w:sz w:val="24"/>
        </w:rPr>
      </w:pPr>
      <w:bookmarkStart w:id="441" w:name="_Toc27250"/>
      <w:bookmarkStart w:id="442" w:name="_Toc21423"/>
      <w:bookmarkStart w:id="443" w:name="_Toc19554"/>
      <w:r>
        <w:rPr>
          <w:rFonts w:hint="eastAsia" w:ascii="仿宋" w:hAnsi="仿宋" w:eastAsia="仿宋" w:cs="仿宋"/>
          <w:b/>
          <w:color w:val="auto"/>
          <w:sz w:val="24"/>
        </w:rPr>
        <w:t>1.6 违约责任</w:t>
      </w:r>
      <w:bookmarkEnd w:id="441"/>
      <w:bookmarkEnd w:id="442"/>
      <w:bookmarkEnd w:id="443"/>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1.6.1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auto"/>
          <w:sz w:val="24"/>
          <w:u w:val="single"/>
        </w:rPr>
        <w:t xml:space="preserve">  0.05  </w:t>
      </w:r>
      <w:r>
        <w:rPr>
          <w:rFonts w:hint="eastAsia" w:ascii="仿宋" w:hAnsi="仿宋" w:eastAsia="仿宋" w:cs="仿宋"/>
          <w:color w:val="auto"/>
          <w:sz w:val="24"/>
        </w:rPr>
        <w:t>%计算，最高限额为本合同总价的</w:t>
      </w:r>
      <w:r>
        <w:rPr>
          <w:rFonts w:hint="eastAsia" w:ascii="仿宋" w:hAnsi="仿宋" w:eastAsia="仿宋" w:cs="仿宋"/>
          <w:color w:val="auto"/>
          <w:sz w:val="24"/>
          <w:u w:val="single"/>
        </w:rPr>
        <w:t xml:space="preserve"> 20  </w:t>
      </w:r>
      <w:r>
        <w:rPr>
          <w:rFonts w:hint="eastAsia" w:ascii="仿宋" w:hAnsi="仿宋" w:eastAsia="仿宋" w:cs="仿宋"/>
          <w:color w:val="auto"/>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1.6.2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u w:val="single"/>
        </w:rPr>
        <w:t xml:space="preserve">  0.05  </w:t>
      </w:r>
      <w:r>
        <w:rPr>
          <w:rFonts w:hint="eastAsia" w:ascii="仿宋" w:hAnsi="仿宋" w:eastAsia="仿宋" w:cs="仿宋"/>
          <w:color w:val="auto"/>
          <w:sz w:val="24"/>
        </w:rPr>
        <w:t>%计算，最高限额为本合同总价的</w:t>
      </w:r>
      <w:r>
        <w:rPr>
          <w:rFonts w:hint="eastAsia" w:ascii="仿宋" w:hAnsi="仿宋" w:eastAsia="仿宋" w:cs="仿宋"/>
          <w:color w:val="auto"/>
          <w:sz w:val="24"/>
          <w:u w:val="single"/>
        </w:rPr>
        <w:t xml:space="preserve">  20   </w:t>
      </w:r>
      <w:r>
        <w:rPr>
          <w:rFonts w:hint="eastAsia" w:ascii="仿宋" w:hAnsi="仿宋" w:eastAsia="仿宋" w:cs="仿宋"/>
          <w:color w:val="auto"/>
          <w:sz w:val="24"/>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rPr>
          <w:rFonts w:hint="eastAsia" w:ascii="仿宋" w:hAnsi="仿宋" w:eastAsia="仿宋" w:cs="仿宋"/>
          <w:color w:val="auto"/>
        </w:rPr>
      </w:pPr>
      <w:r>
        <w:rPr>
          <w:rFonts w:hint="eastAsia" w:ascii="仿宋" w:hAnsi="仿宋" w:eastAsia="仿宋" w:cs="仿宋"/>
          <w:color w:val="auto"/>
          <w:sz w:val="24"/>
        </w:rPr>
        <w:t>1.6.7违约责任</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另有约定的，从其约定。</w:t>
      </w:r>
    </w:p>
    <w:p>
      <w:pPr>
        <w:spacing w:line="560" w:lineRule="exact"/>
        <w:ind w:firstLine="482" w:firstLineChars="200"/>
        <w:outlineLvl w:val="0"/>
        <w:rPr>
          <w:rFonts w:hint="eastAsia" w:ascii="仿宋" w:hAnsi="仿宋" w:eastAsia="仿宋" w:cs="仿宋"/>
          <w:b/>
          <w:color w:val="auto"/>
          <w:sz w:val="24"/>
        </w:rPr>
      </w:pPr>
      <w:bookmarkStart w:id="444" w:name="_Toc15583"/>
      <w:bookmarkStart w:id="445" w:name="_Toc16021"/>
      <w:bookmarkStart w:id="446" w:name="_Toc28375"/>
      <w:r>
        <w:rPr>
          <w:rFonts w:hint="eastAsia" w:ascii="仿宋" w:hAnsi="仿宋" w:eastAsia="仿宋" w:cs="仿宋"/>
          <w:b/>
          <w:color w:val="auto"/>
          <w:sz w:val="24"/>
        </w:rPr>
        <w:t>1.7 合同争议的解决</w:t>
      </w:r>
      <w:bookmarkEnd w:id="444"/>
      <w:bookmarkEnd w:id="445"/>
      <w:bookmarkEnd w:id="446"/>
    </w:p>
    <w:p>
      <w:pPr>
        <w:spacing w:line="560" w:lineRule="exact"/>
        <w:ind w:left="-61" w:leftChars="-29" w:right="-420" w:rightChars="-200" w:firstLine="240" w:firstLineChars="100"/>
        <w:rPr>
          <w:rFonts w:hint="eastAsia" w:ascii="仿宋" w:hAnsi="仿宋" w:eastAsia="仿宋" w:cs="仿宋"/>
          <w:color w:val="auto"/>
          <w:sz w:val="24"/>
        </w:rPr>
      </w:pPr>
      <w:r>
        <w:rPr>
          <w:rFonts w:hint="eastAsia" w:ascii="仿宋" w:hAnsi="仿宋" w:eastAsia="仿宋" w:cs="仿宋"/>
          <w:color w:val="auto"/>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u w:val="single"/>
        </w:rPr>
        <w:t xml:space="preserve"> 合同专用条款  </w:t>
      </w:r>
      <w:r>
        <w:rPr>
          <w:rFonts w:hint="eastAsia" w:ascii="仿宋" w:hAnsi="仿宋" w:eastAsia="仿宋" w:cs="仿宋"/>
          <w:color w:val="auto"/>
          <w:sz w:val="24"/>
        </w:rPr>
        <w:t>条款规定的方式解决：</w:t>
      </w:r>
    </w:p>
    <w:p>
      <w:pPr>
        <w:spacing w:line="560" w:lineRule="exact"/>
        <w:ind w:left="-420" w:leftChars="-200" w:right="-420" w:rightChars="-200" w:firstLine="600" w:firstLineChars="250"/>
        <w:rPr>
          <w:rFonts w:hint="eastAsia" w:ascii="仿宋" w:hAnsi="仿宋" w:eastAsia="仿宋" w:cs="仿宋"/>
          <w:color w:val="auto"/>
          <w:sz w:val="24"/>
        </w:rPr>
      </w:pPr>
      <w:r>
        <w:rPr>
          <w:rFonts w:hint="eastAsia" w:ascii="仿宋" w:hAnsi="仿宋" w:eastAsia="仿宋" w:cs="仿宋"/>
          <w:color w:val="auto"/>
          <w:sz w:val="24"/>
        </w:rPr>
        <w:t>1.7.1 将争议提交</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仲裁委员会依申请仲裁时其现行有效的仲裁规则裁决；</w:t>
      </w:r>
    </w:p>
    <w:p>
      <w:pPr>
        <w:spacing w:line="560" w:lineRule="exact"/>
        <w:ind w:left="-420" w:leftChars="-200" w:right="-420" w:rightChars="-200" w:firstLine="600" w:firstLineChars="250"/>
        <w:rPr>
          <w:rFonts w:hint="eastAsia" w:ascii="仿宋" w:hAnsi="仿宋" w:eastAsia="仿宋" w:cs="仿宋"/>
          <w:color w:val="auto"/>
          <w:sz w:val="24"/>
        </w:rPr>
      </w:pPr>
      <w:r>
        <w:rPr>
          <w:rFonts w:hint="eastAsia" w:ascii="仿宋" w:hAnsi="仿宋" w:eastAsia="仿宋" w:cs="仿宋"/>
          <w:color w:val="auto"/>
          <w:sz w:val="24"/>
        </w:rPr>
        <w:t>1.7.2 向</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人民法院起诉。</w:t>
      </w:r>
    </w:p>
    <w:p>
      <w:pPr>
        <w:spacing w:line="560" w:lineRule="exact"/>
        <w:ind w:firstLine="482" w:firstLineChars="200"/>
        <w:outlineLvl w:val="0"/>
        <w:rPr>
          <w:rFonts w:hint="eastAsia" w:ascii="仿宋" w:hAnsi="仿宋" w:eastAsia="仿宋" w:cs="仿宋"/>
          <w:b/>
          <w:color w:val="auto"/>
          <w:sz w:val="24"/>
        </w:rPr>
      </w:pPr>
      <w:bookmarkStart w:id="447" w:name="_Toc7245"/>
      <w:bookmarkStart w:id="448" w:name="_Toc15322"/>
      <w:bookmarkStart w:id="449" w:name="_Toc11173"/>
      <w:r>
        <w:rPr>
          <w:rFonts w:hint="eastAsia" w:ascii="仿宋" w:hAnsi="仿宋" w:eastAsia="仿宋" w:cs="仿宋"/>
          <w:b/>
          <w:color w:val="auto"/>
          <w:sz w:val="24"/>
        </w:rPr>
        <w:t>1.8 合同生效</w:t>
      </w:r>
      <w:bookmarkEnd w:id="447"/>
      <w:bookmarkEnd w:id="448"/>
      <w:bookmarkEnd w:id="449"/>
    </w:p>
    <w:p>
      <w:pPr>
        <w:spacing w:line="560" w:lineRule="exact"/>
        <w:ind w:firstLine="480" w:firstLineChars="200"/>
        <w:rPr>
          <w:rFonts w:hint="eastAsia" w:ascii="仿宋" w:hAnsi="仿宋" w:eastAsia="仿宋" w:cs="仿宋"/>
          <w:b/>
          <w:color w:val="auto"/>
          <w:sz w:val="24"/>
        </w:rPr>
      </w:pPr>
      <w:r>
        <w:rPr>
          <w:rFonts w:hint="eastAsia" w:ascii="仿宋" w:hAnsi="仿宋" w:eastAsia="仿宋" w:cs="仿宋"/>
          <w:color w:val="auto"/>
          <w:sz w:val="24"/>
        </w:rPr>
        <w:t>本合同自双方当事人盖章或者签字时生效。</w:t>
      </w:r>
    </w:p>
    <w:p>
      <w:pPr>
        <w:autoSpaceDE w:val="0"/>
        <w:autoSpaceDN w:val="0"/>
        <w:spacing w:line="560" w:lineRule="exact"/>
        <w:rPr>
          <w:rFonts w:hint="eastAsia" w:ascii="仿宋" w:hAnsi="仿宋" w:eastAsia="仿宋" w:cs="仿宋"/>
          <w:color w:val="auto"/>
          <w:sz w:val="24"/>
          <w:lang w:val="zh-CN"/>
        </w:rPr>
      </w:pPr>
    </w:p>
    <w:p>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b/>
          <w:color w:val="auto"/>
          <w:sz w:val="24"/>
          <w:lang w:val="zh-CN"/>
        </w:rPr>
        <w:t>甲方</w:t>
      </w:r>
      <w:r>
        <w:rPr>
          <w:rFonts w:hint="eastAsia" w:ascii="仿宋" w:hAnsi="仿宋" w:eastAsia="仿宋" w:cs="仿宋"/>
          <w:color w:val="auto"/>
          <w:sz w:val="24"/>
          <w:lang w:val="zh-CN"/>
        </w:rPr>
        <w:t xml:space="preserve">：                             </w:t>
      </w:r>
      <w:r>
        <w:rPr>
          <w:rFonts w:hint="eastAsia" w:ascii="仿宋" w:hAnsi="仿宋" w:eastAsia="仿宋" w:cs="仿宋"/>
          <w:b/>
          <w:color w:val="auto"/>
          <w:sz w:val="24"/>
          <w:lang w:val="zh-CN"/>
        </w:rPr>
        <w:t xml:space="preserve">      乙方</w:t>
      </w:r>
      <w:r>
        <w:rPr>
          <w:rFonts w:hint="eastAsia" w:ascii="仿宋" w:hAnsi="仿宋" w:eastAsia="仿宋" w:cs="仿宋"/>
          <w:color w:val="auto"/>
          <w:sz w:val="24"/>
          <w:lang w:val="zh-CN"/>
        </w:rPr>
        <w:t>：</w:t>
      </w:r>
    </w:p>
    <w:p>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统一社会信用代码：                        统一社会信用代码或身份证号码：</w:t>
      </w:r>
    </w:p>
    <w:p>
      <w:pPr>
        <w:autoSpaceDE w:val="0"/>
        <w:autoSpaceDN w:val="0"/>
        <w:spacing w:line="560" w:lineRule="exact"/>
        <w:rPr>
          <w:rFonts w:hint="eastAsia" w:ascii="仿宋" w:hAnsi="仿宋" w:eastAsia="仿宋" w:cs="仿宋"/>
          <w:color w:val="auto"/>
          <w:sz w:val="24"/>
          <w:lang w:val="zh-CN"/>
        </w:rPr>
      </w:pPr>
    </w:p>
    <w:p>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住所：                                   住所：</w:t>
      </w:r>
    </w:p>
    <w:p>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法定代表人或                             法定代表人</w:t>
      </w:r>
    </w:p>
    <w:p>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 xml:space="preserve">授权代表（签字）：                        或授权代表（签字）: </w:t>
      </w:r>
    </w:p>
    <w:p>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联系人：                                 联系人：</w:t>
      </w:r>
    </w:p>
    <w:p>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约定送达地址：                           约定送达地址：</w:t>
      </w:r>
    </w:p>
    <w:p>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邮政编码：                               邮政编码：</w:t>
      </w:r>
    </w:p>
    <w:p>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 xml:space="preserve">电话:                                    电话: </w:t>
      </w:r>
    </w:p>
    <w:p>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传真:                                    传真:</w:t>
      </w:r>
    </w:p>
    <w:p>
      <w:pPr>
        <w:autoSpaceDE w:val="0"/>
        <w:autoSpaceDN w:val="0"/>
        <w:spacing w:line="560" w:lineRule="exact"/>
        <w:rPr>
          <w:rFonts w:hint="eastAsia" w:ascii="仿宋" w:hAnsi="仿宋" w:eastAsia="仿宋" w:cs="仿宋"/>
          <w:color w:val="auto"/>
          <w:sz w:val="24"/>
        </w:rPr>
      </w:pPr>
      <w:r>
        <w:rPr>
          <w:rFonts w:hint="eastAsia" w:ascii="仿宋" w:hAnsi="仿宋" w:eastAsia="仿宋" w:cs="仿宋"/>
          <w:color w:val="auto"/>
          <w:sz w:val="24"/>
          <w:lang w:val="zh-CN"/>
        </w:rPr>
        <w:t>电子邮箱：                               电子邮箱：</w:t>
      </w:r>
    </w:p>
    <w:p>
      <w:pPr>
        <w:autoSpaceDE w:val="0"/>
        <w:autoSpaceDN w:val="0"/>
        <w:spacing w:line="560" w:lineRule="exact"/>
        <w:rPr>
          <w:rFonts w:hint="eastAsia" w:ascii="仿宋" w:hAnsi="仿宋" w:eastAsia="仿宋" w:cs="仿宋"/>
          <w:color w:val="auto"/>
          <w:sz w:val="24"/>
        </w:rPr>
      </w:pPr>
      <w:r>
        <w:rPr>
          <w:rFonts w:hint="eastAsia" w:ascii="仿宋" w:hAnsi="仿宋" w:eastAsia="仿宋" w:cs="仿宋"/>
          <w:color w:val="auto"/>
          <w:sz w:val="24"/>
        </w:rPr>
        <w:t xml:space="preserve">开户银行：                               开户银行： </w:t>
      </w:r>
    </w:p>
    <w:p>
      <w:pPr>
        <w:autoSpaceDE w:val="0"/>
        <w:autoSpaceDN w:val="0"/>
        <w:spacing w:line="560" w:lineRule="exact"/>
        <w:rPr>
          <w:rFonts w:hint="eastAsia" w:ascii="仿宋" w:hAnsi="仿宋" w:eastAsia="仿宋" w:cs="仿宋"/>
          <w:color w:val="auto"/>
          <w:sz w:val="24"/>
        </w:rPr>
      </w:pPr>
      <w:r>
        <w:rPr>
          <w:rFonts w:hint="eastAsia" w:ascii="仿宋" w:hAnsi="仿宋" w:eastAsia="仿宋" w:cs="仿宋"/>
          <w:color w:val="auto"/>
          <w:sz w:val="24"/>
        </w:rPr>
        <w:t xml:space="preserve">开户名称：                               开户名称： </w:t>
      </w:r>
    </w:p>
    <w:p>
      <w:pPr>
        <w:autoSpaceDE w:val="0"/>
        <w:autoSpaceDN w:val="0"/>
        <w:spacing w:line="560" w:lineRule="exact"/>
        <w:rPr>
          <w:rFonts w:hint="eastAsia" w:ascii="仿宋" w:hAnsi="仿宋" w:eastAsia="仿宋" w:cs="仿宋"/>
          <w:color w:val="auto"/>
          <w:sz w:val="24"/>
        </w:rPr>
      </w:pPr>
      <w:r>
        <w:rPr>
          <w:rFonts w:hint="eastAsia" w:ascii="仿宋" w:hAnsi="仿宋" w:eastAsia="仿宋" w:cs="仿宋"/>
          <w:color w:val="auto"/>
          <w:sz w:val="24"/>
        </w:rPr>
        <w:t>开户账号：</w:t>
      </w:r>
      <w:r>
        <w:rPr>
          <w:rFonts w:hint="eastAsia" w:ascii="仿宋" w:hAnsi="仿宋" w:eastAsia="仿宋" w:cs="仿宋"/>
          <w:color w:val="auto"/>
          <w:sz w:val="24"/>
          <w:lang w:val="zh-CN"/>
        </w:rPr>
        <w:t xml:space="preserve">                               </w:t>
      </w:r>
      <w:r>
        <w:rPr>
          <w:rFonts w:hint="eastAsia" w:ascii="仿宋" w:hAnsi="仿宋" w:eastAsia="仿宋" w:cs="仿宋"/>
          <w:color w:val="auto"/>
          <w:sz w:val="24"/>
        </w:rPr>
        <w:t>开户账号：</w:t>
      </w:r>
    </w:p>
    <w:p>
      <w:pPr>
        <w:widowControl/>
        <w:spacing w:line="560" w:lineRule="exact"/>
        <w:jc w:val="left"/>
        <w:rPr>
          <w:rFonts w:hint="eastAsia" w:ascii="仿宋" w:hAnsi="仿宋" w:eastAsia="仿宋" w:cs="仿宋"/>
          <w:b/>
          <w:color w:val="auto"/>
          <w:sz w:val="24"/>
        </w:rPr>
      </w:pPr>
      <w:bookmarkStart w:id="450" w:name="_Toc331685783"/>
    </w:p>
    <w:p>
      <w:pPr>
        <w:pStyle w:val="699"/>
        <w:spacing w:line="560" w:lineRule="exact"/>
        <w:ind w:firstLine="482"/>
        <w:jc w:val="center"/>
        <w:rPr>
          <w:rFonts w:hint="eastAsia" w:ascii="仿宋" w:hAnsi="仿宋" w:eastAsia="仿宋" w:cs="仿宋"/>
          <w:b/>
          <w:color w:val="auto"/>
          <w:szCs w:val="24"/>
        </w:rPr>
      </w:pPr>
      <w:r>
        <w:rPr>
          <w:rFonts w:hint="eastAsia" w:ascii="仿宋" w:hAnsi="仿宋" w:eastAsia="仿宋" w:cs="仿宋"/>
          <w:b/>
          <w:color w:val="auto"/>
          <w:szCs w:val="24"/>
        </w:rPr>
        <w:t>第二部分 合同一般条款</w:t>
      </w:r>
      <w:bookmarkEnd w:id="450"/>
    </w:p>
    <w:p>
      <w:pPr>
        <w:spacing w:line="560" w:lineRule="exact"/>
        <w:ind w:firstLine="482" w:firstLineChars="200"/>
        <w:outlineLvl w:val="0"/>
        <w:rPr>
          <w:rFonts w:hint="eastAsia" w:ascii="仿宋" w:hAnsi="仿宋" w:eastAsia="仿宋" w:cs="仿宋"/>
          <w:b/>
          <w:color w:val="auto"/>
          <w:sz w:val="24"/>
        </w:rPr>
      </w:pPr>
      <w:bookmarkStart w:id="451" w:name="_Ref467379214"/>
      <w:bookmarkStart w:id="452" w:name="_Ref467379225"/>
      <w:bookmarkStart w:id="453" w:name="_Toc19614"/>
      <w:bookmarkStart w:id="454" w:name="_Ref467378463"/>
      <w:bookmarkStart w:id="455" w:name="_Ref467379101"/>
      <w:bookmarkStart w:id="456" w:name="_Toc259093669"/>
      <w:bookmarkStart w:id="457" w:name="_Ref467378499"/>
      <w:bookmarkStart w:id="458" w:name="_Ref467379205"/>
      <w:bookmarkStart w:id="459" w:name="_Toc279701240"/>
      <w:bookmarkStart w:id="460" w:name="_Ref467379094"/>
      <w:bookmarkStart w:id="461" w:name="_Ref467379109"/>
      <w:bookmarkStart w:id="462" w:name="_Ref467379195"/>
      <w:bookmarkStart w:id="463" w:name="_Ref467378404"/>
      <w:bookmarkStart w:id="464" w:name="_Toc487900349"/>
      <w:bookmarkStart w:id="465" w:name="_Toc16917"/>
      <w:bookmarkStart w:id="466" w:name="_Toc28763"/>
      <w:r>
        <w:rPr>
          <w:rFonts w:hint="eastAsia" w:ascii="仿宋" w:hAnsi="仿宋" w:eastAsia="仿宋" w:cs="仿宋"/>
          <w:b/>
          <w:color w:val="auto"/>
          <w:sz w:val="24"/>
        </w:rPr>
        <w:t>2.1 定义</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本合同中的下列词语应按以下内容进行解释：</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 “合同”系指采购人和中标供应商签订的载明双方当事人所达成的协议，并包括所有的附件、附录和构成合同的其他文件。</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2.1.2 “合同价”系指根据合同约定，中标供应商在完全履行合同义务后，采购人应支付给中标供应商的价格。</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hint="eastAsia" w:ascii="仿宋" w:hAnsi="仿宋" w:eastAsia="仿宋" w:cs="仿宋"/>
          <w:color w:val="auto"/>
          <w:sz w:val="24"/>
        </w:rPr>
      </w:pPr>
      <w:bookmarkStart w:id="467" w:name="_Ref467378840"/>
      <w:r>
        <w:rPr>
          <w:rFonts w:hint="eastAsia" w:ascii="仿宋" w:hAnsi="仿宋" w:eastAsia="仿宋" w:cs="仿宋"/>
          <w:color w:val="auto"/>
          <w:sz w:val="24"/>
        </w:rPr>
        <w:t>2.1.4 “甲方”系指与中标供应商签署合同的采购人</w:t>
      </w:r>
      <w:bookmarkEnd w:id="467"/>
      <w:r>
        <w:rPr>
          <w:rFonts w:hint="eastAsia" w:ascii="仿宋" w:hAnsi="仿宋" w:eastAsia="仿宋" w:cs="仿宋"/>
          <w:color w:val="auto"/>
          <w:sz w:val="24"/>
        </w:rPr>
        <w:t>；采购人委托采购代理机构代表其与乙方签订合同的，采购人的授权委托书作为合同附件。</w:t>
      </w:r>
    </w:p>
    <w:p>
      <w:pPr>
        <w:spacing w:line="560" w:lineRule="exact"/>
        <w:ind w:firstLine="480" w:firstLineChars="200"/>
        <w:rPr>
          <w:rFonts w:hint="eastAsia" w:ascii="仿宋" w:hAnsi="仿宋" w:eastAsia="仿宋" w:cs="仿宋"/>
          <w:color w:val="auto"/>
          <w:sz w:val="24"/>
        </w:rPr>
      </w:pPr>
      <w:bookmarkStart w:id="468" w:name="_Ref467379400"/>
      <w:r>
        <w:rPr>
          <w:rFonts w:hint="eastAsia" w:ascii="仿宋" w:hAnsi="仿宋" w:eastAsia="仿宋" w:cs="仿宋"/>
          <w:color w:val="auto"/>
          <w:sz w:val="24"/>
        </w:rPr>
        <w:t>2.1.5 “乙方”系指根据合同约定交付货物的中标供应商</w:t>
      </w:r>
      <w:bookmarkEnd w:id="468"/>
      <w:r>
        <w:rPr>
          <w:rFonts w:hint="eastAsia" w:ascii="仿宋" w:hAnsi="仿宋" w:eastAsia="仿宋" w:cs="仿宋"/>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仿宋" w:hAnsi="仿宋" w:eastAsia="仿宋" w:cs="仿宋"/>
          <w:color w:val="auto"/>
          <w:sz w:val="24"/>
        </w:rPr>
      </w:pPr>
      <w:bookmarkStart w:id="469" w:name="_Ref467379436"/>
      <w:r>
        <w:rPr>
          <w:rFonts w:hint="eastAsia" w:ascii="仿宋" w:hAnsi="仿宋" w:eastAsia="仿宋" w:cs="仿宋"/>
          <w:color w:val="auto"/>
          <w:sz w:val="24"/>
        </w:rPr>
        <w:t>2.1.6 “现场”系指合同约定货物将要运至或者安装的地点。</w:t>
      </w:r>
      <w:bookmarkEnd w:id="469"/>
    </w:p>
    <w:p>
      <w:pPr>
        <w:spacing w:line="560" w:lineRule="exact"/>
        <w:ind w:firstLine="482" w:firstLineChars="200"/>
        <w:outlineLvl w:val="0"/>
        <w:rPr>
          <w:rFonts w:hint="eastAsia" w:ascii="仿宋" w:hAnsi="仿宋" w:eastAsia="仿宋" w:cs="仿宋"/>
          <w:b/>
          <w:color w:val="auto"/>
          <w:sz w:val="24"/>
        </w:rPr>
      </w:pPr>
      <w:bookmarkStart w:id="470" w:name="_Toc279701241"/>
      <w:bookmarkStart w:id="471" w:name="_Toc27635"/>
      <w:bookmarkStart w:id="472" w:name="_Toc13336"/>
      <w:bookmarkStart w:id="473" w:name="_Toc487900350"/>
      <w:bookmarkStart w:id="474" w:name="_Toc259093670"/>
      <w:bookmarkStart w:id="475" w:name="_Toc32504"/>
      <w:r>
        <w:rPr>
          <w:rFonts w:hint="eastAsia" w:ascii="仿宋" w:hAnsi="仿宋" w:eastAsia="仿宋" w:cs="仿宋"/>
          <w:b/>
          <w:color w:val="auto"/>
          <w:sz w:val="24"/>
        </w:rPr>
        <w:t>2.2 技术规范</w:t>
      </w:r>
      <w:bookmarkEnd w:id="470"/>
      <w:bookmarkEnd w:id="471"/>
      <w:bookmarkEnd w:id="472"/>
      <w:bookmarkEnd w:id="473"/>
      <w:bookmarkEnd w:id="474"/>
      <w:bookmarkEnd w:id="475"/>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仿宋" w:hAnsi="仿宋" w:eastAsia="仿宋" w:cs="仿宋"/>
          <w:b/>
          <w:color w:val="auto"/>
          <w:sz w:val="24"/>
        </w:rPr>
      </w:pPr>
      <w:bookmarkStart w:id="476" w:name="_Toc31634"/>
      <w:bookmarkStart w:id="477" w:name="_Toc9829"/>
      <w:bookmarkStart w:id="478" w:name="_Toc259093671"/>
      <w:bookmarkStart w:id="479" w:name="_Toc487900351"/>
      <w:bookmarkStart w:id="480" w:name="_Toc27853"/>
      <w:bookmarkStart w:id="481" w:name="_Toc279701242"/>
      <w:r>
        <w:rPr>
          <w:rFonts w:hint="eastAsia" w:ascii="仿宋" w:hAnsi="仿宋" w:eastAsia="仿宋" w:cs="仿宋"/>
          <w:b/>
          <w:color w:val="auto"/>
          <w:sz w:val="24"/>
        </w:rPr>
        <w:t>2.3 知识产权</w:t>
      </w:r>
      <w:bookmarkEnd w:id="476"/>
      <w:bookmarkEnd w:id="477"/>
      <w:bookmarkEnd w:id="478"/>
      <w:bookmarkEnd w:id="479"/>
      <w:bookmarkEnd w:id="480"/>
      <w:bookmarkEnd w:id="481"/>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2.3.2具有知识产权的计算机软件等货物的知识产权归属，详见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2" w:firstLineChars="200"/>
        <w:outlineLvl w:val="0"/>
        <w:rPr>
          <w:rFonts w:hint="eastAsia" w:ascii="仿宋" w:hAnsi="仿宋" w:eastAsia="仿宋" w:cs="仿宋"/>
          <w:b/>
          <w:color w:val="auto"/>
          <w:sz w:val="24"/>
        </w:rPr>
      </w:pPr>
      <w:bookmarkStart w:id="482" w:name="_Toc4194"/>
      <w:bookmarkStart w:id="483" w:name="_Toc29149"/>
      <w:bookmarkStart w:id="484" w:name="_Toc11932"/>
      <w:r>
        <w:rPr>
          <w:rFonts w:hint="eastAsia" w:ascii="仿宋" w:hAnsi="仿宋" w:eastAsia="仿宋" w:cs="仿宋"/>
          <w:b/>
          <w:color w:val="auto"/>
          <w:sz w:val="24"/>
        </w:rPr>
        <w:t>2.4 包装和装运</w:t>
      </w:r>
      <w:bookmarkEnd w:id="482"/>
      <w:bookmarkEnd w:id="483"/>
      <w:bookmarkEnd w:id="484"/>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2.4.1除</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2.4.2 装运货物的要求和通知，详见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2" w:firstLineChars="200"/>
        <w:outlineLvl w:val="0"/>
        <w:rPr>
          <w:rFonts w:hint="eastAsia" w:ascii="仿宋" w:hAnsi="仿宋" w:eastAsia="仿宋" w:cs="仿宋"/>
          <w:b/>
          <w:color w:val="auto"/>
          <w:sz w:val="24"/>
        </w:rPr>
      </w:pPr>
      <w:bookmarkStart w:id="485" w:name="_Toc259093674"/>
      <w:bookmarkStart w:id="486" w:name="_Ref467378591"/>
      <w:bookmarkStart w:id="487" w:name="_Toc487900354"/>
      <w:bookmarkStart w:id="488" w:name="_Ref467379542"/>
      <w:bookmarkStart w:id="489" w:name="_Toc279701245"/>
      <w:bookmarkStart w:id="490" w:name="_Ref467378541"/>
      <w:bookmarkStart w:id="491" w:name="_Ref467379536"/>
      <w:bookmarkStart w:id="492" w:name="_Ref467379527"/>
      <w:bookmarkStart w:id="493" w:name="_Toc19074"/>
      <w:bookmarkStart w:id="494" w:name="_Toc26182"/>
      <w:bookmarkStart w:id="495" w:name="_Toc30272"/>
      <w:r>
        <w:rPr>
          <w:rFonts w:hint="eastAsia" w:ascii="仿宋" w:hAnsi="仿宋" w:eastAsia="仿宋" w:cs="仿宋"/>
          <w:b/>
          <w:color w:val="auto"/>
          <w:sz w:val="24"/>
        </w:rPr>
        <w:t>2.</w:t>
      </w:r>
      <w:bookmarkEnd w:id="485"/>
      <w:bookmarkEnd w:id="486"/>
      <w:bookmarkEnd w:id="487"/>
      <w:bookmarkEnd w:id="488"/>
      <w:bookmarkEnd w:id="489"/>
      <w:bookmarkEnd w:id="490"/>
      <w:bookmarkEnd w:id="491"/>
      <w:bookmarkEnd w:id="492"/>
      <w:r>
        <w:rPr>
          <w:rFonts w:hint="eastAsia" w:ascii="仿宋" w:hAnsi="仿宋" w:eastAsia="仿宋" w:cs="仿宋"/>
          <w:b/>
          <w:color w:val="auto"/>
          <w:sz w:val="24"/>
        </w:rPr>
        <w:t>5 履约检查和问题反馈</w:t>
      </w:r>
      <w:bookmarkEnd w:id="493"/>
      <w:bookmarkEnd w:id="494"/>
      <w:bookmarkEnd w:id="495"/>
    </w:p>
    <w:p>
      <w:pPr>
        <w:spacing w:line="560" w:lineRule="exact"/>
        <w:ind w:firstLine="480" w:firstLineChars="200"/>
        <w:rPr>
          <w:rFonts w:hint="eastAsia" w:ascii="仿宋" w:hAnsi="仿宋" w:eastAsia="仿宋" w:cs="仿宋"/>
          <w:color w:val="auto"/>
          <w:sz w:val="24"/>
        </w:rPr>
      </w:pPr>
      <w:bookmarkStart w:id="496" w:name="_Ref467379657"/>
      <w:r>
        <w:rPr>
          <w:rFonts w:hint="eastAsia" w:ascii="仿宋" w:hAnsi="仿宋" w:eastAsia="仿宋" w:cs="仿宋"/>
          <w:color w:val="auto"/>
          <w:sz w:val="24"/>
        </w:rPr>
        <w:t>2.5.1</w:t>
      </w:r>
      <w:bookmarkEnd w:id="496"/>
      <w:bookmarkStart w:id="497" w:name="_Toc186431854"/>
      <w:bookmarkStart w:id="498" w:name="_Toc487900357"/>
      <w:bookmarkStart w:id="499" w:name="_Toc259093676"/>
      <w:bookmarkStart w:id="500" w:name="_Toc279701247"/>
      <w:bookmarkStart w:id="501" w:name="_Ref467379793"/>
      <w:bookmarkStart w:id="502" w:name="_Ref467379807"/>
      <w:r>
        <w:rPr>
          <w:rFonts w:hint="eastAsia" w:ascii="仿宋" w:hAnsi="仿宋" w:eastAsia="仿宋" w:cs="仿宋"/>
          <w:color w:val="auto"/>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2.5.2 合同履行期间，甲方有权将履行过程中出现的问题反馈给乙方，双方当事人应以书面形式约定需要完善和改进的内容</w:t>
      </w:r>
      <w:bookmarkEnd w:id="497"/>
      <w:bookmarkStart w:id="503" w:name="_Toc186431855"/>
      <w:r>
        <w:rPr>
          <w:rFonts w:hint="eastAsia" w:ascii="仿宋" w:hAnsi="仿宋" w:eastAsia="仿宋" w:cs="仿宋"/>
          <w:color w:val="auto"/>
          <w:sz w:val="24"/>
        </w:rPr>
        <w:t>。</w:t>
      </w:r>
    </w:p>
    <w:bookmarkEnd w:id="498"/>
    <w:bookmarkEnd w:id="499"/>
    <w:bookmarkEnd w:id="500"/>
    <w:bookmarkEnd w:id="501"/>
    <w:bookmarkEnd w:id="502"/>
    <w:bookmarkEnd w:id="503"/>
    <w:p>
      <w:pPr>
        <w:spacing w:line="560" w:lineRule="exact"/>
        <w:ind w:firstLine="482" w:firstLineChars="200"/>
        <w:outlineLvl w:val="0"/>
        <w:rPr>
          <w:rFonts w:hint="eastAsia" w:ascii="仿宋" w:hAnsi="仿宋" w:eastAsia="仿宋" w:cs="仿宋"/>
          <w:b/>
          <w:color w:val="auto"/>
          <w:sz w:val="24"/>
        </w:rPr>
      </w:pPr>
      <w:bookmarkStart w:id="504" w:name="_Toc487900358"/>
      <w:bookmarkStart w:id="505" w:name="_Toc279701248"/>
      <w:bookmarkStart w:id="506" w:name="_Toc259093677"/>
      <w:bookmarkStart w:id="507" w:name="_Ref467379923"/>
      <w:bookmarkStart w:id="508" w:name="_Ref467379852"/>
      <w:bookmarkStart w:id="509" w:name="_Ref467379863"/>
      <w:bookmarkStart w:id="510" w:name="_Toc3225"/>
      <w:bookmarkStart w:id="511" w:name="_Toc16110"/>
      <w:bookmarkStart w:id="512" w:name="_Toc774"/>
      <w:r>
        <w:rPr>
          <w:rFonts w:hint="eastAsia" w:ascii="仿宋" w:hAnsi="仿宋" w:eastAsia="仿宋" w:cs="仿宋"/>
          <w:b/>
          <w:color w:val="auto"/>
          <w:sz w:val="24"/>
        </w:rPr>
        <w:t>2.6 技术资料</w:t>
      </w:r>
      <w:bookmarkEnd w:id="504"/>
      <w:bookmarkEnd w:id="505"/>
      <w:bookmarkEnd w:id="506"/>
      <w:bookmarkEnd w:id="507"/>
      <w:bookmarkEnd w:id="508"/>
      <w:bookmarkEnd w:id="509"/>
      <w:r>
        <w:rPr>
          <w:rFonts w:hint="eastAsia" w:ascii="仿宋" w:hAnsi="仿宋" w:eastAsia="仿宋" w:cs="仿宋"/>
          <w:b/>
          <w:color w:val="auto"/>
          <w:sz w:val="24"/>
        </w:rPr>
        <w:t>和保密义务</w:t>
      </w:r>
      <w:bookmarkEnd w:id="510"/>
      <w:bookmarkEnd w:id="511"/>
      <w:bookmarkEnd w:id="512"/>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2.6.1 乙方有权依据合同约定和项目需要，向甲方了解有关情况，调阅有关资料等，甲方应予积极配合；</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2.6.2 乙方有义务妥善保管和保护由甲方提供的前款信息和资料等；</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仿宋" w:hAnsi="仿宋" w:eastAsia="仿宋" w:cs="仿宋"/>
          <w:b/>
          <w:color w:val="auto"/>
          <w:sz w:val="24"/>
        </w:rPr>
      </w:pPr>
      <w:bookmarkStart w:id="513" w:name="_Toc7860"/>
      <w:r>
        <w:rPr>
          <w:rFonts w:hint="eastAsia" w:ascii="仿宋" w:hAnsi="仿宋" w:eastAsia="仿宋" w:cs="仿宋"/>
          <w:b/>
          <w:color w:val="auto"/>
          <w:sz w:val="24"/>
        </w:rPr>
        <w:t>2.7 质量保证</w:t>
      </w:r>
      <w:bookmarkEnd w:id="513"/>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2.7.1 乙方应建立和完善履行合同的内部质量保证体系，并提供相关内部规章制度给甲方，以便甲方进行监督检查；</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仿宋" w:hAnsi="仿宋" w:eastAsia="仿宋" w:cs="仿宋"/>
          <w:b/>
          <w:color w:val="auto"/>
          <w:sz w:val="24"/>
        </w:rPr>
      </w:pPr>
      <w:bookmarkStart w:id="514" w:name="_Toc17244"/>
      <w:bookmarkStart w:id="515" w:name="_Toc259093681"/>
      <w:bookmarkStart w:id="516" w:name="_Toc279701252"/>
      <w:bookmarkStart w:id="517" w:name="_Toc487900362"/>
      <w:r>
        <w:rPr>
          <w:rFonts w:hint="eastAsia" w:ascii="仿宋" w:hAnsi="仿宋" w:eastAsia="仿宋" w:cs="仿宋"/>
          <w:b/>
          <w:color w:val="auto"/>
          <w:sz w:val="24"/>
        </w:rPr>
        <w:t>2.8 货物的风险负担</w:t>
      </w:r>
      <w:bookmarkEnd w:id="514"/>
    </w:p>
    <w:p>
      <w:pPr>
        <w:spacing w:line="560" w:lineRule="exact"/>
        <w:ind w:firstLine="480" w:firstLineChars="200"/>
        <w:rPr>
          <w:rFonts w:hint="eastAsia" w:ascii="仿宋" w:hAnsi="仿宋" w:eastAsia="仿宋" w:cs="仿宋"/>
          <w:b/>
          <w:color w:val="auto"/>
          <w:sz w:val="24"/>
        </w:rPr>
      </w:pPr>
      <w:r>
        <w:rPr>
          <w:rFonts w:hint="eastAsia" w:ascii="仿宋" w:hAnsi="仿宋" w:eastAsia="仿宋" w:cs="仿宋"/>
          <w:color w:val="auto"/>
          <w:sz w:val="24"/>
        </w:rPr>
        <w:t>货物或者在途货物或者交付给第一承运人后的货物毁损、灭失的风险负担详见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2" w:firstLineChars="200"/>
        <w:outlineLvl w:val="0"/>
        <w:rPr>
          <w:rFonts w:hint="eastAsia" w:ascii="仿宋" w:hAnsi="仿宋" w:eastAsia="仿宋" w:cs="仿宋"/>
          <w:b/>
          <w:color w:val="auto"/>
          <w:sz w:val="24"/>
        </w:rPr>
      </w:pPr>
      <w:bookmarkStart w:id="518" w:name="_Toc14055"/>
      <w:r>
        <w:rPr>
          <w:rFonts w:hint="eastAsia" w:ascii="仿宋" w:hAnsi="仿宋" w:eastAsia="仿宋" w:cs="仿宋"/>
          <w:b/>
          <w:color w:val="auto"/>
          <w:sz w:val="24"/>
        </w:rPr>
        <w:t>2.9 延迟交货</w:t>
      </w:r>
      <w:bookmarkEnd w:id="515"/>
      <w:bookmarkEnd w:id="516"/>
      <w:bookmarkEnd w:id="517"/>
      <w:bookmarkEnd w:id="518"/>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hint="eastAsia" w:ascii="仿宋" w:hAnsi="仿宋" w:eastAsia="仿宋" w:cs="仿宋"/>
          <w:b/>
          <w:color w:val="auto"/>
          <w:sz w:val="24"/>
        </w:rPr>
      </w:pPr>
      <w:bookmarkStart w:id="519" w:name="_Toc7502"/>
      <w:bookmarkStart w:id="520" w:name="_Toc259093683"/>
      <w:bookmarkStart w:id="521" w:name="_Toc487900364"/>
      <w:bookmarkStart w:id="522" w:name="_Ref467378121"/>
      <w:bookmarkStart w:id="523" w:name="_Toc279701254"/>
      <w:r>
        <w:rPr>
          <w:rFonts w:hint="eastAsia" w:ascii="仿宋" w:hAnsi="仿宋" w:eastAsia="仿宋" w:cs="仿宋"/>
          <w:b/>
          <w:color w:val="auto"/>
          <w:sz w:val="24"/>
        </w:rPr>
        <w:t>2.10 合同变更</w:t>
      </w:r>
      <w:bookmarkEnd w:id="519"/>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合同继续履行将损害国家利益和社会公共利益的，双方当事人应当以书面形式变更合同。有过错的一方应当承担赔偿责任，双方当事人都有过错的，各自承担相应的责任。</w:t>
      </w:r>
      <w:bookmarkStart w:id="524" w:name="_Toc279701259"/>
      <w:bookmarkStart w:id="525" w:name="_Toc259093688"/>
      <w:bookmarkStart w:id="526" w:name="_Toc487900369"/>
    </w:p>
    <w:p>
      <w:pPr>
        <w:spacing w:line="560" w:lineRule="exact"/>
        <w:ind w:firstLine="482" w:firstLineChars="200"/>
        <w:outlineLvl w:val="0"/>
        <w:rPr>
          <w:rFonts w:hint="eastAsia" w:ascii="仿宋" w:hAnsi="仿宋" w:eastAsia="仿宋" w:cs="仿宋"/>
          <w:b/>
          <w:color w:val="auto"/>
          <w:sz w:val="24"/>
        </w:rPr>
      </w:pPr>
      <w:bookmarkStart w:id="527" w:name="_Toc15237"/>
      <w:bookmarkStart w:id="528" w:name="_Toc10366"/>
      <w:bookmarkStart w:id="529" w:name="_Toc22955"/>
      <w:r>
        <w:rPr>
          <w:rFonts w:hint="eastAsia" w:ascii="仿宋" w:hAnsi="仿宋" w:eastAsia="仿宋" w:cs="仿宋"/>
          <w:b/>
          <w:color w:val="auto"/>
          <w:sz w:val="24"/>
        </w:rPr>
        <w:t>2.11 合同转让</w:t>
      </w:r>
      <w:bookmarkEnd w:id="524"/>
      <w:bookmarkEnd w:id="525"/>
      <w:bookmarkEnd w:id="526"/>
      <w:r>
        <w:rPr>
          <w:rFonts w:hint="eastAsia" w:ascii="仿宋" w:hAnsi="仿宋" w:eastAsia="仿宋" w:cs="仿宋"/>
          <w:b/>
          <w:color w:val="auto"/>
          <w:sz w:val="24"/>
        </w:rPr>
        <w:t>和分包</w:t>
      </w:r>
      <w:bookmarkEnd w:id="527"/>
      <w:bookmarkEnd w:id="528"/>
      <w:bookmarkEnd w:id="529"/>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2.11.2乙方采取分包方式履行合同的，甲方可直接向分包供应商支付款项。</w:t>
      </w:r>
    </w:p>
    <w:p>
      <w:pPr>
        <w:spacing w:line="560" w:lineRule="exact"/>
        <w:ind w:firstLine="482" w:firstLineChars="200"/>
        <w:outlineLvl w:val="0"/>
        <w:rPr>
          <w:rFonts w:hint="eastAsia" w:ascii="仿宋" w:hAnsi="仿宋" w:eastAsia="仿宋" w:cs="仿宋"/>
          <w:b/>
          <w:color w:val="auto"/>
          <w:sz w:val="24"/>
        </w:rPr>
      </w:pPr>
      <w:bookmarkStart w:id="530" w:name="_Toc14066"/>
      <w:bookmarkStart w:id="531" w:name="_Toc13566"/>
      <w:bookmarkStart w:id="532" w:name="_Toc16508"/>
      <w:r>
        <w:rPr>
          <w:rFonts w:hint="eastAsia" w:ascii="仿宋" w:hAnsi="仿宋" w:eastAsia="仿宋" w:cs="仿宋"/>
          <w:b/>
          <w:color w:val="auto"/>
          <w:sz w:val="24"/>
        </w:rPr>
        <w:t>2.12 不可抗力</w:t>
      </w:r>
      <w:bookmarkEnd w:id="530"/>
      <w:bookmarkEnd w:id="531"/>
      <w:bookmarkEnd w:id="532"/>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2.12.2 因不可抗力致使不能实现合同目的的，当事人可以解除合同；</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2.12.3 因不可抗力致使合同有变更必要的，双方当事人应在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约定时间内以书面形式变更合同；</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2.12.4受不可抗力影响的一方在不可抗力发生后，应在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约定时间内以书面形式通知对方当事人，并在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约定时间内，将有关部门出具的证明文件送达对方当事人。</w:t>
      </w:r>
    </w:p>
    <w:p>
      <w:pPr>
        <w:spacing w:line="560" w:lineRule="exact"/>
        <w:ind w:firstLine="482" w:firstLineChars="200"/>
        <w:outlineLvl w:val="0"/>
        <w:rPr>
          <w:rFonts w:hint="eastAsia" w:ascii="仿宋" w:hAnsi="仿宋" w:eastAsia="仿宋" w:cs="仿宋"/>
          <w:b/>
          <w:color w:val="auto"/>
          <w:sz w:val="24"/>
        </w:rPr>
      </w:pPr>
      <w:bookmarkStart w:id="533" w:name="_Toc6969"/>
      <w:bookmarkStart w:id="534" w:name="_Toc279701255"/>
      <w:bookmarkStart w:id="535" w:name="_Toc30676"/>
      <w:bookmarkStart w:id="536" w:name="_Toc259093684"/>
      <w:bookmarkStart w:id="537" w:name="_Toc689"/>
      <w:bookmarkStart w:id="538" w:name="_Toc487900365"/>
      <w:r>
        <w:rPr>
          <w:rFonts w:hint="eastAsia" w:ascii="仿宋" w:hAnsi="仿宋" w:eastAsia="仿宋" w:cs="仿宋"/>
          <w:b/>
          <w:color w:val="auto"/>
          <w:sz w:val="24"/>
        </w:rPr>
        <w:t>2.13 税费</w:t>
      </w:r>
      <w:bookmarkEnd w:id="533"/>
      <w:bookmarkEnd w:id="534"/>
      <w:bookmarkEnd w:id="535"/>
      <w:bookmarkEnd w:id="536"/>
      <w:bookmarkEnd w:id="537"/>
      <w:bookmarkEnd w:id="538"/>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与合同有关的一切税费，均按照中华人民共和国法律的相关规定。</w:t>
      </w:r>
    </w:p>
    <w:p>
      <w:pPr>
        <w:spacing w:line="560" w:lineRule="exact"/>
        <w:ind w:firstLine="482" w:firstLineChars="200"/>
        <w:outlineLvl w:val="0"/>
        <w:rPr>
          <w:rFonts w:hint="eastAsia" w:ascii="仿宋" w:hAnsi="仿宋" w:eastAsia="仿宋" w:cs="仿宋"/>
          <w:b/>
          <w:color w:val="auto"/>
          <w:sz w:val="24"/>
        </w:rPr>
      </w:pPr>
      <w:bookmarkStart w:id="539" w:name="_Toc279701258"/>
      <w:bookmarkStart w:id="540" w:name="_Toc259093687"/>
      <w:bookmarkStart w:id="541" w:name="_Toc487900368"/>
      <w:bookmarkStart w:id="542" w:name="_Toc8298"/>
      <w:bookmarkStart w:id="543" w:name="_Toc7102"/>
      <w:bookmarkStart w:id="544" w:name="_Toc16959"/>
      <w:r>
        <w:rPr>
          <w:rFonts w:hint="eastAsia" w:ascii="仿宋" w:hAnsi="仿宋" w:eastAsia="仿宋" w:cs="仿宋"/>
          <w:b/>
          <w:color w:val="auto"/>
          <w:sz w:val="24"/>
        </w:rPr>
        <w:t>2.14乙方破产</w:t>
      </w:r>
      <w:bookmarkEnd w:id="539"/>
      <w:bookmarkEnd w:id="540"/>
      <w:bookmarkEnd w:id="541"/>
      <w:bookmarkEnd w:id="542"/>
      <w:bookmarkEnd w:id="543"/>
      <w:bookmarkEnd w:id="544"/>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仿宋" w:hAnsi="仿宋" w:eastAsia="仿宋" w:cs="仿宋"/>
          <w:b/>
          <w:color w:val="auto"/>
          <w:sz w:val="24"/>
        </w:rPr>
      </w:pPr>
      <w:bookmarkStart w:id="545" w:name="_Toc15387"/>
      <w:bookmarkStart w:id="546" w:name="_Toc6134"/>
      <w:bookmarkStart w:id="547" w:name="_Toc29333"/>
      <w:r>
        <w:rPr>
          <w:rFonts w:hint="eastAsia" w:ascii="仿宋" w:hAnsi="仿宋" w:eastAsia="仿宋" w:cs="仿宋"/>
          <w:b/>
          <w:color w:val="auto"/>
          <w:sz w:val="24"/>
        </w:rPr>
        <w:t>2.15 合同中止、终止</w:t>
      </w:r>
      <w:bookmarkEnd w:id="545"/>
      <w:bookmarkEnd w:id="546"/>
      <w:bookmarkEnd w:id="547"/>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2.15.1 双方当事人不得擅自中止或者终止合同；</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color w:val="auto"/>
          <w:sz w:val="24"/>
        </w:rPr>
      </w:pPr>
      <w:bookmarkStart w:id="548" w:name="_Toc1125"/>
      <w:bookmarkStart w:id="549" w:name="_Toc6596"/>
      <w:bookmarkStart w:id="550" w:name="_Toc14563"/>
      <w:r>
        <w:rPr>
          <w:rFonts w:hint="eastAsia" w:ascii="仿宋" w:hAnsi="仿宋" w:eastAsia="仿宋" w:cs="仿宋"/>
          <w:b/>
          <w:color w:val="auto"/>
          <w:sz w:val="24"/>
        </w:rPr>
        <w:t>2.16检验和验收</w:t>
      </w:r>
      <w:bookmarkEnd w:id="548"/>
      <w:bookmarkEnd w:id="549"/>
      <w:bookmarkEnd w:id="550"/>
    </w:p>
    <w:p>
      <w:pPr>
        <w:tabs>
          <w:tab w:val="left" w:pos="360"/>
          <w:tab w:val="left" w:pos="540"/>
          <w:tab w:val="left" w:pos="108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2.16.1货物交付前，乙方应对货物的质量、数量等方面进行详细、全面的检验，并向甲方出具证明货物符合合同约定的文件；货物交付时，乙方在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2.16.3 检验和验收标准、程序等具体内容以及前述验收书的效力详见</w:t>
      </w:r>
      <w:r>
        <w:rPr>
          <w:rFonts w:hint="eastAsia" w:ascii="仿宋" w:hAnsi="仿宋" w:eastAsia="仿宋" w:cs="仿宋"/>
          <w:b/>
          <w:i/>
          <w:color w:val="auto"/>
          <w:sz w:val="24"/>
          <w:u w:val="single"/>
        </w:rPr>
        <w:t>合同专用条款</w:t>
      </w:r>
      <w:r>
        <w:rPr>
          <w:rFonts w:hint="eastAsia" w:ascii="仿宋" w:hAnsi="仿宋" w:eastAsia="仿宋" w:cs="仿宋"/>
          <w:i/>
          <w:color w:val="auto"/>
          <w:sz w:val="24"/>
        </w:rPr>
        <w:t>。</w:t>
      </w:r>
    </w:p>
    <w:bookmarkEnd w:id="520"/>
    <w:bookmarkEnd w:id="521"/>
    <w:bookmarkEnd w:id="522"/>
    <w:bookmarkEnd w:id="523"/>
    <w:p>
      <w:pPr>
        <w:spacing w:line="560" w:lineRule="exact"/>
        <w:ind w:firstLine="482" w:firstLineChars="200"/>
        <w:outlineLvl w:val="0"/>
        <w:rPr>
          <w:rFonts w:hint="eastAsia" w:ascii="仿宋" w:hAnsi="仿宋" w:eastAsia="仿宋" w:cs="仿宋"/>
          <w:b/>
          <w:color w:val="auto"/>
          <w:sz w:val="24"/>
        </w:rPr>
      </w:pPr>
      <w:bookmarkStart w:id="551" w:name="_Toc279701261"/>
      <w:bookmarkStart w:id="552" w:name="_Toc259093690"/>
      <w:bookmarkStart w:id="553" w:name="_Toc487900371"/>
      <w:bookmarkStart w:id="554" w:name="_Toc25182"/>
      <w:bookmarkStart w:id="555" w:name="_Toc19604"/>
      <w:bookmarkStart w:id="556" w:name="_Toc11284"/>
      <w:r>
        <w:rPr>
          <w:rFonts w:hint="eastAsia" w:ascii="仿宋" w:hAnsi="仿宋" w:eastAsia="仿宋" w:cs="仿宋"/>
          <w:b/>
          <w:color w:val="auto"/>
          <w:sz w:val="24"/>
        </w:rPr>
        <w:t>2.17 通知</w:t>
      </w:r>
      <w:bookmarkEnd w:id="551"/>
      <w:bookmarkEnd w:id="552"/>
      <w:bookmarkEnd w:id="553"/>
      <w:r>
        <w:rPr>
          <w:rFonts w:hint="eastAsia" w:ascii="仿宋" w:hAnsi="仿宋" w:eastAsia="仿宋" w:cs="仿宋"/>
          <w:b/>
          <w:color w:val="auto"/>
          <w:sz w:val="24"/>
        </w:rPr>
        <w:t>和送达</w:t>
      </w:r>
      <w:bookmarkEnd w:id="554"/>
      <w:bookmarkEnd w:id="555"/>
      <w:bookmarkEnd w:id="556"/>
    </w:p>
    <w:p>
      <w:pPr>
        <w:spacing w:line="560" w:lineRule="exact"/>
        <w:ind w:firstLine="480" w:firstLineChars="200"/>
        <w:rPr>
          <w:rFonts w:hint="eastAsia" w:ascii="仿宋" w:hAnsi="仿宋" w:eastAsia="仿宋" w:cs="仿宋"/>
          <w:color w:val="auto"/>
          <w:sz w:val="24"/>
        </w:rPr>
      </w:pPr>
      <w:bookmarkStart w:id="557" w:name="_Toc6698"/>
      <w:bookmarkStart w:id="558" w:name="_Toc3135"/>
      <w:bookmarkStart w:id="559" w:name="_Toc487900372"/>
      <w:bookmarkStart w:id="560" w:name="_Toc259093691"/>
      <w:bookmarkStart w:id="561" w:name="_Toc279701262"/>
      <w:r>
        <w:rPr>
          <w:rFonts w:hint="eastAsia" w:ascii="仿宋" w:hAnsi="仿宋" w:eastAsia="仿宋" w:cs="仿宋"/>
          <w:color w:val="auto"/>
          <w:sz w:val="24"/>
        </w:rPr>
        <w:t xml:space="preserve">2.17.1任何一方因履行合同而以合同第一部分尾部所列明的传真或电子邮件 </w:t>
      </w:r>
      <w:r>
        <w:rPr>
          <w:rFonts w:hint="eastAsia" w:ascii="仿宋" w:hAnsi="仿宋" w:eastAsia="仿宋" w:cs="仿宋"/>
          <w:color w:val="auto"/>
          <w:sz w:val="24"/>
          <w:u w:val="single"/>
        </w:rPr>
        <w:t xml:space="preserve">       </w:t>
      </w:r>
      <w:r>
        <w:rPr>
          <w:rFonts w:hint="eastAsia" w:ascii="仿宋" w:hAnsi="仿宋" w:eastAsia="仿宋" w:cs="仿宋"/>
          <w:color w:val="auto"/>
          <w:sz w:val="24"/>
        </w:rPr>
        <w:t>发出的所有通知、文件、材料，均视为已向对方当事人送达；任何一方变更上述送达方式或者地址的，应于</w:t>
      </w:r>
      <w:r>
        <w:rPr>
          <w:rFonts w:hint="eastAsia" w:ascii="仿宋" w:hAnsi="仿宋" w:eastAsia="仿宋" w:cs="仿宋"/>
          <w:color w:val="auto"/>
          <w:sz w:val="24"/>
          <w:u w:val="single"/>
        </w:rPr>
        <w:t>3</w:t>
      </w:r>
      <w:r>
        <w:rPr>
          <w:rFonts w:hint="eastAsia" w:ascii="仿宋" w:hAnsi="仿宋" w:eastAsia="仿宋" w:cs="仿宋"/>
          <w:color w:val="auto"/>
          <w:sz w:val="24"/>
        </w:rPr>
        <w:t>个工作日内书面通知对方当事人，在对方当事人收到有关变更通知之前，变更前的约定送达方式或者地址仍视为有效。</w:t>
      </w:r>
      <w:bookmarkEnd w:id="557"/>
      <w:bookmarkEnd w:id="558"/>
    </w:p>
    <w:p>
      <w:pPr>
        <w:spacing w:line="560" w:lineRule="exact"/>
        <w:ind w:firstLine="480" w:firstLineChars="200"/>
        <w:rPr>
          <w:rFonts w:hint="eastAsia" w:ascii="仿宋" w:hAnsi="仿宋" w:eastAsia="仿宋" w:cs="仿宋"/>
          <w:color w:val="auto"/>
          <w:sz w:val="24"/>
        </w:rPr>
      </w:pPr>
      <w:bookmarkStart w:id="562" w:name="_Toc23128"/>
      <w:bookmarkStart w:id="563" w:name="_Toc23294"/>
      <w:r>
        <w:rPr>
          <w:rFonts w:hint="eastAsia" w:ascii="仿宋" w:hAnsi="仿宋" w:eastAsia="仿宋" w:cs="仿宋"/>
          <w:color w:val="auto"/>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62"/>
      <w:bookmarkEnd w:id="563"/>
    </w:p>
    <w:p>
      <w:pPr>
        <w:spacing w:line="560" w:lineRule="exact"/>
        <w:ind w:firstLine="482" w:firstLineChars="200"/>
        <w:outlineLvl w:val="0"/>
        <w:rPr>
          <w:rFonts w:hint="eastAsia" w:ascii="仿宋" w:hAnsi="仿宋" w:eastAsia="仿宋" w:cs="仿宋"/>
          <w:b/>
          <w:color w:val="auto"/>
          <w:sz w:val="24"/>
        </w:rPr>
      </w:pPr>
      <w:bookmarkStart w:id="564" w:name="_Toc18540"/>
      <w:bookmarkStart w:id="565" w:name="_Toc30599"/>
      <w:bookmarkStart w:id="566" w:name="_Toc4355"/>
      <w:r>
        <w:rPr>
          <w:rFonts w:hint="eastAsia" w:ascii="仿宋" w:hAnsi="仿宋" w:eastAsia="仿宋" w:cs="仿宋"/>
          <w:b/>
          <w:color w:val="auto"/>
          <w:sz w:val="24"/>
        </w:rPr>
        <w:t>2.18 计量单位</w:t>
      </w:r>
      <w:bookmarkEnd w:id="559"/>
      <w:bookmarkEnd w:id="560"/>
      <w:bookmarkEnd w:id="561"/>
      <w:bookmarkEnd w:id="564"/>
      <w:bookmarkEnd w:id="565"/>
      <w:bookmarkEnd w:id="566"/>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除技术规范中另有规定外,合同的计量单位均使用国家法定计量单位。</w:t>
      </w:r>
    </w:p>
    <w:p>
      <w:pPr>
        <w:spacing w:line="560" w:lineRule="exact"/>
        <w:ind w:firstLine="482" w:firstLineChars="200"/>
        <w:outlineLvl w:val="0"/>
        <w:rPr>
          <w:rFonts w:hint="eastAsia" w:ascii="仿宋" w:hAnsi="仿宋" w:eastAsia="仿宋" w:cs="仿宋"/>
          <w:b/>
          <w:color w:val="auto"/>
          <w:sz w:val="24"/>
        </w:rPr>
      </w:pPr>
      <w:bookmarkStart w:id="567" w:name="_Toc259093692"/>
      <w:bookmarkStart w:id="568" w:name="_Toc12773"/>
      <w:bookmarkStart w:id="569" w:name="_Toc487900373"/>
      <w:bookmarkStart w:id="570" w:name="_Toc10330"/>
      <w:bookmarkStart w:id="571" w:name="_Toc279701263"/>
      <w:bookmarkStart w:id="572" w:name="_Toc18567"/>
      <w:r>
        <w:rPr>
          <w:rFonts w:hint="eastAsia" w:ascii="仿宋" w:hAnsi="仿宋" w:eastAsia="仿宋" w:cs="仿宋"/>
          <w:b/>
          <w:color w:val="auto"/>
          <w:sz w:val="24"/>
        </w:rPr>
        <w:t>2.19 合同使用的文字和适用的法律</w:t>
      </w:r>
      <w:bookmarkEnd w:id="567"/>
      <w:bookmarkEnd w:id="568"/>
      <w:bookmarkEnd w:id="569"/>
      <w:bookmarkEnd w:id="570"/>
      <w:bookmarkEnd w:id="571"/>
      <w:bookmarkEnd w:id="572"/>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2.19.1 合同使用汉语书就、变更和解释；</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2.19.2 合同适用中华人民共和国法律。</w:t>
      </w:r>
    </w:p>
    <w:p>
      <w:pPr>
        <w:spacing w:line="560" w:lineRule="exact"/>
        <w:ind w:firstLine="482" w:firstLineChars="200"/>
        <w:outlineLvl w:val="0"/>
        <w:rPr>
          <w:rFonts w:hint="eastAsia" w:ascii="仿宋" w:hAnsi="仿宋" w:eastAsia="仿宋" w:cs="仿宋"/>
          <w:b/>
          <w:color w:val="auto"/>
          <w:sz w:val="24"/>
        </w:rPr>
      </w:pPr>
      <w:bookmarkStart w:id="573" w:name="_Toc12004"/>
      <w:bookmarkStart w:id="574" w:name="_Toc259093693"/>
      <w:bookmarkStart w:id="575" w:name="_Toc3148"/>
      <w:bookmarkStart w:id="576" w:name="_Toc279701264"/>
      <w:bookmarkStart w:id="577" w:name="_Toc16673"/>
      <w:bookmarkStart w:id="578" w:name="_Toc487900374"/>
      <w:r>
        <w:rPr>
          <w:rFonts w:hint="eastAsia" w:ascii="仿宋" w:hAnsi="仿宋" w:eastAsia="仿宋" w:cs="仿宋"/>
          <w:b/>
          <w:color w:val="auto"/>
          <w:sz w:val="24"/>
        </w:rPr>
        <w:t>2.20 履约保证金</w:t>
      </w:r>
      <w:bookmarkEnd w:id="573"/>
      <w:bookmarkEnd w:id="574"/>
      <w:bookmarkEnd w:id="575"/>
      <w:bookmarkEnd w:id="576"/>
      <w:bookmarkEnd w:id="577"/>
    </w:p>
    <w:p>
      <w:pPr>
        <w:pStyle w:val="957"/>
        <w:spacing w:before="0" w:beforeAutospacing="0" w:after="0" w:afterAutospacing="0" w:line="360" w:lineRule="auto"/>
        <w:ind w:firstLine="420"/>
        <w:rPr>
          <w:rFonts w:hint="eastAsia" w:ascii="仿宋" w:hAnsi="仿宋" w:eastAsia="仿宋" w:cs="仿宋"/>
          <w:color w:val="auto"/>
        </w:rPr>
      </w:pPr>
      <w:r>
        <w:rPr>
          <w:rFonts w:hint="eastAsia" w:ascii="仿宋" w:hAnsi="仿宋" w:eastAsia="仿宋" w:cs="仿宋"/>
          <w:color w:val="auto"/>
        </w:rPr>
        <w:t>2.20.1 采购文件要求乙方提交履约保证金的，乙方应按</w:t>
      </w:r>
      <w:r>
        <w:rPr>
          <w:rFonts w:hint="eastAsia" w:ascii="仿宋" w:hAnsi="仿宋" w:eastAsia="仿宋" w:cs="仿宋"/>
          <w:b/>
          <w:i/>
          <w:color w:val="auto"/>
          <w:u w:val="single"/>
        </w:rPr>
        <w:t>合同专用条款</w:t>
      </w:r>
      <w:r>
        <w:rPr>
          <w:rFonts w:hint="eastAsia" w:ascii="仿宋" w:hAnsi="仿宋" w:eastAsia="仿宋" w:cs="仿宋"/>
          <w:color w:val="auto"/>
        </w:rPr>
        <w:t>约定的方式，以支票、汇票、本票或者金融机构、担保机构出具的保函等非现金形式，提交不超过合同金额</w:t>
      </w:r>
      <w:r>
        <w:rPr>
          <w:rFonts w:hint="eastAsia" w:ascii="仿宋" w:hAnsi="仿宋" w:eastAsia="仿宋" w:cs="仿宋"/>
          <w:color w:val="auto"/>
          <w:highlight w:val="yellow"/>
          <w:lang w:val="en-US" w:eastAsia="zh-CN"/>
        </w:rPr>
        <w:t>2.5</w:t>
      </w:r>
      <w:r>
        <w:rPr>
          <w:rFonts w:hint="eastAsia" w:ascii="仿宋" w:hAnsi="仿宋" w:eastAsia="仿宋" w:cs="仿宋"/>
          <w:color w:val="auto"/>
          <w:highlight w:val="yellow"/>
        </w:rPr>
        <w:t>%</w:t>
      </w:r>
      <w:r>
        <w:rPr>
          <w:rFonts w:hint="eastAsia" w:ascii="仿宋" w:hAnsi="仿宋" w:eastAsia="仿宋" w:cs="仿宋"/>
          <w:color w:val="auto"/>
        </w:rPr>
        <w:t>的履约保证金；鼓励和支持乙方以银行、保险公司出具的保函形式提供履约保证</w:t>
      </w:r>
      <w:r>
        <w:rPr>
          <w:rFonts w:hint="eastAsia" w:ascii="仿宋" w:hAnsi="仿宋" w:eastAsia="仿宋" w:cs="仿宋"/>
          <w:color w:val="auto"/>
          <w:lang w:eastAsia="zh-CN"/>
        </w:rPr>
        <w:t>，</w:t>
      </w:r>
      <w:r>
        <w:rPr>
          <w:rFonts w:hint="eastAsia" w:ascii="仿宋" w:hAnsi="仿宋" w:eastAsia="仿宋" w:cs="仿宋"/>
          <w:color w:val="auto"/>
          <w:highlight w:val="yellow"/>
          <w:lang w:eastAsia="zh-CN"/>
        </w:rPr>
        <w:t>乙方</w:t>
      </w:r>
      <w:r>
        <w:rPr>
          <w:rFonts w:hint="eastAsia" w:ascii="仿宋" w:hAnsi="仿宋" w:eastAsia="仿宋" w:cs="仿宋"/>
          <w:color w:val="auto"/>
          <w:highlight w:val="yellow"/>
        </w:rPr>
        <w:t>以银行、保险公司出具保函形式提交履约保证金的，</w:t>
      </w:r>
      <w:r>
        <w:rPr>
          <w:rFonts w:hint="eastAsia" w:ascii="仿宋" w:hAnsi="仿宋" w:eastAsia="仿宋" w:cs="仿宋"/>
          <w:color w:val="auto"/>
          <w:highlight w:val="yellow"/>
          <w:lang w:eastAsia="zh-CN"/>
        </w:rPr>
        <w:t>甲方</w:t>
      </w:r>
      <w:r>
        <w:rPr>
          <w:rFonts w:hint="eastAsia" w:ascii="仿宋" w:hAnsi="仿宋" w:eastAsia="仿宋" w:cs="仿宋"/>
          <w:color w:val="auto"/>
          <w:highlight w:val="yellow"/>
        </w:rPr>
        <w:t>不得拒收。</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2.20.2  </w:t>
      </w:r>
      <w:r>
        <w:rPr>
          <w:rFonts w:hint="eastAsia" w:ascii="仿宋" w:hAnsi="仿宋" w:eastAsia="仿宋" w:cs="仿宋"/>
          <w:color w:val="auto"/>
          <w:sz w:val="24"/>
          <w:highlight w:val="yellow"/>
          <w:lang w:eastAsia="zh-CN"/>
        </w:rPr>
        <w:t>甲方在</w:t>
      </w:r>
      <w:r>
        <w:rPr>
          <w:rFonts w:hint="eastAsia" w:ascii="仿宋" w:hAnsi="仿宋" w:eastAsia="仿宋" w:cs="仿宋"/>
          <w:color w:val="auto"/>
          <w:sz w:val="24"/>
          <w:highlight w:val="yellow"/>
        </w:rPr>
        <w:t>项目验收结束后及时退还</w:t>
      </w:r>
      <w:r>
        <w:rPr>
          <w:rFonts w:hint="eastAsia" w:ascii="仿宋" w:hAnsi="仿宋" w:eastAsia="仿宋" w:cs="仿宋"/>
          <w:color w:val="auto"/>
          <w:sz w:val="24"/>
          <w:highlight w:val="yellow"/>
          <w:lang w:eastAsia="zh-CN"/>
        </w:rPr>
        <w:t>履约保证金</w:t>
      </w:r>
      <w:r>
        <w:rPr>
          <w:rFonts w:hint="eastAsia" w:ascii="仿宋" w:hAnsi="仿宋" w:eastAsia="仿宋" w:cs="仿宋"/>
          <w:color w:val="auto"/>
          <w:sz w:val="24"/>
        </w:rPr>
        <w:t>。甲方在</w:t>
      </w:r>
      <w:r>
        <w:rPr>
          <w:rFonts w:hint="eastAsia" w:ascii="仿宋" w:hAnsi="仿宋" w:eastAsia="仿宋" w:cs="仿宋"/>
          <w:color w:val="auto"/>
          <w:sz w:val="24"/>
          <w:highlight w:val="yellow"/>
        </w:rPr>
        <w:t>项目</w:t>
      </w:r>
      <w:r>
        <w:rPr>
          <w:rFonts w:hint="eastAsia" w:ascii="仿宋" w:hAnsi="仿宋" w:eastAsia="仿宋" w:cs="仿宋"/>
          <w:color w:val="auto"/>
          <w:sz w:val="24"/>
          <w:highlight w:val="yellow"/>
          <w:lang w:eastAsia="zh-CN"/>
        </w:rPr>
        <w:t>通过</w:t>
      </w:r>
      <w:r>
        <w:rPr>
          <w:rFonts w:hint="eastAsia" w:ascii="仿宋" w:hAnsi="仿宋" w:eastAsia="仿宋" w:cs="仿宋"/>
          <w:color w:val="auto"/>
          <w:sz w:val="24"/>
          <w:highlight w:val="yellow"/>
        </w:rPr>
        <w:t>验收</w:t>
      </w:r>
      <w:r>
        <w:rPr>
          <w:rFonts w:hint="eastAsia" w:ascii="仿宋" w:hAnsi="仿宋" w:eastAsia="仿宋" w:cs="仿宋"/>
          <w:color w:val="auto"/>
          <w:sz w:val="24"/>
        </w:rPr>
        <w:t>之日起</w:t>
      </w:r>
      <w:r>
        <w:rPr>
          <w:rFonts w:hint="eastAsia" w:ascii="仿宋" w:hAnsi="仿宋" w:eastAsia="仿宋" w:cs="仿宋"/>
          <w:color w:val="auto"/>
          <w:sz w:val="24"/>
          <w:u w:val="single"/>
        </w:rPr>
        <w:t xml:space="preserve"> 5 </w:t>
      </w:r>
      <w:r>
        <w:rPr>
          <w:rFonts w:hint="eastAsia" w:ascii="仿宋" w:hAnsi="仿宋" w:eastAsia="仿宋" w:cs="仿宋"/>
          <w:color w:val="auto"/>
          <w:sz w:val="24"/>
        </w:rPr>
        <w:t>个工作日内，按</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约定的方式将履约保证金退还乙方，逾期退还的，乙方可要求甲方支付违约金，违约金按每迟延退还一日的应退还而未退还金额的</w:t>
      </w:r>
      <w:r>
        <w:rPr>
          <w:rFonts w:hint="eastAsia" w:ascii="仿宋" w:hAnsi="仿宋" w:eastAsia="仿宋" w:cs="仿宋"/>
          <w:color w:val="auto"/>
          <w:sz w:val="24"/>
          <w:u w:val="single"/>
        </w:rPr>
        <w:t xml:space="preserve">  0.05  </w:t>
      </w:r>
      <w:r>
        <w:rPr>
          <w:rFonts w:hint="eastAsia" w:ascii="仿宋" w:hAnsi="仿宋" w:eastAsia="仿宋" w:cs="仿宋"/>
          <w:color w:val="auto"/>
          <w:sz w:val="24"/>
        </w:rPr>
        <w:t>%计算，最高限额为本合同履约保证金的</w:t>
      </w:r>
      <w:r>
        <w:rPr>
          <w:rFonts w:hint="eastAsia" w:ascii="仿宋" w:hAnsi="仿宋" w:eastAsia="仿宋" w:cs="仿宋"/>
          <w:color w:val="auto"/>
          <w:sz w:val="24"/>
          <w:u w:val="single"/>
        </w:rPr>
        <w:t xml:space="preserve">  20   </w:t>
      </w:r>
      <w:r>
        <w:rPr>
          <w:rFonts w:hint="eastAsia" w:ascii="仿宋" w:hAnsi="仿宋" w:eastAsia="仿宋" w:cs="仿宋"/>
          <w:color w:val="auto"/>
          <w:sz w:val="24"/>
        </w:rPr>
        <w:t xml:space="preserve">%； </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2.20.4 甲方根据杭州市政府采购网公布的供应商履约评价情况减免履约保证金。乙方履约验收评价总分为100分的，甲方免收履约保证金；评价总分在90分以上的，收取履约保证金为合同金额2%；评价总分在不满90分或者暂无评分的，收取履约保证金为合同金额</w:t>
      </w:r>
      <w:r>
        <w:rPr>
          <w:rFonts w:hint="eastAsia" w:ascii="仿宋" w:hAnsi="仿宋" w:eastAsia="仿宋" w:cs="仿宋"/>
          <w:color w:val="auto"/>
          <w:sz w:val="24"/>
          <w:highlight w:val="yellow"/>
          <w:lang w:val="en-US" w:eastAsia="zh-CN"/>
        </w:rPr>
        <w:t>2.5</w:t>
      </w:r>
      <w:r>
        <w:rPr>
          <w:rFonts w:hint="eastAsia" w:ascii="仿宋" w:hAnsi="仿宋" w:eastAsia="仿宋" w:cs="仿宋"/>
          <w:color w:val="auto"/>
          <w:sz w:val="24"/>
        </w:rPr>
        <w:t>%。</w:t>
      </w:r>
    </w:p>
    <w:p>
      <w:pPr>
        <w:spacing w:line="560" w:lineRule="exact"/>
        <w:ind w:firstLine="480" w:firstLineChars="200"/>
        <w:rPr>
          <w:rFonts w:hint="eastAsia" w:ascii="仿宋" w:hAnsi="仿宋" w:eastAsia="仿宋" w:cs="仿宋"/>
          <w:color w:val="auto"/>
        </w:rPr>
      </w:pPr>
      <w:r>
        <w:rPr>
          <w:rFonts w:hint="eastAsia" w:ascii="仿宋" w:hAnsi="仿宋" w:eastAsia="仿宋" w:cs="仿宋"/>
          <w:color w:val="auto"/>
          <w:sz w:val="24"/>
        </w:rPr>
        <w:t>2.20.5甲方在乙方履行完合同约定义务事项后及时退还，延迟退还的，应当按照合同约定和法律规定承担相应的赔偿责任。</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2.21对于因甲方原因导致变更、中止或者终止政府采购合同的，甲方应当依照合同约定对供应商受到的损失予以赔偿或者补偿。</w:t>
      </w:r>
    </w:p>
    <w:bookmarkEnd w:id="578"/>
    <w:p>
      <w:pPr>
        <w:spacing w:line="560" w:lineRule="exact"/>
        <w:ind w:firstLine="482" w:firstLineChars="200"/>
        <w:outlineLvl w:val="0"/>
        <w:rPr>
          <w:rFonts w:hint="eastAsia" w:ascii="仿宋" w:hAnsi="仿宋" w:eastAsia="仿宋" w:cs="仿宋"/>
          <w:b/>
          <w:color w:val="auto"/>
          <w:sz w:val="24"/>
        </w:rPr>
      </w:pPr>
      <w:bookmarkStart w:id="579" w:name="_Toc6885"/>
      <w:bookmarkStart w:id="580" w:name="_Toc19890"/>
      <w:bookmarkStart w:id="581" w:name="_Toc14001"/>
      <w:r>
        <w:rPr>
          <w:rFonts w:hint="eastAsia" w:ascii="仿宋" w:hAnsi="仿宋" w:eastAsia="仿宋" w:cs="仿宋"/>
          <w:b/>
          <w:color w:val="auto"/>
          <w:sz w:val="24"/>
        </w:rPr>
        <w:t>2.22合同份数</w:t>
      </w:r>
      <w:bookmarkEnd w:id="579"/>
      <w:bookmarkEnd w:id="580"/>
      <w:bookmarkEnd w:id="581"/>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合同份数按</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规定，每份均具有同等法律效力。</w:t>
      </w:r>
    </w:p>
    <w:p>
      <w:pPr>
        <w:pStyle w:val="699"/>
        <w:spacing w:line="560" w:lineRule="exact"/>
        <w:jc w:val="center"/>
        <w:rPr>
          <w:rFonts w:hint="eastAsia" w:ascii="仿宋" w:hAnsi="仿宋" w:eastAsia="仿宋" w:cs="仿宋"/>
          <w:b/>
          <w:color w:val="auto"/>
          <w:szCs w:val="24"/>
        </w:rPr>
      </w:pPr>
      <w:r>
        <w:rPr>
          <w:rFonts w:hint="eastAsia" w:ascii="仿宋" w:hAnsi="仿宋" w:eastAsia="仿宋" w:cs="仿宋"/>
          <w:color w:val="auto"/>
          <w:kern w:val="0"/>
          <w:szCs w:val="24"/>
        </w:rPr>
        <w:br w:type="page"/>
      </w:r>
      <w:bookmarkStart w:id="582" w:name="_Toc331685784"/>
      <w:r>
        <w:rPr>
          <w:rFonts w:hint="eastAsia" w:ascii="仿宋" w:hAnsi="仿宋" w:eastAsia="仿宋" w:cs="仿宋"/>
          <w:b/>
          <w:color w:val="auto"/>
          <w:szCs w:val="24"/>
        </w:rPr>
        <w:t xml:space="preserve"> </w:t>
      </w:r>
      <w:bookmarkEnd w:id="582"/>
      <w:r>
        <w:rPr>
          <w:rFonts w:hint="eastAsia" w:ascii="仿宋" w:hAnsi="仿宋" w:eastAsia="仿宋" w:cs="仿宋"/>
          <w:b/>
          <w:color w:val="auto"/>
          <w:szCs w:val="24"/>
        </w:rPr>
        <w:t>第三部分  合同专用条款</w:t>
      </w:r>
    </w:p>
    <w:p>
      <w:pPr>
        <w:spacing w:line="560" w:lineRule="exact"/>
        <w:ind w:left="-420" w:leftChars="-200" w:right="-420" w:rightChars="-200" w:firstLine="480" w:firstLineChars="200"/>
        <w:rPr>
          <w:rFonts w:hint="eastAsia" w:ascii="仿宋" w:hAnsi="仿宋" w:eastAsia="仿宋" w:cs="仿宋"/>
          <w:color w:val="auto"/>
        </w:rPr>
      </w:pPr>
      <w:r>
        <w:rPr>
          <w:rFonts w:hint="eastAsia" w:ascii="仿宋" w:hAnsi="仿宋" w:eastAsia="仿宋" w:cs="仿宋"/>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条款号</w:t>
            </w:r>
          </w:p>
        </w:tc>
        <w:tc>
          <w:tcPr>
            <w:tcW w:w="4534" w:type="pct"/>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1.4.4</w:t>
            </w:r>
          </w:p>
        </w:tc>
        <w:tc>
          <w:tcPr>
            <w:tcW w:w="4534" w:type="pct"/>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1.5.1 </w:t>
            </w:r>
          </w:p>
        </w:tc>
        <w:tc>
          <w:tcPr>
            <w:tcW w:w="4534" w:type="pct"/>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1.5.2</w:t>
            </w:r>
          </w:p>
        </w:tc>
        <w:tc>
          <w:tcPr>
            <w:tcW w:w="4534" w:type="pct"/>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1.5.3 </w:t>
            </w:r>
          </w:p>
        </w:tc>
        <w:tc>
          <w:tcPr>
            <w:tcW w:w="4534" w:type="pct"/>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1.6.7</w:t>
            </w:r>
          </w:p>
        </w:tc>
        <w:tc>
          <w:tcPr>
            <w:tcW w:w="4534" w:type="pct"/>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1.7</w:t>
            </w:r>
          </w:p>
        </w:tc>
        <w:tc>
          <w:tcPr>
            <w:tcW w:w="4534" w:type="pct"/>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1.7.1</w:t>
            </w:r>
          </w:p>
        </w:tc>
        <w:tc>
          <w:tcPr>
            <w:tcW w:w="4534" w:type="pct"/>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1.7.2</w:t>
            </w:r>
          </w:p>
        </w:tc>
        <w:tc>
          <w:tcPr>
            <w:tcW w:w="4534" w:type="pct"/>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2.3.2</w:t>
            </w:r>
          </w:p>
        </w:tc>
        <w:tc>
          <w:tcPr>
            <w:tcW w:w="4534" w:type="pct"/>
            <w:vAlign w:val="center"/>
          </w:tcPr>
          <w:p>
            <w:pPr>
              <w:spacing w:line="360" w:lineRule="auto"/>
              <w:ind w:left="-420" w:leftChars="-200" w:right="-420" w:rightChars="-200" w:firstLine="480" w:firstLineChars="200"/>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2.4.1</w:t>
            </w:r>
          </w:p>
        </w:tc>
        <w:tc>
          <w:tcPr>
            <w:tcW w:w="4534" w:type="pct"/>
            <w:vAlign w:val="center"/>
          </w:tcPr>
          <w:p>
            <w:pPr>
              <w:spacing w:line="360" w:lineRule="auto"/>
              <w:ind w:left="-420" w:leftChars="-200" w:right="-420" w:rightChars="-200" w:firstLine="480" w:firstLineChars="200"/>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2.4.2</w:t>
            </w:r>
          </w:p>
        </w:tc>
        <w:tc>
          <w:tcPr>
            <w:tcW w:w="4534" w:type="pct"/>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2.8 </w:t>
            </w:r>
          </w:p>
        </w:tc>
        <w:tc>
          <w:tcPr>
            <w:tcW w:w="4534" w:type="pct"/>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2.12.3</w:t>
            </w:r>
          </w:p>
        </w:tc>
        <w:tc>
          <w:tcPr>
            <w:tcW w:w="4534" w:type="pct"/>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2.12.4</w:t>
            </w:r>
          </w:p>
        </w:tc>
        <w:tc>
          <w:tcPr>
            <w:tcW w:w="4534" w:type="pct"/>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2.16.1</w:t>
            </w:r>
          </w:p>
        </w:tc>
        <w:tc>
          <w:tcPr>
            <w:tcW w:w="4534" w:type="pct"/>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2.16.3</w:t>
            </w:r>
          </w:p>
        </w:tc>
        <w:tc>
          <w:tcPr>
            <w:tcW w:w="4534" w:type="pct"/>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2.20.1</w:t>
            </w:r>
          </w:p>
        </w:tc>
        <w:tc>
          <w:tcPr>
            <w:tcW w:w="4534" w:type="pct"/>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2.20.2 </w:t>
            </w:r>
          </w:p>
        </w:tc>
        <w:tc>
          <w:tcPr>
            <w:tcW w:w="4534" w:type="pct"/>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ind w:left="-420" w:leftChars="-200" w:right="-420" w:rightChars="-200" w:firstLine="480" w:firstLineChars="200"/>
              <w:outlineLvl w:val="0"/>
              <w:rPr>
                <w:rFonts w:hint="eastAsia" w:ascii="仿宋" w:hAnsi="仿宋" w:eastAsia="仿宋" w:cs="仿宋"/>
                <w:color w:val="auto"/>
                <w:sz w:val="24"/>
              </w:rPr>
            </w:pPr>
            <w:r>
              <w:rPr>
                <w:rFonts w:hint="eastAsia" w:ascii="仿宋" w:hAnsi="仿宋" w:eastAsia="仿宋" w:cs="仿宋"/>
                <w:color w:val="auto"/>
                <w:sz w:val="24"/>
              </w:rPr>
              <w:t xml:space="preserve">2.22 </w:t>
            </w:r>
          </w:p>
        </w:tc>
        <w:tc>
          <w:tcPr>
            <w:tcW w:w="4534" w:type="pct"/>
            <w:vAlign w:val="center"/>
          </w:tcPr>
          <w:p>
            <w:pPr>
              <w:spacing w:line="360" w:lineRule="auto"/>
              <w:rPr>
                <w:rFonts w:hint="eastAsia" w:ascii="仿宋" w:hAnsi="仿宋" w:eastAsia="仿宋" w:cs="仿宋"/>
                <w:color w:val="auto"/>
                <w:sz w:val="24"/>
              </w:rPr>
            </w:pPr>
          </w:p>
        </w:tc>
      </w:tr>
    </w:tbl>
    <w:p>
      <w:pPr>
        <w:spacing w:line="360" w:lineRule="auto"/>
        <w:ind w:left="-420" w:leftChars="-200" w:right="-420" w:rightChars="-200" w:firstLine="480" w:firstLineChars="200"/>
        <w:rPr>
          <w:rFonts w:hint="eastAsia" w:ascii="仿宋" w:hAnsi="仿宋" w:eastAsia="仿宋" w:cs="仿宋"/>
          <w:color w:val="auto"/>
          <w:sz w:val="24"/>
        </w:rPr>
      </w:pPr>
    </w:p>
    <w:p>
      <w:pPr>
        <w:spacing w:line="360" w:lineRule="auto"/>
        <w:ind w:left="-420" w:leftChars="-200" w:right="-420" w:rightChars="-200"/>
        <w:rPr>
          <w:rFonts w:hint="eastAsia" w:ascii="仿宋" w:hAnsi="仿宋" w:eastAsia="仿宋" w:cs="仿宋"/>
          <w:color w:val="auto"/>
          <w:sz w:val="24"/>
        </w:rPr>
      </w:pPr>
    </w:p>
    <w:p>
      <w:pPr>
        <w:spacing w:line="360" w:lineRule="auto"/>
        <w:ind w:left="-420" w:leftChars="-200" w:right="-420" w:rightChars="-200" w:firstLine="480" w:firstLineChars="200"/>
        <w:jc w:val="center"/>
        <w:outlineLvl w:val="0"/>
        <w:rPr>
          <w:rFonts w:hint="eastAsia" w:ascii="仿宋" w:hAnsi="仿宋" w:eastAsia="仿宋" w:cs="仿宋"/>
          <w:color w:val="auto"/>
          <w:sz w:val="24"/>
        </w:rPr>
      </w:pPr>
    </w:p>
    <w:p>
      <w:pPr>
        <w:spacing w:line="360" w:lineRule="auto"/>
        <w:ind w:left="-420" w:leftChars="-200" w:right="-420" w:rightChars="-200" w:firstLine="480" w:firstLineChars="200"/>
        <w:jc w:val="center"/>
        <w:outlineLvl w:val="0"/>
        <w:rPr>
          <w:rFonts w:hint="eastAsia" w:ascii="仿宋" w:hAnsi="仿宋" w:eastAsia="仿宋" w:cs="仿宋"/>
          <w:color w:val="auto"/>
          <w:sz w:val="24"/>
        </w:rPr>
      </w:pPr>
    </w:p>
    <w:p>
      <w:pPr>
        <w:spacing w:line="360" w:lineRule="auto"/>
        <w:ind w:left="720" w:firstLine="723" w:firstLineChars="200"/>
        <w:outlineLvl w:val="0"/>
        <w:rPr>
          <w:rFonts w:hint="eastAsia" w:ascii="仿宋" w:hAnsi="仿宋" w:eastAsia="仿宋" w:cs="仿宋"/>
          <w:b/>
          <w:color w:val="auto"/>
          <w:sz w:val="36"/>
          <w:szCs w:val="20"/>
        </w:rPr>
      </w:pPr>
      <w:r>
        <w:rPr>
          <w:rFonts w:hint="eastAsia" w:ascii="仿宋" w:hAnsi="仿宋" w:eastAsia="仿宋" w:cs="仿宋"/>
          <w:b/>
          <w:color w:val="auto"/>
          <w:sz w:val="36"/>
          <w:szCs w:val="20"/>
        </w:rPr>
        <w:t>第六部分</w:t>
      </w:r>
      <w:bookmarkEnd w:id="424"/>
      <w:r>
        <w:rPr>
          <w:rFonts w:hint="eastAsia" w:ascii="仿宋" w:hAnsi="仿宋" w:eastAsia="仿宋" w:cs="仿宋"/>
          <w:b/>
          <w:color w:val="auto"/>
          <w:sz w:val="36"/>
          <w:szCs w:val="20"/>
        </w:rPr>
        <w:t xml:space="preserve"> </w:t>
      </w:r>
      <w:bookmarkEnd w:id="425"/>
      <w:r>
        <w:rPr>
          <w:rFonts w:hint="eastAsia" w:ascii="仿宋" w:hAnsi="仿宋" w:eastAsia="仿宋" w:cs="仿宋"/>
          <w:b/>
          <w:color w:val="auto"/>
          <w:sz w:val="36"/>
          <w:szCs w:val="20"/>
        </w:rPr>
        <w:t>应提交的有关格式范例</w:t>
      </w:r>
    </w:p>
    <w:p>
      <w:pPr>
        <w:spacing w:line="360" w:lineRule="auto"/>
        <w:jc w:val="center"/>
        <w:outlineLvl w:val="0"/>
        <w:rPr>
          <w:rFonts w:hint="eastAsia" w:ascii="仿宋" w:hAnsi="仿宋" w:eastAsia="仿宋" w:cs="仿宋"/>
          <w:b/>
          <w:color w:val="auto"/>
          <w:kern w:val="0"/>
          <w:sz w:val="36"/>
          <w:szCs w:val="36"/>
        </w:rPr>
      </w:pPr>
    </w:p>
    <w:p>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资格文件部分</w:t>
      </w:r>
    </w:p>
    <w:p>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pPr>
        <w:spacing w:line="360" w:lineRule="auto"/>
        <w:jc w:val="center"/>
        <w:outlineLvl w:val="0"/>
        <w:rPr>
          <w:rFonts w:hint="eastAsia" w:ascii="仿宋" w:hAnsi="仿宋" w:eastAsia="仿宋" w:cs="仿宋"/>
          <w:b/>
          <w:color w:val="auto"/>
          <w:kern w:val="0"/>
          <w:sz w:val="36"/>
          <w:szCs w:val="36"/>
        </w:rPr>
      </w:pP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（1）符合参加政府采购活动应当具备的一般条件的承诺函……………（页码）</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（2）落实政府采购政策需满足的资格要求………………………………（页码）</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（3）本项目的特定资格要求………………………………………………（页码）</w:t>
      </w:r>
    </w:p>
    <w:p>
      <w:pPr>
        <w:snapToGrid w:val="0"/>
        <w:spacing w:line="360" w:lineRule="auto"/>
        <w:ind w:firstLine="480" w:firstLineChars="200"/>
        <w:rPr>
          <w:rFonts w:hint="eastAsia" w:ascii="仿宋" w:hAnsi="仿宋" w:eastAsia="仿宋" w:cs="仿宋"/>
          <w:color w:val="auto"/>
          <w:sz w:val="24"/>
        </w:rPr>
      </w:pPr>
    </w:p>
    <w:p>
      <w:pPr>
        <w:spacing w:line="360" w:lineRule="auto"/>
        <w:ind w:firstLine="480" w:firstLineChars="200"/>
        <w:rPr>
          <w:rFonts w:hint="eastAsia" w:ascii="仿宋" w:hAnsi="仿宋" w:eastAsia="仿宋" w:cs="仿宋"/>
          <w:color w:val="auto"/>
          <w:sz w:val="24"/>
        </w:rPr>
      </w:pPr>
    </w:p>
    <w:p>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color w:val="auto"/>
          <w:kern w:val="0"/>
          <w:sz w:val="24"/>
        </w:rPr>
        <w:br w:type="page"/>
      </w:r>
      <w:r>
        <w:rPr>
          <w:rFonts w:hint="eastAsia" w:ascii="仿宋" w:hAnsi="仿宋" w:eastAsia="仿宋" w:cs="仿宋"/>
          <w:b/>
          <w:color w:val="auto"/>
          <w:kern w:val="0"/>
          <w:sz w:val="32"/>
          <w:szCs w:val="32"/>
        </w:rPr>
        <w:t xml:space="preserve">  一、 符合参加政府采购活动应当具备的一般条件的承诺函</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（采购人）、（采购代理机构）：</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我方参与（项目名称）【招标编号：（采购编号）】政府采购活动，郑重承诺：</w:t>
      </w:r>
    </w:p>
    <w:p>
      <w:pPr>
        <w:snapToGrid w:val="0"/>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（一）具备《中华人民共和国政府采购法》第二十二条第一款规定的条件：</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1、具有独立承担民事责任的能力；</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2、具有良好的商业信誉和健全的财务会计制度； </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3、具有履行合同所必需的设备和专业技术能力；</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4、有依法缴纳税收和社会保障资金的良好记录；</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5、参加政府采购活动前三年内，在经营活动中没有重大违法记录；</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6、具有法律、行政法规规定的其他条件。</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（三）不存在以下情况：</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color w:val="auto"/>
          <w:kern w:val="0"/>
          <w:sz w:val="24"/>
        </w:rPr>
      </w:pPr>
      <w:r>
        <w:rPr>
          <w:rFonts w:hint="eastAsia" w:ascii="仿宋" w:hAnsi="仿宋" w:eastAsia="仿宋" w:cs="仿宋"/>
          <w:color w:val="auto"/>
          <w:kern w:val="0"/>
          <w:sz w:val="24"/>
          <w:lang w:val="zh-CN"/>
        </w:rPr>
        <w:t>投标人名称(电子签名)：</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 xml:space="preserve">                        </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 xml:space="preserve">：  年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w:t>
      </w: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rPr>
          <w:rFonts w:hint="eastAsia" w:ascii="仿宋" w:hAnsi="仿宋" w:eastAsia="仿宋" w:cs="仿宋"/>
          <w:color w:val="auto"/>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二、落实政府采购政策需满足的资格要求</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color w:val="auto"/>
          <w:sz w:val="24"/>
        </w:rPr>
      </w:pPr>
      <w:r>
        <w:rPr>
          <w:rFonts w:hint="eastAsia" w:ascii="仿宋" w:hAnsi="仿宋" w:eastAsia="仿宋" w:cs="仿宋"/>
          <w:b/>
          <w:color w:val="auto"/>
          <w:sz w:val="24"/>
        </w:rPr>
        <w:t>A</w:t>
      </w:r>
      <w:r>
        <w:rPr>
          <w:rFonts w:hint="eastAsia" w:ascii="仿宋" w:hAnsi="仿宋" w:eastAsia="仿宋" w:cs="仿宋"/>
          <w:color w:val="auto"/>
          <w:sz w:val="24"/>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hint="eastAsia" w:ascii="仿宋" w:hAnsi="仿宋" w:eastAsia="仿宋" w:cs="仿宋"/>
          <w:color w:val="auto"/>
          <w:sz w:val="24"/>
        </w:rPr>
      </w:pPr>
    </w:p>
    <w:p>
      <w:pPr>
        <w:widowControl/>
        <w:spacing w:line="360" w:lineRule="auto"/>
        <w:ind w:firstLine="472" w:firstLineChars="196"/>
        <w:jc w:val="left"/>
        <w:rPr>
          <w:rFonts w:hint="eastAsia" w:ascii="仿宋" w:hAnsi="仿宋" w:eastAsia="仿宋" w:cs="仿宋"/>
          <w:color w:val="auto"/>
          <w:sz w:val="24"/>
        </w:rPr>
      </w:pPr>
      <w:r>
        <w:rPr>
          <w:rFonts w:hint="eastAsia" w:ascii="仿宋" w:hAnsi="仿宋" w:eastAsia="仿宋" w:cs="仿宋"/>
          <w:b/>
          <w:color w:val="auto"/>
          <w:sz w:val="24"/>
        </w:rPr>
        <w:t>B.</w:t>
      </w:r>
      <w:r>
        <w:rPr>
          <w:rFonts w:hint="eastAsia" w:ascii="仿宋" w:hAnsi="仿宋" w:eastAsia="仿宋" w:cs="仿宋"/>
          <w:color w:val="auto"/>
          <w:sz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b/>
          <w:color w:val="auto"/>
          <w:kern w:val="0"/>
          <w:sz w:val="32"/>
          <w:szCs w:val="32"/>
          <w:lang w:val="zh-CN"/>
        </w:rPr>
      </w:pPr>
      <w:r>
        <w:rPr>
          <w:rFonts w:hint="eastAsia" w:ascii="仿宋" w:hAnsi="仿宋" w:eastAsia="仿宋" w:cs="仿宋"/>
          <w:b/>
          <w:color w:val="auto"/>
          <w:sz w:val="24"/>
        </w:rPr>
        <w:t xml:space="preserve">    </w:t>
      </w:r>
      <w:r>
        <w:rPr>
          <w:rFonts w:hint="eastAsia" w:ascii="仿宋" w:hAnsi="仿宋" w:eastAsia="仿宋" w:cs="仿宋"/>
          <w:b/>
          <w:color w:val="auto"/>
          <w:kern w:val="0"/>
          <w:sz w:val="32"/>
          <w:szCs w:val="32"/>
          <w:lang w:val="zh-CN"/>
        </w:rPr>
        <w:t>联合协议</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（联合体所有成员名称）</w:t>
      </w:r>
      <w:r>
        <w:rPr>
          <w:rFonts w:hint="eastAsia" w:ascii="仿宋" w:hAnsi="仿宋" w:eastAsia="仿宋" w:cs="仿宋"/>
          <w:color w:val="auto"/>
          <w:kern w:val="0"/>
          <w:sz w:val="24"/>
        </w:rPr>
        <w:t>自愿</w:t>
      </w:r>
      <w:r>
        <w:rPr>
          <w:rFonts w:hint="eastAsia" w:ascii="仿宋" w:hAnsi="仿宋" w:eastAsia="仿宋" w:cs="仿宋"/>
          <w:color w:val="auto"/>
          <w:kern w:val="0"/>
          <w:sz w:val="24"/>
          <w:lang w:val="zh-CN"/>
        </w:rPr>
        <w:t>组成一个联合体，以一个投标人的身份</w:t>
      </w:r>
      <w:r>
        <w:rPr>
          <w:rFonts w:hint="eastAsia" w:ascii="仿宋" w:hAnsi="仿宋" w:eastAsia="仿宋" w:cs="仿宋"/>
          <w:color w:val="auto"/>
          <w:kern w:val="0"/>
          <w:sz w:val="24"/>
        </w:rPr>
        <w:t>参加</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 xml:space="preserve">投标。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一、各方一致决定，</w:t>
      </w:r>
      <w:r>
        <w:rPr>
          <w:rFonts w:hint="eastAsia" w:ascii="仿宋" w:hAnsi="仿宋" w:eastAsia="仿宋" w:cs="仿宋"/>
          <w:color w:val="auto"/>
          <w:kern w:val="0"/>
          <w:sz w:val="24"/>
          <w:u w:val="single"/>
        </w:rPr>
        <w:t>（某联合体成员名称）</w:t>
      </w:r>
      <w:r>
        <w:rPr>
          <w:rFonts w:hint="eastAsia" w:ascii="仿宋" w:hAnsi="仿宋" w:eastAsia="仿宋" w:cs="仿宋"/>
          <w:color w:val="auto"/>
          <w:kern w:val="0"/>
          <w:sz w:val="24"/>
        </w:rPr>
        <w:t>为联合体</w:t>
      </w:r>
      <w:r>
        <w:rPr>
          <w:rFonts w:hint="eastAsia" w:ascii="仿宋" w:hAnsi="仿宋" w:eastAsia="仿宋" w:cs="仿宋"/>
          <w:color w:val="auto"/>
          <w:kern w:val="0"/>
          <w:sz w:val="24"/>
          <w:lang w:val="zh-CN"/>
        </w:rPr>
        <w:t>牵头人</w:t>
      </w:r>
      <w:r>
        <w:rPr>
          <w:rFonts w:hint="eastAsia" w:ascii="仿宋" w:hAnsi="仿宋" w:eastAsia="仿宋" w:cs="仿宋"/>
          <w:color w:val="auto"/>
          <w:sz w:val="24"/>
        </w:rPr>
        <w:t>，代表所有联合体成员负责投标和合同实施阶段的主办、协调工作</w:t>
      </w:r>
      <w:r>
        <w:rPr>
          <w:rFonts w:hint="eastAsia" w:ascii="仿宋" w:hAnsi="仿宋" w:eastAsia="仿宋" w:cs="仿宋"/>
          <w:color w:val="auto"/>
          <w:kern w:val="0"/>
          <w:sz w:val="24"/>
          <w:lang w:val="zh-CN"/>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w:t>
      </w:r>
      <w:r>
        <w:rPr>
          <w:rFonts w:hint="eastAsia" w:ascii="仿宋" w:hAnsi="仿宋" w:eastAsia="仿宋" w:cs="仿宋"/>
          <w:color w:val="auto"/>
          <w:sz w:val="24"/>
        </w:rPr>
        <w:t>所有联合体成员各方签署授权书，授权书载明的</w:t>
      </w:r>
      <w:r>
        <w:rPr>
          <w:rFonts w:hint="eastAsia" w:ascii="仿宋" w:hAnsi="仿宋" w:eastAsia="仿宋" w:cs="仿宋"/>
          <w:color w:val="auto"/>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三、本次联合投标中，分工如下：</w:t>
      </w:r>
      <w:r>
        <w:rPr>
          <w:rFonts w:hint="eastAsia" w:ascii="仿宋" w:hAnsi="仿宋" w:eastAsia="仿宋" w:cs="仿宋"/>
          <w:color w:val="auto"/>
          <w:kern w:val="0"/>
          <w:sz w:val="24"/>
          <w:u w:val="single"/>
        </w:rPr>
        <w:t>（联合体其中一方成员名称）</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r>
        <w:rPr>
          <w:rFonts w:hint="eastAsia" w:ascii="仿宋" w:hAnsi="仿宋" w:eastAsia="仿宋" w:cs="仿宋"/>
          <w:color w:val="auto"/>
          <w:kern w:val="0"/>
          <w:sz w:val="24"/>
          <w:u w:val="single"/>
        </w:rPr>
        <w:t>（联合体其中一方成员名称）</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w:t>
      </w:r>
      <w:r>
        <w:rPr>
          <w:rFonts w:hint="eastAsia" w:ascii="仿宋" w:hAnsi="仿宋" w:eastAsia="仿宋" w:cs="仿宋"/>
          <w:color w:val="auto"/>
          <w:sz w:val="24"/>
        </w:rPr>
        <w:t>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五、如果中标，</w:t>
      </w:r>
      <w:r>
        <w:rPr>
          <w:rFonts w:hint="eastAsia" w:ascii="仿宋" w:hAnsi="仿宋" w:eastAsia="仿宋" w:cs="仿宋"/>
          <w:color w:val="auto"/>
          <w:sz w:val="24"/>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六、有关本次联合投标的其他事宜：</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ind w:firstLine="5760" w:firstLineChars="2400"/>
        <w:rPr>
          <w:rFonts w:hint="eastAsia" w:ascii="仿宋" w:hAnsi="仿宋" w:eastAsia="仿宋" w:cs="仿宋"/>
          <w:color w:val="auto"/>
        </w:rPr>
      </w:pPr>
      <w:r>
        <w:rPr>
          <w:rFonts w:hint="eastAsia" w:ascii="仿宋" w:hAnsi="仿宋" w:eastAsia="仿宋" w:cs="仿宋"/>
          <w:color w:val="auto"/>
          <w:kern w:val="0"/>
          <w:sz w:val="24"/>
          <w:lang w:val="zh-CN"/>
        </w:rPr>
        <w:t>……</w:t>
      </w:r>
    </w:p>
    <w:p>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pPr>
        <w:spacing w:line="360" w:lineRule="auto"/>
        <w:ind w:firstLine="480" w:firstLineChars="200"/>
        <w:rPr>
          <w:rFonts w:hint="eastAsia" w:ascii="仿宋" w:hAnsi="仿宋" w:eastAsia="仿宋" w:cs="仿宋"/>
          <w:color w:val="auto"/>
          <w:sz w:val="24"/>
        </w:rPr>
      </w:pP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C、</w:t>
      </w:r>
      <w:r>
        <w:rPr>
          <w:rFonts w:hint="eastAsia" w:ascii="仿宋" w:hAnsi="仿宋" w:eastAsia="仿宋" w:cs="仿宋"/>
          <w:color w:val="auto"/>
          <w:sz w:val="24"/>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分包意向协议</w:t>
      </w:r>
    </w:p>
    <w:p>
      <w:pPr>
        <w:widowControl/>
        <w:spacing w:line="360" w:lineRule="auto"/>
        <w:ind w:firstLine="120" w:firstLineChars="50"/>
        <w:jc w:val="left"/>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color w:val="auto"/>
          <w:sz w:val="24"/>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若成为</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的中标供应商，将依法采取分包方式履行合同。</w:t>
      </w: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rPr>
        <w:t>与</w:t>
      </w:r>
      <w:r>
        <w:rPr>
          <w:rFonts w:hint="eastAsia" w:ascii="仿宋" w:hAnsi="仿宋" w:eastAsia="仿宋" w:cs="仿宋"/>
          <w:color w:val="auto"/>
          <w:kern w:val="0"/>
          <w:sz w:val="24"/>
          <w:u w:val="single"/>
        </w:rPr>
        <w:t>（所有分包供应商名称）</w:t>
      </w:r>
      <w:r>
        <w:rPr>
          <w:rFonts w:hint="eastAsia" w:ascii="仿宋" w:hAnsi="仿宋" w:eastAsia="仿宋" w:cs="仿宋"/>
          <w:color w:val="auto"/>
          <w:kern w:val="0"/>
          <w:sz w:val="24"/>
        </w:rPr>
        <w:t>达成分包意向协议</w:t>
      </w:r>
      <w:r>
        <w:rPr>
          <w:rFonts w:hint="eastAsia" w:ascii="仿宋" w:hAnsi="仿宋" w:eastAsia="仿宋" w:cs="仿宋"/>
          <w:color w:val="auto"/>
          <w:kern w:val="0"/>
          <w:sz w:val="24"/>
          <w:lang w:val="zh-CN"/>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一、分包标的及数量</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将</w:t>
      </w:r>
      <w:r>
        <w:rPr>
          <w:rFonts w:hint="eastAsia" w:ascii="仿宋" w:hAnsi="仿宋" w:eastAsia="仿宋" w:cs="仿宋"/>
          <w:color w:val="auto"/>
          <w:u w:val="single"/>
        </w:rPr>
        <w:t xml:space="preserve">   XX工作内容   </w:t>
      </w:r>
      <w:r>
        <w:rPr>
          <w:rFonts w:hint="eastAsia" w:ascii="仿宋" w:hAnsi="仿宋" w:eastAsia="仿宋" w:cs="仿宋"/>
          <w:color w:val="auto"/>
          <w:sz w:val="24"/>
        </w:rPr>
        <w:t>分包给</w:t>
      </w:r>
      <w:r>
        <w:rPr>
          <w:rFonts w:hint="eastAsia" w:ascii="仿宋" w:hAnsi="仿宋" w:eastAsia="仿宋" w:cs="仿宋"/>
          <w:color w:val="auto"/>
          <w:kern w:val="0"/>
          <w:sz w:val="24"/>
          <w:u w:val="single"/>
        </w:rPr>
        <w:t>（某分包供应商名称）</w:t>
      </w:r>
      <w:r>
        <w:rPr>
          <w:rFonts w:hint="eastAsia" w:ascii="仿宋" w:hAnsi="仿宋" w:eastAsia="仿宋" w:cs="仿宋"/>
          <w:color w:val="auto"/>
          <w:kern w:val="0"/>
          <w:sz w:val="24"/>
          <w:lang w:val="zh-CN"/>
        </w:rPr>
        <w:t>，</w:t>
      </w:r>
      <w:r>
        <w:rPr>
          <w:rFonts w:hint="eastAsia" w:ascii="仿宋" w:hAnsi="仿宋" w:eastAsia="仿宋" w:cs="仿宋"/>
          <w:color w:val="auto"/>
          <w:kern w:val="0"/>
          <w:sz w:val="24"/>
          <w:u w:val="single"/>
        </w:rPr>
        <w:t>（某分包供应商名称），</w:t>
      </w:r>
      <w:r>
        <w:rPr>
          <w:rFonts w:hint="eastAsia" w:ascii="仿宋" w:hAnsi="仿宋" w:eastAsia="仿宋" w:cs="仿宋"/>
          <w:color w:val="auto"/>
          <w:kern w:val="0"/>
          <w:sz w:val="24"/>
          <w:lang w:val="zh-CN"/>
        </w:rPr>
        <w:t>具备承</w:t>
      </w:r>
      <w:r>
        <w:rPr>
          <w:rFonts w:hint="eastAsia" w:ascii="仿宋" w:hAnsi="仿宋" w:eastAsia="仿宋" w:cs="仿宋"/>
          <w:color w:val="auto"/>
          <w:kern w:val="0"/>
          <w:sz w:val="24"/>
        </w:rPr>
        <w:t>担</w:t>
      </w:r>
      <w:r>
        <w:rPr>
          <w:rFonts w:hint="eastAsia" w:ascii="仿宋" w:hAnsi="仿宋" w:eastAsia="仿宋" w:cs="仿宋"/>
          <w:color w:val="auto"/>
          <w:kern w:val="0"/>
          <w:sz w:val="24"/>
          <w:u w:val="single"/>
          <w:lang w:val="zh-CN"/>
        </w:rPr>
        <w:t>XX工作内容</w:t>
      </w:r>
      <w:r>
        <w:rPr>
          <w:rFonts w:hint="eastAsia" w:ascii="仿宋" w:hAnsi="仿宋" w:eastAsia="仿宋" w:cs="仿宋"/>
          <w:color w:val="auto"/>
          <w:kern w:val="0"/>
          <w:sz w:val="24"/>
          <w:lang w:val="zh-CN"/>
        </w:rPr>
        <w:t>相应资质条件且不得再次分包；</w:t>
      </w:r>
    </w:p>
    <w:p>
      <w:pPr>
        <w:pStyle w:val="5"/>
        <w:ind w:left="664" w:leftChars="316" w:firstLine="229" w:firstLineChars="95"/>
        <w:rPr>
          <w:rFonts w:hint="eastAsia" w:ascii="仿宋" w:hAnsi="仿宋" w:eastAsia="仿宋" w:cs="仿宋"/>
          <w:color w:val="auto"/>
        </w:rPr>
      </w:pPr>
      <w:r>
        <w:rPr>
          <w:rFonts w:hint="eastAsia" w:ascii="仿宋" w:hAnsi="仿宋" w:eastAsia="仿宋" w:cs="仿宋"/>
          <w:color w:val="auto"/>
          <w:kern w:val="0"/>
          <w:sz w:val="24"/>
          <w:szCs w:val="24"/>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二、分包工作履行期限、地点、方式</w:t>
      </w:r>
    </w:p>
    <w:p>
      <w:pPr>
        <w:snapToGrid w:val="0"/>
        <w:spacing w:line="360" w:lineRule="auto"/>
        <w:ind w:firstLine="576"/>
        <w:rPr>
          <w:rFonts w:hint="eastAsia" w:ascii="仿宋" w:hAnsi="仿宋" w:eastAsia="仿宋" w:cs="仿宋"/>
          <w:color w:val="auto"/>
          <w:u w:val="single"/>
        </w:rPr>
      </w:pPr>
      <w:r>
        <w:rPr>
          <w:rFonts w:hint="eastAsia" w:ascii="仿宋" w:hAnsi="仿宋" w:eastAsia="仿宋" w:cs="仿宋"/>
          <w:color w:val="auto"/>
          <w:u w:val="single"/>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三、质量</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四、价款或者报酬</w:t>
      </w:r>
    </w:p>
    <w:p>
      <w:pPr>
        <w:snapToGrid w:val="0"/>
        <w:spacing w:line="360" w:lineRule="auto"/>
        <w:ind w:left="573" w:leftChars="273"/>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auto"/>
        <w:ind w:left="573" w:leftChars="273"/>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五、违约责任</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六、争议解决的办法</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七、其他</w:t>
      </w:r>
    </w:p>
    <w:p>
      <w:pPr>
        <w:snapToGrid w:val="0"/>
        <w:spacing w:line="360" w:lineRule="auto"/>
        <w:ind w:left="5758" w:leftChars="342" w:hanging="5040" w:hangingChars="2100"/>
        <w:rPr>
          <w:rFonts w:hint="eastAsia" w:ascii="仿宋" w:hAnsi="仿宋" w:eastAsia="仿宋" w:cs="仿宋"/>
          <w:color w:val="auto"/>
          <w:kern w:val="0"/>
          <w:sz w:val="24"/>
          <w:lang w:val="zh-CN"/>
        </w:rPr>
      </w:pPr>
      <w:r>
        <w:rPr>
          <w:rFonts w:hint="eastAsia" w:ascii="仿宋" w:hAnsi="仿宋" w:eastAsia="仿宋" w:cs="仿宋"/>
          <w:color w:val="auto"/>
          <w:sz w:val="24"/>
        </w:rPr>
        <w:t>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 xml:space="preserve">  。                                           投标人名称(电子签名)：</w:t>
      </w:r>
    </w:p>
    <w:p>
      <w:pPr>
        <w:snapToGrid w:val="0"/>
        <w:spacing w:line="360" w:lineRule="auto"/>
        <w:ind w:firstLine="5640" w:firstLineChars="235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分包供应商名称：</w:t>
      </w:r>
    </w:p>
    <w:p>
      <w:pPr>
        <w:snapToGrid w:val="0"/>
        <w:spacing w:line="360" w:lineRule="auto"/>
        <w:ind w:firstLine="5760" w:firstLineChars="2400"/>
        <w:rPr>
          <w:rFonts w:hint="eastAsia" w:ascii="仿宋" w:hAnsi="仿宋" w:eastAsia="仿宋" w:cs="仿宋"/>
          <w:color w:val="auto"/>
        </w:rPr>
      </w:pPr>
      <w:r>
        <w:rPr>
          <w:rFonts w:hint="eastAsia" w:ascii="仿宋" w:hAnsi="仿宋" w:eastAsia="仿宋" w:cs="仿宋"/>
          <w:color w:val="auto"/>
          <w:kern w:val="0"/>
          <w:sz w:val="24"/>
          <w:lang w:val="zh-CN"/>
        </w:rPr>
        <w:t>……</w:t>
      </w:r>
    </w:p>
    <w:p>
      <w:pPr>
        <w:spacing w:line="360" w:lineRule="auto"/>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pPr>
        <w:widowControl/>
        <w:spacing w:line="360" w:lineRule="auto"/>
        <w:ind w:left="150"/>
        <w:jc w:val="center"/>
        <w:rPr>
          <w:rFonts w:hint="eastAsia" w:ascii="仿宋" w:hAnsi="仿宋" w:eastAsia="仿宋" w:cs="仿宋"/>
          <w:b/>
          <w:color w:val="auto"/>
          <w:kern w:val="0"/>
          <w:sz w:val="32"/>
          <w:szCs w:val="32"/>
        </w:rPr>
      </w:pPr>
    </w:p>
    <w:p>
      <w:pPr>
        <w:widowControl/>
        <w:spacing w:line="360" w:lineRule="auto"/>
        <w:ind w:left="15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三、本项目的特定资格要求</w:t>
      </w:r>
    </w:p>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（根据招标公告本项目的特定资格要求提供相应的材料；未要求的，无需提供）</w:t>
      </w:r>
    </w:p>
    <w:p>
      <w:pPr>
        <w:rPr>
          <w:rFonts w:hint="eastAsia" w:ascii="仿宋" w:hAnsi="仿宋" w:eastAsia="仿宋" w:cs="仿宋"/>
          <w:color w:val="auto"/>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pacing w:line="360" w:lineRule="auto"/>
        <w:jc w:val="center"/>
        <w:outlineLvl w:val="0"/>
        <w:rPr>
          <w:rFonts w:hint="eastAsia" w:ascii="仿宋" w:hAnsi="仿宋" w:eastAsia="仿宋" w:cs="仿宋"/>
          <w:b/>
          <w:color w:val="auto"/>
          <w:kern w:val="0"/>
          <w:sz w:val="36"/>
          <w:szCs w:val="36"/>
        </w:rPr>
      </w:pPr>
    </w:p>
    <w:p>
      <w:pPr>
        <w:snapToGrid w:val="0"/>
        <w:spacing w:line="360" w:lineRule="auto"/>
        <w:ind w:right="480"/>
        <w:jc w:val="center"/>
        <w:rPr>
          <w:rFonts w:hint="eastAsia" w:ascii="仿宋" w:hAnsi="仿宋" w:eastAsia="仿宋" w:cs="仿宋"/>
          <w:b/>
          <w:color w:val="auto"/>
          <w:kern w:val="0"/>
          <w:sz w:val="32"/>
          <w:szCs w:val="32"/>
        </w:rPr>
      </w:pPr>
    </w:p>
    <w:p>
      <w:pPr>
        <w:spacing w:line="360" w:lineRule="auto"/>
        <w:jc w:val="center"/>
        <w:outlineLvl w:val="0"/>
        <w:rPr>
          <w:rFonts w:hint="eastAsia" w:ascii="仿宋" w:hAnsi="仿宋" w:eastAsia="仿宋" w:cs="仿宋"/>
          <w:b/>
          <w:color w:val="auto"/>
          <w:kern w:val="0"/>
          <w:sz w:val="36"/>
          <w:szCs w:val="36"/>
        </w:rPr>
      </w:pPr>
    </w:p>
    <w:p>
      <w:pPr>
        <w:snapToGrid w:val="0"/>
        <w:spacing w:line="360" w:lineRule="auto"/>
        <w:ind w:right="480"/>
        <w:jc w:val="center"/>
        <w:rPr>
          <w:rFonts w:hint="eastAsia" w:ascii="仿宋" w:hAnsi="仿宋" w:eastAsia="仿宋" w:cs="仿宋"/>
          <w:b/>
          <w:color w:val="auto"/>
          <w:kern w:val="0"/>
          <w:sz w:val="32"/>
          <w:szCs w:val="32"/>
        </w:rPr>
      </w:pPr>
    </w:p>
    <w:p>
      <w:pPr>
        <w:spacing w:line="360" w:lineRule="auto"/>
        <w:jc w:val="center"/>
        <w:outlineLvl w:val="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商务技术文件部分</w:t>
      </w:r>
    </w:p>
    <w:p>
      <w:pPr>
        <w:spacing w:line="360" w:lineRule="auto"/>
        <w:jc w:val="center"/>
        <w:outlineLvl w:val="0"/>
        <w:rPr>
          <w:rFonts w:hint="eastAsia" w:ascii="仿宋" w:hAnsi="仿宋" w:eastAsia="仿宋" w:cs="仿宋"/>
          <w:b/>
          <w:color w:val="auto"/>
          <w:kern w:val="0"/>
          <w:sz w:val="24"/>
        </w:rPr>
      </w:pPr>
    </w:p>
    <w:p>
      <w:pPr>
        <w:spacing w:line="360" w:lineRule="auto"/>
        <w:jc w:val="center"/>
        <w:outlineLvl w:val="0"/>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目录</w:t>
      </w:r>
    </w:p>
    <w:p>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rPr>
        <w:t>（1）投标函</w:t>
      </w:r>
      <w:r>
        <w:rPr>
          <w:rFonts w:hint="eastAsia" w:ascii="仿宋" w:hAnsi="仿宋" w:eastAsia="仿宋" w:cs="仿宋"/>
          <w:color w:val="auto"/>
        </w:rPr>
        <w:t>…………………………………………………………………………………（页码）</w:t>
      </w:r>
      <w:r>
        <w:rPr>
          <w:rFonts w:hint="eastAsia" w:ascii="仿宋" w:hAnsi="仿宋" w:eastAsia="仿宋" w:cs="仿宋"/>
          <w:color w:val="auto"/>
          <w:sz w:val="24"/>
        </w:rPr>
        <w:t>（2）授权委托书或法定代表人（单位负责人、自然人本人）身份证明</w:t>
      </w:r>
      <w:r>
        <w:rPr>
          <w:rFonts w:hint="eastAsia" w:ascii="仿宋" w:hAnsi="仿宋" w:eastAsia="仿宋" w:cs="仿宋"/>
          <w:color w:val="auto"/>
        </w:rPr>
        <w:t>………（页码）</w:t>
      </w:r>
    </w:p>
    <w:p>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rPr>
        <w:t>（3）联合协议</w:t>
      </w:r>
      <w:r>
        <w:rPr>
          <w:rFonts w:hint="eastAsia" w:ascii="仿宋" w:hAnsi="仿宋" w:eastAsia="仿宋" w:cs="仿宋"/>
          <w:color w:val="auto"/>
        </w:rPr>
        <w:t>………………………………………………………………………………（页码）</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sz w:val="24"/>
        </w:rPr>
        <w:t>（4）分包意向协议</w:t>
      </w:r>
      <w:r>
        <w:rPr>
          <w:rFonts w:hint="eastAsia" w:ascii="仿宋" w:hAnsi="仿宋" w:eastAsia="仿宋" w:cs="仿宋"/>
          <w:color w:val="auto"/>
        </w:rPr>
        <w:t>…………………………………………………………………………（页码）</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sz w:val="24"/>
        </w:rPr>
        <w:t>（5）符合性审查资料</w:t>
      </w:r>
      <w:r>
        <w:rPr>
          <w:rFonts w:hint="eastAsia" w:ascii="仿宋" w:hAnsi="仿宋" w:eastAsia="仿宋" w:cs="仿宋"/>
          <w:color w:val="auto"/>
        </w:rPr>
        <w:t>………………………………………………………………………（页码）</w:t>
      </w:r>
    </w:p>
    <w:p>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rPr>
        <w:t>（6）评标标准相应的商务技术资料</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……………（页码）</w:t>
      </w:r>
      <w:r>
        <w:rPr>
          <w:rFonts w:hint="eastAsia" w:ascii="仿宋" w:hAnsi="仿宋" w:eastAsia="仿宋" w:cs="仿宋"/>
          <w:color w:val="auto"/>
          <w:sz w:val="24"/>
        </w:rPr>
        <w:t>（7）投标标的清单</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……………（页码）</w:t>
      </w:r>
      <w:r>
        <w:rPr>
          <w:rFonts w:hint="eastAsia" w:ascii="仿宋" w:hAnsi="仿宋" w:eastAsia="仿宋" w:cs="仿宋"/>
          <w:color w:val="auto"/>
          <w:sz w:val="24"/>
        </w:rPr>
        <w:t>（8）商务技术偏离表</w:t>
      </w:r>
      <w:r>
        <w:rPr>
          <w:rFonts w:hint="eastAsia" w:ascii="仿宋" w:hAnsi="仿宋" w:eastAsia="仿宋" w:cs="仿宋"/>
          <w:color w:val="auto"/>
        </w:rPr>
        <w:t>………………………………………………………………………（页码）</w:t>
      </w:r>
    </w:p>
    <w:p>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lang w:val="zh-CN"/>
        </w:rPr>
        <w:t>（</w:t>
      </w:r>
      <w:r>
        <w:rPr>
          <w:rFonts w:hint="eastAsia" w:ascii="仿宋" w:hAnsi="仿宋" w:eastAsia="仿宋" w:cs="仿宋"/>
          <w:color w:val="auto"/>
          <w:sz w:val="24"/>
        </w:rPr>
        <w:t>9</w:t>
      </w:r>
      <w:r>
        <w:rPr>
          <w:rFonts w:hint="eastAsia" w:ascii="仿宋" w:hAnsi="仿宋" w:eastAsia="仿宋" w:cs="仿宋"/>
          <w:color w:val="auto"/>
          <w:sz w:val="24"/>
          <w:lang w:val="zh-CN"/>
        </w:rPr>
        <w:t>）政府采购供应商廉洁自律承诺书</w:t>
      </w:r>
      <w:r>
        <w:rPr>
          <w:rFonts w:hint="eastAsia" w:ascii="仿宋" w:hAnsi="仿宋" w:eastAsia="仿宋" w:cs="仿宋"/>
          <w:color w:val="auto"/>
        </w:rPr>
        <w:t>…………………………………………………（页码）</w:t>
      </w: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jc w:val="center"/>
        <w:outlineLvl w:val="0"/>
        <w:rPr>
          <w:rFonts w:hint="eastAsia" w:ascii="仿宋" w:hAnsi="仿宋" w:eastAsia="仿宋" w:cs="仿宋"/>
          <w:b/>
          <w:color w:val="auto"/>
          <w:kern w:val="0"/>
          <w:sz w:val="32"/>
          <w:szCs w:val="32"/>
        </w:rPr>
      </w:pPr>
    </w:p>
    <w:p>
      <w:pPr>
        <w:snapToGrid w:val="0"/>
        <w:spacing w:line="360" w:lineRule="auto"/>
        <w:jc w:val="center"/>
        <w:outlineLvl w:val="0"/>
        <w:rPr>
          <w:rFonts w:hint="eastAsia" w:ascii="仿宋" w:hAnsi="仿宋" w:eastAsia="仿宋" w:cs="仿宋"/>
          <w:b/>
          <w:color w:val="auto"/>
          <w:kern w:val="0"/>
          <w:sz w:val="32"/>
          <w:szCs w:val="32"/>
        </w:rPr>
      </w:pPr>
    </w:p>
    <w:p>
      <w:pPr>
        <w:rPr>
          <w:rFonts w:hint="eastAsia" w:ascii="仿宋" w:hAnsi="仿宋" w:eastAsia="仿宋" w:cs="仿宋"/>
          <w:color w:val="auto"/>
        </w:rPr>
      </w:pPr>
    </w:p>
    <w:p>
      <w:pPr>
        <w:snapToGrid w:val="0"/>
        <w:spacing w:line="360" w:lineRule="auto"/>
        <w:jc w:val="center"/>
        <w:outlineLvl w:val="0"/>
        <w:rPr>
          <w:rFonts w:hint="eastAsia" w:ascii="仿宋" w:hAnsi="仿宋" w:eastAsia="仿宋" w:cs="仿宋"/>
          <w:b/>
          <w:color w:val="auto"/>
          <w:kern w:val="0"/>
          <w:sz w:val="32"/>
          <w:szCs w:val="32"/>
        </w:rPr>
      </w:pPr>
    </w:p>
    <w:p>
      <w:pPr>
        <w:snapToGrid w:val="0"/>
        <w:spacing w:line="360" w:lineRule="auto"/>
        <w:jc w:val="center"/>
        <w:outlineLvl w:val="0"/>
        <w:rPr>
          <w:rFonts w:hint="eastAsia" w:ascii="仿宋" w:hAnsi="仿宋" w:eastAsia="仿宋" w:cs="仿宋"/>
          <w:b/>
          <w:color w:val="auto"/>
          <w:kern w:val="0"/>
          <w:sz w:val="32"/>
          <w:szCs w:val="32"/>
        </w:rPr>
      </w:pPr>
    </w:p>
    <w:p>
      <w:pPr>
        <w:snapToGrid w:val="0"/>
        <w:spacing w:line="360" w:lineRule="auto"/>
        <w:jc w:val="center"/>
        <w:outlineLvl w:val="0"/>
        <w:rPr>
          <w:rFonts w:hint="eastAsia" w:ascii="仿宋" w:hAnsi="仿宋" w:eastAsia="仿宋" w:cs="仿宋"/>
          <w:b/>
          <w:color w:val="auto"/>
          <w:kern w:val="0"/>
          <w:sz w:val="32"/>
          <w:szCs w:val="32"/>
        </w:rPr>
      </w:pPr>
    </w:p>
    <w:p>
      <w:pPr>
        <w:snapToGrid w:val="0"/>
        <w:spacing w:line="360" w:lineRule="auto"/>
        <w:jc w:val="center"/>
        <w:outlineLvl w:val="0"/>
        <w:rPr>
          <w:rFonts w:hint="eastAsia" w:ascii="仿宋" w:hAnsi="仿宋" w:eastAsia="仿宋" w:cs="仿宋"/>
          <w:b/>
          <w:color w:val="auto"/>
          <w:kern w:val="0"/>
          <w:sz w:val="32"/>
          <w:szCs w:val="32"/>
        </w:rPr>
      </w:pPr>
    </w:p>
    <w:p>
      <w:pPr>
        <w:snapToGrid w:val="0"/>
        <w:spacing w:line="360" w:lineRule="auto"/>
        <w:jc w:val="center"/>
        <w:outlineLvl w:val="0"/>
        <w:rPr>
          <w:rFonts w:hint="eastAsia" w:ascii="仿宋" w:hAnsi="仿宋" w:eastAsia="仿宋" w:cs="仿宋"/>
          <w:b/>
          <w:color w:val="auto"/>
          <w:kern w:val="0"/>
          <w:sz w:val="32"/>
          <w:szCs w:val="32"/>
        </w:rPr>
      </w:pPr>
    </w:p>
    <w:p>
      <w:pPr>
        <w:snapToGrid w:val="0"/>
        <w:spacing w:line="360" w:lineRule="auto"/>
        <w:jc w:val="center"/>
        <w:outlineLvl w:val="0"/>
        <w:rPr>
          <w:rFonts w:hint="eastAsia" w:ascii="仿宋" w:hAnsi="仿宋" w:eastAsia="仿宋" w:cs="仿宋"/>
          <w:b/>
          <w:color w:val="auto"/>
          <w:kern w:val="0"/>
          <w:sz w:val="32"/>
          <w:szCs w:val="32"/>
        </w:rPr>
      </w:pPr>
    </w:p>
    <w:p>
      <w:pPr>
        <w:snapToGrid w:val="0"/>
        <w:spacing w:line="360" w:lineRule="auto"/>
        <w:jc w:val="center"/>
        <w:outlineLvl w:val="0"/>
        <w:rPr>
          <w:rFonts w:hint="eastAsia" w:ascii="仿宋" w:hAnsi="仿宋" w:eastAsia="仿宋" w:cs="仿宋"/>
          <w:b/>
          <w:color w:val="auto"/>
          <w:sz w:val="32"/>
          <w:szCs w:val="32"/>
        </w:rPr>
      </w:pPr>
      <w:r>
        <w:rPr>
          <w:rFonts w:hint="eastAsia" w:ascii="仿宋" w:hAnsi="仿宋" w:eastAsia="仿宋" w:cs="仿宋"/>
          <w:b/>
          <w:color w:val="auto"/>
          <w:kern w:val="0"/>
          <w:sz w:val="32"/>
          <w:szCs w:val="32"/>
        </w:rPr>
        <w:t>一、投标</w:t>
      </w:r>
      <w:r>
        <w:rPr>
          <w:rFonts w:hint="eastAsia" w:ascii="仿宋" w:hAnsi="仿宋" w:eastAsia="仿宋" w:cs="仿宋"/>
          <w:b/>
          <w:color w:val="auto"/>
          <w:sz w:val="32"/>
          <w:szCs w:val="32"/>
        </w:rPr>
        <w:t>函</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（采购人）、（采购代理机构）：</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我方参加你方组织的（项目名称）【招标编号：（采购编号）】招标的有关活动，并对此项目进行投标。为此：</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1、我方承诺投标有效期从提交投标文件的截止之日起</w:t>
      </w:r>
      <w:r>
        <w:rPr>
          <w:rFonts w:hint="eastAsia" w:ascii="仿宋" w:hAnsi="仿宋" w:eastAsia="仿宋" w:cs="仿宋"/>
          <w:color w:val="auto"/>
          <w:sz w:val="24"/>
          <w:u w:val="single"/>
        </w:rPr>
        <w:t xml:space="preserve">     </w:t>
      </w:r>
      <w:r>
        <w:rPr>
          <w:rFonts w:hint="eastAsia" w:ascii="仿宋" w:hAnsi="仿宋" w:eastAsia="仿宋" w:cs="仿宋"/>
          <w:color w:val="auto"/>
          <w:sz w:val="24"/>
        </w:rPr>
        <w:t>天（不少于90天）</w:t>
      </w:r>
      <w:r>
        <w:rPr>
          <w:rFonts w:hint="eastAsia" w:ascii="仿宋" w:hAnsi="仿宋" w:eastAsia="仿宋" w:cs="仿宋"/>
          <w:color w:val="auto"/>
        </w:rPr>
        <w:t>，</w:t>
      </w:r>
      <w:r>
        <w:rPr>
          <w:rFonts w:hint="eastAsia" w:ascii="仿宋" w:hAnsi="仿宋" w:eastAsia="仿宋" w:cs="仿宋"/>
          <w:color w:val="auto"/>
          <w:sz w:val="24"/>
        </w:rPr>
        <w:t>本投标文件在投标有效期满之前均具有约束力。</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2、我方的投标文件包括以下内容：</w:t>
      </w:r>
    </w:p>
    <w:p>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2.1资格文件：</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2.1.1承诺函；</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2.1.2落实政府采购政策需满足的资格要求（如果有）；</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2.1.3本项目的特定资格要求（如果有）。</w:t>
      </w:r>
    </w:p>
    <w:p>
      <w:pPr>
        <w:snapToGrid w:val="0"/>
        <w:spacing w:line="360" w:lineRule="auto"/>
        <w:ind w:left="210" w:leftChars="100"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 xml:space="preserve"> </w:t>
      </w:r>
      <w:r>
        <w:rPr>
          <w:rFonts w:hint="eastAsia" w:ascii="仿宋" w:hAnsi="仿宋" w:eastAsia="仿宋" w:cs="仿宋"/>
          <w:color w:val="auto"/>
          <w:sz w:val="24"/>
        </w:rPr>
        <w:t>商务技术</w:t>
      </w:r>
      <w:r>
        <w:rPr>
          <w:rFonts w:hint="eastAsia" w:ascii="仿宋" w:hAnsi="仿宋" w:eastAsia="仿宋" w:cs="仿宋"/>
          <w:color w:val="auto"/>
          <w:sz w:val="24"/>
          <w:lang w:val="zh-CN"/>
        </w:rPr>
        <w:t>文件：</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2.2.1投标函；</w:t>
      </w:r>
      <w:r>
        <w:rPr>
          <w:rFonts w:hint="eastAsia" w:ascii="仿宋" w:hAnsi="仿宋" w:eastAsia="仿宋" w:cs="仿宋"/>
          <w:color w:val="auto"/>
          <w:sz w:val="24"/>
          <w:lang w:val="zh-CN"/>
        </w:rPr>
        <w:t xml:space="preserve"> </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2.2.2授权委托书或法定代表人（单位负责人）身份证明；</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2.2.3联合协议（如果有）；</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2.2.4分包意向协议（如果有）；</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2.2.5符合性审查资料；</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2.2.6评标标准相应的商务技术资料；</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2.2.7投标标的清单；</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2.2.8商务技术偏离表；</w:t>
      </w:r>
    </w:p>
    <w:p>
      <w:pPr>
        <w:snapToGrid w:val="0"/>
        <w:spacing w:line="360" w:lineRule="auto"/>
        <w:ind w:left="420" w:leftChars="200"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9</w:t>
      </w:r>
      <w:r>
        <w:rPr>
          <w:rFonts w:hint="eastAsia" w:ascii="仿宋" w:hAnsi="仿宋" w:eastAsia="仿宋" w:cs="仿宋"/>
          <w:color w:val="auto"/>
          <w:sz w:val="24"/>
          <w:lang w:val="zh-CN"/>
        </w:rPr>
        <w:t>政府采购供应商廉洁自律承诺书；</w:t>
      </w:r>
    </w:p>
    <w:p>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3报价文件</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2.3.1开标一览表（报价表）；</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2.3.2中小企业声明函（如果有）。</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3、我方承诺除商务技术偏离表列出的偏离外，我方响应招标文件的全部要求。</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4、如我方中标，我方承诺：</w:t>
      </w:r>
    </w:p>
    <w:p>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4.3按照招标文件要求提交履约保证金； </w:t>
      </w:r>
    </w:p>
    <w:p>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4.4在合同约定的期限内完成合同规定的全部义务。 </w:t>
      </w:r>
    </w:p>
    <w:p>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5、其他补充说明:</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360" w:lineRule="auto"/>
        <w:ind w:firstLine="3600" w:firstLineChars="1500"/>
        <w:rPr>
          <w:rFonts w:hint="eastAsia" w:ascii="仿宋" w:hAnsi="仿宋" w:eastAsia="仿宋" w:cs="仿宋"/>
          <w:color w:val="auto"/>
          <w:sz w:val="24"/>
        </w:rPr>
      </w:pPr>
      <w:r>
        <w:rPr>
          <w:rFonts w:hint="eastAsia" w:ascii="仿宋" w:hAnsi="仿宋" w:eastAsia="仿宋" w:cs="仿宋"/>
          <w:color w:val="auto"/>
          <w:sz w:val="24"/>
        </w:rPr>
        <w:t xml:space="preserve">投标人名称（电子签名）：                          </w:t>
      </w:r>
    </w:p>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 xml:space="preserve">     日期：  年   月   日</w:t>
      </w:r>
    </w:p>
    <w:p>
      <w:pPr>
        <w:snapToGrid w:val="0"/>
        <w:spacing w:line="360" w:lineRule="auto"/>
        <w:ind w:left="420" w:leftChars="200" w:firstLine="4200" w:firstLineChars="1750"/>
        <w:rPr>
          <w:rFonts w:hint="eastAsia" w:ascii="仿宋" w:hAnsi="仿宋" w:eastAsia="仿宋" w:cs="仿宋"/>
          <w:color w:val="auto"/>
          <w:kern w:val="0"/>
          <w:sz w:val="24"/>
          <w:u w:val="single"/>
        </w:rPr>
      </w:pPr>
    </w:p>
    <w:p>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pPr>
        <w:snapToGrid w:val="0"/>
        <w:spacing w:line="360" w:lineRule="auto"/>
        <w:jc w:val="center"/>
        <w:rPr>
          <w:rFonts w:hint="eastAsia" w:ascii="仿宋" w:hAnsi="仿宋" w:eastAsia="仿宋" w:cs="仿宋"/>
          <w:b/>
          <w:color w:val="auto"/>
          <w:kern w:val="0"/>
          <w:sz w:val="32"/>
          <w:szCs w:val="32"/>
        </w:rPr>
      </w:pPr>
    </w:p>
    <w:p>
      <w:pPr>
        <w:snapToGrid w:val="0"/>
        <w:spacing w:line="360" w:lineRule="auto"/>
        <w:rPr>
          <w:rFonts w:hint="eastAsia" w:ascii="仿宋" w:hAnsi="仿宋" w:eastAsia="仿宋" w:cs="仿宋"/>
          <w:color w:val="auto"/>
          <w:sz w:val="24"/>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lang w:val="zh-CN"/>
        </w:rPr>
      </w:pPr>
      <w:r>
        <w:rPr>
          <w:rFonts w:hint="eastAsia" w:ascii="仿宋" w:hAnsi="仿宋" w:eastAsia="仿宋" w:cs="仿宋"/>
          <w:b/>
          <w:color w:val="auto"/>
          <w:kern w:val="0"/>
          <w:sz w:val="32"/>
          <w:szCs w:val="32"/>
          <w:lang w:val="zh-CN"/>
        </w:rPr>
        <w:t>二、授权委托书或法定代表人（单位负责人、自然人本人）身份证明</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w:t>
      </w:r>
    </w:p>
    <w:p>
      <w:pPr>
        <w:snapToGrid w:val="0"/>
        <w:spacing w:line="360" w:lineRule="auto"/>
        <w:ind w:firstLine="2872" w:firstLineChars="894"/>
        <w:rPr>
          <w:rFonts w:hint="eastAsia" w:ascii="仿宋" w:hAnsi="仿宋" w:eastAsia="仿宋" w:cs="仿宋"/>
          <w:color w:val="auto"/>
        </w:rPr>
      </w:pPr>
      <w:r>
        <w:rPr>
          <w:rFonts w:hint="eastAsia" w:ascii="仿宋" w:hAnsi="仿宋" w:eastAsia="仿宋" w:cs="仿宋"/>
          <w:b/>
          <w:color w:val="auto"/>
          <w:kern w:val="0"/>
          <w:sz w:val="32"/>
          <w:szCs w:val="32"/>
          <w:lang w:val="zh-CN"/>
        </w:rPr>
        <w:t>授权委托书（适用于非联合体投标）</w:t>
      </w:r>
      <w:r>
        <w:rPr>
          <w:rFonts w:hint="eastAsia" w:ascii="仿宋" w:hAnsi="仿宋" w:eastAsia="仿宋" w:cs="仿宋"/>
          <w:color w:val="auto"/>
        </w:rPr>
        <w:t xml:space="preserve">                               </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pPr>
        <w:snapToGrid w:val="0"/>
        <w:spacing w:line="360" w:lineRule="auto"/>
        <w:ind w:firstLine="576"/>
        <w:rPr>
          <w:rFonts w:hint="eastAsia"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（姓名）为我方代理人（身份证号码：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政府采购投标的一切事项，其法律后果由我方承担。</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委托期限</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自</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日起至</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日止。</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特此告知。</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 xml:space="preserve">                                                 投标人名称(电子签名)：</w:t>
      </w:r>
    </w:p>
    <w:p>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签发日期：  年  月   日</w:t>
      </w:r>
    </w:p>
    <w:p>
      <w:pPr>
        <w:snapToGrid w:val="0"/>
        <w:spacing w:line="360" w:lineRule="auto"/>
        <w:rPr>
          <w:rFonts w:hint="eastAsia" w:ascii="仿宋" w:hAnsi="仿宋" w:eastAsia="仿宋" w:cs="仿宋"/>
          <w:color w:val="auto"/>
          <w:sz w:val="24"/>
        </w:rPr>
      </w:pPr>
    </w:p>
    <w:p>
      <w:pPr>
        <w:snapToGrid w:val="0"/>
        <w:spacing w:line="360" w:lineRule="auto"/>
        <w:rPr>
          <w:rFonts w:hint="eastAsia" w:ascii="仿宋" w:hAnsi="仿宋" w:eastAsia="仿宋" w:cs="仿宋"/>
          <w:color w:val="auto"/>
          <w:sz w:val="24"/>
        </w:rPr>
      </w:pPr>
    </w:p>
    <w:p>
      <w:pPr>
        <w:snapToGrid w:val="0"/>
        <w:spacing w:line="360" w:lineRule="auto"/>
        <w:rPr>
          <w:rFonts w:hint="eastAsia" w:ascii="仿宋" w:hAnsi="仿宋" w:eastAsia="仿宋" w:cs="仿宋"/>
          <w:color w:val="auto"/>
          <w:sz w:val="24"/>
        </w:rPr>
      </w:pPr>
    </w:p>
    <w:p>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zh-CN"/>
        </w:rPr>
        <w:t xml:space="preserve">      </w:t>
      </w:r>
      <w:r>
        <w:rPr>
          <w:rFonts w:hint="eastAsia" w:ascii="仿宋" w:hAnsi="仿宋" w:eastAsia="仿宋" w:cs="仿宋"/>
          <w:b/>
          <w:color w:val="auto"/>
          <w:kern w:val="0"/>
          <w:sz w:val="32"/>
          <w:szCs w:val="32"/>
        </w:rPr>
        <w:t xml:space="preserve"> </w:t>
      </w:r>
      <w:r>
        <w:rPr>
          <w:rFonts w:hint="eastAsia" w:ascii="仿宋" w:hAnsi="仿宋" w:eastAsia="仿宋" w:cs="仿宋"/>
          <w:b/>
          <w:color w:val="auto"/>
          <w:kern w:val="0"/>
          <w:sz w:val="32"/>
          <w:szCs w:val="32"/>
          <w:lang w:val="zh-CN"/>
        </w:rPr>
        <w:t>授权委托书（适用于联合体投标）</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pPr>
        <w:snapToGrid w:val="0"/>
        <w:spacing w:line="360" w:lineRule="auto"/>
        <w:ind w:firstLine="576"/>
        <w:rPr>
          <w:rFonts w:hint="eastAsia"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（姓名）为我方代理人（身份证号码：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政府采购投标的一切事项，其法律后果由我方承担。</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委托期限</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自</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日起至</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日止。</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特此告知。</w:t>
      </w: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rPr>
          <w:rFonts w:hint="eastAsia" w:ascii="仿宋" w:hAnsi="仿宋" w:eastAsia="仿宋" w:cs="仿宋"/>
          <w:color w:val="auto"/>
        </w:rPr>
      </w:pPr>
    </w:p>
    <w:p>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ind w:firstLine="5760" w:firstLineChars="2400"/>
        <w:rPr>
          <w:rFonts w:hint="eastAsia" w:ascii="仿宋" w:hAnsi="仿宋" w:eastAsia="仿宋" w:cs="仿宋"/>
          <w:color w:val="auto"/>
        </w:rPr>
      </w:pPr>
      <w:r>
        <w:rPr>
          <w:rFonts w:hint="eastAsia" w:ascii="仿宋" w:hAnsi="仿宋" w:eastAsia="仿宋" w:cs="仿宋"/>
          <w:color w:val="auto"/>
          <w:kern w:val="0"/>
          <w:sz w:val="24"/>
          <w:lang w:val="zh-CN"/>
        </w:rPr>
        <w:t>……</w:t>
      </w:r>
    </w:p>
    <w:p>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pPr>
        <w:autoSpaceDE w:val="0"/>
        <w:autoSpaceDN w:val="0"/>
        <w:spacing w:line="360" w:lineRule="auto"/>
        <w:jc w:val="center"/>
        <w:rPr>
          <w:rFonts w:hint="eastAsia" w:ascii="仿宋" w:hAnsi="仿宋" w:eastAsia="仿宋" w:cs="仿宋"/>
          <w:b/>
          <w:color w:val="auto"/>
          <w:sz w:val="24"/>
        </w:rPr>
      </w:pPr>
      <w:r>
        <w:rPr>
          <w:rFonts w:hint="eastAsia" w:ascii="仿宋" w:hAnsi="仿宋" w:eastAsia="仿宋" w:cs="仿宋"/>
          <w:b/>
          <w:color w:val="auto"/>
          <w:kern w:val="0"/>
          <w:sz w:val="32"/>
          <w:szCs w:val="32"/>
          <w:lang w:val="zh-CN"/>
        </w:rPr>
        <w:t>法定代表人、单位负责人或自然人本人</w:t>
      </w:r>
      <w:r>
        <w:rPr>
          <w:rFonts w:hint="eastAsia" w:ascii="仿宋" w:hAnsi="仿宋" w:eastAsia="仿宋" w:cs="仿宋"/>
          <w:b/>
          <w:color w:val="auto"/>
          <w:sz w:val="30"/>
          <w:szCs w:val="30"/>
        </w:rPr>
        <w:t>的身份证明（适用于法定代表人、单位负责人或者自然人本人代表投标人参加投标）</w:t>
      </w:r>
    </w:p>
    <w:p>
      <w:pPr>
        <w:pStyle w:val="146"/>
        <w:spacing w:line="360" w:lineRule="auto"/>
        <w:rPr>
          <w:rFonts w:hint="eastAsia" w:ascii="仿宋" w:hAnsi="仿宋" w:eastAsia="仿宋" w:cs="仿宋"/>
          <w:bCs/>
          <w:color w:val="auto"/>
          <w:sz w:val="24"/>
        </w:rPr>
      </w:pPr>
      <w:r>
        <w:rPr>
          <w:rFonts w:hint="eastAsia" w:ascii="仿宋" w:hAnsi="仿宋" w:eastAsia="仿宋" w:cs="仿宋"/>
          <w:bCs/>
          <w:color w:val="auto"/>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正面：                                 反面：</w:t>
            </w:r>
          </w:p>
          <w:p>
            <w:pPr>
              <w:pStyle w:val="146"/>
              <w:adjustRightInd w:val="0"/>
              <w:spacing w:line="360" w:lineRule="auto"/>
              <w:rPr>
                <w:rFonts w:hint="eastAsia" w:ascii="仿宋" w:hAnsi="仿宋" w:eastAsia="仿宋" w:cs="仿宋"/>
                <w:bCs/>
                <w:color w:val="auto"/>
                <w:sz w:val="24"/>
              </w:rPr>
            </w:pPr>
          </w:p>
        </w:tc>
      </w:tr>
    </w:tbl>
    <w:p>
      <w:pPr>
        <w:snapToGrid w:val="0"/>
        <w:spacing w:line="360" w:lineRule="auto"/>
        <w:ind w:firstLine="576"/>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w:t>
      </w:r>
    </w:p>
    <w:p>
      <w:pPr>
        <w:snapToGrid w:val="0"/>
        <w:spacing w:line="360" w:lineRule="auto"/>
        <w:ind w:firstLine="576"/>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投标人名称(电子签名)：                              </w:t>
      </w:r>
    </w:p>
    <w:p>
      <w:pPr>
        <w:spacing w:line="360" w:lineRule="auto"/>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lang w:val="zh-CN"/>
        </w:rPr>
      </w:pPr>
      <w:r>
        <w:rPr>
          <w:rFonts w:hint="eastAsia" w:ascii="仿宋" w:hAnsi="仿宋" w:eastAsia="仿宋" w:cs="仿宋"/>
          <w:b/>
          <w:color w:val="auto"/>
          <w:kern w:val="0"/>
          <w:sz w:val="32"/>
          <w:szCs w:val="32"/>
        </w:rPr>
        <w:t>三、</w:t>
      </w:r>
      <w:r>
        <w:rPr>
          <w:rFonts w:hint="eastAsia" w:ascii="仿宋" w:hAnsi="仿宋" w:eastAsia="仿宋" w:cs="仿宋"/>
          <w:b/>
          <w:color w:val="auto"/>
          <w:kern w:val="0"/>
          <w:sz w:val="32"/>
          <w:szCs w:val="32"/>
          <w:lang w:val="zh-CN"/>
        </w:rPr>
        <w:t>联合协议</w:t>
      </w:r>
    </w:p>
    <w:p>
      <w:pPr>
        <w:widowControl/>
        <w:spacing w:line="360"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（联合体所有成员名称）</w:t>
      </w:r>
      <w:r>
        <w:rPr>
          <w:rFonts w:hint="eastAsia" w:ascii="仿宋" w:hAnsi="仿宋" w:eastAsia="仿宋" w:cs="仿宋"/>
          <w:color w:val="auto"/>
          <w:kern w:val="0"/>
          <w:sz w:val="24"/>
        </w:rPr>
        <w:t>自愿</w:t>
      </w:r>
      <w:r>
        <w:rPr>
          <w:rFonts w:hint="eastAsia" w:ascii="仿宋" w:hAnsi="仿宋" w:eastAsia="仿宋" w:cs="仿宋"/>
          <w:color w:val="auto"/>
          <w:kern w:val="0"/>
          <w:sz w:val="24"/>
          <w:lang w:val="zh-CN"/>
        </w:rPr>
        <w:t>组成一个联合体，以一个投标人的身份</w:t>
      </w:r>
      <w:r>
        <w:rPr>
          <w:rFonts w:hint="eastAsia" w:ascii="仿宋" w:hAnsi="仿宋" w:eastAsia="仿宋" w:cs="仿宋"/>
          <w:color w:val="auto"/>
          <w:kern w:val="0"/>
          <w:sz w:val="24"/>
        </w:rPr>
        <w:t>参加</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 xml:space="preserve">投标。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一、各方一致决定，</w:t>
      </w:r>
      <w:r>
        <w:rPr>
          <w:rFonts w:hint="eastAsia" w:ascii="仿宋" w:hAnsi="仿宋" w:eastAsia="仿宋" w:cs="仿宋"/>
          <w:color w:val="auto"/>
          <w:kern w:val="0"/>
          <w:sz w:val="24"/>
          <w:u w:val="single"/>
        </w:rPr>
        <w:t>（某联合体成员名称）</w:t>
      </w:r>
      <w:r>
        <w:rPr>
          <w:rFonts w:hint="eastAsia" w:ascii="仿宋" w:hAnsi="仿宋" w:eastAsia="仿宋" w:cs="仿宋"/>
          <w:color w:val="auto"/>
          <w:kern w:val="0"/>
          <w:sz w:val="24"/>
        </w:rPr>
        <w:t>为联合体</w:t>
      </w:r>
      <w:r>
        <w:rPr>
          <w:rFonts w:hint="eastAsia" w:ascii="仿宋" w:hAnsi="仿宋" w:eastAsia="仿宋" w:cs="仿宋"/>
          <w:color w:val="auto"/>
          <w:kern w:val="0"/>
          <w:sz w:val="24"/>
          <w:lang w:val="zh-CN"/>
        </w:rPr>
        <w:t>牵头人</w:t>
      </w:r>
      <w:r>
        <w:rPr>
          <w:rFonts w:hint="eastAsia" w:ascii="仿宋" w:hAnsi="仿宋" w:eastAsia="仿宋" w:cs="仿宋"/>
          <w:color w:val="auto"/>
          <w:sz w:val="24"/>
        </w:rPr>
        <w:t>，代表所有联合体成员负责投标和合同实施阶段的主办、协调工作</w:t>
      </w:r>
      <w:r>
        <w:rPr>
          <w:rFonts w:hint="eastAsia" w:ascii="仿宋" w:hAnsi="仿宋" w:eastAsia="仿宋" w:cs="仿宋"/>
          <w:color w:val="auto"/>
          <w:kern w:val="0"/>
          <w:sz w:val="24"/>
          <w:lang w:val="zh-CN"/>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w:t>
      </w:r>
      <w:r>
        <w:rPr>
          <w:rFonts w:hint="eastAsia" w:ascii="仿宋" w:hAnsi="仿宋" w:eastAsia="仿宋" w:cs="仿宋"/>
          <w:color w:val="auto"/>
          <w:sz w:val="24"/>
        </w:rPr>
        <w:t>所有联合体成员各方签署授权书，授权书载明的</w:t>
      </w:r>
      <w:r>
        <w:rPr>
          <w:rFonts w:hint="eastAsia" w:ascii="仿宋" w:hAnsi="仿宋" w:eastAsia="仿宋" w:cs="仿宋"/>
          <w:color w:val="auto"/>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三、本次联合投标中，分工如下：</w:t>
      </w:r>
      <w:r>
        <w:rPr>
          <w:rFonts w:hint="eastAsia" w:ascii="仿宋" w:hAnsi="仿宋" w:eastAsia="仿宋" w:cs="仿宋"/>
          <w:color w:val="auto"/>
          <w:kern w:val="0"/>
          <w:sz w:val="24"/>
          <w:u w:val="single"/>
        </w:rPr>
        <w:t>（联合体其中一方成员名称）</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p>
    <w:p>
      <w:pPr>
        <w:snapToGrid w:val="0"/>
        <w:spacing w:line="360" w:lineRule="auto"/>
        <w:ind w:firstLine="576"/>
        <w:rPr>
          <w:rFonts w:hint="eastAsia" w:ascii="仿宋" w:hAnsi="仿宋" w:eastAsia="仿宋" w:cs="仿宋"/>
          <w:b/>
          <w:color w:val="auto"/>
          <w:kern w:val="0"/>
          <w:sz w:val="24"/>
          <w:lang w:val="zh-CN"/>
        </w:rPr>
      </w:pPr>
      <w:r>
        <w:rPr>
          <w:rFonts w:hint="eastAsia" w:ascii="仿宋" w:hAnsi="仿宋" w:eastAsia="仿宋" w:cs="仿宋"/>
          <w:color w:val="auto"/>
          <w:kern w:val="0"/>
          <w:sz w:val="24"/>
          <w:lang w:val="zh-CN"/>
        </w:rPr>
        <w:t>四、</w:t>
      </w:r>
      <w:r>
        <w:rPr>
          <w:rFonts w:hint="eastAsia" w:ascii="仿宋" w:hAnsi="仿宋" w:eastAsia="仿宋" w:cs="仿宋"/>
          <w:color w:val="auto"/>
          <w:kern w:val="0"/>
          <w:sz w:val="24"/>
          <w:u w:val="single"/>
        </w:rPr>
        <w:t>（联合体其中一方成员名称）</w:t>
      </w:r>
      <w:r>
        <w:rPr>
          <w:rFonts w:hint="eastAsia" w:ascii="仿宋" w:hAnsi="仿宋" w:eastAsia="仿宋" w:cs="仿宋"/>
          <w:color w:val="auto"/>
          <w:kern w:val="0"/>
          <w:sz w:val="24"/>
        </w:rPr>
        <w:t>提供的全部货物由小微企业制造，其合同份额占到合同总金额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kern w:val="0"/>
          <w:sz w:val="24"/>
          <w:lang w:val="zh-CN"/>
        </w:rPr>
        <w:t>……。</w:t>
      </w:r>
      <w:r>
        <w:rPr>
          <w:rFonts w:hint="eastAsia" w:ascii="仿宋" w:hAnsi="仿宋" w:eastAsia="仿宋" w:cs="仿宋"/>
          <w:b/>
          <w:color w:val="auto"/>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30%以上，对联合体报价给予3%的扣除）</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五、如果中标，</w:t>
      </w:r>
      <w:r>
        <w:rPr>
          <w:rFonts w:hint="eastAsia" w:ascii="仿宋" w:hAnsi="仿宋" w:eastAsia="仿宋" w:cs="仿宋"/>
          <w:color w:val="auto"/>
          <w:sz w:val="24"/>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六、有关本次联合投标的其他事宜：</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pPr>
        <w:snapToGrid w:val="0"/>
        <w:spacing w:line="360" w:lineRule="auto"/>
        <w:ind w:right="480"/>
        <w:rPr>
          <w:rFonts w:hint="eastAsia" w:ascii="仿宋" w:hAnsi="仿宋" w:eastAsia="仿宋" w:cs="仿宋"/>
          <w:b/>
          <w:color w:val="auto"/>
          <w:kern w:val="0"/>
          <w:sz w:val="32"/>
          <w:szCs w:val="32"/>
        </w:rPr>
        <w:sectPr>
          <w:headerReference r:id="rId8" w:type="first"/>
          <w:footerReference r:id="rId10" w:type="first"/>
          <w:headerReference r:id="rId7" w:type="default"/>
          <w:footerReference r:id="rId9" w:type="default"/>
          <w:pgSz w:w="11906" w:h="16838"/>
          <w:pgMar w:top="1276" w:right="1418" w:bottom="1247" w:left="1418" w:header="851" w:footer="992" w:gutter="0"/>
          <w:pgNumType w:fmt="decimal"/>
          <w:cols w:space="720" w:num="1"/>
          <w:titlePg/>
          <w:docGrid w:linePitch="312" w:charSpace="0"/>
        </w:sectPr>
      </w:pPr>
    </w:p>
    <w:p>
      <w:pPr>
        <w:snapToGrid w:val="0"/>
        <w:spacing w:line="360" w:lineRule="auto"/>
        <w:ind w:firstLine="3534" w:firstLineChars="1100"/>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四、分包意向协议</w:t>
      </w:r>
    </w:p>
    <w:p>
      <w:pPr>
        <w:widowControl/>
        <w:spacing w:line="360" w:lineRule="auto"/>
        <w:ind w:firstLine="120" w:firstLineChars="50"/>
        <w:jc w:val="left"/>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color w:val="auto"/>
          <w:sz w:val="24"/>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若成为</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的中标供应商，将依法采取分包方式履行合同。</w:t>
      </w: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rPr>
        <w:t>与</w:t>
      </w:r>
      <w:r>
        <w:rPr>
          <w:rFonts w:hint="eastAsia" w:ascii="仿宋" w:hAnsi="仿宋" w:eastAsia="仿宋" w:cs="仿宋"/>
          <w:color w:val="auto"/>
          <w:kern w:val="0"/>
          <w:sz w:val="24"/>
          <w:u w:val="single"/>
        </w:rPr>
        <w:t>（所有分包供应商名称）</w:t>
      </w:r>
      <w:r>
        <w:rPr>
          <w:rFonts w:hint="eastAsia" w:ascii="仿宋" w:hAnsi="仿宋" w:eastAsia="仿宋" w:cs="仿宋"/>
          <w:color w:val="auto"/>
          <w:kern w:val="0"/>
          <w:sz w:val="24"/>
        </w:rPr>
        <w:t>达成分包意向协议</w:t>
      </w:r>
      <w:r>
        <w:rPr>
          <w:rFonts w:hint="eastAsia" w:ascii="仿宋" w:hAnsi="仿宋" w:eastAsia="仿宋" w:cs="仿宋"/>
          <w:color w:val="auto"/>
          <w:kern w:val="0"/>
          <w:sz w:val="24"/>
          <w:lang w:val="zh-CN"/>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一、分包标的及数量</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将</w:t>
      </w:r>
      <w:r>
        <w:rPr>
          <w:rFonts w:hint="eastAsia" w:ascii="仿宋" w:hAnsi="仿宋" w:eastAsia="仿宋" w:cs="仿宋"/>
          <w:color w:val="auto"/>
          <w:u w:val="single"/>
        </w:rPr>
        <w:t xml:space="preserve">   XX工作内容   </w:t>
      </w:r>
      <w:r>
        <w:rPr>
          <w:rFonts w:hint="eastAsia" w:ascii="仿宋" w:hAnsi="仿宋" w:eastAsia="仿宋" w:cs="仿宋"/>
          <w:color w:val="auto"/>
          <w:sz w:val="24"/>
        </w:rPr>
        <w:t>分包给</w:t>
      </w:r>
      <w:r>
        <w:rPr>
          <w:rFonts w:hint="eastAsia" w:ascii="仿宋" w:hAnsi="仿宋" w:eastAsia="仿宋" w:cs="仿宋"/>
          <w:color w:val="auto"/>
          <w:kern w:val="0"/>
          <w:sz w:val="24"/>
          <w:u w:val="single"/>
        </w:rPr>
        <w:t>（某分包供应商名称）</w:t>
      </w:r>
      <w:r>
        <w:rPr>
          <w:rFonts w:hint="eastAsia" w:ascii="仿宋" w:hAnsi="仿宋" w:eastAsia="仿宋" w:cs="仿宋"/>
          <w:color w:val="auto"/>
          <w:kern w:val="0"/>
          <w:sz w:val="24"/>
          <w:lang w:val="zh-CN"/>
        </w:rPr>
        <w:t>，</w:t>
      </w:r>
      <w:r>
        <w:rPr>
          <w:rFonts w:hint="eastAsia" w:ascii="仿宋" w:hAnsi="仿宋" w:eastAsia="仿宋" w:cs="仿宋"/>
          <w:color w:val="auto"/>
          <w:kern w:val="0"/>
          <w:sz w:val="24"/>
          <w:u w:val="single"/>
        </w:rPr>
        <w:t>（某分包供应商名称），</w:t>
      </w:r>
      <w:r>
        <w:rPr>
          <w:rFonts w:hint="eastAsia" w:ascii="仿宋" w:hAnsi="仿宋" w:eastAsia="仿宋" w:cs="仿宋"/>
          <w:color w:val="auto"/>
          <w:kern w:val="0"/>
          <w:sz w:val="24"/>
          <w:lang w:val="zh-CN"/>
        </w:rPr>
        <w:t>具备承</w:t>
      </w:r>
      <w:r>
        <w:rPr>
          <w:rFonts w:hint="eastAsia" w:ascii="仿宋" w:hAnsi="仿宋" w:eastAsia="仿宋" w:cs="仿宋"/>
          <w:color w:val="auto"/>
          <w:kern w:val="0"/>
          <w:sz w:val="24"/>
        </w:rPr>
        <w:t>担</w:t>
      </w:r>
      <w:r>
        <w:rPr>
          <w:rFonts w:hint="eastAsia" w:ascii="仿宋" w:hAnsi="仿宋" w:eastAsia="仿宋" w:cs="仿宋"/>
          <w:color w:val="auto"/>
          <w:kern w:val="0"/>
          <w:sz w:val="24"/>
          <w:u w:val="single"/>
          <w:lang w:val="zh-CN"/>
        </w:rPr>
        <w:t>XX工作内容</w:t>
      </w:r>
      <w:r>
        <w:rPr>
          <w:rFonts w:hint="eastAsia" w:ascii="仿宋" w:hAnsi="仿宋" w:eastAsia="仿宋" w:cs="仿宋"/>
          <w:color w:val="auto"/>
          <w:kern w:val="0"/>
          <w:sz w:val="24"/>
          <w:lang w:val="zh-CN"/>
        </w:rPr>
        <w:t>相应资质条件且不得再次分包；</w:t>
      </w:r>
    </w:p>
    <w:p>
      <w:pPr>
        <w:pStyle w:val="5"/>
        <w:ind w:left="664" w:leftChars="316" w:firstLine="229" w:firstLineChars="95"/>
        <w:rPr>
          <w:rFonts w:hint="eastAsia" w:ascii="仿宋" w:hAnsi="仿宋" w:eastAsia="仿宋" w:cs="仿宋"/>
          <w:color w:val="auto"/>
        </w:rPr>
      </w:pPr>
      <w:r>
        <w:rPr>
          <w:rFonts w:hint="eastAsia" w:ascii="仿宋" w:hAnsi="仿宋" w:eastAsia="仿宋" w:cs="仿宋"/>
          <w:color w:val="auto"/>
          <w:kern w:val="0"/>
          <w:sz w:val="24"/>
          <w:szCs w:val="24"/>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二、分包工作履行期限、地点、方式</w:t>
      </w:r>
    </w:p>
    <w:p>
      <w:pPr>
        <w:snapToGrid w:val="0"/>
        <w:spacing w:line="360" w:lineRule="auto"/>
        <w:ind w:firstLine="576"/>
        <w:rPr>
          <w:rFonts w:hint="eastAsia" w:ascii="仿宋" w:hAnsi="仿宋" w:eastAsia="仿宋" w:cs="仿宋"/>
          <w:color w:val="auto"/>
          <w:u w:val="single"/>
        </w:rPr>
      </w:pPr>
      <w:r>
        <w:rPr>
          <w:rFonts w:hint="eastAsia" w:ascii="仿宋" w:hAnsi="仿宋" w:eastAsia="仿宋" w:cs="仿宋"/>
          <w:color w:val="auto"/>
          <w:u w:val="single"/>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三、质量</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四、价款或者报酬</w:t>
      </w:r>
    </w:p>
    <w:p>
      <w:pPr>
        <w:snapToGrid w:val="0"/>
        <w:spacing w:line="360" w:lineRule="auto"/>
        <w:ind w:left="573" w:leftChars="273"/>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auto"/>
        <w:ind w:left="573" w:leftChars="273"/>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五、违约责任</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六、争议解决的办法</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七、其他</w:t>
      </w:r>
    </w:p>
    <w:p>
      <w:pPr>
        <w:snapToGrid w:val="0"/>
        <w:spacing w:line="360" w:lineRule="auto"/>
        <w:ind w:firstLine="576"/>
        <w:rPr>
          <w:rFonts w:hint="eastAsia" w:ascii="仿宋" w:hAnsi="仿宋" w:eastAsia="仿宋" w:cs="仿宋"/>
          <w:b/>
          <w:color w:val="auto"/>
          <w:kern w:val="0"/>
          <w:sz w:val="24"/>
          <w:lang w:val="zh-CN"/>
        </w:rPr>
      </w:pPr>
      <w:r>
        <w:rPr>
          <w:rFonts w:hint="eastAsia" w:ascii="仿宋" w:hAnsi="仿宋" w:eastAsia="仿宋" w:cs="仿宋"/>
          <w:color w:val="auto"/>
          <w:kern w:val="0"/>
          <w:sz w:val="24"/>
          <w:u w:val="single"/>
        </w:rPr>
        <w:t>（分包供应商名称）提供的货物全部由小微企业制造，</w:t>
      </w:r>
      <w:r>
        <w:rPr>
          <w:rFonts w:hint="eastAsia" w:ascii="仿宋" w:hAnsi="仿宋" w:eastAsia="仿宋" w:cs="仿宋"/>
          <w:color w:val="auto"/>
          <w:kern w:val="0"/>
          <w:sz w:val="24"/>
        </w:rPr>
        <w:t>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rPr>
        <w:t>。</w:t>
      </w:r>
      <w:r>
        <w:rPr>
          <w:rFonts w:hint="eastAsia" w:ascii="仿宋" w:hAnsi="仿宋" w:eastAsia="仿宋" w:cs="仿宋"/>
          <w:b/>
          <w:color w:val="auto"/>
          <w:kern w:val="0"/>
          <w:sz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30%以上的，对大中型企业的报价给予3%的扣除）</w:t>
      </w:r>
    </w:p>
    <w:p>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投标人名称(电子签名)：</w:t>
      </w:r>
    </w:p>
    <w:p>
      <w:pPr>
        <w:snapToGrid w:val="0"/>
        <w:spacing w:line="360" w:lineRule="auto"/>
        <w:ind w:firstLine="5640" w:firstLineChars="235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分包供应商名称：</w:t>
      </w:r>
    </w:p>
    <w:p>
      <w:pPr>
        <w:spacing w:line="360" w:lineRule="auto"/>
        <w:ind w:right="42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pPr>
        <w:snapToGrid w:val="0"/>
        <w:spacing w:line="360" w:lineRule="auto"/>
        <w:rPr>
          <w:rFonts w:hint="eastAsia" w:ascii="仿宋" w:hAnsi="仿宋" w:eastAsia="仿宋" w:cs="仿宋"/>
          <w:color w:val="auto"/>
          <w:kern w:val="0"/>
          <w:sz w:val="24"/>
        </w:rPr>
      </w:pPr>
    </w:p>
    <w:p>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五、符合性审查资料</w:t>
      </w:r>
    </w:p>
    <w:p>
      <w:pPr>
        <w:jc w:val="center"/>
        <w:rPr>
          <w:rFonts w:hint="eastAsia" w:ascii="仿宋" w:hAnsi="仿宋" w:eastAsia="仿宋" w:cs="仿宋"/>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4991" w:type="dxa"/>
            <w:vAlign w:val="center"/>
          </w:tcPr>
          <w:p>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实质性要求</w:t>
            </w:r>
          </w:p>
        </w:tc>
        <w:tc>
          <w:tcPr>
            <w:tcW w:w="2551" w:type="dxa"/>
            <w:vAlign w:val="center"/>
          </w:tcPr>
          <w:p>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需要提供的符合性审查资料</w:t>
            </w:r>
          </w:p>
        </w:tc>
        <w:tc>
          <w:tcPr>
            <w:tcW w:w="1418" w:type="dxa"/>
            <w:vAlign w:val="center"/>
          </w:tcPr>
          <w:p>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投标文件中的</w:t>
            </w:r>
          </w:p>
          <w:p>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4"/>
              </w:rPr>
            </w:pPr>
            <w:r>
              <w:rPr>
                <w:rFonts w:hint="eastAsia" w:ascii="仿宋" w:hAnsi="仿宋" w:eastAsia="仿宋" w:cs="仿宋"/>
                <w:color w:val="auto"/>
                <w:sz w:val="24"/>
              </w:rPr>
              <w:t>1</w:t>
            </w:r>
          </w:p>
        </w:tc>
        <w:tc>
          <w:tcPr>
            <w:tcW w:w="4991" w:type="dxa"/>
          </w:tcPr>
          <w:p>
            <w:pPr>
              <w:spacing w:line="360" w:lineRule="auto"/>
              <w:rPr>
                <w:rFonts w:hint="eastAsia" w:ascii="仿宋" w:hAnsi="仿宋" w:eastAsia="仿宋" w:cs="仿宋"/>
                <w:color w:val="auto"/>
                <w:sz w:val="24"/>
              </w:rPr>
            </w:pPr>
            <w:r>
              <w:rPr>
                <w:rFonts w:hint="eastAsia" w:ascii="仿宋" w:hAnsi="仿宋" w:eastAsia="仿宋" w:cs="仿宋"/>
                <w:color w:val="auto"/>
                <w:sz w:val="24"/>
              </w:rPr>
              <w:t>投标文件按照招标文件要求签署、盖章。</w:t>
            </w:r>
          </w:p>
        </w:tc>
        <w:tc>
          <w:tcPr>
            <w:tcW w:w="2551" w:type="dxa"/>
            <w:vAlign w:val="center"/>
          </w:tcPr>
          <w:p>
            <w:pPr>
              <w:rPr>
                <w:rFonts w:hint="eastAsia" w:ascii="仿宋" w:hAnsi="仿宋" w:eastAsia="仿宋" w:cs="仿宋"/>
                <w:color w:val="auto"/>
                <w:sz w:val="24"/>
              </w:rPr>
            </w:pPr>
            <w:r>
              <w:rPr>
                <w:rFonts w:hint="eastAsia" w:ascii="仿宋" w:hAnsi="仿宋" w:eastAsia="仿宋" w:cs="仿宋"/>
                <w:color w:val="auto"/>
                <w:sz w:val="24"/>
              </w:rPr>
              <w:t>需要使用电子签名或者签字盖章的投标文件的组成部分</w:t>
            </w:r>
          </w:p>
        </w:tc>
        <w:tc>
          <w:tcPr>
            <w:tcW w:w="1418" w:type="dxa"/>
          </w:tcPr>
          <w:p>
            <w:pPr>
              <w:rPr>
                <w:rFonts w:hint="eastAsia" w:ascii="仿宋" w:hAnsi="仿宋" w:eastAsia="仿宋" w:cs="仿宋"/>
                <w:color w:val="auto"/>
                <w:sz w:val="24"/>
              </w:rPr>
            </w:pPr>
          </w:p>
          <w:p>
            <w:pPr>
              <w:rPr>
                <w:rFonts w:hint="eastAsia" w:ascii="仿宋" w:hAnsi="仿宋" w:eastAsia="仿宋" w:cs="仿宋"/>
                <w:color w:val="auto"/>
                <w:sz w:val="24"/>
              </w:rPr>
            </w:pPr>
            <w:r>
              <w:rPr>
                <w:rFonts w:hint="eastAsia" w:ascii="仿宋" w:hAnsi="仿宋" w:eastAsia="仿宋" w:cs="仿宋"/>
                <w:color w:val="auto"/>
                <w:sz w:val="24"/>
              </w:rPr>
              <w:t>见投标文件</w:t>
            </w:r>
          </w:p>
          <w:p>
            <w:pPr>
              <w:rPr>
                <w:rFonts w:hint="eastAsia" w:ascii="仿宋" w:hAnsi="仿宋" w:eastAsia="仿宋" w:cs="仿宋"/>
                <w:color w:val="auto"/>
              </w:rPr>
            </w:pPr>
            <w:r>
              <w:rPr>
                <w:rFonts w:hint="eastAsia" w:ascii="仿宋" w:hAnsi="仿宋" w:eastAsia="仿宋" w:cs="仿宋"/>
                <w:color w:val="auto"/>
                <w:sz w:val="24"/>
              </w:rPr>
              <w:t>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w:t>
            </w:r>
          </w:p>
        </w:tc>
        <w:tc>
          <w:tcPr>
            <w:tcW w:w="4991" w:type="dxa"/>
          </w:tcPr>
          <w:p>
            <w:pPr>
              <w:spacing w:line="360" w:lineRule="auto"/>
              <w:rPr>
                <w:rFonts w:hint="eastAsia" w:ascii="仿宋" w:hAnsi="仿宋" w:eastAsia="仿宋" w:cs="仿宋"/>
                <w:color w:val="auto"/>
                <w:sz w:val="24"/>
              </w:rPr>
            </w:pPr>
            <w:r>
              <w:rPr>
                <w:rFonts w:hint="eastAsia" w:ascii="仿宋" w:hAnsi="仿宋" w:eastAsia="仿宋" w:cs="仿宋"/>
                <w:color w:val="auto"/>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hint="eastAsia" w:ascii="仿宋" w:hAnsi="仿宋" w:eastAsia="仿宋" w:cs="仿宋"/>
                <w:color w:val="auto"/>
                <w:sz w:val="24"/>
              </w:rPr>
            </w:pPr>
            <w:r>
              <w:rPr>
                <w:rFonts w:hint="eastAsia" w:ascii="仿宋" w:hAnsi="仿宋" w:eastAsia="仿宋" w:cs="仿宋"/>
                <w:color w:val="auto"/>
                <w:sz w:val="24"/>
              </w:rPr>
              <w:t>节能产品认证证书（本项目拟采购的产品不属于政府强制采购的节能产品品目清单范围的，无需提供）</w:t>
            </w:r>
          </w:p>
        </w:tc>
        <w:tc>
          <w:tcPr>
            <w:tcW w:w="1418" w:type="dxa"/>
          </w:tcPr>
          <w:p>
            <w:pPr>
              <w:rPr>
                <w:rFonts w:hint="eastAsia" w:ascii="仿宋" w:hAnsi="仿宋" w:eastAsia="仿宋" w:cs="仿宋"/>
                <w:color w:val="auto"/>
                <w:sz w:val="24"/>
              </w:rPr>
            </w:pPr>
          </w:p>
          <w:p>
            <w:pPr>
              <w:rPr>
                <w:rFonts w:hint="eastAsia" w:ascii="仿宋" w:hAnsi="仿宋" w:eastAsia="仿宋" w:cs="仿宋"/>
                <w:color w:val="auto"/>
                <w:sz w:val="24"/>
              </w:rPr>
            </w:pPr>
          </w:p>
          <w:p>
            <w:pPr>
              <w:rPr>
                <w:rFonts w:hint="eastAsia" w:ascii="仿宋" w:hAnsi="仿宋" w:eastAsia="仿宋" w:cs="仿宋"/>
                <w:color w:val="auto"/>
                <w:sz w:val="24"/>
              </w:rPr>
            </w:pPr>
            <w:r>
              <w:rPr>
                <w:rFonts w:hint="eastAsia" w:ascii="仿宋" w:hAnsi="仿宋" w:eastAsia="仿宋" w:cs="仿宋"/>
                <w:color w:val="auto"/>
                <w:sz w:val="24"/>
              </w:rPr>
              <w:t>见投标文件</w:t>
            </w:r>
          </w:p>
          <w:p>
            <w:pPr>
              <w:pStyle w:val="5"/>
              <w:rPr>
                <w:rFonts w:hint="eastAsia" w:ascii="仿宋" w:hAnsi="仿宋" w:eastAsia="仿宋" w:cs="仿宋"/>
                <w:color w:val="auto"/>
                <w:lang w:val="en-US"/>
              </w:rPr>
            </w:pPr>
            <w:r>
              <w:rPr>
                <w:rFonts w:hint="eastAsia" w:ascii="仿宋" w:hAnsi="仿宋" w:eastAsia="仿宋" w:cs="仿宋"/>
                <w:b w:val="0"/>
                <w:bCs w:val="0"/>
                <w:color w:val="auto"/>
                <w:sz w:val="24"/>
                <w:szCs w:val="24"/>
                <w:lang w:val="en-US"/>
              </w:rPr>
              <w:t>第</w:t>
            </w:r>
            <w:r>
              <w:rPr>
                <w:rFonts w:hint="eastAsia" w:ascii="仿宋" w:hAnsi="仿宋" w:eastAsia="仿宋" w:cs="仿宋"/>
                <w:b w:val="0"/>
                <w:bCs w:val="0"/>
                <w:color w:val="auto"/>
                <w:sz w:val="24"/>
                <w:szCs w:val="24"/>
                <w:u w:val="single"/>
                <w:lang w:val="en-US"/>
              </w:rPr>
              <w:t xml:space="preserve">  </w:t>
            </w:r>
            <w:r>
              <w:rPr>
                <w:rFonts w:hint="eastAsia" w:ascii="仿宋" w:hAnsi="仿宋" w:eastAsia="仿宋" w:cs="仿宋"/>
                <w:b w:val="0"/>
                <w:bCs w:val="0"/>
                <w:color w:val="auto"/>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4"/>
              </w:rPr>
            </w:pPr>
            <w:r>
              <w:rPr>
                <w:rFonts w:hint="eastAsia" w:ascii="仿宋" w:hAnsi="仿宋" w:eastAsia="仿宋" w:cs="仿宋"/>
                <w:color w:val="auto"/>
                <w:sz w:val="24"/>
              </w:rPr>
              <w:t>3</w:t>
            </w:r>
          </w:p>
        </w:tc>
        <w:tc>
          <w:tcPr>
            <w:tcW w:w="4991" w:type="dxa"/>
          </w:tcPr>
          <w:p>
            <w:pPr>
              <w:spacing w:line="360" w:lineRule="auto"/>
              <w:rPr>
                <w:rFonts w:hint="eastAsia" w:ascii="仿宋" w:hAnsi="仿宋" w:eastAsia="仿宋" w:cs="仿宋"/>
                <w:color w:val="auto"/>
                <w:sz w:val="24"/>
              </w:rPr>
            </w:pPr>
            <w:r>
              <w:rPr>
                <w:rFonts w:hint="eastAsia" w:ascii="仿宋" w:hAnsi="仿宋" w:eastAsia="仿宋" w:cs="仿宋"/>
                <w:color w:val="auto"/>
                <w:sz w:val="24"/>
              </w:rPr>
              <w:t>投标文件中承诺的投标有效期不少于招标文件中载明的投标有效期。</w:t>
            </w:r>
          </w:p>
        </w:tc>
        <w:tc>
          <w:tcPr>
            <w:tcW w:w="2551" w:type="dxa"/>
            <w:vAlign w:val="center"/>
          </w:tcPr>
          <w:p>
            <w:pPr>
              <w:rPr>
                <w:rFonts w:hint="eastAsia" w:ascii="仿宋" w:hAnsi="仿宋" w:eastAsia="仿宋" w:cs="仿宋"/>
                <w:color w:val="auto"/>
                <w:sz w:val="24"/>
              </w:rPr>
            </w:pPr>
            <w:r>
              <w:rPr>
                <w:rFonts w:hint="eastAsia" w:ascii="仿宋" w:hAnsi="仿宋" w:eastAsia="仿宋" w:cs="仿宋"/>
                <w:color w:val="auto"/>
                <w:sz w:val="24"/>
              </w:rPr>
              <w:t>投标函</w:t>
            </w:r>
          </w:p>
        </w:tc>
        <w:tc>
          <w:tcPr>
            <w:tcW w:w="1418" w:type="dxa"/>
          </w:tcPr>
          <w:p>
            <w:pPr>
              <w:rPr>
                <w:rFonts w:hint="eastAsia" w:ascii="仿宋" w:hAnsi="仿宋" w:eastAsia="仿宋" w:cs="仿宋"/>
                <w:color w:val="auto"/>
              </w:rPr>
            </w:pPr>
            <w:r>
              <w:rPr>
                <w:rFonts w:hint="eastAsia" w:ascii="仿宋" w:hAnsi="仿宋" w:eastAsia="仿宋" w:cs="仿宋"/>
                <w:color w:val="auto"/>
                <w:sz w:val="24"/>
              </w:rPr>
              <w:t>见投标文件第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4"/>
              </w:rPr>
            </w:pPr>
            <w:r>
              <w:rPr>
                <w:rFonts w:hint="eastAsia" w:ascii="仿宋" w:hAnsi="仿宋" w:eastAsia="仿宋" w:cs="仿宋"/>
                <w:color w:val="auto"/>
                <w:sz w:val="24"/>
              </w:rPr>
              <w:t>4</w:t>
            </w:r>
          </w:p>
        </w:tc>
        <w:tc>
          <w:tcPr>
            <w:tcW w:w="4991" w:type="dxa"/>
          </w:tcPr>
          <w:p>
            <w:pPr>
              <w:spacing w:line="360" w:lineRule="auto"/>
              <w:rPr>
                <w:rFonts w:hint="eastAsia" w:ascii="仿宋" w:hAnsi="仿宋" w:eastAsia="仿宋" w:cs="仿宋"/>
                <w:color w:val="auto"/>
                <w:sz w:val="24"/>
              </w:rPr>
            </w:pPr>
            <w:r>
              <w:rPr>
                <w:rFonts w:hint="eastAsia" w:ascii="仿宋" w:hAnsi="仿宋" w:eastAsia="仿宋" w:cs="仿宋"/>
                <w:color w:val="auto"/>
                <w:sz w:val="24"/>
              </w:rPr>
              <w:t>投标文件满足招标文件的其它实质性要求。</w:t>
            </w:r>
          </w:p>
        </w:tc>
        <w:tc>
          <w:tcPr>
            <w:tcW w:w="2551" w:type="dxa"/>
            <w:vAlign w:val="center"/>
          </w:tcPr>
          <w:p>
            <w:pPr>
              <w:rPr>
                <w:rFonts w:hint="eastAsia" w:ascii="仿宋" w:hAnsi="仿宋" w:eastAsia="仿宋" w:cs="仿宋"/>
                <w:color w:val="auto"/>
                <w:sz w:val="24"/>
              </w:rPr>
            </w:pPr>
            <w:r>
              <w:rPr>
                <w:rFonts w:hint="eastAsia" w:ascii="仿宋" w:hAnsi="仿宋" w:eastAsia="仿宋" w:cs="仿宋"/>
                <w:color w:val="auto"/>
                <w:kern w:val="0"/>
                <w:sz w:val="24"/>
              </w:rPr>
              <w:t>招标文件其它实质性要求相应的材料（“▲” 系指实质性要求条款，招标文件无其它实质性要求的，无需提供）</w:t>
            </w:r>
          </w:p>
        </w:tc>
        <w:tc>
          <w:tcPr>
            <w:tcW w:w="1418" w:type="dxa"/>
          </w:tcPr>
          <w:p>
            <w:pPr>
              <w:rPr>
                <w:rFonts w:hint="eastAsia" w:ascii="仿宋" w:hAnsi="仿宋" w:eastAsia="仿宋" w:cs="仿宋"/>
                <w:color w:val="auto"/>
              </w:rPr>
            </w:pPr>
            <w:r>
              <w:rPr>
                <w:rFonts w:hint="eastAsia" w:ascii="仿宋" w:hAnsi="仿宋" w:eastAsia="仿宋" w:cs="仿宋"/>
                <w:color w:val="auto"/>
                <w:sz w:val="24"/>
              </w:rPr>
              <w:t>见投标文件第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bl>
    <w:p>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 xml:space="preserve">            </w:t>
      </w: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color w:val="auto"/>
        </w:rPr>
      </w:pPr>
      <w:r>
        <w:rPr>
          <w:rFonts w:hint="eastAsia" w:ascii="仿宋" w:hAnsi="仿宋" w:eastAsia="仿宋" w:cs="仿宋"/>
          <w:b/>
          <w:color w:val="auto"/>
          <w:kern w:val="0"/>
          <w:sz w:val="32"/>
          <w:szCs w:val="32"/>
        </w:rPr>
        <w:t>六、评标标准相应的商务技术资料</w:t>
      </w:r>
    </w:p>
    <w:p>
      <w:pPr>
        <w:snapToGrid w:val="0"/>
        <w:spacing w:line="360" w:lineRule="auto"/>
        <w:jc w:val="left"/>
        <w:rPr>
          <w:rFonts w:hint="eastAsia" w:ascii="仿宋" w:hAnsi="仿宋" w:eastAsia="仿宋" w:cs="仿宋"/>
          <w:b/>
          <w:color w:val="auto"/>
          <w:sz w:val="24"/>
        </w:rPr>
      </w:pPr>
      <w:r>
        <w:rPr>
          <w:rFonts w:hint="eastAsia" w:ascii="仿宋" w:hAnsi="仿宋" w:eastAsia="仿宋" w:cs="仿宋"/>
          <w:b/>
          <w:color w:val="auto"/>
          <w:sz w:val="24"/>
        </w:rPr>
        <w:t>（按招标文件第四部分评标办法前附表中“投标文件中评标标准相应的商务技术资料目录”提供资料。）</w:t>
      </w: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ind w:firstLine="2891" w:firstLineChars="900"/>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七、投标标的清单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rPr>
            </w:pPr>
          </w:p>
        </w:tc>
      </w:tr>
    </w:tbl>
    <w:p>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八、商务技术偏离表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b/>
                <w:bCs/>
                <w:color w:val="auto"/>
                <w:sz w:val="24"/>
              </w:rPr>
            </w:pPr>
            <w:r>
              <w:rPr>
                <w:rFonts w:hint="eastAsia" w:ascii="仿宋" w:hAnsi="仿宋" w:eastAsia="仿宋" w:cs="仿宋"/>
                <w:b/>
                <w:bCs/>
                <w:color w:val="auto"/>
                <w:sz w:val="24"/>
              </w:rPr>
              <w:t>序号</w:t>
            </w:r>
          </w:p>
        </w:tc>
        <w:tc>
          <w:tcPr>
            <w:tcW w:w="3683" w:type="dxa"/>
          </w:tcPr>
          <w:p>
            <w:pPr>
              <w:jc w:val="center"/>
              <w:rPr>
                <w:rFonts w:hint="eastAsia" w:ascii="仿宋" w:hAnsi="仿宋" w:eastAsia="仿宋" w:cs="仿宋"/>
                <w:b/>
                <w:bCs/>
                <w:color w:val="auto"/>
                <w:sz w:val="24"/>
              </w:rPr>
            </w:pPr>
            <w:r>
              <w:rPr>
                <w:rFonts w:hint="eastAsia" w:ascii="仿宋" w:hAnsi="仿宋" w:eastAsia="仿宋" w:cs="仿宋"/>
                <w:b/>
                <w:bCs/>
                <w:color w:val="auto"/>
                <w:sz w:val="24"/>
              </w:rPr>
              <w:t>招标文件章节及具体内容</w:t>
            </w:r>
          </w:p>
        </w:tc>
        <w:tc>
          <w:tcPr>
            <w:tcW w:w="3546" w:type="dxa"/>
          </w:tcPr>
          <w:p>
            <w:pPr>
              <w:jc w:val="center"/>
              <w:rPr>
                <w:rFonts w:hint="eastAsia" w:ascii="仿宋" w:hAnsi="仿宋" w:eastAsia="仿宋" w:cs="仿宋"/>
                <w:b/>
                <w:bCs/>
                <w:color w:val="auto"/>
                <w:sz w:val="24"/>
              </w:rPr>
            </w:pPr>
            <w:r>
              <w:rPr>
                <w:rFonts w:hint="eastAsia" w:ascii="仿宋" w:hAnsi="仿宋" w:eastAsia="仿宋" w:cs="仿宋"/>
                <w:b/>
                <w:bCs/>
                <w:color w:val="auto"/>
                <w:sz w:val="24"/>
              </w:rPr>
              <w:t>投标文件章节及具体内容</w:t>
            </w:r>
          </w:p>
        </w:tc>
        <w:tc>
          <w:tcPr>
            <w:tcW w:w="1276" w:type="dxa"/>
          </w:tcPr>
          <w:p>
            <w:pPr>
              <w:jc w:val="center"/>
              <w:rPr>
                <w:rFonts w:hint="eastAsia" w:ascii="仿宋" w:hAnsi="仿宋" w:eastAsia="仿宋" w:cs="仿宋"/>
                <w:b/>
                <w:bCs/>
                <w:color w:val="auto"/>
                <w:sz w:val="24"/>
              </w:rPr>
            </w:pPr>
            <w:r>
              <w:rPr>
                <w:rFonts w:hint="eastAsia" w:ascii="仿宋" w:hAnsi="仿宋" w:eastAsia="仿宋" w:cs="仿宋"/>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rPr>
            </w:pPr>
            <w:r>
              <w:rPr>
                <w:rFonts w:hint="eastAsia" w:ascii="仿宋" w:hAnsi="仿宋" w:eastAsia="仿宋" w:cs="仿宋"/>
                <w:color w:val="auto"/>
                <w:kern w:val="0"/>
                <w:sz w:val="24"/>
              </w:rPr>
              <w:t>1</w:t>
            </w:r>
          </w:p>
        </w:tc>
        <w:tc>
          <w:tcPr>
            <w:tcW w:w="3683" w:type="dxa"/>
          </w:tcPr>
          <w:p>
            <w:pPr>
              <w:jc w:val="center"/>
              <w:rPr>
                <w:rFonts w:hint="eastAsia" w:ascii="仿宋" w:hAnsi="仿宋" w:eastAsia="仿宋" w:cs="仿宋"/>
                <w:b/>
                <w:color w:val="auto"/>
                <w:kern w:val="0"/>
                <w:sz w:val="32"/>
                <w:szCs w:val="32"/>
              </w:rPr>
            </w:pPr>
          </w:p>
        </w:tc>
        <w:tc>
          <w:tcPr>
            <w:tcW w:w="3546" w:type="dxa"/>
          </w:tcPr>
          <w:p>
            <w:pPr>
              <w:jc w:val="center"/>
              <w:rPr>
                <w:rFonts w:hint="eastAsia" w:ascii="仿宋" w:hAnsi="仿宋" w:eastAsia="仿宋" w:cs="仿宋"/>
                <w:b/>
                <w:color w:val="auto"/>
                <w:kern w:val="0"/>
                <w:sz w:val="32"/>
                <w:szCs w:val="32"/>
              </w:rPr>
            </w:pPr>
          </w:p>
        </w:tc>
        <w:tc>
          <w:tcPr>
            <w:tcW w:w="1276" w:type="dxa"/>
          </w:tcPr>
          <w:p>
            <w:pPr>
              <w:jc w:val="center"/>
              <w:rPr>
                <w:rFonts w:hint="eastAsia" w:ascii="仿宋" w:hAnsi="仿宋" w:eastAsia="仿宋" w:cs="仿宋"/>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rPr>
            </w:pPr>
            <w:r>
              <w:rPr>
                <w:rFonts w:hint="eastAsia" w:ascii="仿宋" w:hAnsi="仿宋" w:eastAsia="仿宋" w:cs="仿宋"/>
                <w:color w:val="auto"/>
                <w:kern w:val="0"/>
                <w:sz w:val="24"/>
              </w:rPr>
              <w:t>2</w:t>
            </w:r>
          </w:p>
        </w:tc>
        <w:tc>
          <w:tcPr>
            <w:tcW w:w="3683" w:type="dxa"/>
          </w:tcPr>
          <w:p>
            <w:pPr>
              <w:jc w:val="center"/>
              <w:rPr>
                <w:rFonts w:hint="eastAsia" w:ascii="仿宋" w:hAnsi="仿宋" w:eastAsia="仿宋" w:cs="仿宋"/>
                <w:b/>
                <w:color w:val="auto"/>
                <w:kern w:val="0"/>
                <w:sz w:val="32"/>
                <w:szCs w:val="32"/>
              </w:rPr>
            </w:pPr>
          </w:p>
        </w:tc>
        <w:tc>
          <w:tcPr>
            <w:tcW w:w="3546" w:type="dxa"/>
          </w:tcPr>
          <w:p>
            <w:pPr>
              <w:jc w:val="center"/>
              <w:rPr>
                <w:rFonts w:hint="eastAsia" w:ascii="仿宋" w:hAnsi="仿宋" w:eastAsia="仿宋" w:cs="仿宋"/>
                <w:b/>
                <w:color w:val="auto"/>
                <w:kern w:val="0"/>
                <w:sz w:val="32"/>
                <w:szCs w:val="32"/>
              </w:rPr>
            </w:pPr>
          </w:p>
        </w:tc>
        <w:tc>
          <w:tcPr>
            <w:tcW w:w="1276" w:type="dxa"/>
          </w:tcPr>
          <w:p>
            <w:pPr>
              <w:jc w:val="center"/>
              <w:rPr>
                <w:rFonts w:hint="eastAsia" w:ascii="仿宋" w:hAnsi="仿宋" w:eastAsia="仿宋" w:cs="仿宋"/>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rPr>
            </w:pPr>
            <w:r>
              <w:rPr>
                <w:rFonts w:hint="eastAsia" w:ascii="仿宋" w:hAnsi="仿宋" w:eastAsia="仿宋" w:cs="仿宋"/>
                <w:color w:val="auto"/>
                <w:kern w:val="0"/>
                <w:sz w:val="24"/>
              </w:rPr>
              <w:t>……</w:t>
            </w:r>
          </w:p>
        </w:tc>
        <w:tc>
          <w:tcPr>
            <w:tcW w:w="3683" w:type="dxa"/>
          </w:tcPr>
          <w:p>
            <w:pPr>
              <w:jc w:val="center"/>
              <w:rPr>
                <w:rFonts w:hint="eastAsia" w:ascii="仿宋" w:hAnsi="仿宋" w:eastAsia="仿宋" w:cs="仿宋"/>
                <w:b/>
                <w:color w:val="auto"/>
                <w:kern w:val="0"/>
                <w:sz w:val="32"/>
                <w:szCs w:val="32"/>
              </w:rPr>
            </w:pPr>
          </w:p>
        </w:tc>
        <w:tc>
          <w:tcPr>
            <w:tcW w:w="3546" w:type="dxa"/>
          </w:tcPr>
          <w:p>
            <w:pPr>
              <w:jc w:val="center"/>
              <w:rPr>
                <w:rFonts w:hint="eastAsia" w:ascii="仿宋" w:hAnsi="仿宋" w:eastAsia="仿宋" w:cs="仿宋"/>
                <w:b/>
                <w:color w:val="auto"/>
                <w:kern w:val="0"/>
                <w:sz w:val="32"/>
                <w:szCs w:val="32"/>
              </w:rPr>
            </w:pPr>
          </w:p>
        </w:tc>
        <w:tc>
          <w:tcPr>
            <w:tcW w:w="1276" w:type="dxa"/>
          </w:tcPr>
          <w:p>
            <w:pPr>
              <w:jc w:val="center"/>
              <w:rPr>
                <w:rFonts w:hint="eastAsia" w:ascii="仿宋" w:hAnsi="仿宋" w:eastAsia="仿宋" w:cs="仿宋"/>
                <w:b/>
                <w:color w:val="auto"/>
                <w:kern w:val="0"/>
                <w:sz w:val="32"/>
                <w:szCs w:val="32"/>
              </w:rPr>
            </w:pPr>
          </w:p>
        </w:tc>
      </w:tr>
    </w:tbl>
    <w:p>
      <w:pPr>
        <w:jc w:val="left"/>
        <w:rPr>
          <w:rFonts w:hint="eastAsia" w:ascii="仿宋" w:hAnsi="仿宋" w:eastAsia="仿宋" w:cs="仿宋"/>
          <w:color w:val="auto"/>
          <w:kern w:val="0"/>
          <w:sz w:val="24"/>
        </w:rPr>
      </w:pPr>
      <w:r>
        <w:rPr>
          <w:rFonts w:hint="eastAsia" w:ascii="仿宋" w:hAnsi="仿宋" w:eastAsia="仿宋" w:cs="仿宋"/>
          <w:color w:val="auto"/>
          <w:kern w:val="0"/>
          <w:sz w:val="24"/>
        </w:rPr>
        <w:t>投标人保证：除商务技术偏离表列出的偏离外，投标人响应招标文件的全部要求</w:t>
      </w:r>
    </w:p>
    <w:p>
      <w:pPr>
        <w:jc w:val="center"/>
        <w:rPr>
          <w:rFonts w:hint="eastAsia" w:ascii="仿宋" w:hAnsi="仿宋" w:eastAsia="仿宋" w:cs="仿宋"/>
          <w:b/>
          <w:color w:val="auto"/>
          <w:kern w:val="0"/>
          <w:sz w:val="32"/>
          <w:szCs w:val="32"/>
        </w:rPr>
      </w:pPr>
    </w:p>
    <w:p>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pPr>
        <w:jc w:val="center"/>
        <w:rPr>
          <w:rFonts w:hint="eastAsia" w:ascii="仿宋" w:hAnsi="仿宋" w:eastAsia="仿宋" w:cs="仿宋"/>
          <w:b/>
          <w:color w:val="auto"/>
          <w:kern w:val="0"/>
          <w:sz w:val="32"/>
          <w:szCs w:val="32"/>
        </w:rPr>
      </w:pPr>
    </w:p>
    <w:p>
      <w:pPr>
        <w:ind w:firstLine="1911" w:firstLineChars="595"/>
        <w:rPr>
          <w:rFonts w:hint="eastAsia" w:ascii="仿宋" w:hAnsi="仿宋" w:eastAsia="仿宋" w:cs="仿宋"/>
          <w:b/>
          <w:color w:val="auto"/>
          <w:kern w:val="0"/>
          <w:sz w:val="32"/>
          <w:szCs w:val="32"/>
        </w:rPr>
      </w:pPr>
      <w:r>
        <w:rPr>
          <w:rFonts w:hint="eastAsia" w:ascii="仿宋" w:hAnsi="仿宋" w:eastAsia="仿宋" w:cs="仿宋"/>
          <w:b/>
          <w:bCs/>
          <w:color w:val="auto"/>
          <w:sz w:val="32"/>
          <w:szCs w:val="32"/>
        </w:rPr>
        <w:t>九</w:t>
      </w:r>
      <w:r>
        <w:rPr>
          <w:rFonts w:hint="eastAsia" w:ascii="仿宋" w:hAnsi="仿宋" w:eastAsia="仿宋" w:cs="仿宋"/>
          <w:b/>
          <w:color w:val="auto"/>
          <w:kern w:val="0"/>
          <w:sz w:val="32"/>
          <w:szCs w:val="32"/>
        </w:rPr>
        <w:t>、</w:t>
      </w:r>
      <w:r>
        <w:rPr>
          <w:rFonts w:hint="eastAsia" w:ascii="仿宋" w:hAnsi="仿宋" w:eastAsia="仿宋" w:cs="仿宋"/>
          <w:b/>
          <w:color w:val="auto"/>
          <w:kern w:val="0"/>
          <w:sz w:val="32"/>
          <w:szCs w:val="32"/>
          <w:lang w:val="zh-CN"/>
        </w:rPr>
        <w:t>政府采购供应商廉洁自律承诺书</w:t>
      </w:r>
    </w:p>
    <w:p>
      <w:pPr>
        <w:snapToGrid w:val="0"/>
        <w:spacing w:line="360" w:lineRule="auto"/>
        <w:rPr>
          <w:rFonts w:hint="eastAsia" w:ascii="仿宋" w:hAnsi="仿宋" w:eastAsia="仿宋" w:cs="仿宋"/>
          <w:color w:val="auto"/>
          <w:sz w:val="24"/>
        </w:rPr>
      </w:pP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我单位响应你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好处；</w:t>
      </w:r>
    </w:p>
    <w:p>
      <w:pPr>
        <w:autoSpaceDE w:val="0"/>
        <w:autoSpaceDN w:val="0"/>
        <w:spacing w:line="360" w:lineRule="auto"/>
        <w:ind w:left="481" w:leftChars="229"/>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六、严格遵守《</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政府采购法》《</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招标投标</w:t>
      </w:r>
    </w:p>
    <w:p>
      <w:pPr>
        <w:autoSpaceDE w:val="0"/>
        <w:autoSpaceDN w:val="0"/>
        <w:spacing w:line="360" w:lineRule="auto"/>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法》</w:t>
      </w:r>
      <w:r>
        <w:rPr>
          <w:rFonts w:hint="eastAsia" w:ascii="仿宋" w:hAnsi="仿宋" w:eastAsia="仿宋" w:cs="仿宋"/>
          <w:color w:val="auto"/>
          <w:sz w:val="24"/>
          <w:lang w:val="zh-CN"/>
        </w:rPr>
        <w:t>《中华人民共和国民法典》</w:t>
      </w:r>
      <w:r>
        <w:rPr>
          <w:rFonts w:hint="eastAsia" w:ascii="仿宋" w:hAnsi="仿宋" w:eastAsia="仿宋" w:cs="仿宋"/>
          <w:color w:val="auto"/>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如违反上述承诺，你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有权立即取消我单位投标、中标或在建项目的建设资格，有权拒绝我单位在一定时期内进入你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auto"/>
          <w:kern w:val="0"/>
          <w:sz w:val="24"/>
          <w:lang w:val="zh-CN"/>
        </w:rPr>
      </w:pPr>
    </w:p>
    <w:p>
      <w:pPr>
        <w:autoSpaceDE w:val="0"/>
        <w:autoSpaceDN w:val="0"/>
        <w:spacing w:line="360" w:lineRule="auto"/>
        <w:ind w:left="2"/>
        <w:jc w:val="left"/>
        <w:rPr>
          <w:rFonts w:hint="eastAsia" w:ascii="仿宋" w:hAnsi="仿宋" w:eastAsia="仿宋" w:cs="仿宋"/>
          <w:color w:val="auto"/>
          <w:kern w:val="0"/>
          <w:sz w:val="24"/>
          <w:lang w:val="zh-CN"/>
        </w:rPr>
      </w:pPr>
    </w:p>
    <w:p>
      <w:pPr>
        <w:autoSpaceDE w:val="0"/>
        <w:autoSpaceDN w:val="0"/>
        <w:spacing w:line="360" w:lineRule="auto"/>
        <w:ind w:left="2"/>
        <w:jc w:val="left"/>
        <w:rPr>
          <w:rFonts w:hint="eastAsia" w:ascii="仿宋" w:hAnsi="仿宋" w:eastAsia="仿宋" w:cs="仿宋"/>
          <w:color w:val="auto"/>
          <w:kern w:val="0"/>
          <w:sz w:val="24"/>
          <w:lang w:val="zh-CN"/>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投标人名称（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 xml:space="preserve">）：                                                                                                                                                                                                               </w:t>
      </w:r>
    </w:p>
    <w:p>
      <w:pPr>
        <w:spacing w:line="360" w:lineRule="auto"/>
        <w:ind w:left="4620" w:leftChars="2200"/>
        <w:rPr>
          <w:rFonts w:hint="eastAsia" w:ascii="仿宋" w:hAnsi="仿宋" w:eastAsia="仿宋" w:cs="仿宋"/>
          <w:color w:val="auto"/>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pPr>
        <w:spacing w:line="360" w:lineRule="auto"/>
        <w:jc w:val="center"/>
        <w:rPr>
          <w:rFonts w:hint="eastAsia" w:ascii="仿宋" w:hAnsi="仿宋" w:eastAsia="仿宋" w:cs="仿宋"/>
          <w:b/>
          <w:bCs/>
          <w:color w:val="auto"/>
          <w:sz w:val="24"/>
        </w:rPr>
      </w:pPr>
    </w:p>
    <w:p>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pPr>
        <w:spacing w:line="360" w:lineRule="auto"/>
        <w:jc w:val="center"/>
        <w:rPr>
          <w:rFonts w:hint="eastAsia" w:ascii="仿宋" w:hAnsi="仿宋" w:eastAsia="仿宋" w:cs="仿宋"/>
          <w:b/>
          <w:bCs/>
          <w:color w:val="auto"/>
          <w:sz w:val="24"/>
        </w:rPr>
        <w:sectPr>
          <w:headerReference r:id="rId12" w:type="first"/>
          <w:footerReference r:id="rId14" w:type="first"/>
          <w:headerReference r:id="rId11" w:type="default"/>
          <w:footerReference r:id="rId13" w:type="default"/>
          <w:pgSz w:w="11906" w:h="16838"/>
          <w:pgMar w:top="1276" w:right="1418" w:bottom="1247" w:left="1418" w:header="851" w:footer="992" w:gutter="0"/>
          <w:pgNumType w:fmt="decimal"/>
          <w:cols w:space="720" w:num="1"/>
          <w:titlePg/>
          <w:docGrid w:linePitch="312" w:charSpace="0"/>
        </w:sectPr>
      </w:pPr>
    </w:p>
    <w:p>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报价文件部分</w:t>
      </w:r>
    </w:p>
    <w:p>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pPr>
        <w:spacing w:line="360" w:lineRule="auto"/>
        <w:jc w:val="center"/>
        <w:outlineLvl w:val="0"/>
        <w:rPr>
          <w:rFonts w:hint="eastAsia" w:ascii="仿宋" w:hAnsi="仿宋" w:eastAsia="仿宋" w:cs="仿宋"/>
          <w:b/>
          <w:color w:val="auto"/>
          <w:kern w:val="0"/>
          <w:sz w:val="36"/>
          <w:szCs w:val="36"/>
        </w:rPr>
      </w:pP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（1）开标一览表（报价表）………………………………………………………（页码）</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（2）中小企业声明函………………………………………………………………（页码）</w:t>
      </w: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pStyle w:val="690"/>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rPr>
        <w:sectPr>
          <w:headerReference r:id="rId16" w:type="first"/>
          <w:footerReference r:id="rId18" w:type="first"/>
          <w:headerReference r:id="rId15" w:type="default"/>
          <w:footerReference r:id="rId17" w:type="default"/>
          <w:pgSz w:w="11906" w:h="16838"/>
          <w:pgMar w:top="1276" w:right="1418" w:bottom="1247" w:left="1418" w:header="851" w:footer="992" w:gutter="0"/>
          <w:pgNumType w:fmt="decimal"/>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一、开标一览表（报价表）</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pPr>
        <w:snapToGrid w:val="0"/>
        <w:spacing w:line="360" w:lineRule="auto"/>
        <w:ind w:firstLine="482"/>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rPr>
        <w:t>（项目名称）</w:t>
      </w:r>
      <w:r>
        <w:rPr>
          <w:rFonts w:hint="eastAsia" w:ascii="仿宋" w:hAnsi="仿宋" w:eastAsia="仿宋" w:cs="仿宋"/>
          <w:color w:val="auto"/>
          <w:kern w:val="0"/>
          <w:sz w:val="24"/>
          <w:lang w:val="zh-CN"/>
        </w:rPr>
        <w:t>【招标编号：</w:t>
      </w:r>
      <w:r>
        <w:rPr>
          <w:rFonts w:hint="eastAsia" w:ascii="仿宋" w:hAnsi="仿宋" w:eastAsia="仿宋" w:cs="仿宋"/>
          <w:color w:val="auto"/>
          <w:sz w:val="24"/>
        </w:rPr>
        <w:t>（采购编号）】的实施</w:t>
      </w:r>
      <w:r>
        <w:rPr>
          <w:rFonts w:hint="eastAsia" w:ascii="仿宋" w:hAnsi="仿宋" w:eastAsia="仿宋" w:cs="仿宋"/>
          <w:color w:val="auto"/>
          <w:kern w:val="0"/>
          <w:sz w:val="24"/>
          <w:lang w:val="zh-CN"/>
        </w:rPr>
        <w:t>。</w:t>
      </w:r>
    </w:p>
    <w:p>
      <w:pPr>
        <w:spacing w:line="360" w:lineRule="auto"/>
        <w:jc w:val="center"/>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1417" w:type="dxa"/>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名称</w:t>
            </w:r>
          </w:p>
        </w:tc>
        <w:tc>
          <w:tcPr>
            <w:tcW w:w="1843" w:type="dxa"/>
          </w:tcPr>
          <w:p>
            <w:pPr>
              <w:spacing w:line="360" w:lineRule="auto"/>
              <w:jc w:val="center"/>
              <w:rPr>
                <w:rFonts w:hint="eastAsia" w:ascii="仿宋" w:hAnsi="仿宋" w:eastAsia="仿宋" w:cs="仿宋"/>
                <w:b/>
                <w:color w:val="auto"/>
                <w:sz w:val="24"/>
              </w:rPr>
            </w:pPr>
          </w:p>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品牌（如果有）</w:t>
            </w:r>
          </w:p>
        </w:tc>
        <w:tc>
          <w:tcPr>
            <w:tcW w:w="3118" w:type="dxa"/>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规格型号（或具体服务）</w:t>
            </w:r>
          </w:p>
        </w:tc>
        <w:tc>
          <w:tcPr>
            <w:tcW w:w="993" w:type="dxa"/>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数量</w:t>
            </w:r>
          </w:p>
        </w:tc>
        <w:tc>
          <w:tcPr>
            <w:tcW w:w="1559" w:type="dxa"/>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单价</w:t>
            </w:r>
          </w:p>
        </w:tc>
        <w:tc>
          <w:tcPr>
            <w:tcW w:w="1984" w:type="dxa"/>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总价</w:t>
            </w:r>
          </w:p>
        </w:tc>
        <w:tc>
          <w:tcPr>
            <w:tcW w:w="3119" w:type="dxa"/>
            <w:vAlign w:val="center"/>
          </w:tcPr>
          <w:p>
            <w:pPr>
              <w:spacing w:line="360" w:lineRule="auto"/>
              <w:jc w:val="center"/>
              <w:rPr>
                <w:rFonts w:hint="eastAsia" w:ascii="仿宋" w:hAnsi="仿宋" w:eastAsia="仿宋" w:cs="仿宋"/>
                <w:b/>
                <w:color w:val="auto"/>
                <w:sz w:val="24"/>
              </w:rPr>
            </w:pPr>
          </w:p>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服务要求（年限）</w:t>
            </w:r>
          </w:p>
          <w:p>
            <w:pPr>
              <w:spacing w:line="360" w:lineRule="auto"/>
              <w:jc w:val="center"/>
              <w:rPr>
                <w:rFonts w:hint="eastAsia" w:ascii="仿宋" w:hAnsi="仿宋" w:eastAsia="仿宋" w:cs="仿宋"/>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417" w:type="dxa"/>
            <w:vAlign w:val="center"/>
          </w:tcPr>
          <w:p>
            <w:pPr>
              <w:snapToGrid w:val="0"/>
              <w:spacing w:line="360" w:lineRule="auto"/>
              <w:jc w:val="center"/>
              <w:rPr>
                <w:rFonts w:hint="eastAsia" w:ascii="仿宋" w:hAnsi="仿宋" w:eastAsia="仿宋" w:cs="仿宋"/>
                <w:color w:val="auto"/>
                <w:sz w:val="24"/>
              </w:rPr>
            </w:pPr>
          </w:p>
        </w:tc>
        <w:tc>
          <w:tcPr>
            <w:tcW w:w="1843" w:type="dxa"/>
            <w:vAlign w:val="center"/>
          </w:tcPr>
          <w:p>
            <w:pPr>
              <w:snapToGrid w:val="0"/>
              <w:spacing w:line="360" w:lineRule="auto"/>
              <w:jc w:val="center"/>
              <w:rPr>
                <w:rFonts w:hint="eastAsia" w:ascii="仿宋" w:hAnsi="仿宋" w:eastAsia="仿宋" w:cs="仿宋"/>
                <w:color w:val="auto"/>
                <w:sz w:val="24"/>
              </w:rPr>
            </w:pPr>
          </w:p>
        </w:tc>
        <w:tc>
          <w:tcPr>
            <w:tcW w:w="3118" w:type="dxa"/>
            <w:vAlign w:val="center"/>
          </w:tcPr>
          <w:p>
            <w:pPr>
              <w:snapToGrid w:val="0"/>
              <w:spacing w:line="360" w:lineRule="auto"/>
              <w:jc w:val="center"/>
              <w:rPr>
                <w:rFonts w:hint="eastAsia" w:ascii="仿宋" w:hAnsi="仿宋" w:eastAsia="仿宋" w:cs="仿宋"/>
                <w:color w:val="auto"/>
                <w:sz w:val="24"/>
              </w:rPr>
            </w:pPr>
          </w:p>
        </w:tc>
        <w:tc>
          <w:tcPr>
            <w:tcW w:w="993" w:type="dxa"/>
            <w:vAlign w:val="center"/>
          </w:tcPr>
          <w:p>
            <w:pPr>
              <w:snapToGrid w:val="0"/>
              <w:spacing w:line="360" w:lineRule="auto"/>
              <w:jc w:val="center"/>
              <w:rPr>
                <w:rFonts w:hint="eastAsia" w:ascii="仿宋" w:hAnsi="仿宋" w:eastAsia="仿宋" w:cs="仿宋"/>
                <w:color w:val="auto"/>
                <w:sz w:val="24"/>
              </w:rPr>
            </w:pPr>
          </w:p>
        </w:tc>
        <w:tc>
          <w:tcPr>
            <w:tcW w:w="1559" w:type="dxa"/>
            <w:vAlign w:val="center"/>
          </w:tcPr>
          <w:p>
            <w:pPr>
              <w:spacing w:line="360" w:lineRule="auto"/>
              <w:jc w:val="center"/>
              <w:rPr>
                <w:rFonts w:hint="eastAsia" w:ascii="仿宋" w:hAnsi="仿宋" w:eastAsia="仿宋" w:cs="仿宋"/>
                <w:color w:val="auto"/>
                <w:sz w:val="24"/>
              </w:rPr>
            </w:pPr>
          </w:p>
        </w:tc>
        <w:tc>
          <w:tcPr>
            <w:tcW w:w="1984" w:type="dxa"/>
            <w:vAlign w:val="center"/>
          </w:tcPr>
          <w:p>
            <w:pPr>
              <w:spacing w:line="360" w:lineRule="auto"/>
              <w:jc w:val="center"/>
              <w:rPr>
                <w:rFonts w:hint="eastAsia" w:ascii="仿宋" w:hAnsi="仿宋" w:eastAsia="仿宋" w:cs="仿宋"/>
                <w:color w:val="auto"/>
                <w:sz w:val="24"/>
              </w:rPr>
            </w:pPr>
          </w:p>
        </w:tc>
        <w:tc>
          <w:tcPr>
            <w:tcW w:w="3119" w:type="dxa"/>
            <w:vAlign w:val="center"/>
          </w:tcPr>
          <w:p>
            <w:pPr>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417" w:type="dxa"/>
            <w:vAlign w:val="center"/>
          </w:tcPr>
          <w:p>
            <w:pPr>
              <w:snapToGrid w:val="0"/>
              <w:spacing w:line="360" w:lineRule="auto"/>
              <w:jc w:val="center"/>
              <w:rPr>
                <w:rFonts w:hint="eastAsia" w:ascii="仿宋" w:hAnsi="仿宋" w:eastAsia="仿宋" w:cs="仿宋"/>
                <w:color w:val="auto"/>
                <w:sz w:val="24"/>
              </w:rPr>
            </w:pPr>
          </w:p>
        </w:tc>
        <w:tc>
          <w:tcPr>
            <w:tcW w:w="1843" w:type="dxa"/>
            <w:vAlign w:val="center"/>
          </w:tcPr>
          <w:p>
            <w:pPr>
              <w:snapToGrid w:val="0"/>
              <w:spacing w:line="360" w:lineRule="auto"/>
              <w:jc w:val="center"/>
              <w:rPr>
                <w:rFonts w:hint="eastAsia" w:ascii="仿宋" w:hAnsi="仿宋" w:eastAsia="仿宋" w:cs="仿宋"/>
                <w:color w:val="auto"/>
                <w:sz w:val="24"/>
              </w:rPr>
            </w:pPr>
          </w:p>
        </w:tc>
        <w:tc>
          <w:tcPr>
            <w:tcW w:w="3118" w:type="dxa"/>
            <w:vAlign w:val="center"/>
          </w:tcPr>
          <w:p>
            <w:pPr>
              <w:snapToGrid w:val="0"/>
              <w:spacing w:line="360" w:lineRule="auto"/>
              <w:jc w:val="center"/>
              <w:rPr>
                <w:rFonts w:hint="eastAsia" w:ascii="仿宋" w:hAnsi="仿宋" w:eastAsia="仿宋" w:cs="仿宋"/>
                <w:color w:val="auto"/>
                <w:sz w:val="24"/>
              </w:rPr>
            </w:pPr>
          </w:p>
        </w:tc>
        <w:tc>
          <w:tcPr>
            <w:tcW w:w="993" w:type="dxa"/>
            <w:vAlign w:val="center"/>
          </w:tcPr>
          <w:p>
            <w:pPr>
              <w:snapToGrid w:val="0"/>
              <w:spacing w:line="360" w:lineRule="auto"/>
              <w:jc w:val="center"/>
              <w:rPr>
                <w:rFonts w:hint="eastAsia" w:ascii="仿宋" w:hAnsi="仿宋" w:eastAsia="仿宋" w:cs="仿宋"/>
                <w:color w:val="auto"/>
                <w:sz w:val="24"/>
              </w:rPr>
            </w:pPr>
          </w:p>
        </w:tc>
        <w:tc>
          <w:tcPr>
            <w:tcW w:w="1559" w:type="dxa"/>
            <w:vAlign w:val="center"/>
          </w:tcPr>
          <w:p>
            <w:pPr>
              <w:spacing w:line="360" w:lineRule="auto"/>
              <w:jc w:val="center"/>
              <w:rPr>
                <w:rFonts w:hint="eastAsia" w:ascii="仿宋" w:hAnsi="仿宋" w:eastAsia="仿宋" w:cs="仿宋"/>
                <w:color w:val="auto"/>
                <w:sz w:val="24"/>
              </w:rPr>
            </w:pPr>
          </w:p>
        </w:tc>
        <w:tc>
          <w:tcPr>
            <w:tcW w:w="1984" w:type="dxa"/>
            <w:vAlign w:val="center"/>
          </w:tcPr>
          <w:p>
            <w:pPr>
              <w:spacing w:line="360" w:lineRule="auto"/>
              <w:jc w:val="center"/>
              <w:rPr>
                <w:rFonts w:hint="eastAsia" w:ascii="仿宋" w:hAnsi="仿宋" w:eastAsia="仿宋" w:cs="仿宋"/>
                <w:color w:val="auto"/>
                <w:sz w:val="24"/>
              </w:rPr>
            </w:pPr>
          </w:p>
        </w:tc>
        <w:tc>
          <w:tcPr>
            <w:tcW w:w="3119" w:type="dxa"/>
            <w:vAlign w:val="center"/>
          </w:tcPr>
          <w:p>
            <w:pPr>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w:t>
            </w:r>
          </w:p>
        </w:tc>
        <w:tc>
          <w:tcPr>
            <w:tcW w:w="1417" w:type="dxa"/>
            <w:vAlign w:val="center"/>
          </w:tcPr>
          <w:p>
            <w:pPr>
              <w:snapToGrid w:val="0"/>
              <w:spacing w:line="360" w:lineRule="auto"/>
              <w:jc w:val="center"/>
              <w:rPr>
                <w:rFonts w:hint="eastAsia" w:ascii="仿宋" w:hAnsi="仿宋" w:eastAsia="仿宋" w:cs="仿宋"/>
                <w:color w:val="auto"/>
                <w:sz w:val="24"/>
              </w:rPr>
            </w:pPr>
          </w:p>
        </w:tc>
        <w:tc>
          <w:tcPr>
            <w:tcW w:w="1843" w:type="dxa"/>
            <w:vAlign w:val="center"/>
          </w:tcPr>
          <w:p>
            <w:pPr>
              <w:snapToGrid w:val="0"/>
              <w:spacing w:line="360" w:lineRule="auto"/>
              <w:jc w:val="center"/>
              <w:rPr>
                <w:rFonts w:hint="eastAsia" w:ascii="仿宋" w:hAnsi="仿宋" w:eastAsia="仿宋" w:cs="仿宋"/>
                <w:color w:val="auto"/>
                <w:sz w:val="24"/>
              </w:rPr>
            </w:pPr>
          </w:p>
        </w:tc>
        <w:tc>
          <w:tcPr>
            <w:tcW w:w="3118" w:type="dxa"/>
            <w:vAlign w:val="center"/>
          </w:tcPr>
          <w:p>
            <w:pPr>
              <w:snapToGrid w:val="0"/>
              <w:spacing w:line="360" w:lineRule="auto"/>
              <w:jc w:val="center"/>
              <w:rPr>
                <w:rFonts w:hint="eastAsia" w:ascii="仿宋" w:hAnsi="仿宋" w:eastAsia="仿宋" w:cs="仿宋"/>
                <w:color w:val="auto"/>
                <w:sz w:val="24"/>
              </w:rPr>
            </w:pPr>
          </w:p>
        </w:tc>
        <w:tc>
          <w:tcPr>
            <w:tcW w:w="993" w:type="dxa"/>
            <w:vAlign w:val="center"/>
          </w:tcPr>
          <w:p>
            <w:pPr>
              <w:snapToGrid w:val="0"/>
              <w:spacing w:line="360" w:lineRule="auto"/>
              <w:jc w:val="center"/>
              <w:rPr>
                <w:rFonts w:hint="eastAsia" w:ascii="仿宋" w:hAnsi="仿宋" w:eastAsia="仿宋" w:cs="仿宋"/>
                <w:color w:val="auto"/>
                <w:sz w:val="24"/>
              </w:rPr>
            </w:pPr>
          </w:p>
        </w:tc>
        <w:tc>
          <w:tcPr>
            <w:tcW w:w="1559" w:type="dxa"/>
            <w:vAlign w:val="center"/>
          </w:tcPr>
          <w:p>
            <w:pPr>
              <w:spacing w:line="360" w:lineRule="auto"/>
              <w:jc w:val="center"/>
              <w:rPr>
                <w:rFonts w:hint="eastAsia" w:ascii="仿宋" w:hAnsi="仿宋" w:eastAsia="仿宋" w:cs="仿宋"/>
                <w:color w:val="auto"/>
                <w:sz w:val="24"/>
              </w:rPr>
            </w:pPr>
          </w:p>
        </w:tc>
        <w:tc>
          <w:tcPr>
            <w:tcW w:w="1984" w:type="dxa"/>
            <w:vAlign w:val="center"/>
          </w:tcPr>
          <w:p>
            <w:pPr>
              <w:spacing w:line="360" w:lineRule="auto"/>
              <w:jc w:val="center"/>
              <w:rPr>
                <w:rFonts w:hint="eastAsia" w:ascii="仿宋" w:hAnsi="仿宋" w:eastAsia="仿宋" w:cs="仿宋"/>
                <w:color w:val="auto"/>
                <w:sz w:val="24"/>
              </w:rPr>
            </w:pPr>
          </w:p>
        </w:tc>
        <w:tc>
          <w:tcPr>
            <w:tcW w:w="3119" w:type="dxa"/>
            <w:vAlign w:val="center"/>
          </w:tcPr>
          <w:p>
            <w:pPr>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仿宋" w:hAnsi="仿宋" w:eastAsia="仿宋" w:cs="仿宋"/>
                <w:color w:val="auto"/>
                <w:sz w:val="24"/>
              </w:rPr>
            </w:pPr>
          </w:p>
        </w:tc>
        <w:tc>
          <w:tcPr>
            <w:tcW w:w="1417" w:type="dxa"/>
            <w:vAlign w:val="center"/>
          </w:tcPr>
          <w:p>
            <w:pPr>
              <w:snapToGrid w:val="0"/>
              <w:spacing w:line="360" w:lineRule="auto"/>
              <w:jc w:val="center"/>
              <w:rPr>
                <w:rFonts w:hint="eastAsia" w:ascii="仿宋" w:hAnsi="仿宋" w:eastAsia="仿宋" w:cs="仿宋"/>
                <w:color w:val="auto"/>
                <w:sz w:val="24"/>
              </w:rPr>
            </w:pPr>
          </w:p>
        </w:tc>
        <w:tc>
          <w:tcPr>
            <w:tcW w:w="1843" w:type="dxa"/>
            <w:vAlign w:val="center"/>
          </w:tcPr>
          <w:p>
            <w:pPr>
              <w:snapToGrid w:val="0"/>
              <w:spacing w:line="360" w:lineRule="auto"/>
              <w:jc w:val="center"/>
              <w:rPr>
                <w:rFonts w:hint="eastAsia" w:ascii="仿宋" w:hAnsi="仿宋" w:eastAsia="仿宋" w:cs="仿宋"/>
                <w:color w:val="auto"/>
                <w:sz w:val="24"/>
              </w:rPr>
            </w:pPr>
          </w:p>
        </w:tc>
        <w:tc>
          <w:tcPr>
            <w:tcW w:w="3118" w:type="dxa"/>
            <w:vAlign w:val="center"/>
          </w:tcPr>
          <w:p>
            <w:pPr>
              <w:snapToGrid w:val="0"/>
              <w:spacing w:line="360" w:lineRule="auto"/>
              <w:jc w:val="center"/>
              <w:rPr>
                <w:rFonts w:hint="eastAsia" w:ascii="仿宋" w:hAnsi="仿宋" w:eastAsia="仿宋" w:cs="仿宋"/>
                <w:color w:val="auto"/>
                <w:sz w:val="24"/>
              </w:rPr>
            </w:pPr>
          </w:p>
        </w:tc>
        <w:tc>
          <w:tcPr>
            <w:tcW w:w="993" w:type="dxa"/>
            <w:vAlign w:val="center"/>
          </w:tcPr>
          <w:p>
            <w:pPr>
              <w:snapToGrid w:val="0"/>
              <w:spacing w:line="360" w:lineRule="auto"/>
              <w:jc w:val="center"/>
              <w:rPr>
                <w:rFonts w:hint="eastAsia" w:ascii="仿宋" w:hAnsi="仿宋" w:eastAsia="仿宋" w:cs="仿宋"/>
                <w:color w:val="auto"/>
                <w:sz w:val="24"/>
              </w:rPr>
            </w:pPr>
          </w:p>
        </w:tc>
        <w:tc>
          <w:tcPr>
            <w:tcW w:w="1559" w:type="dxa"/>
            <w:vAlign w:val="center"/>
          </w:tcPr>
          <w:p>
            <w:pPr>
              <w:spacing w:line="360" w:lineRule="auto"/>
              <w:jc w:val="center"/>
              <w:rPr>
                <w:rFonts w:hint="eastAsia" w:ascii="仿宋" w:hAnsi="仿宋" w:eastAsia="仿宋" w:cs="仿宋"/>
                <w:color w:val="auto"/>
                <w:sz w:val="24"/>
              </w:rPr>
            </w:pPr>
          </w:p>
        </w:tc>
        <w:tc>
          <w:tcPr>
            <w:tcW w:w="1984" w:type="dxa"/>
            <w:vAlign w:val="center"/>
          </w:tcPr>
          <w:p>
            <w:pPr>
              <w:spacing w:line="360" w:lineRule="auto"/>
              <w:jc w:val="center"/>
              <w:rPr>
                <w:rFonts w:hint="eastAsia" w:ascii="仿宋" w:hAnsi="仿宋" w:eastAsia="仿宋" w:cs="仿宋"/>
                <w:color w:val="auto"/>
                <w:sz w:val="24"/>
              </w:rPr>
            </w:pPr>
          </w:p>
        </w:tc>
        <w:tc>
          <w:tcPr>
            <w:tcW w:w="3119" w:type="dxa"/>
            <w:vAlign w:val="center"/>
          </w:tcPr>
          <w:p>
            <w:pPr>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仿宋" w:hAnsi="仿宋" w:eastAsia="仿宋" w:cs="仿宋"/>
                <w:color w:val="auto"/>
                <w:sz w:val="24"/>
              </w:rPr>
            </w:pPr>
          </w:p>
        </w:tc>
        <w:tc>
          <w:tcPr>
            <w:tcW w:w="1417" w:type="dxa"/>
            <w:vAlign w:val="center"/>
          </w:tcPr>
          <w:p>
            <w:pPr>
              <w:snapToGrid w:val="0"/>
              <w:spacing w:line="360" w:lineRule="auto"/>
              <w:jc w:val="center"/>
              <w:rPr>
                <w:rFonts w:hint="eastAsia" w:ascii="仿宋" w:hAnsi="仿宋" w:eastAsia="仿宋" w:cs="仿宋"/>
                <w:color w:val="auto"/>
                <w:sz w:val="24"/>
              </w:rPr>
            </w:pPr>
          </w:p>
        </w:tc>
        <w:tc>
          <w:tcPr>
            <w:tcW w:w="1843" w:type="dxa"/>
            <w:vAlign w:val="center"/>
          </w:tcPr>
          <w:p>
            <w:pPr>
              <w:snapToGrid w:val="0"/>
              <w:spacing w:line="360" w:lineRule="auto"/>
              <w:jc w:val="center"/>
              <w:rPr>
                <w:rFonts w:hint="eastAsia" w:ascii="仿宋" w:hAnsi="仿宋" w:eastAsia="仿宋" w:cs="仿宋"/>
                <w:color w:val="auto"/>
                <w:sz w:val="24"/>
              </w:rPr>
            </w:pPr>
          </w:p>
        </w:tc>
        <w:tc>
          <w:tcPr>
            <w:tcW w:w="3118" w:type="dxa"/>
            <w:vAlign w:val="center"/>
          </w:tcPr>
          <w:p>
            <w:pPr>
              <w:snapToGrid w:val="0"/>
              <w:spacing w:line="360" w:lineRule="auto"/>
              <w:jc w:val="center"/>
              <w:rPr>
                <w:rFonts w:hint="eastAsia" w:ascii="仿宋" w:hAnsi="仿宋" w:eastAsia="仿宋" w:cs="仿宋"/>
                <w:color w:val="auto"/>
                <w:sz w:val="24"/>
              </w:rPr>
            </w:pPr>
          </w:p>
        </w:tc>
        <w:tc>
          <w:tcPr>
            <w:tcW w:w="993" w:type="dxa"/>
            <w:vAlign w:val="center"/>
          </w:tcPr>
          <w:p>
            <w:pPr>
              <w:snapToGrid w:val="0"/>
              <w:spacing w:line="360" w:lineRule="auto"/>
              <w:jc w:val="center"/>
              <w:rPr>
                <w:rFonts w:hint="eastAsia" w:ascii="仿宋" w:hAnsi="仿宋" w:eastAsia="仿宋" w:cs="仿宋"/>
                <w:color w:val="auto"/>
                <w:sz w:val="24"/>
              </w:rPr>
            </w:pPr>
          </w:p>
        </w:tc>
        <w:tc>
          <w:tcPr>
            <w:tcW w:w="1559" w:type="dxa"/>
            <w:vAlign w:val="center"/>
          </w:tcPr>
          <w:p>
            <w:pPr>
              <w:spacing w:line="360" w:lineRule="auto"/>
              <w:jc w:val="center"/>
              <w:rPr>
                <w:rFonts w:hint="eastAsia" w:ascii="仿宋" w:hAnsi="仿宋" w:eastAsia="仿宋" w:cs="仿宋"/>
                <w:color w:val="auto"/>
                <w:sz w:val="24"/>
              </w:rPr>
            </w:pPr>
          </w:p>
        </w:tc>
        <w:tc>
          <w:tcPr>
            <w:tcW w:w="1984" w:type="dxa"/>
            <w:vAlign w:val="center"/>
          </w:tcPr>
          <w:p>
            <w:pPr>
              <w:spacing w:line="360" w:lineRule="auto"/>
              <w:jc w:val="center"/>
              <w:rPr>
                <w:rFonts w:hint="eastAsia" w:ascii="仿宋" w:hAnsi="仿宋" w:eastAsia="仿宋" w:cs="仿宋"/>
                <w:color w:val="auto"/>
                <w:sz w:val="24"/>
              </w:rPr>
            </w:pPr>
          </w:p>
        </w:tc>
        <w:tc>
          <w:tcPr>
            <w:tcW w:w="3119" w:type="dxa"/>
            <w:vAlign w:val="center"/>
          </w:tcPr>
          <w:p>
            <w:pPr>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投标报价（小写）</w:t>
            </w:r>
          </w:p>
        </w:tc>
        <w:tc>
          <w:tcPr>
            <w:tcW w:w="7655" w:type="dxa"/>
            <w:gridSpan w:val="4"/>
            <w:vAlign w:val="center"/>
          </w:tcPr>
          <w:p>
            <w:pPr>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投标报价（大写）</w:t>
            </w:r>
          </w:p>
        </w:tc>
        <w:tc>
          <w:tcPr>
            <w:tcW w:w="7655" w:type="dxa"/>
            <w:gridSpan w:val="4"/>
            <w:vAlign w:val="center"/>
          </w:tcPr>
          <w:p>
            <w:pPr>
              <w:spacing w:line="360" w:lineRule="auto"/>
              <w:jc w:val="center"/>
              <w:rPr>
                <w:rFonts w:hint="eastAsia" w:ascii="仿宋" w:hAnsi="仿宋" w:eastAsia="仿宋" w:cs="仿宋"/>
                <w:color w:val="auto"/>
                <w:sz w:val="24"/>
              </w:rPr>
            </w:pPr>
          </w:p>
        </w:tc>
      </w:tr>
    </w:tbl>
    <w:p>
      <w:pPr>
        <w:snapToGrid w:val="0"/>
        <w:spacing w:line="360" w:lineRule="auto"/>
        <w:ind w:left="480"/>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注：</w:t>
      </w:r>
    </w:p>
    <w:p>
      <w:pPr>
        <w:spacing w:line="360" w:lineRule="auto"/>
        <w:ind w:left="-2" w:leftChars="-1"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1、投标人需按本表格式填写，不得自行更改。</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lang w:val="zh-CN"/>
        </w:rPr>
        <w:t>2、有关本项目实施所涉及的一切费用均计入报价。</w:t>
      </w:r>
      <w:r>
        <w:rPr>
          <w:rFonts w:hint="eastAsia" w:ascii="仿宋" w:hAnsi="仿宋" w:eastAsia="仿宋" w:cs="仿宋"/>
          <w:b/>
          <w:color w:val="auto"/>
          <w:kern w:val="0"/>
          <w:sz w:val="24"/>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lang w:val="zh-CN"/>
        </w:rPr>
        <w:t>，</w:t>
      </w:r>
      <w:r>
        <w:rPr>
          <w:rFonts w:hint="eastAsia" w:ascii="仿宋" w:hAnsi="仿宋" w:eastAsia="仿宋" w:cs="仿宋"/>
          <w:b/>
          <w:color w:val="auto"/>
          <w:kern w:val="0"/>
          <w:sz w:val="24"/>
          <w:lang w:val="zh-CN"/>
        </w:rPr>
        <w:t>不得出现“0元”“免费赠送”等形式的无偿报价，</w:t>
      </w:r>
      <w:r>
        <w:rPr>
          <w:rFonts w:hint="eastAsia" w:ascii="仿宋" w:hAnsi="仿宋" w:eastAsia="仿宋" w:cs="仿宋"/>
          <w:b/>
          <w:color w:val="auto"/>
          <w:kern w:val="0"/>
          <w:sz w:val="24"/>
        </w:rPr>
        <w:t>否则视为</w:t>
      </w:r>
      <w:r>
        <w:rPr>
          <w:rFonts w:hint="eastAsia" w:ascii="仿宋" w:hAnsi="仿宋" w:eastAsia="仿宋" w:cs="仿宋"/>
          <w:b/>
          <w:color w:val="auto"/>
          <w:sz w:val="24"/>
        </w:rPr>
        <w:t>投标文件含有采购人不能接受的附加条件的，投标无效</w:t>
      </w:r>
      <w:r>
        <w:rPr>
          <w:rFonts w:hint="eastAsia" w:ascii="仿宋" w:hAnsi="仿宋" w:eastAsia="仿宋" w:cs="仿宋"/>
          <w:b/>
          <w:color w:val="auto"/>
          <w:kern w:val="0"/>
          <w:sz w:val="24"/>
          <w:lang w:val="zh-CN"/>
        </w:rPr>
        <w:t>；采购内容未包含在《开标一览表（报价表）》名称栏中，投标人不能作出合理解释的，</w:t>
      </w:r>
      <w:r>
        <w:rPr>
          <w:rFonts w:hint="eastAsia" w:ascii="仿宋" w:hAnsi="仿宋" w:eastAsia="仿宋" w:cs="仿宋"/>
          <w:b/>
          <w:color w:val="auto"/>
          <w:kern w:val="0"/>
          <w:sz w:val="24"/>
        </w:rPr>
        <w:t>视为</w:t>
      </w:r>
      <w:r>
        <w:rPr>
          <w:rFonts w:hint="eastAsia" w:ascii="仿宋" w:hAnsi="仿宋" w:eastAsia="仿宋" w:cs="仿宋"/>
          <w:b/>
          <w:color w:val="auto"/>
          <w:sz w:val="24"/>
        </w:rPr>
        <w:t>投标文件含有采购人不能接受的附加条件的，投标无效。</w:t>
      </w:r>
    </w:p>
    <w:p>
      <w:pPr>
        <w:snapToGrid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szCs w:val="22"/>
          <w:lang w:val="zh-CN"/>
        </w:rPr>
        <w:t>5、</w:t>
      </w:r>
      <w:r>
        <w:rPr>
          <w:rFonts w:hint="eastAsia" w:ascii="仿宋" w:hAnsi="仿宋" w:eastAsia="仿宋" w:cs="仿宋"/>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仿宋" w:hAnsi="仿宋" w:eastAsia="仿宋" w:cs="仿宋"/>
          <w:b/>
          <w:color w:val="auto"/>
          <w:kern w:val="0"/>
          <w:sz w:val="24"/>
        </w:rPr>
      </w:pPr>
    </w:p>
    <w:p>
      <w:pPr>
        <w:pStyle w:val="690"/>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rPr>
      </w:pPr>
    </w:p>
    <w:p>
      <w:pPr>
        <w:pStyle w:val="690"/>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rPr>
        <w:sectPr>
          <w:pgSz w:w="16838" w:h="11906" w:orient="landscape"/>
          <w:pgMar w:top="1418" w:right="1247" w:bottom="1418" w:left="1276" w:header="851" w:footer="992" w:gutter="0"/>
          <w:pgNumType w:fmt="decimal"/>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rPr>
      </w:pPr>
      <w:r>
        <w:rPr>
          <w:rFonts w:hint="eastAsia" w:ascii="仿宋" w:hAnsi="仿宋" w:eastAsia="仿宋" w:cs="仿宋"/>
          <w:color w:val="auto"/>
          <w:kern w:val="2"/>
          <w:sz w:val="32"/>
          <w:szCs w:val="32"/>
        </w:rPr>
        <w:t>二、</w:t>
      </w:r>
      <w:r>
        <w:rPr>
          <w:rFonts w:hint="eastAsia" w:ascii="仿宋" w:hAnsi="仿宋" w:eastAsia="仿宋" w:cs="仿宋"/>
          <w:color w:val="auto"/>
          <w:sz w:val="32"/>
          <w:szCs w:val="32"/>
        </w:rPr>
        <w:t>中小企业声明函</w:t>
      </w:r>
    </w:p>
    <w:p>
      <w:pPr>
        <w:widowControl/>
        <w:spacing w:line="360" w:lineRule="auto"/>
        <w:ind w:firstLine="120" w:firstLineChars="50"/>
        <w:jc w:val="left"/>
        <w:rPr>
          <w:rFonts w:hint="eastAsia" w:ascii="仿宋" w:hAnsi="仿宋" w:eastAsia="仿宋" w:cs="仿宋"/>
          <w:b/>
          <w:color w:val="auto"/>
          <w:sz w:val="24"/>
        </w:rPr>
      </w:pPr>
      <w:r>
        <w:rPr>
          <w:rFonts w:hint="eastAsia" w:ascii="仿宋" w:hAnsi="仿宋" w:eastAsia="仿宋" w:cs="仿宋"/>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690"/>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tabs>
          <w:tab w:val="left" w:pos="8085"/>
        </w:tabs>
        <w:spacing w:line="360" w:lineRule="auto"/>
        <w:ind w:firstLine="1285" w:firstLineChars="400"/>
        <w:jc w:val="left"/>
        <w:rPr>
          <w:rFonts w:hint="eastAsia" w:ascii="仿宋" w:hAnsi="仿宋" w:eastAsia="仿宋" w:cs="仿宋"/>
          <w:b/>
          <w:color w:val="auto"/>
          <w:sz w:val="32"/>
          <w:szCs w:val="32"/>
        </w:rPr>
      </w:pPr>
      <w:r>
        <w:rPr>
          <w:rFonts w:hint="eastAsia" w:ascii="仿宋" w:hAnsi="仿宋" w:eastAsia="仿宋" w:cs="仿宋"/>
          <w:b/>
          <w:color w:val="auto"/>
          <w:sz w:val="32"/>
          <w:szCs w:val="32"/>
        </w:rPr>
        <w:t>政府采购支持中小企业信用融资相关事项通知</w:t>
      </w:r>
    </w:p>
    <w:p>
      <w:pPr>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一、适用对象</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二、相关信息获取方式</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三、　政府采购信用融资操作流程：</w:t>
      </w:r>
    </w:p>
    <w:p>
      <w:pPr>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（一）线上融资模式：</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1.供应商根据合作银行提供的方案，自行选择金融产品，并办理开户等手续；</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2.供应商中标后，可通过杭州市政府采购网或“浙里办”测算授信额度；</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3.采购合同签订后，供应商在杭州市政府采购网或“浙里办”向合作银行发出融资申请；</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4.审批通过后，在线办理放贷手续。</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（二）线下融资模式：</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1.供应商根据合作银行提供的方案，自行选择金融产品，向合作银行提出信用资格预审，并办理开户等手续；</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2.采购合同签订后，供应商在杭州市政府采购网或“浙里办”向合作银行发出融资申请；</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4.审批通过后，合作银行应按照合作备忘录中约定的审批放款期限和优惠利率及时予以放款。</w:t>
      </w:r>
    </w:p>
    <w:p>
      <w:pPr>
        <w:pStyle w:val="5"/>
        <w:numPr>
          <w:ilvl w:val="255"/>
          <w:numId w:val="0"/>
        </w:numPr>
        <w:ind w:firstLine="960" w:firstLineChars="400"/>
        <w:rPr>
          <w:rFonts w:hint="eastAsia" w:ascii="仿宋" w:hAnsi="仿宋" w:eastAsia="仿宋" w:cs="仿宋"/>
          <w:b w:val="0"/>
          <w:bCs w:val="0"/>
          <w:color w:val="auto"/>
          <w:sz w:val="24"/>
          <w:szCs w:val="24"/>
          <w:lang w:val="en-US"/>
        </w:rPr>
      </w:pPr>
      <w:r>
        <w:rPr>
          <w:rFonts w:hint="eastAsia" w:ascii="仿宋" w:hAnsi="仿宋" w:eastAsia="仿宋" w:cs="仿宋"/>
          <w:b w:val="0"/>
          <w:bCs w:val="0"/>
          <w:color w:val="auto"/>
          <w:sz w:val="24"/>
          <w:szCs w:val="24"/>
          <w:lang w:val="en-US"/>
        </w:rPr>
        <w:t>（三）杭州e融平台申请融资</w:t>
      </w:r>
    </w:p>
    <w:p>
      <w:pPr>
        <w:pStyle w:val="5"/>
        <w:numPr>
          <w:ilvl w:val="255"/>
          <w:numId w:val="0"/>
        </w:numPr>
        <w:ind w:firstLine="960" w:firstLineChars="400"/>
        <w:rPr>
          <w:rFonts w:hint="eastAsia" w:ascii="仿宋" w:hAnsi="仿宋" w:eastAsia="仿宋" w:cs="仿宋"/>
          <w:b w:val="0"/>
          <w:bCs w:val="0"/>
          <w:color w:val="auto"/>
          <w:sz w:val="24"/>
          <w:szCs w:val="24"/>
          <w:lang w:val="en-US"/>
        </w:rPr>
      </w:pPr>
      <w:r>
        <w:rPr>
          <w:rFonts w:hint="eastAsia" w:ascii="仿宋" w:hAnsi="仿宋" w:eastAsia="仿宋" w:cs="仿宋"/>
          <w:b w:val="0"/>
          <w:bCs w:val="0"/>
          <w:color w:val="auto"/>
          <w:sz w:val="24"/>
          <w:szCs w:val="24"/>
          <w:lang w:val="en-US"/>
        </w:rPr>
        <w:t>供应商通过杭州e融平台政采贷专区，自行选择金融产品，按规定手续办理贷款流程。</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四、注意事项</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仿宋" w:hAnsi="仿宋" w:eastAsia="仿宋" w:cs="仿宋"/>
          <w:b/>
          <w:bCs/>
          <w:color w:val="auto"/>
          <w:kern w:val="0"/>
          <w:sz w:val="24"/>
        </w:rPr>
      </w:pPr>
    </w:p>
    <w:p>
      <w:pPr>
        <w:pStyle w:val="4"/>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rPr>
      </w:pPr>
      <w:bookmarkStart w:id="583" w:name="_Toc465665161"/>
      <w:r>
        <w:rPr>
          <w:rFonts w:hint="eastAsia" w:ascii="仿宋" w:hAnsi="仿宋" w:eastAsia="仿宋" w:cs="仿宋"/>
          <w:color w:val="auto"/>
        </w:rPr>
        <w:t>附件</w:t>
      </w:r>
      <w:bookmarkEnd w:id="583"/>
    </w:p>
    <w:p>
      <w:pPr>
        <w:spacing w:line="360" w:lineRule="auto"/>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附件1：</w:t>
      </w:r>
    </w:p>
    <w:p>
      <w:pPr>
        <w:spacing w:line="360" w:lineRule="auto"/>
        <w:jc w:val="center"/>
        <w:rPr>
          <w:rFonts w:hint="eastAsia" w:ascii="仿宋" w:hAnsi="仿宋" w:eastAsia="仿宋" w:cs="仿宋"/>
          <w:b/>
          <w:color w:val="auto"/>
          <w:spacing w:val="6"/>
          <w:sz w:val="32"/>
          <w:szCs w:val="32"/>
        </w:rPr>
      </w:pPr>
      <w:bookmarkStart w:id="584" w:name="OLE_LINK14"/>
      <w:bookmarkStart w:id="585" w:name="OLE_LINK13"/>
      <w:r>
        <w:rPr>
          <w:rFonts w:hint="eastAsia" w:ascii="仿宋" w:hAnsi="仿宋" w:eastAsia="仿宋" w:cs="仿宋"/>
          <w:b/>
          <w:color w:val="auto"/>
          <w:spacing w:val="6"/>
          <w:sz w:val="32"/>
          <w:szCs w:val="32"/>
        </w:rPr>
        <w:t>残疾人福利性单位声明函</w:t>
      </w:r>
    </w:p>
    <w:bookmarkEnd w:id="584"/>
    <w:bookmarkEnd w:id="585"/>
    <w:p>
      <w:pPr>
        <w:spacing w:line="360" w:lineRule="auto"/>
        <w:rPr>
          <w:rFonts w:hint="eastAsia" w:ascii="仿宋" w:hAnsi="仿宋" w:eastAsia="仿宋" w:cs="仿宋"/>
          <w:b/>
          <w:color w:val="auto"/>
          <w:spacing w:val="6"/>
          <w:sz w:val="30"/>
          <w:szCs w:val="30"/>
        </w:rPr>
      </w:pP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本单位对上述声明的真实性负责。如有虚假，将依法承担相应责任。</w:t>
      </w:r>
    </w:p>
    <w:p>
      <w:pPr>
        <w:spacing w:line="360" w:lineRule="auto"/>
        <w:ind w:firstLine="480" w:firstLineChars="200"/>
        <w:rPr>
          <w:rFonts w:hint="eastAsia" w:ascii="仿宋" w:hAnsi="仿宋" w:eastAsia="仿宋" w:cs="仿宋"/>
          <w:color w:val="auto"/>
          <w:sz w:val="24"/>
        </w:rPr>
      </w:pPr>
    </w:p>
    <w:p>
      <w:pPr>
        <w:spacing w:line="360" w:lineRule="auto"/>
        <w:ind w:firstLine="480" w:firstLineChars="200"/>
        <w:rPr>
          <w:rFonts w:hint="eastAsia" w:ascii="仿宋" w:hAnsi="仿宋" w:eastAsia="仿宋" w:cs="仿宋"/>
          <w:color w:val="auto"/>
          <w:sz w:val="24"/>
        </w:rPr>
      </w:pPr>
    </w:p>
    <w:p>
      <w:pPr>
        <w:tabs>
          <w:tab w:val="left" w:pos="4860"/>
        </w:tabs>
        <w:spacing w:line="360" w:lineRule="auto"/>
        <w:ind w:right="1560" w:firstLine="480" w:firstLineChars="200"/>
        <w:jc w:val="center"/>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kern w:val="0"/>
          <w:sz w:val="24"/>
          <w:lang w:val="zh-CN"/>
        </w:rPr>
        <w:t>投标人名称（电子签名）</w:t>
      </w:r>
      <w:r>
        <w:rPr>
          <w:rFonts w:hint="eastAsia" w:ascii="仿宋" w:hAnsi="仿宋" w:eastAsia="仿宋" w:cs="仿宋"/>
          <w:color w:val="auto"/>
          <w:sz w:val="24"/>
        </w:rPr>
        <w:t>：</w:t>
      </w:r>
    </w:p>
    <w:p>
      <w:pPr>
        <w:tabs>
          <w:tab w:val="left" w:pos="4860"/>
        </w:tabs>
        <w:spacing w:line="360" w:lineRule="auto"/>
        <w:ind w:right="1560" w:firstLine="480" w:firstLineChars="200"/>
        <w:jc w:val="center"/>
        <w:rPr>
          <w:rFonts w:hint="eastAsia" w:ascii="仿宋" w:hAnsi="仿宋" w:eastAsia="仿宋" w:cs="仿宋"/>
          <w:color w:val="auto"/>
          <w:sz w:val="24"/>
        </w:rPr>
      </w:pPr>
      <w:r>
        <w:rPr>
          <w:rFonts w:hint="eastAsia" w:ascii="仿宋" w:hAnsi="仿宋" w:eastAsia="仿宋" w:cs="仿宋"/>
          <w:color w:val="auto"/>
          <w:sz w:val="24"/>
        </w:rPr>
        <w:t xml:space="preserve">       日  期：</w:t>
      </w:r>
    </w:p>
    <w:p>
      <w:pPr>
        <w:spacing w:line="360" w:lineRule="auto"/>
        <w:ind w:firstLine="480" w:firstLineChars="200"/>
        <w:rPr>
          <w:rFonts w:hint="eastAsia" w:ascii="仿宋" w:hAnsi="仿宋" w:eastAsia="仿宋" w:cs="仿宋"/>
          <w:color w:val="auto"/>
          <w:sz w:val="24"/>
        </w:rPr>
      </w:pPr>
    </w:p>
    <w:p>
      <w:pPr>
        <w:spacing w:line="360" w:lineRule="auto"/>
        <w:ind w:firstLine="420" w:firstLineChars="200"/>
        <w:rPr>
          <w:rFonts w:hint="eastAsia" w:ascii="仿宋" w:hAnsi="仿宋" w:eastAsia="仿宋" w:cs="仿宋"/>
          <w:color w:val="auto"/>
        </w:rPr>
      </w:pPr>
    </w:p>
    <w:p>
      <w:pPr>
        <w:spacing w:line="360" w:lineRule="auto"/>
        <w:ind w:firstLine="420" w:firstLineChars="200"/>
        <w:rPr>
          <w:rFonts w:hint="eastAsia" w:ascii="仿宋" w:hAnsi="仿宋" w:eastAsia="仿宋" w:cs="仿宋"/>
          <w:color w:val="auto"/>
        </w:rPr>
      </w:pPr>
    </w:p>
    <w:p>
      <w:pPr>
        <w:spacing w:line="360" w:lineRule="auto"/>
        <w:ind w:firstLine="420" w:firstLineChars="200"/>
        <w:rPr>
          <w:rFonts w:hint="eastAsia" w:ascii="仿宋" w:hAnsi="仿宋" w:eastAsia="仿宋" w:cs="仿宋"/>
          <w:color w:val="auto"/>
        </w:rPr>
      </w:pPr>
    </w:p>
    <w:p>
      <w:pPr>
        <w:spacing w:line="360" w:lineRule="auto"/>
        <w:ind w:firstLine="420" w:firstLineChars="200"/>
        <w:rPr>
          <w:rFonts w:hint="eastAsia" w:ascii="仿宋" w:hAnsi="仿宋" w:eastAsia="仿宋" w:cs="仿宋"/>
          <w:color w:val="auto"/>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jc w:val="left"/>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附件2：质疑函范本及制作说明</w:t>
      </w:r>
    </w:p>
    <w:p>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质疑函范本</w:t>
      </w:r>
    </w:p>
    <w:p>
      <w:pPr>
        <w:snapToGrid w:val="0"/>
        <w:spacing w:before="240" w:beforeLines="100" w:line="360" w:lineRule="auto"/>
        <w:rPr>
          <w:rFonts w:hint="eastAsia" w:ascii="仿宋" w:hAnsi="仿宋" w:eastAsia="仿宋" w:cs="仿宋"/>
          <w:bCs/>
          <w:color w:val="auto"/>
          <w:sz w:val="24"/>
        </w:rPr>
      </w:pPr>
      <w:r>
        <w:rPr>
          <w:rFonts w:hint="eastAsia" w:ascii="仿宋" w:hAnsi="仿宋" w:eastAsia="仿宋" w:cs="仿宋"/>
          <w:bCs/>
          <w:color w:val="auto"/>
          <w:sz w:val="24"/>
        </w:rPr>
        <w:t>一、质疑供应商基本信息</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质疑供应商：</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地址：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授权代表：</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地址： </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二、质疑项目基本情况</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质疑项目的名称：</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质疑项目的编号：</w:t>
      </w:r>
      <w:r>
        <w:rPr>
          <w:rFonts w:hint="eastAsia" w:ascii="仿宋" w:hAnsi="仿宋" w:eastAsia="仿宋" w:cs="仿宋"/>
          <w:color w:val="auto"/>
          <w:sz w:val="24"/>
          <w:u w:val="dotted"/>
        </w:rPr>
        <w:t xml:space="preserve">               </w:t>
      </w:r>
      <w:r>
        <w:rPr>
          <w:rFonts w:hint="eastAsia" w:ascii="仿宋" w:hAnsi="仿宋" w:eastAsia="仿宋" w:cs="仿宋"/>
          <w:color w:val="auto"/>
          <w:sz w:val="24"/>
        </w:rPr>
        <w:t>包号：</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采购人名称：</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采购文件获取日期：</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三、质疑事项具体内容</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质疑事项1：</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事实依据：</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法律依据：</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质疑事项2</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w:t>
      </w:r>
    </w:p>
    <w:p>
      <w:pPr>
        <w:snapToGri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四、与质疑事项相关的质疑请求</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请求：</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签字(签章)：                   公章：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日期：    </w:t>
      </w:r>
    </w:p>
    <w:p>
      <w:pPr>
        <w:spacing w:line="360" w:lineRule="auto"/>
        <w:jc w:val="center"/>
        <w:rPr>
          <w:rFonts w:hint="eastAsia" w:ascii="仿宋" w:hAnsi="仿宋" w:eastAsia="仿宋" w:cs="仿宋"/>
          <w:b/>
          <w:bCs/>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质疑函制作说明：</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1.供应商提出质疑时，应提交质疑函和必要的证明材料。</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2.质疑供应商若委托代理人进行质疑的，质疑函应按要求列明“授权代表”的有关内容，并在附件中提交由质疑</w:t>
      </w:r>
      <w:r>
        <w:rPr>
          <w:rFonts w:hint="eastAsia" w:ascii="仿宋" w:hAnsi="仿宋" w:eastAsia="仿宋" w:cs="仿宋"/>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5.质疑函的质疑请求应与质疑事项相关。</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color w:val="auto"/>
          <w:sz w:val="30"/>
          <w:szCs w:val="30"/>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left"/>
        <w:rPr>
          <w:rFonts w:hint="eastAsia" w:ascii="仿宋" w:hAnsi="仿宋" w:eastAsia="仿宋" w:cs="仿宋"/>
          <w:b/>
          <w:color w:val="auto"/>
          <w:spacing w:val="6"/>
          <w:sz w:val="32"/>
          <w:szCs w:val="32"/>
        </w:rPr>
      </w:pPr>
    </w:p>
    <w:p>
      <w:pPr>
        <w:spacing w:line="360" w:lineRule="auto"/>
        <w:jc w:val="left"/>
        <w:rPr>
          <w:rFonts w:hint="eastAsia" w:ascii="仿宋" w:hAnsi="仿宋" w:eastAsia="仿宋" w:cs="仿宋"/>
          <w:b/>
          <w:color w:val="auto"/>
          <w:spacing w:val="6"/>
          <w:sz w:val="32"/>
          <w:szCs w:val="32"/>
        </w:rPr>
      </w:pPr>
    </w:p>
    <w:p>
      <w:pPr>
        <w:spacing w:line="360" w:lineRule="auto"/>
        <w:jc w:val="left"/>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附件3：投诉书范本及制作说明</w:t>
      </w:r>
    </w:p>
    <w:p>
      <w:pPr>
        <w:spacing w:line="360" w:lineRule="auto"/>
        <w:jc w:val="center"/>
        <w:rPr>
          <w:rFonts w:hint="eastAsia" w:ascii="仿宋" w:hAnsi="仿宋" w:eastAsia="仿宋" w:cs="仿宋"/>
          <w:b/>
          <w:color w:val="auto"/>
          <w:sz w:val="24"/>
        </w:rPr>
      </w:pPr>
    </w:p>
    <w:p>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投诉书范本</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一、投诉相关主体基本情况</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投诉人：</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tabs>
          <w:tab w:val="left" w:pos="6510"/>
        </w:tabs>
        <w:spacing w:line="360" w:lineRule="auto"/>
        <w:jc w:val="left"/>
        <w:rPr>
          <w:rFonts w:hint="eastAsia" w:ascii="仿宋" w:hAnsi="仿宋" w:eastAsia="仿宋" w:cs="仿宋"/>
          <w:color w:val="auto"/>
          <w:sz w:val="24"/>
        </w:rPr>
      </w:pPr>
      <w:r>
        <w:rPr>
          <w:rFonts w:hint="eastAsia" w:ascii="仿宋" w:hAnsi="仿宋" w:eastAsia="仿宋" w:cs="仿宋"/>
          <w:color w:val="auto"/>
          <w:sz w:val="24"/>
        </w:rPr>
        <w:t>法定代表人/主要负责人：</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pPr>
        <w:tabs>
          <w:tab w:val="left" w:pos="6510"/>
        </w:tabs>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授权代表：</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被投诉人1：</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被投诉人2</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相关供应商：</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二、投诉项目基本情况</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采购项目名称：</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采购项目编号：</w:t>
      </w:r>
      <w:r>
        <w:rPr>
          <w:rFonts w:hint="eastAsia" w:ascii="仿宋" w:hAnsi="仿宋" w:eastAsia="仿宋" w:cs="仿宋"/>
          <w:color w:val="auto"/>
          <w:sz w:val="24"/>
          <w:u w:val="dotted"/>
        </w:rPr>
        <w:t xml:space="preserve">                 </w:t>
      </w:r>
      <w:r>
        <w:rPr>
          <w:rFonts w:hint="eastAsia" w:ascii="仿宋" w:hAnsi="仿宋" w:eastAsia="仿宋" w:cs="仿宋"/>
          <w:color w:val="auto"/>
          <w:sz w:val="24"/>
        </w:rPr>
        <w:t>包号：</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采购人名称：</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代理机构名称：</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采购文件公告: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采购结果公告: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三、质疑基本情况</w:t>
      </w:r>
    </w:p>
    <w:p>
      <w:pPr>
        <w:spacing w:line="360" w:lineRule="auto"/>
        <w:ind w:firstLine="480" w:firstLineChars="200"/>
        <w:rPr>
          <w:rFonts w:hint="eastAsia" w:ascii="仿宋" w:hAnsi="仿宋" w:eastAsia="仿宋" w:cs="仿宋"/>
          <w:color w:val="auto"/>
          <w:sz w:val="24"/>
          <w:u w:val="dotted"/>
        </w:rPr>
      </w:pPr>
      <w:r>
        <w:rPr>
          <w:rFonts w:hint="eastAsia" w:ascii="仿宋" w:hAnsi="仿宋" w:eastAsia="仿宋" w:cs="仿宋"/>
          <w:color w:val="auto"/>
          <w:sz w:val="24"/>
        </w:rPr>
        <w:t>投诉人于</w:t>
      </w:r>
      <w:r>
        <w:rPr>
          <w:rFonts w:hint="eastAsia" w:ascii="仿宋" w:hAnsi="仿宋" w:eastAsia="仿宋" w:cs="仿宋"/>
          <w:color w:val="auto"/>
          <w:sz w:val="24"/>
          <w:u w:val="dotted"/>
        </w:rPr>
        <w:t xml:space="preserve">   </w:t>
      </w:r>
      <w:r>
        <w:rPr>
          <w:rFonts w:hint="eastAsia" w:ascii="仿宋" w:hAnsi="仿宋" w:eastAsia="仿宋" w:cs="仿宋"/>
          <w:color w:val="auto"/>
          <w:sz w:val="24"/>
        </w:rPr>
        <w:t>年</w:t>
      </w:r>
      <w:r>
        <w:rPr>
          <w:rFonts w:hint="eastAsia" w:ascii="仿宋" w:hAnsi="仿宋" w:eastAsia="仿宋" w:cs="仿宋"/>
          <w:color w:val="auto"/>
          <w:sz w:val="24"/>
          <w:u w:val="dotted"/>
        </w:rPr>
        <w:t xml:space="preserve">   </w:t>
      </w:r>
      <w:r>
        <w:rPr>
          <w:rFonts w:hint="eastAsia" w:ascii="仿宋" w:hAnsi="仿宋" w:eastAsia="仿宋" w:cs="仿宋"/>
          <w:color w:val="auto"/>
          <w:sz w:val="24"/>
        </w:rPr>
        <w:t>月</w:t>
      </w:r>
      <w:r>
        <w:rPr>
          <w:rFonts w:hint="eastAsia" w:ascii="仿宋" w:hAnsi="仿宋" w:eastAsia="仿宋" w:cs="仿宋"/>
          <w:color w:val="auto"/>
          <w:sz w:val="24"/>
          <w:u w:val="dotted"/>
        </w:rPr>
        <w:t xml:space="preserve">  </w:t>
      </w:r>
      <w:r>
        <w:rPr>
          <w:rFonts w:hint="eastAsia" w:ascii="仿宋" w:hAnsi="仿宋" w:eastAsia="仿宋" w:cs="仿宋"/>
          <w:color w:val="auto"/>
          <w:sz w:val="24"/>
        </w:rPr>
        <w:t>日,向</w:t>
      </w:r>
      <w:r>
        <w:rPr>
          <w:rFonts w:hint="eastAsia" w:ascii="仿宋" w:hAnsi="仿宋" w:eastAsia="仿宋" w:cs="仿宋"/>
          <w:color w:val="auto"/>
          <w:sz w:val="24"/>
          <w:u w:val="dotted"/>
        </w:rPr>
        <w:t xml:space="preserve">                   </w:t>
      </w:r>
      <w:r>
        <w:rPr>
          <w:rFonts w:hint="eastAsia" w:ascii="仿宋" w:hAnsi="仿宋" w:eastAsia="仿宋" w:cs="仿宋"/>
          <w:color w:val="auto"/>
          <w:sz w:val="24"/>
        </w:rPr>
        <w:t>提出质疑，质疑事项为：</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pPr>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u w:val="dotted"/>
        </w:rPr>
        <w:t>采购人/代理机构</w:t>
      </w:r>
      <w:r>
        <w:rPr>
          <w:rFonts w:hint="eastAsia" w:ascii="仿宋" w:hAnsi="仿宋" w:eastAsia="仿宋" w:cs="仿宋"/>
          <w:color w:val="auto"/>
          <w:sz w:val="24"/>
        </w:rPr>
        <w:t>于</w:t>
      </w:r>
      <w:r>
        <w:rPr>
          <w:rFonts w:hint="eastAsia" w:ascii="仿宋" w:hAnsi="仿宋" w:eastAsia="仿宋" w:cs="仿宋"/>
          <w:color w:val="auto"/>
          <w:sz w:val="24"/>
          <w:u w:val="dotted"/>
        </w:rPr>
        <w:t xml:space="preserve">   </w:t>
      </w:r>
      <w:r>
        <w:rPr>
          <w:rFonts w:hint="eastAsia" w:ascii="仿宋" w:hAnsi="仿宋" w:eastAsia="仿宋" w:cs="仿宋"/>
          <w:color w:val="auto"/>
          <w:sz w:val="24"/>
        </w:rPr>
        <w:t>年</w:t>
      </w:r>
      <w:r>
        <w:rPr>
          <w:rFonts w:hint="eastAsia" w:ascii="仿宋" w:hAnsi="仿宋" w:eastAsia="仿宋" w:cs="仿宋"/>
          <w:color w:val="auto"/>
          <w:sz w:val="24"/>
          <w:u w:val="dotted"/>
        </w:rPr>
        <w:t xml:space="preserve">   </w:t>
      </w:r>
      <w:r>
        <w:rPr>
          <w:rFonts w:hint="eastAsia" w:ascii="仿宋" w:hAnsi="仿宋" w:eastAsia="仿宋" w:cs="仿宋"/>
          <w:color w:val="auto"/>
          <w:sz w:val="24"/>
        </w:rPr>
        <w:t>月</w:t>
      </w:r>
      <w:r>
        <w:rPr>
          <w:rFonts w:hint="eastAsia" w:ascii="仿宋" w:hAnsi="仿宋" w:eastAsia="仿宋" w:cs="仿宋"/>
          <w:color w:val="auto"/>
          <w:sz w:val="24"/>
          <w:u w:val="dotted"/>
        </w:rPr>
        <w:t xml:space="preserve">   </w:t>
      </w:r>
      <w:r>
        <w:rPr>
          <w:rFonts w:hint="eastAsia" w:ascii="仿宋" w:hAnsi="仿宋" w:eastAsia="仿宋" w:cs="仿宋"/>
          <w:color w:val="auto"/>
          <w:sz w:val="24"/>
        </w:rPr>
        <w:t>日,就质疑事项作出了答复/没有在法定期限内作出答复。</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四、投诉事项具体内容</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投诉事项 1：</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事实依据：</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法律依据：</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投诉事项2</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五、与投诉事项相关的投诉请求</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请求：</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签字(签章)：                   公章：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日期：    </w:t>
      </w: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投诉书制作说明：</w:t>
      </w:r>
    </w:p>
    <w:p>
      <w:pPr>
        <w:widowControl/>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sz w:val="24"/>
        </w:rPr>
        <w:t>2.投诉人若委托代理人进行投诉的，投诉书应按照要求列明“授权代表”的有关内容，并在附件中提交由</w:t>
      </w:r>
      <w:r>
        <w:rPr>
          <w:rFonts w:hint="eastAsia" w:ascii="仿宋" w:hAnsi="仿宋" w:eastAsia="仿宋" w:cs="仿宋"/>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6.投诉书的投诉请求应与投诉事项相关。</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sz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color w:val="auto"/>
          <w:sz w:val="24"/>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bCs/>
          <w:color w:val="auto"/>
          <w:sz w:val="32"/>
          <w:szCs w:val="32"/>
        </w:rPr>
      </w:pPr>
      <w:r>
        <w:rPr>
          <w:rFonts w:hint="eastAsia" w:ascii="仿宋" w:hAnsi="仿宋" w:eastAsia="仿宋" w:cs="仿宋"/>
          <w:b/>
          <w:color w:val="auto"/>
          <w:spacing w:val="6"/>
          <w:sz w:val="32"/>
          <w:szCs w:val="32"/>
        </w:rPr>
        <w:t>附件4：</w:t>
      </w:r>
      <w:r>
        <w:rPr>
          <w:rFonts w:hint="eastAsia" w:ascii="仿宋" w:hAnsi="仿宋" w:eastAsia="仿宋" w:cs="仿宋"/>
          <w:b/>
          <w:bCs/>
          <w:color w:val="auto"/>
          <w:sz w:val="32"/>
          <w:szCs w:val="32"/>
        </w:rPr>
        <w:t>业务专用章使用说明函</w:t>
      </w:r>
    </w:p>
    <w:p>
      <w:pPr>
        <w:spacing w:line="360" w:lineRule="auto"/>
        <w:rPr>
          <w:rFonts w:hint="eastAsia" w:ascii="仿宋" w:hAnsi="仿宋" w:eastAsia="仿宋" w:cs="仿宋"/>
          <w:color w:val="auto"/>
          <w:sz w:val="24"/>
        </w:rPr>
      </w:pPr>
      <w:r>
        <w:rPr>
          <w:rFonts w:hint="eastAsia" w:ascii="仿宋" w:hAnsi="仿宋" w:eastAsia="仿宋" w:cs="仿宋"/>
          <w:color w:val="auto"/>
          <w:sz w:val="24"/>
          <w:u w:val="single"/>
        </w:rPr>
        <w:t>（采购人）、（采购代理机构）</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lang w:val="zh-CN"/>
        </w:rPr>
        <w:t>我方</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sz w:val="24"/>
        </w:rPr>
        <w:t>(投标人全称)是中华人民共和国依法登记注册的合法企业，</w:t>
      </w:r>
      <w:r>
        <w:rPr>
          <w:rFonts w:hint="eastAsia" w:ascii="仿宋" w:hAnsi="仿宋" w:eastAsia="仿宋" w:cs="仿宋"/>
          <w:bCs/>
          <w:color w:val="auto"/>
          <w:sz w:val="24"/>
        </w:rPr>
        <w:t>在参加</w:t>
      </w:r>
      <w:r>
        <w:rPr>
          <w:rFonts w:hint="eastAsia" w:ascii="仿宋" w:hAnsi="仿宋" w:eastAsia="仿宋" w:cs="仿宋"/>
          <w:color w:val="auto"/>
          <w:sz w:val="24"/>
        </w:rPr>
        <w:t>你方组织的（项目名称）项目【招标编号：（采购编号）】</w:t>
      </w:r>
      <w:r>
        <w:rPr>
          <w:rFonts w:hint="eastAsia" w:ascii="仿宋" w:hAnsi="仿宋" w:eastAsia="仿宋" w:cs="仿宋"/>
          <w:bCs/>
          <w:color w:val="auto"/>
          <w:sz w:val="24"/>
        </w:rPr>
        <w:t>投标活动中作如下说明：</w:t>
      </w:r>
      <w:r>
        <w:rPr>
          <w:rFonts w:hint="eastAsia" w:ascii="仿宋" w:hAnsi="仿宋" w:eastAsia="仿宋" w:cs="仿宋"/>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特此说明。</w:t>
      </w:r>
    </w:p>
    <w:p>
      <w:pPr>
        <w:spacing w:line="360" w:lineRule="auto"/>
        <w:ind w:firstLine="494"/>
        <w:rPr>
          <w:rFonts w:hint="eastAsia" w:ascii="仿宋" w:hAnsi="仿宋" w:eastAsia="仿宋" w:cs="仿宋"/>
          <w:color w:val="auto"/>
          <w:sz w:val="24"/>
        </w:rPr>
      </w:pPr>
    </w:p>
    <w:p>
      <w:pPr>
        <w:spacing w:line="360" w:lineRule="auto"/>
        <w:ind w:firstLine="494"/>
        <w:rPr>
          <w:rFonts w:hint="eastAsia" w:ascii="仿宋" w:hAnsi="仿宋" w:eastAsia="仿宋" w:cs="仿宋"/>
          <w:color w:val="auto"/>
          <w:sz w:val="24"/>
        </w:rPr>
      </w:pPr>
    </w:p>
    <w:p>
      <w:pPr>
        <w:spacing w:line="360" w:lineRule="auto"/>
        <w:ind w:firstLine="494"/>
        <w:rPr>
          <w:rFonts w:hint="eastAsia" w:ascii="仿宋" w:hAnsi="仿宋" w:eastAsia="仿宋" w:cs="仿宋"/>
          <w:color w:val="auto"/>
          <w:sz w:val="24"/>
        </w:rPr>
      </w:pPr>
    </w:p>
    <w:p>
      <w:pPr>
        <w:spacing w:line="360" w:lineRule="auto"/>
        <w:ind w:firstLine="494"/>
        <w:rPr>
          <w:rFonts w:hint="eastAsia" w:ascii="仿宋" w:hAnsi="仿宋" w:eastAsia="仿宋" w:cs="仿宋"/>
          <w:color w:val="auto"/>
          <w:sz w:val="24"/>
        </w:rPr>
      </w:pPr>
    </w:p>
    <w:p>
      <w:pPr>
        <w:spacing w:line="360" w:lineRule="auto"/>
        <w:ind w:right="480" w:firstLine="4080" w:firstLineChars="1700"/>
        <w:rPr>
          <w:rFonts w:hint="eastAsia" w:ascii="仿宋" w:hAnsi="仿宋" w:eastAsia="仿宋" w:cs="仿宋"/>
          <w:color w:val="auto"/>
          <w:sz w:val="24"/>
        </w:rPr>
      </w:pPr>
      <w:r>
        <w:rPr>
          <w:rFonts w:hint="eastAsia" w:ascii="仿宋" w:hAnsi="仿宋" w:eastAsia="仿宋" w:cs="仿宋"/>
          <w:color w:val="auto"/>
          <w:sz w:val="24"/>
        </w:rPr>
        <w:t>投标单位（法定名称章）：</w:t>
      </w:r>
    </w:p>
    <w:p>
      <w:pPr>
        <w:ind w:right="1440" w:firstLine="494"/>
        <w:jc w:val="center"/>
        <w:rPr>
          <w:rFonts w:hint="eastAsia" w:ascii="仿宋" w:hAnsi="仿宋" w:eastAsia="仿宋" w:cs="仿宋"/>
          <w:color w:val="auto"/>
          <w:sz w:val="24"/>
        </w:rPr>
      </w:pPr>
      <w:r>
        <w:rPr>
          <w:rFonts w:hint="eastAsia" w:ascii="仿宋" w:hAnsi="仿宋" w:eastAsia="仿宋" w:cs="仿宋"/>
          <w:color w:val="auto"/>
          <w:sz w:val="24"/>
        </w:rPr>
        <w:t xml:space="preserve">                              日期：       年     月     日</w:t>
      </w:r>
    </w:p>
    <w:p>
      <w:pPr>
        <w:rPr>
          <w:rFonts w:hint="eastAsia" w:ascii="仿宋" w:hAnsi="仿宋" w:eastAsia="仿宋" w:cs="仿宋"/>
          <w:color w:val="auto"/>
          <w:sz w:val="24"/>
        </w:rPr>
      </w:pPr>
      <w:r>
        <w:rPr>
          <w:rFonts w:hint="eastAsia" w:ascii="仿宋" w:hAnsi="仿宋" w:eastAsia="仿宋" w:cs="仿宋"/>
          <w:b/>
          <w:bCs/>
          <w:color w:val="auto"/>
          <w:sz w:val="24"/>
        </w:rPr>
        <w:t>附：</w:t>
      </w:r>
    </w:p>
    <w:p>
      <w:pPr>
        <w:spacing w:line="360" w:lineRule="auto"/>
        <w:rPr>
          <w:rFonts w:hint="eastAsia" w:ascii="仿宋" w:hAnsi="仿宋" w:eastAsia="仿宋" w:cs="仿宋"/>
          <w:bCs/>
          <w:color w:val="auto"/>
          <w:sz w:val="24"/>
        </w:rPr>
      </w:pPr>
      <w:r>
        <w:rPr>
          <w:rFonts w:hint="eastAsia" w:ascii="仿宋" w:hAnsi="仿宋" w:eastAsia="仿宋" w:cs="仿宋"/>
          <w:b/>
          <w:bCs/>
          <w:color w:val="auto"/>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rPr>
        <w:t>投标单位法定名称章（印模）                投标单位“XX专用章”（印模）</w:t>
      </w: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bCs/>
          <w:color w:val="auto"/>
          <w:sz w:val="32"/>
          <w:szCs w:val="32"/>
        </w:rPr>
      </w:pPr>
      <w:r>
        <w:rPr>
          <w:rFonts w:hint="eastAsia" w:ascii="仿宋" w:hAnsi="仿宋" w:eastAsia="仿宋" w:cs="仿宋"/>
          <w:b/>
          <w:color w:val="auto"/>
          <w:spacing w:val="6"/>
          <w:sz w:val="32"/>
          <w:szCs w:val="32"/>
        </w:rPr>
        <w:t>附件5：</w:t>
      </w:r>
      <w:r>
        <w:rPr>
          <w:rFonts w:hint="eastAsia" w:ascii="仿宋" w:hAnsi="仿宋" w:eastAsia="仿宋" w:cs="仿宋"/>
          <w:b/>
          <w:color w:val="auto"/>
          <w:sz w:val="32"/>
          <w:szCs w:val="32"/>
        </w:rPr>
        <w:t>中小企业声明函</w:t>
      </w:r>
    </w:p>
    <w:p>
      <w:pPr>
        <w:spacing w:line="360" w:lineRule="auto"/>
        <w:jc w:val="center"/>
        <w:rPr>
          <w:rFonts w:hint="eastAsia" w:ascii="仿宋" w:hAnsi="仿宋" w:eastAsia="仿宋" w:cs="仿宋"/>
          <w:color w:val="auto"/>
          <w:sz w:val="24"/>
          <w:u w:val="single"/>
        </w:rPr>
      </w:pPr>
    </w:p>
    <w:p>
      <w:pPr>
        <w:spacing w:line="36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中小企业声明函（货物）</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本公司（联合体）郑重声明，根据《政府采购促进中小企业发展管理办法》（财库﹝2020﹞46 号）的规定，本公司（联合体）参加 </w:t>
      </w:r>
      <w:r>
        <w:rPr>
          <w:rFonts w:hint="eastAsia" w:ascii="仿宋" w:hAnsi="仿宋" w:eastAsia="仿宋" w:cs="仿宋"/>
          <w:color w:val="auto"/>
          <w:sz w:val="24"/>
          <w:u w:val="single"/>
        </w:rPr>
        <w:t xml:space="preserve">（单位名称） </w:t>
      </w:r>
      <w:r>
        <w:rPr>
          <w:rFonts w:hint="eastAsia" w:ascii="仿宋" w:hAnsi="仿宋" w:eastAsia="仿宋" w:cs="仿宋"/>
          <w:color w:val="auto"/>
          <w:sz w:val="24"/>
        </w:rPr>
        <w:t xml:space="preserve">的 </w:t>
      </w:r>
      <w:r>
        <w:rPr>
          <w:rFonts w:hint="eastAsia" w:ascii="仿宋" w:hAnsi="仿宋" w:eastAsia="仿宋" w:cs="仿宋"/>
          <w:color w:val="auto"/>
          <w:sz w:val="24"/>
          <w:u w:val="single"/>
        </w:rPr>
        <w:t>（项目名称）</w:t>
      </w:r>
      <w:r>
        <w:rPr>
          <w:rFonts w:hint="eastAsia" w:ascii="仿宋" w:hAnsi="仿宋" w:eastAsia="仿宋" w:cs="仿宋"/>
          <w:color w:val="auto"/>
          <w:sz w:val="24"/>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 xml:space="preserve"> ，属于 </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行业 ；制造商为</w:t>
      </w:r>
      <w:r>
        <w:rPr>
          <w:rFonts w:hint="eastAsia" w:ascii="仿宋" w:hAnsi="仿宋" w:eastAsia="仿宋" w:cs="仿宋"/>
          <w:color w:val="auto"/>
          <w:sz w:val="24"/>
          <w:u w:val="single"/>
        </w:rPr>
        <w:t xml:space="preserve"> （企业名称）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w:t>
      </w:r>
      <w:r>
        <w:rPr>
          <w:rFonts w:hint="eastAsia" w:ascii="仿宋" w:hAnsi="仿宋" w:eastAsia="仿宋" w:cs="仿宋"/>
          <w:color w:val="auto"/>
          <w:sz w:val="24"/>
        </w:rPr>
        <w:t xml:space="preserve"> ；</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 xml:space="preserve"> ，属于 </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行业 ；制造商为</w:t>
      </w:r>
      <w:r>
        <w:rPr>
          <w:rFonts w:hint="eastAsia" w:ascii="仿宋" w:hAnsi="仿宋" w:eastAsia="仿宋" w:cs="仿宋"/>
          <w:color w:val="auto"/>
          <w:sz w:val="24"/>
          <w:u w:val="single"/>
        </w:rPr>
        <w:t xml:space="preserve"> （企业名称）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w:t>
      </w:r>
      <w:r>
        <w:rPr>
          <w:rFonts w:hint="eastAsia" w:ascii="仿宋" w:hAnsi="仿宋" w:eastAsia="仿宋" w:cs="仿宋"/>
          <w:color w:val="auto"/>
          <w:sz w:val="24"/>
        </w:rPr>
        <w:t xml:space="preserve"> ；</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本企业对上述声明内容的真实性负责。如有虚假，将依法承担相应责任。</w:t>
      </w:r>
    </w:p>
    <w:p>
      <w:pPr>
        <w:snapToGrid w:val="0"/>
        <w:spacing w:line="360" w:lineRule="auto"/>
        <w:ind w:firstLine="5160" w:firstLineChars="2150"/>
        <w:rPr>
          <w:rFonts w:hint="eastAsia" w:ascii="仿宋" w:hAnsi="仿宋" w:eastAsia="仿宋" w:cs="仿宋"/>
          <w:color w:val="auto"/>
          <w:kern w:val="0"/>
          <w:sz w:val="24"/>
        </w:rPr>
      </w:pPr>
      <w:r>
        <w:rPr>
          <w:rFonts w:hint="eastAsia" w:ascii="仿宋" w:hAnsi="仿宋" w:eastAsia="仿宋" w:cs="仿宋"/>
          <w:color w:val="auto"/>
          <w:kern w:val="0"/>
          <w:sz w:val="24"/>
          <w:lang w:val="zh-CN"/>
        </w:rPr>
        <w:t>投标人名称(电子签名)：</w:t>
      </w:r>
    </w:p>
    <w:p>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w:t>
      </w:r>
      <w:r>
        <w:rPr>
          <w:rFonts w:hint="eastAsia" w:ascii="仿宋" w:hAnsi="仿宋" w:eastAsia="仿宋" w:cs="仿宋"/>
          <w:color w:val="auto"/>
          <w:kern w:val="0"/>
          <w:sz w:val="24"/>
        </w:rPr>
        <w:t xml:space="preserve">：  年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w:t>
      </w:r>
    </w:p>
    <w:p>
      <w:pPr>
        <w:spacing w:line="360" w:lineRule="auto"/>
        <w:jc w:val="left"/>
        <w:rPr>
          <w:rFonts w:hint="eastAsia" w:ascii="仿宋" w:hAnsi="仿宋" w:eastAsia="仿宋" w:cs="仿宋"/>
          <w:color w:val="auto"/>
          <w:sz w:val="18"/>
          <w:szCs w:val="18"/>
        </w:rPr>
      </w:pPr>
      <w:r>
        <w:rPr>
          <w:rFonts w:hint="eastAsia" w:ascii="仿宋" w:hAnsi="仿宋" w:eastAsia="仿宋" w:cs="仿宋"/>
          <w:color w:val="auto"/>
          <w:sz w:val="18"/>
          <w:szCs w:val="18"/>
        </w:rPr>
        <w:t>从业人员、营业收入、资产总额填报上一年度数据，无上一年度数据的新成立企业可不填报。</w:t>
      </w:r>
    </w:p>
    <w:p>
      <w:pPr>
        <w:spacing w:line="360" w:lineRule="auto"/>
        <w:ind w:right="420" w:firstLine="480" w:firstLineChars="200"/>
        <w:rPr>
          <w:rFonts w:hint="eastAsia" w:ascii="仿宋" w:hAnsi="仿宋" w:eastAsia="仿宋" w:cs="仿宋"/>
          <w:color w:val="auto"/>
          <w:sz w:val="24"/>
        </w:rPr>
      </w:pPr>
      <w:r>
        <w:rPr>
          <w:rFonts w:hint="eastAsia" w:ascii="仿宋" w:hAnsi="仿宋" w:eastAsia="仿宋" w:cs="仿宋"/>
          <w:color w:val="auto"/>
          <w:sz w:val="24"/>
        </w:rPr>
        <w:t>注：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w:t>
      </w:r>
      <w:r>
        <w:rPr>
          <w:rFonts w:hint="eastAsia" w:ascii="仿宋" w:hAnsi="仿宋" w:eastAsia="仿宋" w:cs="仿宋"/>
          <w:color w:val="auto"/>
          <w:sz w:val="24"/>
          <w:lang w:eastAsia="zh-CN"/>
        </w:rPr>
        <w:t>无效，</w:t>
      </w:r>
      <w:r>
        <w:rPr>
          <w:rFonts w:hint="eastAsia" w:ascii="仿宋" w:hAnsi="仿宋" w:eastAsia="仿宋" w:cs="仿宋"/>
          <w:color w:val="auto"/>
          <w:sz w:val="24"/>
        </w:rPr>
        <w:t>不享受中小企业扶持政策。声明内容不实的，属于提供虚假材料谋取中标、成交的，依法承担法律责任。</w:t>
      </w:r>
    </w:p>
    <w:p>
      <w:pPr>
        <w:spacing w:line="360" w:lineRule="auto"/>
        <w:ind w:right="420" w:firstLine="480" w:firstLineChars="200"/>
        <w:rPr>
          <w:rFonts w:hint="eastAsia" w:ascii="仿宋" w:hAnsi="仿宋" w:eastAsia="仿宋" w:cs="仿宋"/>
          <w:color w:val="auto"/>
          <w:sz w:val="24"/>
        </w:rPr>
      </w:pPr>
      <w:r>
        <w:rPr>
          <w:rFonts w:hint="eastAsia" w:ascii="仿宋" w:hAnsi="仿宋" w:eastAsia="仿宋" w:cs="仿宋"/>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hint="eastAsia" w:ascii="仿宋" w:hAnsi="仿宋" w:eastAsia="仿宋" w:cs="仿宋"/>
          <w:b/>
          <w:color w:val="auto"/>
          <w:sz w:val="32"/>
          <w:szCs w:val="32"/>
        </w:rPr>
      </w:pPr>
    </w:p>
    <w:p>
      <w:pPr>
        <w:spacing w:line="360" w:lineRule="auto"/>
        <w:jc w:val="center"/>
        <w:rPr>
          <w:rFonts w:hint="eastAsia" w:ascii="仿宋" w:hAnsi="仿宋" w:eastAsia="仿宋" w:cs="仿宋"/>
          <w:b/>
          <w:color w:val="auto"/>
          <w:sz w:val="32"/>
          <w:szCs w:val="32"/>
        </w:rPr>
      </w:pPr>
    </w:p>
    <w:p>
      <w:pPr>
        <w:spacing w:line="360" w:lineRule="auto"/>
        <w:jc w:val="center"/>
        <w:rPr>
          <w:rFonts w:hint="eastAsia" w:ascii="仿宋" w:hAnsi="仿宋" w:eastAsia="仿宋" w:cs="仿宋"/>
          <w:b/>
          <w:color w:val="auto"/>
          <w:sz w:val="32"/>
          <w:szCs w:val="32"/>
        </w:rPr>
      </w:pPr>
    </w:p>
    <w:p>
      <w:pPr>
        <w:spacing w:line="360" w:lineRule="auto"/>
        <w:jc w:val="center"/>
        <w:rPr>
          <w:rFonts w:hint="eastAsia" w:ascii="仿宋" w:hAnsi="仿宋" w:eastAsia="仿宋" w:cs="仿宋"/>
          <w:b/>
          <w:color w:val="auto"/>
          <w:sz w:val="32"/>
          <w:szCs w:val="32"/>
        </w:rPr>
      </w:pPr>
    </w:p>
    <w:p>
      <w:pPr>
        <w:spacing w:line="360" w:lineRule="auto"/>
        <w:jc w:val="center"/>
        <w:rPr>
          <w:rFonts w:hint="eastAsia" w:ascii="仿宋" w:hAnsi="仿宋" w:eastAsia="仿宋" w:cs="仿宋"/>
          <w:b/>
          <w:color w:val="auto"/>
          <w:sz w:val="32"/>
          <w:szCs w:val="32"/>
        </w:rPr>
      </w:pPr>
    </w:p>
    <w:p>
      <w:pPr>
        <w:spacing w:line="360" w:lineRule="auto"/>
        <w:jc w:val="center"/>
        <w:rPr>
          <w:rFonts w:hint="eastAsia" w:ascii="仿宋" w:hAnsi="仿宋" w:eastAsia="仿宋" w:cs="仿宋"/>
          <w:b/>
          <w:color w:val="auto"/>
          <w:sz w:val="32"/>
          <w:szCs w:val="32"/>
        </w:rPr>
      </w:pPr>
    </w:p>
    <w:p>
      <w:pPr>
        <w:spacing w:line="360" w:lineRule="auto"/>
        <w:jc w:val="center"/>
        <w:rPr>
          <w:rFonts w:hint="eastAsia" w:ascii="仿宋" w:hAnsi="仿宋" w:eastAsia="仿宋" w:cs="仿宋"/>
          <w:b/>
          <w:color w:val="auto"/>
          <w:sz w:val="32"/>
          <w:szCs w:val="32"/>
        </w:rPr>
      </w:pPr>
    </w:p>
    <w:p>
      <w:pPr>
        <w:spacing w:line="360" w:lineRule="auto"/>
        <w:jc w:val="center"/>
        <w:rPr>
          <w:rFonts w:hint="eastAsia" w:ascii="仿宋" w:hAnsi="仿宋" w:eastAsia="仿宋" w:cs="仿宋"/>
          <w:b/>
          <w:color w:val="auto"/>
          <w:sz w:val="32"/>
          <w:szCs w:val="32"/>
        </w:rPr>
      </w:pPr>
    </w:p>
    <w:p>
      <w:pPr>
        <w:spacing w:line="360" w:lineRule="auto"/>
        <w:jc w:val="center"/>
        <w:rPr>
          <w:rFonts w:hint="eastAsia" w:ascii="仿宋" w:hAnsi="仿宋" w:eastAsia="仿宋" w:cs="仿宋"/>
          <w:b/>
          <w:color w:val="auto"/>
          <w:sz w:val="32"/>
          <w:szCs w:val="32"/>
        </w:rPr>
      </w:pPr>
    </w:p>
    <w:p>
      <w:pPr>
        <w:spacing w:line="360" w:lineRule="auto"/>
        <w:jc w:val="center"/>
        <w:rPr>
          <w:rFonts w:hint="eastAsia" w:ascii="仿宋" w:hAnsi="仿宋" w:eastAsia="仿宋" w:cs="仿宋"/>
          <w:b/>
          <w:color w:val="auto"/>
          <w:sz w:val="32"/>
          <w:szCs w:val="32"/>
        </w:rPr>
      </w:pPr>
    </w:p>
    <w:p>
      <w:pPr>
        <w:spacing w:line="360" w:lineRule="auto"/>
        <w:jc w:val="center"/>
        <w:rPr>
          <w:rFonts w:hint="eastAsia" w:ascii="仿宋" w:hAnsi="仿宋" w:eastAsia="仿宋" w:cs="仿宋"/>
          <w:b/>
          <w:color w:val="auto"/>
          <w:sz w:val="32"/>
          <w:szCs w:val="32"/>
        </w:rPr>
      </w:pPr>
    </w:p>
    <w:p>
      <w:pPr>
        <w:spacing w:line="360" w:lineRule="auto"/>
        <w:jc w:val="center"/>
        <w:rPr>
          <w:rFonts w:hint="eastAsia" w:ascii="仿宋" w:hAnsi="仿宋" w:eastAsia="仿宋" w:cs="仿宋"/>
          <w:b/>
          <w:color w:val="auto"/>
          <w:sz w:val="32"/>
          <w:szCs w:val="32"/>
        </w:rPr>
      </w:pPr>
    </w:p>
    <w:p>
      <w:pPr>
        <w:spacing w:line="360" w:lineRule="auto"/>
        <w:jc w:val="center"/>
        <w:rPr>
          <w:rFonts w:hint="eastAsia" w:ascii="仿宋" w:hAnsi="仿宋" w:eastAsia="仿宋" w:cs="仿宋"/>
          <w:b/>
          <w:color w:val="auto"/>
          <w:sz w:val="32"/>
          <w:szCs w:val="32"/>
        </w:rPr>
      </w:pPr>
    </w:p>
    <w:p>
      <w:pPr>
        <w:spacing w:line="360" w:lineRule="auto"/>
        <w:jc w:val="center"/>
        <w:rPr>
          <w:rFonts w:hint="eastAsia" w:ascii="仿宋" w:hAnsi="仿宋" w:eastAsia="仿宋" w:cs="仿宋"/>
          <w:b/>
          <w:color w:val="auto"/>
          <w:sz w:val="32"/>
          <w:szCs w:val="32"/>
        </w:rPr>
      </w:pPr>
    </w:p>
    <w:p>
      <w:pPr>
        <w:spacing w:line="360" w:lineRule="auto"/>
        <w:jc w:val="center"/>
        <w:rPr>
          <w:rFonts w:hint="eastAsia" w:ascii="仿宋" w:hAnsi="仿宋" w:eastAsia="仿宋" w:cs="仿宋"/>
          <w:b/>
          <w:color w:val="auto"/>
          <w:sz w:val="32"/>
          <w:szCs w:val="32"/>
        </w:rPr>
      </w:pPr>
    </w:p>
    <w:p>
      <w:pPr>
        <w:spacing w:line="360" w:lineRule="auto"/>
        <w:jc w:val="center"/>
        <w:rPr>
          <w:rFonts w:hint="eastAsia" w:ascii="仿宋" w:hAnsi="仿宋" w:eastAsia="仿宋" w:cs="仿宋"/>
          <w:b/>
          <w:color w:val="auto"/>
          <w:sz w:val="32"/>
          <w:szCs w:val="32"/>
        </w:rPr>
      </w:pPr>
    </w:p>
    <w:p>
      <w:pPr>
        <w:spacing w:line="360" w:lineRule="auto"/>
        <w:jc w:val="center"/>
        <w:rPr>
          <w:rFonts w:hint="eastAsia" w:ascii="仿宋" w:hAnsi="仿宋" w:eastAsia="仿宋" w:cs="仿宋"/>
          <w:b/>
          <w:color w:val="auto"/>
          <w:sz w:val="32"/>
          <w:szCs w:val="32"/>
        </w:rPr>
      </w:pPr>
    </w:p>
    <w:p>
      <w:pPr>
        <w:spacing w:line="360" w:lineRule="auto"/>
        <w:jc w:val="center"/>
        <w:rPr>
          <w:rFonts w:hint="eastAsia" w:ascii="仿宋" w:hAnsi="仿宋" w:eastAsia="仿宋" w:cs="仿宋"/>
          <w:b/>
          <w:color w:val="auto"/>
          <w:sz w:val="32"/>
          <w:szCs w:val="32"/>
        </w:rPr>
      </w:pPr>
    </w:p>
    <w:p>
      <w:pPr>
        <w:spacing w:line="360" w:lineRule="auto"/>
        <w:jc w:val="center"/>
        <w:rPr>
          <w:rFonts w:hint="eastAsia" w:ascii="仿宋" w:hAnsi="仿宋" w:eastAsia="仿宋" w:cs="仿宋"/>
          <w:b/>
          <w:color w:val="auto"/>
          <w:sz w:val="32"/>
          <w:szCs w:val="32"/>
        </w:rPr>
      </w:pPr>
    </w:p>
    <w:p>
      <w:pPr>
        <w:spacing w:line="360" w:lineRule="auto"/>
        <w:jc w:val="center"/>
        <w:rPr>
          <w:rFonts w:hint="eastAsia" w:ascii="仿宋" w:hAnsi="仿宋" w:eastAsia="仿宋" w:cs="仿宋"/>
          <w:b/>
          <w:color w:val="auto"/>
          <w:sz w:val="32"/>
          <w:szCs w:val="32"/>
        </w:rPr>
      </w:pPr>
    </w:p>
    <w:p>
      <w:pPr>
        <w:spacing w:line="360" w:lineRule="auto"/>
        <w:jc w:val="center"/>
        <w:rPr>
          <w:rFonts w:hint="eastAsia" w:ascii="仿宋" w:hAnsi="仿宋" w:eastAsia="仿宋" w:cs="仿宋"/>
          <w:b/>
          <w:color w:val="auto"/>
          <w:sz w:val="32"/>
          <w:szCs w:val="32"/>
        </w:rPr>
      </w:pPr>
    </w:p>
    <w:p>
      <w:pPr>
        <w:spacing w:line="36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中小企业声明函（工程、服务）</w:t>
      </w:r>
    </w:p>
    <w:p>
      <w:pPr>
        <w:spacing w:line="360" w:lineRule="auto"/>
        <w:rPr>
          <w:rFonts w:hint="eastAsia" w:ascii="仿宋" w:hAnsi="仿宋" w:eastAsia="仿宋" w:cs="仿宋"/>
          <w:color w:val="auto"/>
        </w:rPr>
      </w:pPr>
    </w:p>
    <w:p>
      <w:pPr>
        <w:spacing w:line="360" w:lineRule="auto"/>
        <w:ind w:firstLine="360" w:firstLineChars="150"/>
        <w:jc w:val="left"/>
        <w:rPr>
          <w:rFonts w:hint="eastAsia" w:ascii="仿宋" w:hAnsi="仿宋" w:eastAsia="仿宋" w:cs="仿宋"/>
          <w:color w:val="auto"/>
          <w:sz w:val="24"/>
        </w:rPr>
      </w:pPr>
      <w:r>
        <w:rPr>
          <w:rFonts w:hint="eastAsia" w:ascii="仿宋" w:hAnsi="仿宋" w:eastAsia="仿宋" w:cs="仿宋"/>
          <w:color w:val="auto"/>
          <w:sz w:val="24"/>
        </w:rPr>
        <w:t xml:space="preserve">本公司（联合体）郑重声明，根据《政府采购促进中小企业发展管理办法》（财库﹝2020﹞46 号）的规定，本公司（联合体）参加 </w:t>
      </w:r>
      <w:r>
        <w:rPr>
          <w:rFonts w:hint="eastAsia" w:ascii="仿宋" w:hAnsi="仿宋" w:eastAsia="仿宋" w:cs="仿宋"/>
          <w:color w:val="auto"/>
          <w:sz w:val="24"/>
          <w:u w:val="single"/>
        </w:rPr>
        <w:t xml:space="preserve">（单位名称） </w:t>
      </w:r>
      <w:r>
        <w:rPr>
          <w:rFonts w:hint="eastAsia" w:ascii="仿宋" w:hAnsi="仿宋" w:eastAsia="仿宋" w:cs="仿宋"/>
          <w:color w:val="auto"/>
          <w:sz w:val="24"/>
        </w:rPr>
        <w:t>的</w:t>
      </w:r>
      <w:r>
        <w:rPr>
          <w:rFonts w:hint="eastAsia" w:ascii="仿宋" w:hAnsi="仿宋" w:eastAsia="仿宋" w:cs="仿宋"/>
          <w:color w:val="auto"/>
          <w:sz w:val="24"/>
          <w:u w:val="single"/>
        </w:rPr>
        <w:t xml:space="preserve"> （项目名称） </w:t>
      </w:r>
      <w:r>
        <w:rPr>
          <w:rFonts w:hint="eastAsia" w:ascii="仿宋" w:hAnsi="仿宋" w:eastAsia="仿宋" w:cs="仿宋"/>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 xml:space="preserve">，属于 </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 xml:space="preserve"> ；承建（承接）企业为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 xml:space="preserve">，属于 </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 xml:space="preserve"> ；承建（承接）企业为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本企业对上述声明内容的真实性负责。如有虚假，将依法承担相应责任。</w:t>
      </w:r>
    </w:p>
    <w:p>
      <w:pPr>
        <w:spacing w:line="360" w:lineRule="auto"/>
        <w:ind w:right="1760"/>
        <w:jc w:val="right"/>
        <w:rPr>
          <w:rFonts w:hint="eastAsia" w:ascii="仿宋" w:hAnsi="仿宋" w:eastAsia="仿宋" w:cs="仿宋"/>
          <w:color w:val="auto"/>
          <w:sz w:val="24"/>
        </w:rPr>
      </w:pPr>
      <w:r>
        <w:rPr>
          <w:rFonts w:hint="eastAsia" w:ascii="仿宋" w:hAnsi="仿宋" w:eastAsia="仿宋" w:cs="仿宋"/>
          <w:color w:val="auto"/>
          <w:sz w:val="24"/>
        </w:rPr>
        <w:t>投标人名称（电子签名）：</w:t>
      </w:r>
    </w:p>
    <w:p>
      <w:pPr>
        <w:spacing w:line="360" w:lineRule="auto"/>
        <w:ind w:right="1120" w:firstLine="4680" w:firstLineChars="1950"/>
        <w:rPr>
          <w:rFonts w:hint="eastAsia" w:ascii="仿宋" w:hAnsi="仿宋" w:eastAsia="仿宋" w:cs="仿宋"/>
          <w:color w:val="auto"/>
          <w:sz w:val="24"/>
        </w:rPr>
      </w:pPr>
      <w:r>
        <w:rPr>
          <w:rFonts w:hint="eastAsia" w:ascii="仿宋" w:hAnsi="仿宋" w:eastAsia="仿宋" w:cs="仿宋"/>
          <w:color w:val="auto"/>
          <w:sz w:val="24"/>
        </w:rPr>
        <w:t>日 期：</w:t>
      </w:r>
    </w:p>
    <w:p>
      <w:pPr>
        <w:spacing w:line="360" w:lineRule="auto"/>
        <w:ind w:firstLine="310" w:firstLineChars="147"/>
        <w:jc w:val="left"/>
        <w:rPr>
          <w:rFonts w:hint="eastAsia" w:ascii="仿宋" w:hAnsi="仿宋" w:eastAsia="仿宋" w:cs="仿宋"/>
          <w:b/>
          <w:color w:val="auto"/>
          <w:szCs w:val="21"/>
        </w:rPr>
      </w:pPr>
      <w:r>
        <w:rPr>
          <w:rFonts w:hint="eastAsia" w:ascii="仿宋" w:hAnsi="仿宋" w:eastAsia="仿宋" w:cs="仿宋"/>
          <w:b/>
          <w:color w:val="auto"/>
          <w:szCs w:val="21"/>
        </w:rPr>
        <w:t>从业人员、营业收入、资产总额填报上一年度数据，无上一年度数据的新成立企业可不填报。</w:t>
      </w:r>
    </w:p>
    <w:p>
      <w:pPr>
        <w:spacing w:line="360" w:lineRule="auto"/>
        <w:ind w:right="420"/>
        <w:rPr>
          <w:rFonts w:hint="eastAsia" w:ascii="仿宋" w:hAnsi="仿宋" w:eastAsia="仿宋" w:cs="仿宋"/>
          <w:color w:val="auto"/>
          <w:sz w:val="24"/>
        </w:rPr>
      </w:pPr>
    </w:p>
    <w:p>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 xml:space="preserve">   注：</w:t>
      </w:r>
    </w:p>
    <w:p>
      <w:pPr>
        <w:spacing w:line="360" w:lineRule="auto"/>
        <w:ind w:right="420" w:firstLine="480" w:firstLineChars="200"/>
        <w:rPr>
          <w:rFonts w:hint="eastAsia" w:ascii="仿宋" w:hAnsi="仿宋" w:eastAsia="仿宋" w:cs="仿宋"/>
          <w:color w:val="auto"/>
          <w:sz w:val="24"/>
        </w:rPr>
      </w:pPr>
      <w:r>
        <w:rPr>
          <w:rFonts w:hint="eastAsia" w:ascii="仿宋" w:hAnsi="仿宋" w:eastAsia="仿宋" w:cs="仿宋"/>
          <w:color w:val="auto"/>
          <w:sz w:val="24"/>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w:t>
      </w:r>
      <w:r>
        <w:rPr>
          <w:rFonts w:hint="eastAsia" w:ascii="仿宋" w:hAnsi="仿宋" w:eastAsia="仿宋" w:cs="仿宋"/>
          <w:color w:val="auto"/>
          <w:sz w:val="24"/>
          <w:lang w:eastAsia="zh-CN"/>
        </w:rPr>
        <w:t>无效，</w:t>
      </w:r>
      <w:r>
        <w:rPr>
          <w:rFonts w:hint="eastAsia" w:ascii="仿宋" w:hAnsi="仿宋" w:eastAsia="仿宋" w:cs="仿宋"/>
          <w:color w:val="auto"/>
          <w:sz w:val="24"/>
        </w:rPr>
        <w:t>不享受中小企业扶持政策。声明内容不实的，属于提供虚假材料谋取中标、成交的，依法承担法律责任。</w:t>
      </w:r>
    </w:p>
    <w:p>
      <w:pPr>
        <w:spacing w:line="360" w:lineRule="auto"/>
        <w:ind w:right="420" w:firstLine="720" w:firstLineChars="300"/>
        <w:rPr>
          <w:rFonts w:hint="eastAsia" w:ascii="仿宋" w:hAnsi="仿宋" w:eastAsia="仿宋" w:cs="仿宋"/>
          <w:color w:val="auto"/>
          <w:sz w:val="24"/>
        </w:rPr>
      </w:pPr>
      <w:r>
        <w:rPr>
          <w:rFonts w:hint="eastAsia" w:ascii="仿宋" w:hAnsi="仿宋" w:eastAsia="仿宋" w:cs="仿宋"/>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hint="eastAsia" w:ascii="仿宋" w:hAnsi="仿宋" w:eastAsia="仿宋" w:cs="仿宋"/>
          <w:color w:val="auto"/>
          <w:sz w:val="24"/>
        </w:rPr>
      </w:pPr>
      <w:r>
        <w:rPr>
          <w:rFonts w:hint="eastAsia" w:ascii="仿宋" w:hAnsi="仿宋" w:eastAsia="仿宋" w:cs="仿宋"/>
          <w:color w:val="auto"/>
          <w:sz w:val="24"/>
        </w:rPr>
        <w:br w:type="page"/>
      </w:r>
    </w:p>
    <w:p>
      <w:pPr>
        <w:rPr>
          <w:rFonts w:hint="eastAsia" w:ascii="仿宋" w:hAnsi="仿宋" w:eastAsia="仿宋" w:cs="仿宋"/>
          <w:b/>
          <w:color w:val="auto"/>
          <w:sz w:val="24"/>
          <w:lang w:val="en-US" w:eastAsia="zh-CN"/>
        </w:rPr>
      </w:pPr>
      <w:r>
        <w:rPr>
          <w:rFonts w:hint="eastAsia" w:ascii="仿宋" w:hAnsi="仿宋" w:eastAsia="仿宋" w:cs="仿宋"/>
          <w:b/>
          <w:color w:val="auto"/>
          <w:spacing w:val="6"/>
          <w:sz w:val="32"/>
          <w:szCs w:val="32"/>
          <w:highlight w:val="yellow"/>
        </w:rPr>
        <w:t>附件</w:t>
      </w:r>
      <w:r>
        <w:rPr>
          <w:rFonts w:hint="eastAsia" w:ascii="仿宋" w:hAnsi="仿宋" w:eastAsia="仿宋" w:cs="仿宋"/>
          <w:b/>
          <w:color w:val="auto"/>
          <w:spacing w:val="6"/>
          <w:sz w:val="32"/>
          <w:szCs w:val="32"/>
          <w:highlight w:val="yellow"/>
          <w:lang w:val="en-US" w:eastAsia="zh-CN"/>
        </w:rPr>
        <w:t>6</w:t>
      </w:r>
    </w:p>
    <w:p>
      <w:pPr>
        <w:jc w:val="center"/>
        <w:rPr>
          <w:rFonts w:hint="eastAsia" w:ascii="仿宋" w:hAnsi="仿宋" w:eastAsia="仿宋" w:cs="仿宋"/>
          <w:color w:val="auto"/>
          <w:sz w:val="40"/>
        </w:rPr>
      </w:pPr>
      <w:r>
        <w:rPr>
          <w:rFonts w:hint="eastAsia" w:ascii="仿宋" w:hAnsi="仿宋" w:eastAsia="仿宋" w:cs="仿宋"/>
          <w:color w:val="auto"/>
          <w:sz w:val="40"/>
        </w:rPr>
        <w:t>样品（演示）授权委托书</w:t>
      </w:r>
    </w:p>
    <w:p>
      <w:pPr>
        <w:jc w:val="center"/>
        <w:rPr>
          <w:rFonts w:hint="eastAsia" w:ascii="仿宋" w:hAnsi="仿宋" w:eastAsia="仿宋" w:cs="仿宋"/>
          <w:color w:val="auto"/>
          <w:sz w:val="40"/>
        </w:rPr>
      </w:pP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XXX（单位名称或采购机构名称）</w:t>
      </w:r>
      <w:r>
        <w:rPr>
          <w:rFonts w:hint="eastAsia" w:ascii="仿宋" w:hAnsi="仿宋" w:eastAsia="仿宋" w:cs="仿宋"/>
          <w:color w:val="auto"/>
          <w:kern w:val="0"/>
          <w:sz w:val="24"/>
          <w:lang w:val="zh-CN"/>
        </w:rPr>
        <w:t>：</w:t>
      </w:r>
    </w:p>
    <w:p>
      <w:pPr>
        <w:snapToGrid w:val="0"/>
        <w:spacing w:line="360" w:lineRule="auto"/>
        <w:ind w:left="254" w:leftChars="121" w:firstLine="480" w:firstLineChars="200"/>
        <w:jc w:val="left"/>
        <w:rPr>
          <w:rFonts w:hint="eastAsia" w:ascii="仿宋" w:hAnsi="仿宋" w:eastAsia="仿宋" w:cs="仿宋"/>
          <w:color w:val="auto"/>
          <w:kern w:val="0"/>
          <w:sz w:val="24"/>
          <w:u w:val="single"/>
          <w:lang w:val="zh-CN"/>
        </w:rPr>
      </w:pPr>
      <w:r>
        <w:rPr>
          <w:rFonts w:hint="eastAsia" w:ascii="仿宋" w:hAnsi="仿宋" w:eastAsia="仿宋" w:cs="仿宋"/>
          <w:color w:val="auto"/>
          <w:kern w:val="0"/>
          <w:sz w:val="24"/>
          <w:lang w:val="zh-CN"/>
        </w:rPr>
        <w:t>兹委派</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先生/女士，身份证号：</w:t>
      </w:r>
      <w:r>
        <w:rPr>
          <w:rFonts w:hint="eastAsia" w:ascii="仿宋" w:hAnsi="仿宋" w:eastAsia="仿宋" w:cs="仿宋"/>
          <w:color w:val="auto"/>
          <w:kern w:val="0"/>
          <w:sz w:val="24"/>
          <w:u w:val="single"/>
          <w:lang w:val="zh-CN"/>
        </w:rPr>
        <w:t xml:space="preserve">                   </w:t>
      </w:r>
    </w:p>
    <w:p>
      <w:pPr>
        <w:snapToGrid w:val="0"/>
        <w:spacing w:line="360" w:lineRule="auto"/>
        <w:ind w:left="254" w:leftChars="121"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，代表我公司前来递交</w:t>
      </w:r>
      <w:r>
        <w:rPr>
          <w:rFonts w:hint="eastAsia" w:ascii="仿宋" w:hAnsi="仿宋" w:eastAsia="仿宋" w:cs="仿宋"/>
          <w:color w:val="auto"/>
          <w:kern w:val="0"/>
          <w:sz w:val="24"/>
          <w:u w:val="single"/>
          <w:lang w:val="zh-CN"/>
        </w:rPr>
        <w:t xml:space="preserve">                           采购项目</w:t>
      </w:r>
      <w:r>
        <w:rPr>
          <w:rFonts w:hint="eastAsia" w:ascii="仿宋" w:hAnsi="仿宋" w:eastAsia="仿宋" w:cs="仿宋"/>
          <w:color w:val="auto"/>
          <w:kern w:val="0"/>
          <w:sz w:val="24"/>
          <w:lang w:val="zh-CN"/>
        </w:rPr>
        <w:t>【项目编号：              】（标项号：  ）投标样品或参加演示，并全权负责标后取回样品等其他处理事宜。</w:t>
      </w:r>
    </w:p>
    <w:p>
      <w:pPr>
        <w:snapToGrid w:val="0"/>
        <w:spacing w:line="360" w:lineRule="auto"/>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 xml:space="preserve">    特此告知。</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 xml:space="preserve">                                                  投标人名称(公章)：</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 xml:space="preserve">                                                  </w:t>
      </w:r>
    </w:p>
    <w:p>
      <w:pPr>
        <w:snapToGrid w:val="0"/>
        <w:spacing w:line="360" w:lineRule="auto"/>
        <w:ind w:right="240"/>
        <w:jc w:val="righ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签发日期：  年  月   日</w:t>
      </w:r>
    </w:p>
    <w:p>
      <w:pPr>
        <w:snapToGrid w:val="0"/>
        <w:spacing w:line="360" w:lineRule="auto"/>
        <w:ind w:right="240"/>
        <w:jc w:val="right"/>
        <w:rPr>
          <w:rFonts w:hint="eastAsia" w:ascii="仿宋" w:hAnsi="仿宋" w:eastAsia="仿宋" w:cs="仿宋"/>
          <w:color w:val="auto"/>
          <w:kern w:val="0"/>
          <w:sz w:val="24"/>
          <w:lang w:val="zh-CN"/>
        </w:rPr>
      </w:pPr>
    </w:p>
    <w:p>
      <w:pPr>
        <w:snapToGrid w:val="0"/>
        <w:spacing w:line="360" w:lineRule="auto"/>
        <w:ind w:right="240"/>
        <w:jc w:val="right"/>
        <w:rPr>
          <w:rFonts w:hint="eastAsia" w:ascii="仿宋" w:hAnsi="仿宋" w:eastAsia="仿宋" w:cs="仿宋"/>
          <w:color w:val="auto"/>
          <w:kern w:val="0"/>
          <w:sz w:val="24"/>
          <w:lang w:val="zh-CN"/>
        </w:rPr>
      </w:pPr>
    </w:p>
    <w:p>
      <w:pPr>
        <w:snapToGrid w:val="0"/>
        <w:spacing w:line="360" w:lineRule="auto"/>
        <w:ind w:right="240"/>
        <w:jc w:val="right"/>
        <w:rPr>
          <w:rFonts w:hint="eastAsia" w:ascii="仿宋" w:hAnsi="仿宋" w:eastAsia="仿宋" w:cs="仿宋"/>
          <w:color w:val="auto"/>
          <w:kern w:val="0"/>
          <w:sz w:val="24"/>
          <w:lang w:val="zh-CN"/>
        </w:rPr>
      </w:pPr>
    </w:p>
    <w:p>
      <w:pPr>
        <w:snapToGrid w:val="0"/>
        <w:spacing w:line="360" w:lineRule="auto"/>
        <w:ind w:right="240"/>
        <w:jc w:val="right"/>
        <w:rPr>
          <w:rFonts w:hint="eastAsia" w:ascii="仿宋" w:hAnsi="仿宋" w:eastAsia="仿宋" w:cs="仿宋"/>
          <w:color w:val="auto"/>
          <w:kern w:val="0"/>
          <w:sz w:val="24"/>
          <w:lang w:val="zh-CN"/>
        </w:rPr>
      </w:pPr>
    </w:p>
    <w:p>
      <w:pPr>
        <w:snapToGrid w:val="0"/>
        <w:spacing w:line="360" w:lineRule="auto"/>
        <w:ind w:right="24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en-US" w:eastAsia="zh-CN"/>
        </w:rPr>
        <w:t>受委托人</w:t>
      </w:r>
      <w:r>
        <w:rPr>
          <w:rFonts w:hint="eastAsia" w:ascii="仿宋" w:hAnsi="仿宋" w:eastAsia="仿宋" w:cs="仿宋"/>
          <w:color w:val="auto"/>
          <w:kern w:val="0"/>
          <w:sz w:val="24"/>
          <w:lang w:val="zh-CN"/>
        </w:rPr>
        <w:t>身份证复印件：</w:t>
      </w:r>
    </w:p>
    <w:p>
      <w:pPr>
        <w:snapToGrid w:val="0"/>
        <w:spacing w:line="360" w:lineRule="auto"/>
        <w:ind w:right="240"/>
        <w:jc w:val="left"/>
        <w:rPr>
          <w:rFonts w:hint="eastAsia" w:ascii="仿宋" w:hAnsi="仿宋" w:eastAsia="仿宋" w:cs="仿宋"/>
          <w:color w:val="auto"/>
          <w:kern w:val="0"/>
          <w:sz w:val="24"/>
          <w:lang w:val="zh-CN"/>
        </w:rPr>
      </w:pPr>
    </w:p>
    <w:p>
      <w:pPr>
        <w:snapToGrid w:val="0"/>
        <w:spacing w:line="360" w:lineRule="auto"/>
        <w:ind w:right="240"/>
        <w:jc w:val="left"/>
        <w:rPr>
          <w:rFonts w:hint="eastAsia" w:ascii="仿宋" w:hAnsi="仿宋" w:eastAsia="仿宋" w:cs="仿宋"/>
          <w:color w:val="auto"/>
          <w:kern w:val="0"/>
          <w:sz w:val="24"/>
          <w:lang w:val="zh-CN"/>
        </w:rPr>
      </w:pPr>
    </w:p>
    <w:p>
      <w:pPr>
        <w:snapToGrid w:val="0"/>
        <w:spacing w:line="360" w:lineRule="auto"/>
        <w:ind w:right="240"/>
        <w:jc w:val="left"/>
        <w:rPr>
          <w:rFonts w:hint="eastAsia" w:ascii="仿宋" w:hAnsi="仿宋" w:eastAsia="仿宋" w:cs="仿宋"/>
          <w:color w:val="auto"/>
          <w:kern w:val="0"/>
          <w:sz w:val="24"/>
          <w:lang w:val="zh-CN"/>
        </w:rPr>
      </w:pPr>
    </w:p>
    <w:p>
      <w:pPr>
        <w:snapToGrid w:val="0"/>
        <w:spacing w:line="360" w:lineRule="auto"/>
        <w:ind w:right="240"/>
        <w:jc w:val="left"/>
        <w:rPr>
          <w:rFonts w:hint="eastAsia" w:ascii="仿宋" w:hAnsi="仿宋" w:eastAsia="仿宋" w:cs="仿宋"/>
          <w:color w:val="auto"/>
          <w:kern w:val="0"/>
          <w:sz w:val="24"/>
          <w:lang w:val="zh-CN"/>
        </w:rPr>
      </w:pPr>
    </w:p>
    <w:p>
      <w:pPr>
        <w:snapToGrid w:val="0"/>
        <w:spacing w:line="360" w:lineRule="auto"/>
        <w:ind w:right="240"/>
        <w:jc w:val="left"/>
        <w:rPr>
          <w:rFonts w:hint="eastAsia" w:ascii="仿宋" w:hAnsi="仿宋" w:eastAsia="仿宋" w:cs="仿宋"/>
          <w:color w:val="auto"/>
          <w:kern w:val="0"/>
          <w:sz w:val="24"/>
          <w:lang w:val="zh-CN"/>
        </w:rPr>
      </w:pPr>
    </w:p>
    <w:p>
      <w:pPr>
        <w:snapToGrid w:val="0"/>
        <w:spacing w:line="360" w:lineRule="auto"/>
        <w:ind w:right="240"/>
        <w:jc w:val="left"/>
        <w:rPr>
          <w:rFonts w:hint="eastAsia" w:ascii="仿宋" w:hAnsi="仿宋" w:eastAsia="仿宋" w:cs="仿宋"/>
          <w:color w:val="auto"/>
          <w:kern w:val="0"/>
          <w:sz w:val="24"/>
          <w:lang w:val="zh-CN"/>
        </w:rPr>
      </w:pPr>
    </w:p>
    <w:p>
      <w:pPr>
        <w:snapToGrid w:val="0"/>
        <w:spacing w:line="360" w:lineRule="auto"/>
        <w:ind w:right="240"/>
        <w:jc w:val="left"/>
        <w:rPr>
          <w:rFonts w:hint="eastAsia" w:ascii="仿宋" w:hAnsi="仿宋" w:eastAsia="仿宋" w:cs="仿宋"/>
          <w:color w:val="auto"/>
          <w:kern w:val="0"/>
          <w:sz w:val="24"/>
          <w:lang w:val="zh-CN"/>
        </w:rPr>
      </w:pPr>
    </w:p>
    <w:p>
      <w:pPr>
        <w:snapToGrid w:val="0"/>
        <w:spacing w:line="360" w:lineRule="auto"/>
        <w:ind w:right="240"/>
        <w:jc w:val="left"/>
        <w:rPr>
          <w:rFonts w:hint="eastAsia" w:ascii="仿宋" w:hAnsi="仿宋" w:eastAsia="仿宋" w:cs="仿宋"/>
          <w:color w:val="auto"/>
          <w:kern w:val="0"/>
          <w:sz w:val="24"/>
          <w:lang w:val="zh-CN"/>
        </w:rPr>
      </w:pPr>
    </w:p>
    <w:p>
      <w:pPr>
        <w:snapToGrid w:val="0"/>
        <w:spacing w:line="360" w:lineRule="auto"/>
        <w:ind w:right="24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说明：本委托书在有样品或演示时由受委托人携带至指定地点。</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同时有样品和演示的，可委托不同人员。</w:t>
      </w:r>
    </w:p>
    <w:p>
      <w:pPr>
        <w:pStyle w:val="5"/>
        <w:ind w:left="0" w:leftChars="0" w:firstLine="0" w:firstLineChars="0"/>
        <w:rPr>
          <w:rFonts w:hint="eastAsia" w:ascii="仿宋" w:hAnsi="仿宋" w:eastAsia="仿宋" w:cs="仿宋"/>
          <w:color w:val="auto"/>
          <w:lang w:val="en-US"/>
        </w:rPr>
      </w:pPr>
    </w:p>
    <w:p>
      <w:pPr>
        <w:spacing w:line="360" w:lineRule="auto"/>
        <w:ind w:right="420"/>
        <w:rPr>
          <w:rFonts w:hint="eastAsia" w:ascii="仿宋" w:hAnsi="仿宋" w:eastAsia="仿宋" w:cs="仿宋"/>
          <w:color w:val="auto"/>
        </w:rPr>
      </w:pPr>
    </w:p>
    <w:p>
      <w:pPr>
        <w:spacing w:line="360" w:lineRule="auto"/>
        <w:rPr>
          <w:rFonts w:hint="eastAsia" w:ascii="仿宋" w:hAnsi="仿宋" w:eastAsia="仿宋" w:cs="仿宋"/>
          <w:bCs/>
          <w:color w:val="auto"/>
          <w:sz w:val="24"/>
        </w:rPr>
      </w:pPr>
    </w:p>
    <w:sectPr>
      <w:headerReference r:id="rId20" w:type="first"/>
      <w:footerReference r:id="rId23" w:type="first"/>
      <w:headerReference r:id="rId19" w:type="default"/>
      <w:footerReference r:id="rId21" w:type="default"/>
      <w:footerReference r:id="rId22"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bookmarkStart w:id="586" w:name="_Toc131845147"/>
                          <w:bookmarkStart w:id="587" w:name="_Toc164085800"/>
                          <w:bookmarkStart w:id="588" w:name="_Toc36110187"/>
                          <w:bookmarkStart w:id="589" w:name="_Toc91899912"/>
                          <w:r>
                            <w:rPr>
                              <w:rFonts w:hint="eastAsia" w:ascii="仿宋_GB2312" w:eastAsia="仿宋_GB2312"/>
                              <w:kern w:val="0"/>
                              <w:szCs w:val="21"/>
                            </w:rPr>
                            <w:t xml:space="preserve"> 页</w:t>
                          </w:r>
                          <w:bookmarkEnd w:id="586"/>
                          <w:bookmarkEnd w:id="587"/>
                          <w:bookmarkEnd w:id="588"/>
                          <w:bookmarkEnd w:id="589"/>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bookmarkStart w:id="586" w:name="_Toc131845147"/>
                    <w:bookmarkStart w:id="587" w:name="_Toc164085800"/>
                    <w:bookmarkStart w:id="588" w:name="_Toc36110187"/>
                    <w:bookmarkStart w:id="589" w:name="_Toc91899912"/>
                    <w:r>
                      <w:rPr>
                        <w:rFonts w:hint="eastAsia" w:ascii="仿宋_GB2312" w:eastAsia="仿宋_GB2312"/>
                        <w:kern w:val="0"/>
                        <w:szCs w:val="21"/>
                      </w:rPr>
                      <w:t xml:space="preserve"> 页</w:t>
                    </w:r>
                    <w:bookmarkEnd w:id="586"/>
                    <w:bookmarkEnd w:id="587"/>
                    <w:bookmarkEnd w:id="588"/>
                    <w:bookmarkEnd w:id="589"/>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杭州市政府采购公开招标文件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pStyle w:val="96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
    <w:nsid w:val="13364410"/>
    <w:multiLevelType w:val="multilevel"/>
    <w:tmpl w:val="13364410"/>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1E28A6"/>
    <w:rsid w:val="05251E14"/>
    <w:rsid w:val="05507636"/>
    <w:rsid w:val="05770BD6"/>
    <w:rsid w:val="05A16594"/>
    <w:rsid w:val="05A7762D"/>
    <w:rsid w:val="05C04DC2"/>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1F642D3"/>
    <w:rsid w:val="12255233"/>
    <w:rsid w:val="12530213"/>
    <w:rsid w:val="127723A9"/>
    <w:rsid w:val="12862074"/>
    <w:rsid w:val="12883966"/>
    <w:rsid w:val="129E45B4"/>
    <w:rsid w:val="12D21374"/>
    <w:rsid w:val="12D81596"/>
    <w:rsid w:val="13072A44"/>
    <w:rsid w:val="131A1B7F"/>
    <w:rsid w:val="135F4BE2"/>
    <w:rsid w:val="139B1A0A"/>
    <w:rsid w:val="139D25C7"/>
    <w:rsid w:val="13BF3CE4"/>
    <w:rsid w:val="141008D8"/>
    <w:rsid w:val="14125FE6"/>
    <w:rsid w:val="14500381"/>
    <w:rsid w:val="146D271E"/>
    <w:rsid w:val="14982588"/>
    <w:rsid w:val="149A5AD9"/>
    <w:rsid w:val="14A7619D"/>
    <w:rsid w:val="150536C3"/>
    <w:rsid w:val="150C1963"/>
    <w:rsid w:val="151447A0"/>
    <w:rsid w:val="154A6454"/>
    <w:rsid w:val="15762120"/>
    <w:rsid w:val="16A8729C"/>
    <w:rsid w:val="16B33777"/>
    <w:rsid w:val="16BC70A7"/>
    <w:rsid w:val="16C6339E"/>
    <w:rsid w:val="16D72261"/>
    <w:rsid w:val="16FE2244"/>
    <w:rsid w:val="172F2D79"/>
    <w:rsid w:val="17557BEF"/>
    <w:rsid w:val="17D349C1"/>
    <w:rsid w:val="1830729E"/>
    <w:rsid w:val="1870062C"/>
    <w:rsid w:val="18817102"/>
    <w:rsid w:val="18830A15"/>
    <w:rsid w:val="18852B28"/>
    <w:rsid w:val="188B5321"/>
    <w:rsid w:val="19932372"/>
    <w:rsid w:val="19A20DD5"/>
    <w:rsid w:val="19AE03F1"/>
    <w:rsid w:val="1A071A03"/>
    <w:rsid w:val="1A1F16AE"/>
    <w:rsid w:val="1A212BCB"/>
    <w:rsid w:val="1A3B5C77"/>
    <w:rsid w:val="1A984BAD"/>
    <w:rsid w:val="1AB8220E"/>
    <w:rsid w:val="1AE4166C"/>
    <w:rsid w:val="1AF06CFB"/>
    <w:rsid w:val="1AF11B8D"/>
    <w:rsid w:val="1B11359C"/>
    <w:rsid w:val="1B2A271F"/>
    <w:rsid w:val="1B530544"/>
    <w:rsid w:val="1B713184"/>
    <w:rsid w:val="1BA209CF"/>
    <w:rsid w:val="1BB4777D"/>
    <w:rsid w:val="1BD75AB8"/>
    <w:rsid w:val="1BE22A26"/>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9307DC"/>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0F7B55"/>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A2F2D"/>
    <w:rsid w:val="2FFD7934"/>
    <w:rsid w:val="30733ACD"/>
    <w:rsid w:val="308C3862"/>
    <w:rsid w:val="309379D8"/>
    <w:rsid w:val="30A270F7"/>
    <w:rsid w:val="30DF1478"/>
    <w:rsid w:val="30EC586F"/>
    <w:rsid w:val="319C6071"/>
    <w:rsid w:val="31AC537E"/>
    <w:rsid w:val="31E3679B"/>
    <w:rsid w:val="31E732FD"/>
    <w:rsid w:val="32517576"/>
    <w:rsid w:val="32A64673"/>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8E248B"/>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861E3"/>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30589B"/>
    <w:rsid w:val="449101DD"/>
    <w:rsid w:val="449D00C3"/>
    <w:rsid w:val="44DE1391"/>
    <w:rsid w:val="451B225C"/>
    <w:rsid w:val="452410C9"/>
    <w:rsid w:val="45317DFB"/>
    <w:rsid w:val="4542261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676029"/>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61018"/>
    <w:rsid w:val="550764A4"/>
    <w:rsid w:val="550B2BF6"/>
    <w:rsid w:val="55214EB5"/>
    <w:rsid w:val="55364EFD"/>
    <w:rsid w:val="555D4828"/>
    <w:rsid w:val="557A4C8B"/>
    <w:rsid w:val="558931E1"/>
    <w:rsid w:val="55923347"/>
    <w:rsid w:val="55925180"/>
    <w:rsid w:val="55983B1B"/>
    <w:rsid w:val="55A8376B"/>
    <w:rsid w:val="55DC29B6"/>
    <w:rsid w:val="55DD4241"/>
    <w:rsid w:val="566B6D1E"/>
    <w:rsid w:val="569E129D"/>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12A1A"/>
    <w:rsid w:val="5F06174D"/>
    <w:rsid w:val="5F3A3602"/>
    <w:rsid w:val="5F45733B"/>
    <w:rsid w:val="5F6277C6"/>
    <w:rsid w:val="5F6D0B1D"/>
    <w:rsid w:val="5F8D0B82"/>
    <w:rsid w:val="5FCC5339"/>
    <w:rsid w:val="5FE34A5B"/>
    <w:rsid w:val="5FFE1E36"/>
    <w:rsid w:val="60232584"/>
    <w:rsid w:val="605864BB"/>
    <w:rsid w:val="607330CE"/>
    <w:rsid w:val="60825176"/>
    <w:rsid w:val="609F2AC4"/>
    <w:rsid w:val="60FA2EE8"/>
    <w:rsid w:val="61054A27"/>
    <w:rsid w:val="610A52BC"/>
    <w:rsid w:val="611D2366"/>
    <w:rsid w:val="61421856"/>
    <w:rsid w:val="615227C4"/>
    <w:rsid w:val="61654E3F"/>
    <w:rsid w:val="6182292A"/>
    <w:rsid w:val="619F7F92"/>
    <w:rsid w:val="61F94C26"/>
    <w:rsid w:val="62000E56"/>
    <w:rsid w:val="62244584"/>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551A38"/>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8F2B46"/>
    <w:rsid w:val="6ADE0BD1"/>
    <w:rsid w:val="6AE96859"/>
    <w:rsid w:val="6B147746"/>
    <w:rsid w:val="6B24787C"/>
    <w:rsid w:val="6B573233"/>
    <w:rsid w:val="6B5B6274"/>
    <w:rsid w:val="6B935D53"/>
    <w:rsid w:val="6C196F71"/>
    <w:rsid w:val="6C226FCB"/>
    <w:rsid w:val="6C31226F"/>
    <w:rsid w:val="6C552F0B"/>
    <w:rsid w:val="6C8C67B7"/>
    <w:rsid w:val="6C9D744C"/>
    <w:rsid w:val="6CFE67A8"/>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72757E"/>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0153"/>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357E5"/>
    <w:rsid w:val="7D0C32F1"/>
    <w:rsid w:val="7D0F408D"/>
    <w:rsid w:val="7D491C6C"/>
    <w:rsid w:val="7D5429C0"/>
    <w:rsid w:val="7D6E6D43"/>
    <w:rsid w:val="7D7069D2"/>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27"/>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1"/>
    <w:link w:val="318"/>
    <w:qFormat/>
    <w:uiPriority w:val="0"/>
    <w:pPr>
      <w:ind w:firstLine="420"/>
    </w:pPr>
    <w:rPr>
      <w:rFonts w:hAnsi="Calibri" w:cs="Times New Roman"/>
      <w:snapToGrid/>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26"/>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199"/>
    <w:qFormat/>
    <w:uiPriority w:val="0"/>
    <w:pPr>
      <w:shd w:val="clear" w:color="auto" w:fill="000080"/>
    </w:pPr>
  </w:style>
  <w:style w:type="paragraph" w:styleId="21">
    <w:name w:val="annotation text"/>
    <w:basedOn w:val="1"/>
    <w:link w:val="341"/>
    <w:qFormat/>
    <w:uiPriority w:val="99"/>
    <w:pPr>
      <w:jc w:val="left"/>
    </w:pPr>
  </w:style>
  <w:style w:type="paragraph" w:styleId="22">
    <w:name w:val="Salutation"/>
    <w:basedOn w:val="1"/>
    <w:next w:val="1"/>
    <w:link w:val="295"/>
    <w:qFormat/>
    <w:uiPriority w:val="0"/>
    <w:rPr>
      <w:rFonts w:ascii="仿宋_GB2312" w:eastAsia="仿宋_GB2312"/>
      <w:sz w:val="28"/>
      <w:szCs w:val="20"/>
    </w:rPr>
  </w:style>
  <w:style w:type="paragraph" w:styleId="23">
    <w:name w:val="Body Text 3"/>
    <w:basedOn w:val="1"/>
    <w:link w:val="327"/>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next w:val="1"/>
    <w:link w:val="262"/>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2"/>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8"/>
    <w:qFormat/>
    <w:uiPriority w:val="0"/>
    <w:pPr>
      <w:ind w:left="100" w:leftChars="2500"/>
    </w:pPr>
    <w:rPr>
      <w:rFonts w:ascii="宋体"/>
      <w:sz w:val="24"/>
      <w:szCs w:val="21"/>
      <w:lang w:val="zh-CN"/>
    </w:rPr>
  </w:style>
  <w:style w:type="paragraph" w:styleId="37">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5"/>
    <w:qFormat/>
    <w:uiPriority w:val="0"/>
    <w:rPr>
      <w:sz w:val="18"/>
      <w:szCs w:val="18"/>
    </w:rPr>
  </w:style>
  <w:style w:type="paragraph" w:styleId="40">
    <w:name w:val="footer"/>
    <w:basedOn w:val="1"/>
    <w:link w:val="380"/>
    <w:qFormat/>
    <w:uiPriority w:val="99"/>
    <w:pPr>
      <w:tabs>
        <w:tab w:val="center" w:pos="4153"/>
        <w:tab w:val="right" w:pos="8306"/>
      </w:tabs>
      <w:snapToGrid w:val="0"/>
      <w:jc w:val="left"/>
    </w:pPr>
    <w:rPr>
      <w:sz w:val="18"/>
      <w:szCs w:val="18"/>
    </w:rPr>
  </w:style>
  <w:style w:type="paragraph" w:styleId="41">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7"/>
    <w:link w:val="307"/>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3"/>
    <w:qFormat/>
    <w:uiPriority w:val="0"/>
    <w:rPr>
      <w:b/>
      <w:bCs/>
    </w:rPr>
  </w:style>
  <w:style w:type="paragraph" w:styleId="61">
    <w:name w:val="Body Text First Indent 2"/>
    <w:basedOn w:val="25"/>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7"/>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9"/>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5"/>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6"/>
    <w:qFormat/>
    <w:uiPriority w:val="0"/>
    <w:rPr>
      <w:rFonts w:ascii="宋体"/>
      <w:kern w:val="2"/>
      <w:sz w:val="24"/>
      <w:szCs w:val="21"/>
      <w:lang w:val="zh-CN"/>
    </w:rPr>
  </w:style>
  <w:style w:type="character" w:customStyle="1" w:styleId="179">
    <w:name w:val="标题 9 Char"/>
    <w:link w:val="12"/>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9"/>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17"/>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20"/>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0"/>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7"/>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8"/>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5"/>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4"/>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8"/>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2"/>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7"/>
    <w:qFormat/>
    <w:uiPriority w:val="0"/>
    <w:rPr>
      <w:rFonts w:ascii="黑体" w:hAnsi="Courier New" w:eastAsia="黑体"/>
    </w:rPr>
  </w:style>
  <w:style w:type="character" w:customStyle="1" w:styleId="299">
    <w:name w:val="正文文本 2 Char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7"/>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10"/>
    <w:qFormat/>
    <w:uiPriority w:val="0"/>
    <w:rPr>
      <w:b/>
      <w:bCs/>
      <w:kern w:val="2"/>
      <w:sz w:val="24"/>
      <w:szCs w:val="24"/>
    </w:rPr>
  </w:style>
  <w:style w:type="character" w:customStyle="1" w:styleId="305">
    <w:name w:val="正文文本缩进 2 Char"/>
    <w:link w:val="37"/>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0"/>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3"/>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7"/>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3"/>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21"/>
    <w:qFormat/>
    <w:uiPriority w:val="0"/>
    <w:rPr>
      <w:kern w:val="2"/>
      <w:sz w:val="21"/>
      <w:szCs w:val="24"/>
    </w:rPr>
  </w:style>
  <w:style w:type="character" w:customStyle="1" w:styleId="342">
    <w:name w:val="签名 Char"/>
    <w:link w:val="42"/>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1"/>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0"/>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1"/>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17"/>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7"/>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5"/>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6"/>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8"/>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6"/>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7"/>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4"/>
    <w:qFormat/>
    <w:uiPriority w:val="0"/>
    <w:pPr>
      <w:tabs>
        <w:tab w:val="left" w:pos="840"/>
      </w:tabs>
      <w:adjustRightInd/>
      <w:ind w:left="840" w:hanging="420"/>
    </w:pPr>
  </w:style>
  <w:style w:type="paragraph" w:customStyle="1" w:styleId="623">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7"/>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6"/>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0"/>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qFormat/>
    <w:uiPriority w:val="0"/>
    <w:pPr>
      <w:tabs>
        <w:tab w:val="left" w:pos="1080"/>
      </w:tabs>
      <w:ind w:left="1080" w:hanging="1080"/>
    </w:pPr>
  </w:style>
  <w:style w:type="paragraph" w:customStyle="1" w:styleId="894">
    <w:name w:val="数字标题1"/>
    <w:basedOn w:val="4"/>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8"/>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p15"/>
    <w:basedOn w:val="1"/>
    <w:qFormat/>
    <w:uiPriority w:val="0"/>
    <w:pPr>
      <w:widowControl/>
      <w:spacing w:before="156" w:line="360" w:lineRule="auto"/>
      <w:ind w:firstLine="420"/>
    </w:pPr>
    <w:rPr>
      <w:kern w:val="0"/>
      <w:sz w:val="24"/>
    </w:rPr>
  </w:style>
  <w:style w:type="paragraph" w:customStyle="1" w:styleId="962">
    <w:name w:val="[Normal]"/>
    <w:qFormat/>
    <w:uiPriority w:val="0"/>
    <w:rPr>
      <w:rFonts w:ascii="宋体" w:hAnsi="宋体" w:eastAsia="宋体" w:cs="Times New Roman"/>
      <w:sz w:val="24"/>
      <w:szCs w:val="22"/>
      <w:lang w:val="zh-CN" w:eastAsia="zh-CN" w:bidi="ar-SA"/>
    </w:rPr>
  </w:style>
  <w:style w:type="paragraph" w:customStyle="1" w:styleId="963">
    <w:name w:val="正文内容"/>
    <w:basedOn w:val="1"/>
    <w:qFormat/>
    <w:uiPriority w:val="0"/>
    <w:pPr>
      <w:spacing w:line="360" w:lineRule="auto"/>
      <w:ind w:firstLine="200" w:firstLineChars="200"/>
    </w:pPr>
    <w:rPr>
      <w:sz w:val="24"/>
    </w:rPr>
  </w:style>
  <w:style w:type="paragraph" w:customStyle="1" w:styleId="964">
    <w:name w:val="3 级标题"/>
    <w:basedOn w:val="6"/>
    <w:next w:val="963"/>
    <w:qFormat/>
    <w:uiPriority w:val="2"/>
    <w:pPr>
      <w:keepNext w:val="0"/>
      <w:keepLines w:val="0"/>
      <w:numPr>
        <w:ilvl w:val="0"/>
        <w:numId w:val="1"/>
      </w:numPr>
      <w:tabs>
        <w:tab w:val="left" w:pos="720"/>
        <w:tab w:val="clear" w:pos="900"/>
      </w:tabs>
      <w:spacing w:before="0" w:after="0" w:line="360" w:lineRule="auto"/>
      <w:ind w:right="28"/>
    </w:pPr>
    <w:rPr>
      <w:sz w:val="28"/>
    </w:rPr>
  </w:style>
  <w:style w:type="paragraph" w:customStyle="1" w:styleId="965">
    <w:name w:val="4 级标题"/>
    <w:basedOn w:val="7"/>
    <w:next w:val="963"/>
    <w:qFormat/>
    <w:uiPriority w:val="0"/>
    <w:pPr>
      <w:numPr>
        <w:ilvl w:val="0"/>
        <w:numId w:val="1"/>
      </w:numPr>
      <w:tabs>
        <w:tab w:val="clear" w:pos="864"/>
      </w:tabs>
      <w:wordWrap w:val="0"/>
      <w:spacing w:before="120" w:after="120" w:line="360" w:lineRule="auto"/>
      <w:ind w:right="27" w:rightChars="13"/>
      <w:jc w:val="left"/>
    </w:pPr>
    <w:rPr>
      <w:rFonts w:ascii="Times New Roman" w:hAnsi="Times New Roman" w:eastAsia="宋体"/>
      <w:sz w:val="24"/>
      <w:lang w:val="en-US"/>
    </w:rPr>
  </w:style>
  <w:style w:type="paragraph" w:customStyle="1" w:styleId="966">
    <w:name w:val="_Style 2"/>
    <w:basedOn w:val="1"/>
    <w:qFormat/>
    <w:uiPriority w:val="0"/>
    <w:pPr>
      <w:ind w:firstLine="200" w:firstLineChars="200"/>
    </w:pPr>
    <w:rPr>
      <w:rFonts w:ascii="Calibri" w:hAnsi="Calibri"/>
      <w:sz w:val="28"/>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D2E4DD-CC59-4F12-BC75-1F204CB91537}">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71</Pages>
  <Words>6172</Words>
  <Characters>35185</Characters>
  <Lines>293</Lines>
  <Paragraphs>82</Paragraphs>
  <TotalTime>5</TotalTime>
  <ScaleCrop>false</ScaleCrop>
  <LinksUpToDate>false</LinksUpToDate>
  <CharactersWithSpaces>41275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1</cp:lastModifiedBy>
  <cp:lastPrinted>2021-12-27T03:06:00Z</cp:lastPrinted>
  <dcterms:modified xsi:type="dcterms:W3CDTF">2022-03-29T07:03:19Z</dcterms:modified>
  <dc:title>杭州市市民卡扩大发卡工程</dc:title>
  <cp:revision>205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1F4460B0336E4083BEA5CFDE31BD10D6</vt:lpwstr>
  </property>
</Properties>
</file>