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sz w:val="36"/>
          <w:highlight w:val="none"/>
        </w:rPr>
      </w:pPr>
    </w:p>
    <w:p>
      <w:pPr>
        <w:jc w:val="center"/>
        <w:rPr>
          <w:rFonts w:hint="eastAsia" w:ascii="仿宋" w:hAnsi="仿宋" w:eastAsia="仿宋" w:cs="仿宋"/>
          <w:color w:val="auto"/>
          <w:sz w:val="56"/>
          <w:szCs w:val="40"/>
          <w:highlight w:val="none"/>
          <w:lang w:eastAsia="zh-CN"/>
        </w:rPr>
      </w:pPr>
      <w:r>
        <w:rPr>
          <w:rFonts w:hint="eastAsia" w:cs="仿宋"/>
          <w:color w:val="auto"/>
          <w:sz w:val="56"/>
          <w:szCs w:val="40"/>
          <w:highlight w:val="none"/>
          <w:lang w:eastAsia="zh-CN"/>
        </w:rPr>
        <w:t>杭州南站出租车秩序服务及防疫服务采购项目</w:t>
      </w:r>
    </w:p>
    <w:p>
      <w:pPr>
        <w:jc w:val="center"/>
        <w:rPr>
          <w:rFonts w:hint="eastAsia" w:ascii="仿宋" w:hAnsi="仿宋" w:eastAsia="仿宋" w:cs="仿宋"/>
          <w:color w:val="auto"/>
          <w:sz w:val="40"/>
          <w:highlight w:val="none"/>
        </w:rPr>
      </w:pP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招标文件</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（电子招投标）</w:t>
      </w:r>
    </w:p>
    <w:p>
      <w:pPr>
        <w:jc w:val="center"/>
        <w:rPr>
          <w:rFonts w:hint="eastAsia" w:ascii="仿宋" w:hAnsi="仿宋" w:eastAsia="仿宋" w:cs="仿宋"/>
          <w:color w:val="auto"/>
          <w:sz w:val="36"/>
          <w:highlight w:val="none"/>
          <w:lang w:val="en-US" w:eastAsia="zh-CN"/>
        </w:rPr>
      </w:pPr>
      <w:r>
        <w:rPr>
          <w:rFonts w:hint="eastAsia" w:ascii="仿宋" w:hAnsi="仿宋" w:eastAsia="仿宋" w:cs="仿宋"/>
          <w:color w:val="auto"/>
          <w:sz w:val="36"/>
          <w:highlight w:val="none"/>
        </w:rPr>
        <w:t>编号:</w:t>
      </w:r>
      <w:r>
        <w:rPr>
          <w:rFonts w:hint="eastAsia" w:ascii="仿宋" w:hAnsi="仿宋" w:eastAsia="仿宋" w:cs="仿宋"/>
          <w:color w:val="auto"/>
          <w:highlight w:val="none"/>
        </w:rPr>
        <w:t xml:space="preserve"> </w:t>
      </w:r>
      <w:r>
        <w:rPr>
          <w:rFonts w:hint="eastAsia" w:ascii="仿宋" w:hAnsi="仿宋" w:eastAsia="仿宋" w:cs="仿宋"/>
          <w:color w:val="auto"/>
          <w:sz w:val="36"/>
          <w:highlight w:val="none"/>
        </w:rPr>
        <w:t>NZ-GYGK-2022756</w:t>
      </w:r>
      <w:r>
        <w:rPr>
          <w:rFonts w:hint="eastAsia" w:ascii="仿宋" w:hAnsi="仿宋" w:eastAsia="仿宋" w:cs="仿宋"/>
          <w:color w:val="auto"/>
          <w:sz w:val="36"/>
          <w:highlight w:val="none"/>
          <w:lang w:val="en-US" w:eastAsia="zh-CN"/>
        </w:rPr>
        <w:t xml:space="preserve"> </w:t>
      </w:r>
    </w:p>
    <w:p>
      <w:pPr>
        <w:jc w:val="center"/>
        <w:rPr>
          <w:rFonts w:hint="eastAsia" w:ascii="仿宋" w:hAnsi="仿宋" w:eastAsia="仿宋" w:cs="仿宋"/>
          <w:color w:val="auto"/>
          <w:sz w:val="36"/>
          <w:highlight w:val="none"/>
        </w:rPr>
      </w:pPr>
    </w:p>
    <w:p>
      <w:pPr>
        <w:jc w:val="center"/>
        <w:rPr>
          <w:rFonts w:hint="eastAsia" w:ascii="仿宋" w:hAnsi="仿宋" w:eastAsia="仿宋" w:cs="仿宋"/>
          <w:color w:val="auto"/>
          <w:sz w:val="36"/>
          <w:highlight w:val="none"/>
        </w:rPr>
      </w:pPr>
    </w:p>
    <w:p>
      <w:pPr>
        <w:jc w:val="center"/>
        <w:rPr>
          <w:rFonts w:hint="eastAsia" w:ascii="仿宋" w:hAnsi="仿宋" w:eastAsia="仿宋" w:cs="仿宋"/>
          <w:color w:val="auto"/>
          <w:sz w:val="36"/>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sz w:val="36"/>
          <w:highlight w:val="none"/>
          <w:lang w:eastAsia="zh-CN"/>
        </w:rPr>
      </w:pPr>
      <w:r>
        <w:rPr>
          <w:rFonts w:hint="eastAsia" w:cs="仿宋"/>
          <w:color w:val="auto"/>
          <w:sz w:val="36"/>
          <w:highlight w:val="none"/>
          <w:lang w:eastAsia="zh-CN"/>
        </w:rPr>
        <w:t>杭州南站枢纽管理委员会</w:t>
      </w:r>
    </w:p>
    <w:p>
      <w:pPr>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浙江华域高宇项目管理有限公司</w:t>
      </w:r>
    </w:p>
    <w:p>
      <w:pPr>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2022年</w:t>
      </w:r>
      <w:r>
        <w:rPr>
          <w:rFonts w:hint="eastAsia" w:cs="仿宋"/>
          <w:color w:val="auto"/>
          <w:sz w:val="36"/>
          <w:highlight w:val="none"/>
          <w:lang w:val="en-US" w:eastAsia="zh-CN"/>
        </w:rPr>
        <w:t>12</w:t>
      </w:r>
      <w:r>
        <w:rPr>
          <w:rFonts w:hint="eastAsia" w:ascii="仿宋" w:hAnsi="仿宋" w:eastAsia="仿宋" w:cs="仿宋"/>
          <w:color w:val="auto"/>
          <w:sz w:val="36"/>
          <w:highlight w:val="none"/>
        </w:rPr>
        <w:t>月</w:t>
      </w:r>
      <w:r>
        <w:rPr>
          <w:rFonts w:hint="eastAsia" w:cs="仿宋"/>
          <w:color w:val="auto"/>
          <w:sz w:val="36"/>
          <w:highlight w:val="none"/>
          <w:lang w:val="en-US" w:eastAsia="zh-CN"/>
        </w:rPr>
        <w:t>20</w:t>
      </w:r>
      <w:r>
        <w:rPr>
          <w:rFonts w:hint="eastAsia" w:ascii="仿宋" w:hAnsi="仿宋" w:eastAsia="仿宋" w:cs="仿宋"/>
          <w:color w:val="auto"/>
          <w:sz w:val="36"/>
          <w:highlight w:val="none"/>
        </w:rPr>
        <w:t>日</w:t>
      </w:r>
    </w:p>
    <w:p>
      <w:pPr>
        <w:jc w:val="center"/>
        <w:rPr>
          <w:rFonts w:hint="eastAsia" w:ascii="仿宋" w:hAnsi="仿宋" w:eastAsia="仿宋" w:cs="仿宋"/>
          <w:color w:val="auto"/>
          <w:highlight w:val="none"/>
        </w:rPr>
      </w:pPr>
      <w:r>
        <w:rPr>
          <w:rFonts w:hint="eastAsia" w:ascii="仿宋" w:hAnsi="仿宋" w:eastAsia="仿宋" w:cs="仿宋"/>
          <w:color w:val="auto"/>
          <w:highlight w:val="none"/>
        </w:rPr>
        <w:t>本招标文件为2022年7月1日稿，请各位投标人详细阅读各项条款</w:t>
      </w: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目  录</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第一部分      招标公告</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第二部分      投标人须知</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第三部分      采购需求</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第四部分      评标办法</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第五部分      拟签订的合同文本</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第六部分      应提交的有关格式范例</w:t>
      </w:r>
    </w:p>
    <w:p>
      <w:pPr>
        <w:spacing w:line="276" w:lineRule="auto"/>
        <w:rPr>
          <w:rFonts w:hint="eastAsia" w:ascii="仿宋" w:hAnsi="仿宋" w:eastAsia="仿宋" w:cs="仿宋"/>
          <w:color w:val="auto"/>
          <w:sz w:val="32"/>
          <w:highlight w:val="none"/>
        </w:rPr>
      </w:pP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第一部分 招标公告</w:t>
      </w:r>
    </w:p>
    <w:tbl>
      <w:tblPr>
        <w:tblStyle w:val="2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项目概况</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w:t>
            </w:r>
            <w:r>
              <w:rPr>
                <w:rFonts w:hint="eastAsia" w:cs="仿宋"/>
                <w:color w:val="auto"/>
                <w:highlight w:val="none"/>
                <w:u w:val="single"/>
                <w:lang w:eastAsia="zh-CN"/>
              </w:rPr>
              <w:t>杭州南站出租车秩序服务及防疫服务采购项目</w:t>
            </w:r>
            <w:r>
              <w:rPr>
                <w:rFonts w:hint="eastAsia" w:ascii="仿宋" w:hAnsi="仿宋" w:eastAsia="仿宋" w:cs="仿宋"/>
                <w:color w:val="auto"/>
                <w:highlight w:val="none"/>
                <w:u w:val="single"/>
              </w:rPr>
              <w:t>）</w:t>
            </w:r>
            <w:r>
              <w:rPr>
                <w:rFonts w:hint="eastAsia" w:ascii="仿宋" w:hAnsi="仿宋" w:eastAsia="仿宋" w:cs="仿宋"/>
                <w:color w:val="auto"/>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30"/>
                <w:rFonts w:hint="eastAsia" w:ascii="仿宋" w:hAnsi="仿宋" w:eastAsia="仿宋" w:cs="仿宋"/>
                <w:color w:val="auto"/>
                <w:kern w:val="2"/>
                <w:highlight w:val="none"/>
              </w:rPr>
              <w:t>https://www.zcygov.cn/）获取（下载）招标文件，并于</w:t>
            </w:r>
            <w:r>
              <w:rPr>
                <w:rFonts w:hint="eastAsia" w:ascii="仿宋" w:hAnsi="仿宋" w:eastAsia="仿宋" w:cs="仿宋"/>
                <w:color w:val="auto"/>
                <w:highlight w:val="none"/>
                <w:u w:val="single"/>
              </w:rPr>
              <w:t>202</w:t>
            </w:r>
            <w:r>
              <w:rPr>
                <w:rFonts w:hint="eastAsia" w:cs="仿宋"/>
                <w:color w:val="auto"/>
                <w:highlight w:val="none"/>
                <w:u w:val="single"/>
                <w:lang w:val="en-US" w:eastAsia="zh-CN"/>
              </w:rPr>
              <w:t>3</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01</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09</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bCs/>
                <w:color w:val="auto"/>
                <w:highlight w:val="none"/>
                <w:u w:val="single"/>
              </w:rPr>
              <w:t>00秒</w:t>
            </w:r>
            <w:r>
              <w:rPr>
                <w:rFonts w:hint="eastAsia" w:ascii="仿宋" w:hAnsi="仿宋" w:eastAsia="仿宋" w:cs="仿宋"/>
                <w:bCs/>
                <w:color w:val="auto"/>
                <w:highlight w:val="none"/>
                <w:u w:val="single"/>
              </w:rPr>
              <w:fldChar w:fldCharType="end"/>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递交（上传）投标文件。</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p>
        </w:tc>
      </w:tr>
    </w:tbl>
    <w:p>
      <w:pPr>
        <w:rPr>
          <w:rFonts w:hint="eastAsia" w:ascii="仿宋" w:hAnsi="仿宋" w:eastAsia="仿宋" w:cs="仿宋"/>
          <w:b/>
          <w:color w:val="auto"/>
          <w:highlight w:val="none"/>
        </w:rPr>
      </w:pPr>
      <w:r>
        <w:rPr>
          <w:rFonts w:hint="eastAsia" w:ascii="仿宋" w:hAnsi="仿宋" w:eastAsia="仿宋" w:cs="仿宋"/>
          <w:b/>
          <w:color w:val="auto"/>
          <w:highlight w:val="none"/>
        </w:rPr>
        <w:t xml:space="preserve">一、项目基本情况                                            </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cs="仿宋"/>
          <w:color w:val="auto"/>
          <w:highlight w:val="none"/>
          <w:lang w:val="en-US" w:eastAsia="zh-CN"/>
        </w:rPr>
        <w:t xml:space="preserve">NZ-GYGK-2022756  </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杭州南站出租车秩序服务及防疫服务采购项目</w:t>
      </w:r>
    </w:p>
    <w:p>
      <w:pPr>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cs="仿宋"/>
          <w:color w:val="auto"/>
          <w:highlight w:val="none"/>
          <w:lang w:val="en-US" w:eastAsia="zh-CN"/>
        </w:rPr>
        <w:t xml:space="preserve">5760000.00元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最高限价（元）：</w:t>
      </w:r>
      <w:r>
        <w:rPr>
          <w:rFonts w:hint="eastAsia" w:cs="仿宋"/>
          <w:color w:val="auto"/>
          <w:highlight w:val="none"/>
          <w:lang w:val="en-US" w:eastAsia="zh-CN"/>
        </w:rPr>
        <w:t xml:space="preserve">5750000.00元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采购需求：</w:t>
      </w:r>
      <w:r>
        <w:rPr>
          <w:rFonts w:hint="eastAsia" w:cs="仿宋"/>
          <w:color w:val="auto"/>
          <w:highlight w:val="none"/>
          <w:lang w:eastAsia="zh-CN"/>
        </w:rPr>
        <w:t>杭州南站出租车秩序服务及防疫服务采购项目</w:t>
      </w:r>
      <w:r>
        <w:rPr>
          <w:rFonts w:hint="eastAsia" w:ascii="仿宋" w:hAnsi="仿宋" w:eastAsia="仿宋" w:cs="仿宋"/>
          <w:color w:val="auto"/>
          <w:highlight w:val="none"/>
        </w:rPr>
        <w:t>；主要内容：</w:t>
      </w:r>
      <w:r>
        <w:rPr>
          <w:rFonts w:hint="eastAsia" w:cs="仿宋"/>
          <w:color w:val="auto"/>
          <w:highlight w:val="none"/>
          <w:lang w:eastAsia="zh-CN"/>
        </w:rPr>
        <w:t>杭州南站出租车秩序服务及防疫服务采购项目</w:t>
      </w:r>
      <w:r>
        <w:rPr>
          <w:rFonts w:hint="eastAsia" w:ascii="仿宋" w:hAnsi="仿宋" w:eastAsia="仿宋" w:cs="仿宋"/>
          <w:color w:val="auto"/>
          <w:highlight w:val="none"/>
        </w:rPr>
        <w:t>。详见招标文件第三部分采购需求。</w:t>
      </w:r>
    </w:p>
    <w:p>
      <w:pPr>
        <w:rPr>
          <w:rFonts w:hint="eastAsia" w:ascii="仿宋" w:hAnsi="仿宋" w:eastAsia="仿宋" w:cs="仿宋"/>
          <w:color w:val="auto"/>
          <w:highlight w:val="none"/>
        </w:rPr>
      </w:pPr>
      <w:r>
        <w:rPr>
          <w:rFonts w:hint="eastAsia" w:ascii="仿宋" w:hAnsi="仿宋" w:eastAsia="仿宋" w:cs="仿宋"/>
          <w:color w:val="auto"/>
          <w:highlight w:val="none"/>
        </w:rPr>
        <w:t>合同履约期限：详见招标文件</w:t>
      </w:r>
    </w:p>
    <w:p>
      <w:pPr>
        <w:rPr>
          <w:rFonts w:hint="eastAsia" w:ascii="仿宋" w:hAnsi="仿宋" w:eastAsia="仿宋" w:cs="仿宋"/>
          <w:color w:val="auto"/>
          <w:highlight w:val="none"/>
        </w:rPr>
      </w:pPr>
      <w:r>
        <w:rPr>
          <w:rFonts w:hint="eastAsia" w:ascii="仿宋" w:hAnsi="仿宋" w:eastAsia="仿宋" w:cs="仿宋"/>
          <w:color w:val="auto"/>
          <w:highlight w:val="none"/>
        </w:rPr>
        <w:t>本项目接受联合体投标：（√）是；（ ）否 。</w:t>
      </w:r>
    </w:p>
    <w:p>
      <w:pPr>
        <w:rPr>
          <w:rFonts w:hint="eastAsia" w:ascii="仿宋" w:hAnsi="仿宋" w:eastAsia="仿宋" w:cs="仿宋"/>
          <w:color w:val="auto"/>
          <w:highlight w:val="none"/>
        </w:rPr>
      </w:pPr>
      <w:r>
        <w:rPr>
          <w:rFonts w:hint="eastAsia" w:ascii="仿宋" w:hAnsi="仿宋" w:eastAsia="仿宋" w:cs="仿宋"/>
          <w:b/>
          <w:color w:val="auto"/>
          <w:highlight w:val="none"/>
        </w:rPr>
        <w:t>二、申请人的资格要求</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）无；</w:t>
      </w:r>
    </w:p>
    <w:p>
      <w:pPr>
        <w:rPr>
          <w:rFonts w:hint="eastAsia" w:ascii="仿宋" w:hAnsi="仿宋" w:eastAsia="仿宋" w:cs="仿宋"/>
          <w:color w:val="auto"/>
          <w:highlight w:val="none"/>
        </w:rPr>
      </w:pPr>
      <w:r>
        <w:rPr>
          <w:rFonts w:hint="eastAsia" w:ascii="仿宋" w:hAnsi="仿宋" w:eastAsia="仿宋" w:cs="仿宋"/>
          <w:color w:val="auto"/>
          <w:highlight w:val="none"/>
        </w:rPr>
        <w:t>（√）专门面向中小企业</w:t>
      </w:r>
    </w:p>
    <w:p>
      <w:pPr>
        <w:rPr>
          <w:rFonts w:hint="eastAsia" w:ascii="仿宋" w:hAnsi="仿宋" w:eastAsia="仿宋" w:cs="仿宋"/>
          <w:color w:val="auto"/>
          <w:highlight w:val="none"/>
        </w:rPr>
      </w:pPr>
      <w:r>
        <w:rPr>
          <w:rFonts w:hint="eastAsia" w:ascii="仿宋" w:hAnsi="仿宋" w:eastAsia="仿宋" w:cs="仿宋"/>
          <w:color w:val="auto"/>
          <w:highlight w:val="none"/>
        </w:rPr>
        <w:t>（ ）货物全部由符合政策要求的中小企业制造，提供中小企业声明函；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 ）货物全部由符合政策要求的小微企业制造，提供中小企业声明函；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 ）服务全部由符合政策要求的中小企业承接，提供中小企业声明函；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 ）服务全部由符合政策要求的小微企业承接，提供中小企业声明函；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rFonts w:hint="eastAsia" w:ascii="仿宋" w:hAnsi="仿宋" w:eastAsia="仿宋" w:cs="仿宋"/>
          <w:color w:val="auto"/>
          <w:highlight w:val="none"/>
        </w:rPr>
      </w:pPr>
      <w:r>
        <w:rPr>
          <w:rFonts w:hint="eastAsia" w:ascii="仿宋" w:hAnsi="仿宋" w:eastAsia="仿宋" w:cs="仿宋"/>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3.本项目的特定资格要求：无；</w:t>
      </w:r>
    </w:p>
    <w:p>
      <w:pPr>
        <w:rPr>
          <w:rFonts w:hint="eastAsia" w:ascii="仿宋" w:hAnsi="仿宋" w:eastAsia="仿宋" w:cs="仿宋"/>
          <w:color w:val="auto"/>
          <w:highlight w:val="none"/>
        </w:rPr>
      </w:pPr>
      <w:r>
        <w:rPr>
          <w:rFonts w:hint="eastAsia" w:ascii="仿宋" w:hAnsi="仿宋" w:eastAsia="仿宋" w:cs="仿宋"/>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仿宋" w:hAnsi="仿宋" w:eastAsia="仿宋" w:cs="仿宋"/>
          <w:b/>
          <w:color w:val="auto"/>
          <w:highlight w:val="none"/>
        </w:rPr>
      </w:pPr>
      <w:r>
        <w:rPr>
          <w:rFonts w:hint="eastAsia" w:ascii="仿宋" w:hAnsi="仿宋" w:eastAsia="仿宋" w:cs="仿宋"/>
          <w:b/>
          <w:color w:val="auto"/>
          <w:highlight w:val="none"/>
        </w:rPr>
        <w:t xml:space="preserve">三、获取招标文件 </w:t>
      </w:r>
    </w:p>
    <w:p>
      <w:pPr>
        <w:rPr>
          <w:rFonts w:hint="eastAsia" w:ascii="仿宋" w:hAnsi="仿宋" w:eastAsia="仿宋" w:cs="仿宋"/>
          <w:color w:val="auto"/>
          <w:highlight w:val="none"/>
        </w:rPr>
      </w:pPr>
      <w:r>
        <w:rPr>
          <w:rFonts w:hint="eastAsia" w:ascii="仿宋" w:hAnsi="仿宋" w:eastAsia="仿宋" w:cs="仿宋"/>
          <w:color w:val="auto"/>
          <w:highlight w:val="none"/>
        </w:rPr>
        <w:t>时间：/至202</w:t>
      </w:r>
      <w:r>
        <w:rPr>
          <w:rFonts w:hint="eastAsia" w:cs="仿宋"/>
          <w:color w:val="auto"/>
          <w:highlight w:val="none"/>
          <w:lang w:val="en-US" w:eastAsia="zh-CN"/>
        </w:rPr>
        <w:t>3</w:t>
      </w:r>
      <w:r>
        <w:rPr>
          <w:rFonts w:hint="eastAsia" w:ascii="仿宋" w:hAnsi="仿宋" w:eastAsia="仿宋" w:cs="仿宋"/>
          <w:color w:val="auto"/>
          <w:highlight w:val="none"/>
        </w:rPr>
        <w:t>年</w:t>
      </w:r>
      <w:r>
        <w:rPr>
          <w:rFonts w:hint="eastAsia" w:cs="仿宋"/>
          <w:color w:val="auto"/>
          <w:highlight w:val="none"/>
          <w:lang w:val="en-US" w:eastAsia="zh-CN"/>
        </w:rPr>
        <w:t>01</w:t>
      </w:r>
      <w:r>
        <w:rPr>
          <w:rFonts w:hint="eastAsia" w:ascii="仿宋" w:hAnsi="仿宋" w:eastAsia="仿宋" w:cs="仿宋"/>
          <w:color w:val="auto"/>
          <w:highlight w:val="none"/>
        </w:rPr>
        <w:t>月</w:t>
      </w:r>
      <w:r>
        <w:rPr>
          <w:rFonts w:hint="eastAsia" w:cs="仿宋"/>
          <w:color w:val="auto"/>
          <w:highlight w:val="none"/>
          <w:lang w:val="en-US" w:eastAsia="zh-CN"/>
        </w:rPr>
        <w:t>09</w:t>
      </w:r>
      <w:r>
        <w:rPr>
          <w:rFonts w:hint="eastAsia" w:ascii="仿宋" w:hAnsi="仿宋" w:eastAsia="仿宋" w:cs="仿宋"/>
          <w:color w:val="auto"/>
          <w:highlight w:val="none"/>
        </w:rPr>
        <w:t>日，每天上午00:00至12:00 ，下午12:00至23:59（北京时间，线上获取法定节假日均可，线下获取文件法定节假日除外）</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地点（网址）：政采云平台（https://www.zcygov.cn/）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方式：供应商登录政采云平台https://www.zcygov.cn/在线申请获取采购文件（进入“项目采购”应用，在获取采购文件菜单中选择项目，申请获取采购文件）。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售价（元）：0 </w:t>
      </w:r>
      <w:r>
        <w:rPr>
          <w:rFonts w:hint="eastAsia" w:ascii="仿宋" w:hAnsi="仿宋" w:eastAsia="仿宋" w:cs="仿宋"/>
          <w:color w:val="auto"/>
          <w:highlight w:val="none"/>
        </w:rPr>
        <w:tab/>
      </w:r>
    </w:p>
    <w:p>
      <w:pPr>
        <w:rPr>
          <w:rFonts w:hint="eastAsia" w:ascii="仿宋" w:hAnsi="仿宋" w:eastAsia="仿宋" w:cs="仿宋"/>
          <w:b/>
          <w:color w:val="auto"/>
          <w:highlight w:val="none"/>
        </w:rPr>
      </w:pPr>
      <w:r>
        <w:rPr>
          <w:rFonts w:hint="eastAsia" w:ascii="仿宋" w:hAnsi="仿宋" w:eastAsia="仿宋" w:cs="仿宋"/>
          <w:b/>
          <w:color w:val="auto"/>
          <w:highlight w:val="none"/>
        </w:rPr>
        <w:t>四、提交投标文件截止时间、开标时间和地点</w:t>
      </w:r>
    </w:p>
    <w:p>
      <w:pPr>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 202</w:t>
      </w:r>
      <w:r>
        <w:rPr>
          <w:rFonts w:hint="eastAsia" w:cs="仿宋"/>
          <w:color w:val="auto"/>
          <w:highlight w:val="none"/>
          <w:lang w:val="en-US" w:eastAsia="zh-CN"/>
        </w:rPr>
        <w:t>3</w:t>
      </w:r>
      <w:r>
        <w:rPr>
          <w:rFonts w:hint="eastAsia" w:ascii="仿宋" w:hAnsi="仿宋" w:eastAsia="仿宋" w:cs="仿宋"/>
          <w:color w:val="auto"/>
          <w:highlight w:val="none"/>
        </w:rPr>
        <w:t>年</w:t>
      </w:r>
      <w:r>
        <w:rPr>
          <w:rFonts w:hint="eastAsia" w:cs="仿宋"/>
          <w:color w:val="auto"/>
          <w:highlight w:val="none"/>
          <w:lang w:val="en-US" w:eastAsia="zh-CN"/>
        </w:rPr>
        <w:t>01</w:t>
      </w:r>
      <w:r>
        <w:rPr>
          <w:rFonts w:hint="eastAsia" w:ascii="仿宋" w:hAnsi="仿宋" w:eastAsia="仿宋" w:cs="仿宋"/>
          <w:color w:val="auto"/>
          <w:highlight w:val="none"/>
        </w:rPr>
        <w:t>月</w:t>
      </w:r>
      <w:r>
        <w:rPr>
          <w:rFonts w:hint="eastAsia" w:cs="仿宋"/>
          <w:color w:val="auto"/>
          <w:highlight w:val="none"/>
          <w:lang w:val="en-US" w:eastAsia="zh-CN"/>
        </w:rPr>
        <w:t>09</w:t>
      </w:r>
      <w:r>
        <w:rPr>
          <w:rFonts w:hint="eastAsia" w:ascii="仿宋" w:hAnsi="仿宋" w:eastAsia="仿宋" w:cs="仿宋"/>
          <w:color w:val="auto"/>
          <w:highlight w:val="none"/>
        </w:rPr>
        <w:t>日</w:t>
      </w:r>
      <w:r>
        <w:rPr>
          <w:rFonts w:hint="eastAsia" w:cs="仿宋"/>
          <w:color w:val="auto"/>
          <w:highlight w:val="none"/>
          <w:lang w:val="en-US" w:eastAsia="zh-CN"/>
        </w:rPr>
        <w:t xml:space="preserve"> 09</w:t>
      </w:r>
      <w:r>
        <w:rPr>
          <w:rFonts w:hint="eastAsia" w:ascii="仿宋" w:hAnsi="仿宋" w:eastAsia="仿宋" w:cs="仿宋"/>
          <w:color w:val="auto"/>
          <w:highlight w:val="none"/>
        </w:rPr>
        <w:t>点</w:t>
      </w:r>
      <w:r>
        <w:rPr>
          <w:rFonts w:hint="eastAsia" w:cs="仿宋"/>
          <w:color w:val="auto"/>
          <w:highlight w:val="none"/>
          <w:lang w:val="en-US" w:eastAsia="zh-CN"/>
        </w:rPr>
        <w:t>30</w:t>
      </w:r>
      <w:r>
        <w:rPr>
          <w:rFonts w:hint="eastAsia" w:ascii="仿宋" w:hAnsi="仿宋" w:eastAsia="仿宋" w:cs="仿宋"/>
          <w:color w:val="auto"/>
          <w:highlight w:val="none"/>
        </w:rPr>
        <w:t>分 （北京时间）</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投标地点（网址）：政采云平台（https://www.zcygov.cn/） </w:t>
      </w:r>
    </w:p>
    <w:p>
      <w:pPr>
        <w:rPr>
          <w:rFonts w:hint="eastAsia" w:ascii="仿宋" w:hAnsi="仿宋" w:eastAsia="仿宋" w:cs="仿宋"/>
          <w:color w:val="auto"/>
          <w:highlight w:val="none"/>
        </w:rPr>
      </w:pPr>
      <w:r>
        <w:rPr>
          <w:rFonts w:hint="eastAsia" w:ascii="仿宋" w:hAnsi="仿宋" w:eastAsia="仿宋" w:cs="仿宋"/>
          <w:color w:val="auto"/>
          <w:highlight w:val="none"/>
        </w:rPr>
        <w:t>开标时间： 202</w:t>
      </w:r>
      <w:r>
        <w:rPr>
          <w:rFonts w:hint="eastAsia" w:cs="仿宋"/>
          <w:color w:val="auto"/>
          <w:highlight w:val="none"/>
          <w:lang w:val="en-US" w:eastAsia="zh-CN"/>
        </w:rPr>
        <w:t>3</w:t>
      </w:r>
      <w:r>
        <w:rPr>
          <w:rFonts w:hint="eastAsia" w:ascii="仿宋" w:hAnsi="仿宋" w:eastAsia="仿宋" w:cs="仿宋"/>
          <w:color w:val="auto"/>
          <w:highlight w:val="none"/>
        </w:rPr>
        <w:t>年</w:t>
      </w:r>
      <w:r>
        <w:rPr>
          <w:rFonts w:hint="eastAsia" w:cs="仿宋"/>
          <w:color w:val="auto"/>
          <w:highlight w:val="none"/>
          <w:lang w:val="en-US" w:eastAsia="zh-CN"/>
        </w:rPr>
        <w:t>01</w:t>
      </w:r>
      <w:r>
        <w:rPr>
          <w:rFonts w:hint="eastAsia" w:ascii="仿宋" w:hAnsi="仿宋" w:eastAsia="仿宋" w:cs="仿宋"/>
          <w:color w:val="auto"/>
          <w:highlight w:val="none"/>
        </w:rPr>
        <w:t>月</w:t>
      </w:r>
      <w:r>
        <w:rPr>
          <w:rFonts w:hint="eastAsia" w:cs="仿宋"/>
          <w:color w:val="auto"/>
          <w:highlight w:val="none"/>
          <w:lang w:val="en-US" w:eastAsia="zh-CN"/>
        </w:rPr>
        <w:t>09</w:t>
      </w:r>
      <w:r>
        <w:rPr>
          <w:rFonts w:hint="eastAsia" w:ascii="仿宋" w:hAnsi="仿宋" w:eastAsia="仿宋" w:cs="仿宋"/>
          <w:color w:val="auto"/>
          <w:highlight w:val="none"/>
        </w:rPr>
        <w:t>日</w:t>
      </w:r>
      <w:r>
        <w:rPr>
          <w:rFonts w:hint="eastAsia" w:cs="仿宋"/>
          <w:color w:val="auto"/>
          <w:highlight w:val="none"/>
          <w:lang w:val="en-US" w:eastAsia="zh-CN"/>
        </w:rPr>
        <w:t xml:space="preserve"> 09</w:t>
      </w:r>
      <w:r>
        <w:rPr>
          <w:rFonts w:hint="eastAsia" w:ascii="仿宋" w:hAnsi="仿宋" w:eastAsia="仿宋" w:cs="仿宋"/>
          <w:color w:val="auto"/>
          <w:highlight w:val="none"/>
        </w:rPr>
        <w:t>点</w:t>
      </w:r>
      <w:r>
        <w:rPr>
          <w:rFonts w:hint="eastAsia" w:cs="仿宋"/>
          <w:color w:val="auto"/>
          <w:highlight w:val="none"/>
          <w:lang w:val="en-US" w:eastAsia="zh-CN"/>
        </w:rPr>
        <w:t>30</w:t>
      </w:r>
      <w:r>
        <w:rPr>
          <w:rFonts w:hint="eastAsia" w:ascii="仿宋" w:hAnsi="仿宋" w:eastAsia="仿宋" w:cs="仿宋"/>
          <w:color w:val="auto"/>
          <w:highlight w:val="none"/>
        </w:rPr>
        <w:t xml:space="preserve">分 </w:t>
      </w:r>
    </w:p>
    <w:p>
      <w:pPr>
        <w:rPr>
          <w:rFonts w:hint="eastAsia" w:ascii="仿宋" w:hAnsi="仿宋" w:eastAsia="仿宋" w:cs="仿宋"/>
          <w:color w:val="auto"/>
          <w:highlight w:val="none"/>
        </w:rPr>
      </w:pPr>
      <w:r>
        <w:rPr>
          <w:rFonts w:hint="eastAsia" w:ascii="仿宋" w:hAnsi="仿宋" w:eastAsia="仿宋" w:cs="仿宋"/>
          <w:color w:val="auto"/>
          <w:highlight w:val="none"/>
        </w:rPr>
        <w:t>开标地点（网址）：政采云平台（https://www.zcygov.cn/）。</w:t>
      </w:r>
    </w:p>
    <w:p>
      <w:pPr>
        <w:rPr>
          <w:rFonts w:hint="eastAsia" w:ascii="仿宋" w:hAnsi="仿宋" w:eastAsia="仿宋" w:cs="仿宋"/>
          <w:b/>
          <w:color w:val="auto"/>
          <w:highlight w:val="none"/>
        </w:rPr>
      </w:pPr>
      <w:r>
        <w:rPr>
          <w:rFonts w:hint="eastAsia" w:ascii="仿宋" w:hAnsi="仿宋" w:eastAsia="仿宋" w:cs="仿宋"/>
          <w:b/>
          <w:color w:val="auto"/>
          <w:highlight w:val="none"/>
        </w:rPr>
        <w:t xml:space="preserve">五、公告期限 </w:t>
      </w:r>
    </w:p>
    <w:p>
      <w:pPr>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pPr>
        <w:rPr>
          <w:rFonts w:hint="eastAsia" w:ascii="仿宋" w:hAnsi="仿宋" w:eastAsia="仿宋" w:cs="仿宋"/>
          <w:color w:val="auto"/>
          <w:highlight w:val="none"/>
        </w:rPr>
      </w:pPr>
      <w:r>
        <w:rPr>
          <w:rFonts w:hint="eastAsia" w:ascii="仿宋" w:hAnsi="仿宋" w:eastAsia="仿宋" w:cs="仿宋"/>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仿宋" w:hAnsi="仿宋" w:eastAsia="仿宋" w:cs="仿宋"/>
          <w:color w:val="auto"/>
          <w:highlight w:val="none"/>
        </w:rPr>
      </w:pPr>
      <w:r>
        <w:rPr>
          <w:rFonts w:hint="eastAsia" w:ascii="仿宋" w:hAnsi="仿宋" w:eastAsia="仿宋" w:cs="仿宋"/>
          <w:color w:val="auto"/>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pPr>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pPr>
        <w:rPr>
          <w:rFonts w:hint="eastAsia" w:ascii="仿宋" w:hAnsi="仿宋" w:eastAsia="仿宋" w:cs="仿宋"/>
          <w:color w:val="auto"/>
          <w:highlight w:val="none"/>
          <w:lang w:eastAsia="zh-CN"/>
        </w:rPr>
      </w:pPr>
      <w:bookmarkStart w:id="0" w:name="_Toc28359009"/>
      <w:bookmarkStart w:id="1" w:name="_Toc28359086"/>
      <w:r>
        <w:rPr>
          <w:rFonts w:hint="eastAsia" w:ascii="仿宋" w:hAnsi="仿宋" w:eastAsia="仿宋" w:cs="仿宋"/>
          <w:color w:val="auto"/>
          <w:highlight w:val="none"/>
        </w:rPr>
        <w:t>名 称：</w:t>
      </w:r>
      <w:r>
        <w:rPr>
          <w:rFonts w:hint="eastAsia" w:cs="仿宋"/>
          <w:color w:val="auto"/>
          <w:highlight w:val="none"/>
          <w:lang w:eastAsia="zh-CN"/>
        </w:rPr>
        <w:t>杭州南站枢纽管理委员会</w:t>
      </w:r>
    </w:p>
    <w:p>
      <w:pPr>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sz w:val="24"/>
          <w:szCs w:val="28"/>
          <w:highlight w:val="none"/>
        </w:rPr>
        <w:t>浙江省杭州市萧山区通货路365号杭州南站东广场3号楼</w:t>
      </w:r>
    </w:p>
    <w:p>
      <w:pPr>
        <w:rPr>
          <w:rFonts w:hint="eastAsia" w:ascii="仿宋" w:hAnsi="仿宋" w:eastAsia="仿宋" w:cs="仿宋"/>
          <w:color w:val="auto"/>
          <w:highlight w:val="none"/>
        </w:rPr>
      </w:pPr>
      <w:r>
        <w:rPr>
          <w:rFonts w:hint="eastAsia" w:ascii="仿宋" w:hAnsi="仿宋" w:eastAsia="仿宋" w:cs="仿宋"/>
          <w:color w:val="auto"/>
          <w:highlight w:val="none"/>
        </w:rPr>
        <w:t>传真：/</w:t>
      </w:r>
    </w:p>
    <w:p>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cs="仿宋"/>
          <w:color w:val="auto"/>
          <w:highlight w:val="none"/>
          <w:lang w:val="en-US" w:eastAsia="zh-CN"/>
        </w:rPr>
        <w:t xml:space="preserve"> 傅强</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项目联系方式（询问）：</w:t>
      </w:r>
      <w:r>
        <w:rPr>
          <w:rFonts w:hint="eastAsia" w:cs="仿宋"/>
          <w:color w:val="auto"/>
          <w:highlight w:val="none"/>
          <w:lang w:val="en-US" w:eastAsia="zh-CN"/>
        </w:rPr>
        <w:t>0571-82728985</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质疑联系人：</w:t>
      </w:r>
      <w:r>
        <w:rPr>
          <w:rFonts w:hint="eastAsia" w:cs="仿宋"/>
          <w:color w:val="auto"/>
          <w:highlight w:val="none"/>
          <w:lang w:val="en-US" w:eastAsia="zh-CN"/>
        </w:rPr>
        <w:t xml:space="preserve"> 陈钢桥</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质疑联系方式：</w:t>
      </w:r>
      <w:r>
        <w:rPr>
          <w:rFonts w:hint="eastAsia" w:cs="仿宋"/>
          <w:color w:val="auto"/>
          <w:highlight w:val="none"/>
          <w:lang w:val="en-US" w:eastAsia="zh-CN"/>
        </w:rPr>
        <w:t xml:space="preserve">0571-82728227 </w:t>
      </w:r>
    </w:p>
    <w:p>
      <w:pPr>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bookmarkEnd w:id="0"/>
      <w:bookmarkEnd w:id="1"/>
    </w:p>
    <w:p>
      <w:pPr>
        <w:rPr>
          <w:rFonts w:hint="eastAsia" w:ascii="仿宋" w:hAnsi="仿宋" w:eastAsia="仿宋" w:cs="仿宋"/>
          <w:color w:val="auto"/>
          <w:highlight w:val="none"/>
        </w:rPr>
      </w:pPr>
      <w:r>
        <w:rPr>
          <w:rFonts w:hint="eastAsia" w:ascii="仿宋" w:hAnsi="仿宋" w:eastAsia="仿宋" w:cs="仿宋"/>
          <w:color w:val="auto"/>
          <w:highlight w:val="none"/>
        </w:rPr>
        <w:t>名 称：浙江华域高宇项目管理有限公司</w:t>
      </w:r>
    </w:p>
    <w:p>
      <w:pPr>
        <w:rPr>
          <w:rFonts w:hint="eastAsia" w:ascii="仿宋" w:hAnsi="仿宋" w:eastAsia="仿宋" w:cs="仿宋"/>
          <w:color w:val="auto"/>
          <w:highlight w:val="none"/>
        </w:rPr>
      </w:pPr>
      <w:r>
        <w:rPr>
          <w:rFonts w:hint="eastAsia" w:ascii="仿宋" w:hAnsi="仿宋" w:eastAsia="仿宋" w:cs="仿宋"/>
          <w:color w:val="auto"/>
          <w:highlight w:val="none"/>
        </w:rPr>
        <w:t>地址：萧山区北干街道金城路560号心意广场2幢1101室</w:t>
      </w:r>
    </w:p>
    <w:p>
      <w:pPr>
        <w:rPr>
          <w:rFonts w:hint="eastAsia" w:ascii="仿宋" w:hAnsi="仿宋" w:eastAsia="仿宋" w:cs="仿宋"/>
          <w:color w:val="auto"/>
          <w:highlight w:val="none"/>
        </w:rPr>
      </w:pPr>
      <w:r>
        <w:rPr>
          <w:rFonts w:hint="eastAsia" w:ascii="仿宋" w:hAnsi="仿宋" w:eastAsia="仿宋" w:cs="仿宋"/>
          <w:color w:val="auto"/>
          <w:highlight w:val="none"/>
        </w:rPr>
        <w:t>传真：0571-22866657</w:t>
      </w:r>
    </w:p>
    <w:p>
      <w:pPr>
        <w:rPr>
          <w:rFonts w:hint="eastAsia" w:ascii="仿宋" w:hAnsi="仿宋" w:eastAsia="仿宋" w:cs="仿宋"/>
          <w:color w:val="auto"/>
          <w:highlight w:val="none"/>
        </w:rPr>
      </w:pPr>
      <w:r>
        <w:rPr>
          <w:rFonts w:hint="eastAsia" w:ascii="仿宋" w:hAnsi="仿宋" w:eastAsia="仿宋" w:cs="仿宋"/>
          <w:color w:val="auto"/>
          <w:highlight w:val="none"/>
        </w:rPr>
        <w:t>项目联系人（询问）：陈超</w:t>
      </w:r>
    </w:p>
    <w:p>
      <w:pPr>
        <w:rPr>
          <w:rFonts w:hint="eastAsia" w:ascii="仿宋" w:hAnsi="仿宋" w:eastAsia="仿宋" w:cs="仿宋"/>
          <w:color w:val="auto"/>
          <w:highlight w:val="none"/>
        </w:rPr>
      </w:pPr>
      <w:r>
        <w:rPr>
          <w:rFonts w:hint="eastAsia" w:ascii="仿宋" w:hAnsi="仿宋" w:eastAsia="仿宋" w:cs="仿宋"/>
          <w:color w:val="auto"/>
          <w:highlight w:val="none"/>
        </w:rPr>
        <w:t>项目联系方式（询问）：0571-22816663/13738195695</w:t>
      </w:r>
    </w:p>
    <w:p>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质疑联系人：</w:t>
      </w:r>
      <w:r>
        <w:rPr>
          <w:rFonts w:hint="eastAsia" w:cs="仿宋"/>
          <w:color w:val="auto"/>
          <w:highlight w:val="none"/>
          <w:lang w:val="en-US" w:eastAsia="zh-CN"/>
        </w:rPr>
        <w:t>付钰航</w:t>
      </w:r>
    </w:p>
    <w:p>
      <w:pPr>
        <w:rPr>
          <w:rFonts w:hint="eastAsia" w:ascii="仿宋" w:hAnsi="仿宋" w:eastAsia="仿宋" w:cs="仿宋"/>
          <w:color w:val="auto"/>
          <w:highlight w:val="none"/>
        </w:rPr>
      </w:pPr>
      <w:r>
        <w:rPr>
          <w:rFonts w:hint="eastAsia" w:ascii="仿宋" w:hAnsi="仿宋" w:eastAsia="仿宋" w:cs="仿宋"/>
          <w:color w:val="auto"/>
          <w:highlight w:val="none"/>
        </w:rPr>
        <w:t>质疑联系方式：0571-22816663</w:t>
      </w:r>
    </w:p>
    <w:p>
      <w:pPr>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            </w:t>
      </w:r>
    </w:p>
    <w:p>
      <w:pPr>
        <w:rPr>
          <w:rFonts w:hint="eastAsia" w:ascii="仿宋" w:hAnsi="仿宋" w:eastAsia="仿宋" w:cs="仿宋"/>
          <w:color w:val="auto"/>
          <w:highlight w:val="none"/>
        </w:rPr>
      </w:pPr>
      <w:r>
        <w:rPr>
          <w:rFonts w:hint="eastAsia" w:ascii="仿宋" w:hAnsi="仿宋" w:eastAsia="仿宋" w:cs="仿宋"/>
          <w:color w:val="auto"/>
          <w:highlight w:val="none"/>
        </w:rPr>
        <w:t>名    称：萧山区财政局             </w:t>
      </w:r>
    </w:p>
    <w:p>
      <w:pPr>
        <w:rPr>
          <w:rFonts w:hint="eastAsia" w:ascii="仿宋" w:hAnsi="仿宋" w:eastAsia="仿宋" w:cs="仿宋"/>
          <w:color w:val="auto"/>
          <w:highlight w:val="none"/>
        </w:rPr>
      </w:pPr>
      <w:r>
        <w:rPr>
          <w:rFonts w:hint="eastAsia" w:ascii="仿宋" w:hAnsi="仿宋" w:eastAsia="仿宋" w:cs="仿宋"/>
          <w:color w:val="auto"/>
          <w:highlight w:val="none"/>
        </w:rPr>
        <w:t>地    址：萧山区人民路318号             </w:t>
      </w:r>
    </w:p>
    <w:p>
      <w:pPr>
        <w:rPr>
          <w:rFonts w:hint="eastAsia" w:ascii="仿宋" w:hAnsi="仿宋" w:eastAsia="仿宋" w:cs="仿宋"/>
          <w:color w:val="auto"/>
          <w:highlight w:val="none"/>
        </w:rPr>
      </w:pPr>
      <w:r>
        <w:rPr>
          <w:rFonts w:hint="eastAsia" w:ascii="仿宋" w:hAnsi="仿宋" w:eastAsia="仿宋" w:cs="仿宋"/>
          <w:color w:val="auto"/>
          <w:highlight w:val="none"/>
        </w:rPr>
        <w:t>传   真：0571-82756122          </w:t>
      </w:r>
    </w:p>
    <w:p>
      <w:pPr>
        <w:rPr>
          <w:rFonts w:hint="eastAsia" w:ascii="仿宋" w:hAnsi="仿宋" w:eastAsia="仿宋" w:cs="仿宋"/>
          <w:color w:val="auto"/>
          <w:highlight w:val="none"/>
        </w:rPr>
      </w:pPr>
      <w:r>
        <w:rPr>
          <w:rFonts w:hint="eastAsia" w:ascii="仿宋" w:hAnsi="仿宋" w:eastAsia="仿宋" w:cs="仿宋"/>
          <w:color w:val="auto"/>
          <w:highlight w:val="none"/>
        </w:rPr>
        <w:t>联系人 ：汤先生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监督投诉电话：0571-82756122        </w:t>
      </w:r>
    </w:p>
    <w:p>
      <w:pPr>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若对项目采购电子交易系统操作有疑问，可登录政采云（https://www.zcygov.cn/），点击右侧咨询小采，获取采小蜜智能服务管家帮助，或拨打政采云服务热线400-881-7190获取热线服务帮助。</w:t>
      </w:r>
    </w:p>
    <w:p>
      <w:pPr>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第二部分 投标人须知</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26"/>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事项</w:t>
            </w:r>
          </w:p>
        </w:tc>
        <w:tc>
          <w:tcPr>
            <w:tcW w:w="664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项目属性与核心产品</w:t>
            </w:r>
          </w:p>
        </w:tc>
        <w:tc>
          <w:tcPr>
            <w:tcW w:w="6640" w:type="dxa"/>
            <w:vAlign w:val="center"/>
          </w:tcPr>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w:t>
            </w:r>
            <w:r>
              <w:rPr>
                <w:rFonts w:hint="eastAsia" w:ascii="仿宋" w:hAnsi="仿宋" w:eastAsia="仿宋" w:cs="仿宋"/>
                <w:color w:val="auto"/>
                <w:sz w:val="22"/>
                <w:highlight w:val="none"/>
                <w:lang w:val="en-US" w:eastAsia="zh-CN"/>
              </w:rPr>
              <w:t xml:space="preserve"> </w:t>
            </w:r>
            <w:r>
              <w:rPr>
                <w:rFonts w:hint="eastAsia" w:ascii="仿宋" w:hAnsi="仿宋" w:eastAsia="仿宋" w:cs="仿宋"/>
                <w:color w:val="auto"/>
                <w:sz w:val="22"/>
                <w:highlight w:val="none"/>
              </w:rPr>
              <w:t xml:space="preserve"> )A货物类，单一产品或核心产品为：</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 xml:space="preserve">( </w:t>
            </w:r>
            <w:r>
              <w:rPr>
                <w:rFonts w:hint="eastAsia" w:ascii="仿宋" w:hAnsi="仿宋" w:eastAsia="仿宋" w:cs="仿宋"/>
                <w:color w:val="auto"/>
                <w:highlight w:val="none"/>
              </w:rPr>
              <w:t>√</w:t>
            </w:r>
            <w:r>
              <w:rPr>
                <w:rFonts w:hint="eastAsia" w:ascii="仿宋" w:hAnsi="仿宋" w:eastAsia="仿宋" w:cs="仿宋"/>
                <w:color w:val="auto"/>
                <w:sz w:val="22"/>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采购标的对应的中小企业划分标准所属行业</w:t>
            </w:r>
          </w:p>
        </w:tc>
        <w:tc>
          <w:tcPr>
            <w:tcW w:w="6640"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（1）标的：</w:t>
            </w:r>
            <w:r>
              <w:rPr>
                <w:rFonts w:hint="eastAsia" w:cs="仿宋"/>
                <w:color w:val="auto"/>
                <w:sz w:val="22"/>
                <w:highlight w:val="none"/>
                <w:lang w:eastAsia="zh-CN"/>
              </w:rPr>
              <w:t>杭州南站出租车秩序服务及防疫服务采购项目</w:t>
            </w:r>
            <w:r>
              <w:rPr>
                <w:rFonts w:hint="eastAsia" w:ascii="仿宋" w:hAnsi="仿宋" w:eastAsia="仿宋" w:cs="仿宋"/>
                <w:color w:val="auto"/>
                <w:sz w:val="22"/>
                <w:highlight w:val="none"/>
              </w:rPr>
              <w:t xml:space="preserve"> ，属于</w:t>
            </w:r>
            <w:r>
              <w:rPr>
                <w:rFonts w:hint="eastAsia" w:ascii="仿宋" w:hAnsi="仿宋" w:eastAsia="仿宋" w:cs="仿宋"/>
                <w:color w:val="auto"/>
                <w:sz w:val="22"/>
                <w:highlight w:val="none"/>
                <w:lang w:eastAsia="zh-CN"/>
              </w:rPr>
              <w:t>租赁和商业服务业</w:t>
            </w:r>
            <w:r>
              <w:rPr>
                <w:rFonts w:hint="eastAsia" w:ascii="仿宋" w:hAnsi="仿宋" w:eastAsia="仿宋" w:cs="仿宋"/>
                <w:color w:val="auto"/>
                <w:sz w:val="22"/>
                <w:highlight w:val="none"/>
              </w:rPr>
              <w:t>；……</w:t>
            </w:r>
          </w:p>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行业划分标准：</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是否允许采购进口产品</w:t>
            </w:r>
          </w:p>
        </w:tc>
        <w:tc>
          <w:tcPr>
            <w:tcW w:w="6640" w:type="dxa"/>
            <w:vAlign w:val="center"/>
          </w:tcPr>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2"/>
                <w:szCs w:val="32"/>
                <w:highlight w:val="none"/>
              </w:rPr>
            </w:pPr>
            <w:r>
              <w:rPr>
                <w:rFonts w:hint="eastAsia" w:ascii="仿宋" w:hAnsi="仿宋" w:eastAsia="仿宋" w:cs="仿宋"/>
                <w:color w:val="auto"/>
                <w:sz w:val="22"/>
                <w:highlight w:val="none"/>
              </w:rPr>
              <w:t>(</w:t>
            </w:r>
            <w:r>
              <w:rPr>
                <w:rFonts w:hint="eastAsia" w:ascii="仿宋" w:hAnsi="仿宋" w:eastAsia="仿宋" w:cs="仿宋"/>
                <w:color w:val="auto"/>
                <w:highlight w:val="none"/>
              </w:rPr>
              <w:t>√</w:t>
            </w:r>
            <w:r>
              <w:rPr>
                <w:rFonts w:hint="eastAsia" w:ascii="仿宋" w:hAnsi="仿宋" w:eastAsia="仿宋" w:cs="仿宋"/>
                <w:color w:val="auto"/>
                <w:sz w:val="22"/>
                <w:highlight w:val="none"/>
              </w:rPr>
              <w:t>)</w:t>
            </w:r>
            <w:r>
              <w:rPr>
                <w:rFonts w:hint="eastAsia" w:ascii="仿宋" w:hAnsi="仿宋" w:eastAsia="仿宋" w:cs="仿宋"/>
                <w:color w:val="auto"/>
                <w:sz w:val="22"/>
                <w:szCs w:val="32"/>
                <w:highlight w:val="none"/>
              </w:rPr>
              <w:t>本项目不允许采购进口产品。</w:t>
            </w:r>
          </w:p>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2"/>
                <w:szCs w:val="32"/>
                <w:highlight w:val="none"/>
              </w:rPr>
            </w:pPr>
            <w:r>
              <w:rPr>
                <w:rFonts w:hint="eastAsia" w:ascii="仿宋" w:hAnsi="仿宋" w:eastAsia="仿宋" w:cs="仿宋"/>
                <w:color w:val="auto"/>
                <w:sz w:val="22"/>
                <w:highlight w:val="none"/>
              </w:rPr>
              <w:t>(   )</w:t>
            </w:r>
            <w:r>
              <w:rPr>
                <w:rFonts w:hint="eastAsia" w:ascii="仿宋" w:hAnsi="仿宋" w:eastAsia="仿宋" w:cs="仿宋"/>
                <w:color w:val="auto"/>
                <w:sz w:val="22"/>
                <w:szCs w:val="32"/>
                <w:highlight w:val="none"/>
              </w:rPr>
              <w:t>可以就    采购进口产品。</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联合体和分包</w:t>
            </w:r>
          </w:p>
        </w:tc>
        <w:tc>
          <w:tcPr>
            <w:tcW w:w="6640" w:type="dxa"/>
            <w:vAlign w:val="center"/>
          </w:tcPr>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color w:val="auto"/>
                <w:sz w:val="22"/>
                <w:highlight w:val="none"/>
              </w:rPr>
            </w:pPr>
            <w:r>
              <w:rPr>
                <w:rFonts w:hint="eastAsia" w:ascii="仿宋" w:hAnsi="仿宋" w:eastAsia="仿宋" w:cs="仿宋"/>
                <w:b/>
                <w:color w:val="auto"/>
                <w:sz w:val="22"/>
                <w:highlight w:val="none"/>
              </w:rPr>
              <w:t>（√）</w:t>
            </w:r>
            <w:r>
              <w:rPr>
                <w:rFonts w:hint="eastAsia" w:ascii="仿宋" w:hAnsi="仿宋" w:eastAsia="仿宋" w:cs="仿宋"/>
                <w:color w:val="auto"/>
                <w:sz w:val="22"/>
                <w:highlight w:val="none"/>
              </w:rPr>
              <w:t>A同意将非主体、非关键性的</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工作分包。</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2"/>
                <w:highlight w:val="none"/>
              </w:rPr>
            </w:pPr>
            <w:r>
              <w:rPr>
                <w:rFonts w:hint="eastAsia" w:ascii="仿宋" w:hAnsi="仿宋" w:eastAsia="仿宋" w:cs="仿宋"/>
                <w:b/>
                <w:color w:val="auto"/>
                <w:sz w:val="22"/>
                <w:highlight w:val="none"/>
              </w:rPr>
              <w:t>（ ）</w:t>
            </w:r>
            <w:r>
              <w:rPr>
                <w:rFonts w:hint="eastAsia" w:ascii="仿宋" w:hAnsi="仿宋" w:eastAsia="仿宋" w:cs="仿宋"/>
                <w:color w:val="auto"/>
                <w:sz w:val="22"/>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开标前答疑会或现场考察</w:t>
            </w:r>
          </w:p>
        </w:tc>
        <w:tc>
          <w:tcPr>
            <w:tcW w:w="6640" w:type="dxa"/>
            <w:vAlign w:val="center"/>
          </w:tcPr>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2"/>
                <w:highlight w:val="none"/>
              </w:rPr>
            </w:pPr>
            <w:r>
              <w:rPr>
                <w:rFonts w:hint="eastAsia" w:ascii="仿宋" w:hAnsi="仿宋" w:eastAsia="仿宋" w:cs="仿宋"/>
                <w:b/>
                <w:color w:val="auto"/>
                <w:sz w:val="22"/>
                <w:highlight w:val="none"/>
              </w:rPr>
              <w:t>（√）</w:t>
            </w:r>
            <w:r>
              <w:rPr>
                <w:rFonts w:hint="eastAsia" w:ascii="仿宋" w:hAnsi="仿宋" w:eastAsia="仿宋" w:cs="仿宋"/>
                <w:color w:val="auto"/>
                <w:sz w:val="22"/>
                <w:highlight w:val="none"/>
              </w:rPr>
              <w:t>A不组织。</w:t>
            </w:r>
          </w:p>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2"/>
                <w:highlight w:val="none"/>
              </w:rPr>
            </w:pPr>
            <w:r>
              <w:rPr>
                <w:rFonts w:hint="eastAsia" w:ascii="仿宋" w:hAnsi="仿宋" w:eastAsia="仿宋" w:cs="仿宋"/>
                <w:b/>
                <w:color w:val="auto"/>
                <w:sz w:val="22"/>
                <w:highlight w:val="none"/>
              </w:rPr>
              <w:t>（  ）</w:t>
            </w:r>
            <w:r>
              <w:rPr>
                <w:rFonts w:hint="eastAsia" w:ascii="仿宋" w:hAnsi="仿宋" w:eastAsia="仿宋" w:cs="仿宋"/>
                <w:color w:val="auto"/>
                <w:sz w:val="22"/>
                <w:highlight w:val="none"/>
              </w:rPr>
              <w:t>B组织，时间：</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,地点：</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联系人：</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样品提供</w:t>
            </w:r>
          </w:p>
        </w:tc>
        <w:tc>
          <w:tcPr>
            <w:tcW w:w="6640" w:type="dxa"/>
            <w:vAlign w:val="center"/>
          </w:tcPr>
          <w:p>
            <w:pPr>
              <w:keepNext w:val="0"/>
              <w:keepLines w:val="0"/>
              <w:widowControl/>
              <w:suppressLineNumbers w:val="0"/>
              <w:spacing w:before="0" w:beforeAutospacing="0" w:after="0" w:afterAutospacing="0" w:line="360" w:lineRule="auto"/>
              <w:ind w:left="0" w:right="0"/>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（√）A不要求提供。</w:t>
            </w:r>
          </w:p>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highlight w:val="none"/>
              </w:rPr>
            </w:pPr>
            <w:r>
              <w:rPr>
                <w:rFonts w:hint="eastAsia" w:ascii="仿宋" w:hAnsi="仿宋" w:eastAsia="仿宋" w:cs="仿宋"/>
                <w:bCs/>
                <w:color w:val="auto"/>
                <w:sz w:val="22"/>
                <w:highlight w:val="none"/>
              </w:rPr>
              <w:t>（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方案讲解演示</w:t>
            </w:r>
          </w:p>
        </w:tc>
        <w:tc>
          <w:tcPr>
            <w:tcW w:w="6640" w:type="dxa"/>
            <w:vAlign w:val="center"/>
          </w:tcPr>
          <w:p>
            <w:pPr>
              <w:keepNext w:val="0"/>
              <w:keepLines w:val="0"/>
              <w:widowControl/>
              <w:suppressLineNumbers w:val="0"/>
              <w:spacing w:before="0" w:beforeAutospacing="0" w:after="0" w:afterAutospacing="0" w:line="360" w:lineRule="auto"/>
              <w:ind w:left="0" w:right="0"/>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w:t>
            </w:r>
            <w:r>
              <w:rPr>
                <w:rFonts w:hint="eastAsia" w:ascii="仿宋" w:hAnsi="仿宋" w:eastAsia="仿宋" w:cs="仿宋"/>
                <w:color w:val="auto"/>
                <w:highlight w:val="none"/>
              </w:rPr>
              <w:t>√</w:t>
            </w:r>
            <w:r>
              <w:rPr>
                <w:rFonts w:hint="eastAsia" w:ascii="仿宋" w:hAnsi="仿宋" w:eastAsia="仿宋" w:cs="仿宋"/>
                <w:bCs/>
                <w:color w:val="auto"/>
                <w:sz w:val="22"/>
                <w:highlight w:val="none"/>
              </w:rPr>
              <w:t>）A不要求。</w:t>
            </w:r>
          </w:p>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highlight w:val="none"/>
              </w:rPr>
            </w:pPr>
            <w:r>
              <w:rPr>
                <w:rFonts w:hint="eastAsia" w:ascii="仿宋" w:hAnsi="仿宋" w:eastAsia="仿宋" w:cs="仿宋"/>
                <w:bCs/>
                <w:color w:val="auto"/>
                <w:sz w:val="22"/>
                <w:highlight w:val="none"/>
              </w:rPr>
              <w:t>（  ）B要求演示，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投标人应当提供的资格、资信证明文件</w:t>
            </w:r>
          </w:p>
        </w:tc>
        <w:tc>
          <w:tcPr>
            <w:tcW w:w="6640" w:type="dxa"/>
            <w:vAlign w:val="center"/>
          </w:tcPr>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（1）资格证明文件：见招标文件第二部分11.1。</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2"/>
                <w:highlight w:val="none"/>
                <w:lang w:val="zh-CN"/>
              </w:rPr>
            </w:pPr>
            <w:r>
              <w:rPr>
                <w:rFonts w:hint="eastAsia" w:ascii="仿宋" w:hAnsi="仿宋" w:eastAsia="仿宋" w:cs="仿宋"/>
                <w:color w:val="auto"/>
                <w:sz w:val="22"/>
                <w:highlight w:val="none"/>
                <w:lang w:val="zh-CN"/>
              </w:rPr>
              <w:t>投标人未提供有效的资格证明文件的，视为投标人不具备招标文件中规定的资格要求，投标无效。</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节能产品、环境标志产品</w:t>
            </w:r>
          </w:p>
        </w:tc>
        <w:tc>
          <w:tcPr>
            <w:tcW w:w="6640"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报价要求</w:t>
            </w:r>
          </w:p>
        </w:tc>
        <w:tc>
          <w:tcPr>
            <w:tcW w:w="6640" w:type="dxa"/>
            <w:vAlign w:val="center"/>
          </w:tcPr>
          <w:p>
            <w:pPr>
              <w:keepNext w:val="0"/>
              <w:keepLines w:val="0"/>
              <w:widowControl/>
              <w:suppressLineNumbers w:val="0"/>
              <w:spacing w:before="0" w:beforeAutospacing="0" w:after="0" w:afterAutospacing="0" w:line="360" w:lineRule="auto"/>
              <w:ind w:left="0" w:right="0" w:firstLine="440" w:firstLineChars="200"/>
              <w:rPr>
                <w:rFonts w:hint="eastAsia" w:ascii="仿宋" w:hAnsi="仿宋" w:eastAsia="仿宋" w:cs="仿宋"/>
                <w:bCs/>
                <w:color w:val="auto"/>
                <w:sz w:val="22"/>
                <w:highlight w:val="none"/>
                <w:lang w:val="zh-CN"/>
              </w:rPr>
            </w:pPr>
            <w:r>
              <w:rPr>
                <w:rFonts w:hint="eastAsia" w:ascii="仿宋" w:hAnsi="仿宋" w:eastAsia="仿宋" w:cs="仿宋"/>
                <w:bCs/>
                <w:color w:val="auto"/>
                <w:sz w:val="22"/>
                <w:highlight w:val="none"/>
                <w:lang w:val="zh-CN"/>
              </w:rPr>
              <w:t>有关本项目实施所需的所有费用（含税费）均计入报价。</w:t>
            </w:r>
            <w:r>
              <w:rPr>
                <w:rFonts w:hint="eastAsia" w:ascii="仿宋" w:hAnsi="仿宋" w:eastAsia="仿宋" w:cs="仿宋"/>
                <w:bCs/>
                <w:color w:val="auto"/>
                <w:sz w:val="22"/>
                <w:highlight w:val="none"/>
              </w:rPr>
              <w:t>开标一览表（报价表）是报价的唯一载体</w:t>
            </w:r>
            <w:r>
              <w:rPr>
                <w:rFonts w:hint="eastAsia" w:ascii="仿宋" w:hAnsi="仿宋" w:eastAsia="仿宋" w:cs="仿宋"/>
                <w:bCs/>
                <w:color w:val="auto"/>
                <w:sz w:val="22"/>
                <w:highlight w:val="none"/>
                <w:lang w:val="zh-CN"/>
              </w:rPr>
              <w:t>。投标文件中价格全部采用人民币报价。招标文件未列明，而投标人认为必需的费用也需列入报价。</w:t>
            </w:r>
          </w:p>
          <w:p>
            <w:pPr>
              <w:keepNext w:val="0"/>
              <w:keepLines w:val="0"/>
              <w:widowControl/>
              <w:suppressLineNumbers w:val="0"/>
              <w:spacing w:before="0" w:beforeAutospacing="0" w:after="0" w:afterAutospacing="0" w:line="360" w:lineRule="auto"/>
              <w:ind w:left="0" w:right="0"/>
              <w:rPr>
                <w:rFonts w:hint="eastAsia" w:ascii="仿宋" w:hAnsi="仿宋" w:eastAsia="仿宋" w:cs="仿宋"/>
                <w:bCs/>
                <w:color w:val="auto"/>
                <w:sz w:val="22"/>
                <w:highlight w:val="none"/>
                <w:lang w:val="zh-CN"/>
              </w:rPr>
            </w:pPr>
            <w:r>
              <w:rPr>
                <w:rFonts w:hint="eastAsia" w:ascii="仿宋" w:hAnsi="仿宋" w:eastAsia="仿宋" w:cs="仿宋"/>
                <w:bCs/>
                <w:color w:val="auto"/>
                <w:sz w:val="22"/>
                <w:highlight w:val="none"/>
                <w:lang w:val="zh-CN"/>
              </w:rPr>
              <w:t>投标报价出现下列情形的，投标无效：</w:t>
            </w:r>
          </w:p>
          <w:p>
            <w:pPr>
              <w:keepNext w:val="0"/>
              <w:keepLines w:val="0"/>
              <w:widowControl/>
              <w:suppressLineNumbers w:val="0"/>
              <w:spacing w:before="0" w:beforeAutospacing="0" w:after="0" w:afterAutospacing="0" w:line="360" w:lineRule="auto"/>
              <w:ind w:left="0" w:right="0" w:firstLine="440" w:firstLineChars="200"/>
              <w:rPr>
                <w:rFonts w:hint="eastAsia" w:ascii="仿宋" w:hAnsi="仿宋" w:eastAsia="仿宋" w:cs="仿宋"/>
                <w:bCs/>
                <w:color w:val="auto"/>
                <w:sz w:val="22"/>
                <w:highlight w:val="none"/>
                <w:lang w:val="zh-CN"/>
              </w:rPr>
            </w:pPr>
            <w:r>
              <w:rPr>
                <w:rFonts w:hint="eastAsia" w:ascii="仿宋" w:hAnsi="仿宋" w:eastAsia="仿宋" w:cs="仿宋"/>
                <w:bCs/>
                <w:color w:val="auto"/>
                <w:sz w:val="22"/>
                <w:highlight w:val="none"/>
                <w:lang w:val="zh-CN"/>
              </w:rPr>
              <w:t>投标文件出现不是唯一的、有选择性投标报价的；</w:t>
            </w:r>
          </w:p>
          <w:p>
            <w:pPr>
              <w:keepNext w:val="0"/>
              <w:keepLines w:val="0"/>
              <w:widowControl/>
              <w:suppressLineNumbers w:val="0"/>
              <w:spacing w:before="0" w:beforeAutospacing="0" w:after="0" w:afterAutospacing="0" w:line="360" w:lineRule="auto"/>
              <w:ind w:left="0" w:right="0" w:firstLine="440" w:firstLineChars="200"/>
              <w:rPr>
                <w:rFonts w:hint="eastAsia" w:ascii="仿宋" w:hAnsi="仿宋" w:eastAsia="仿宋" w:cs="仿宋"/>
                <w:bCs/>
                <w:color w:val="auto"/>
                <w:sz w:val="22"/>
                <w:highlight w:val="none"/>
                <w:lang w:val="zh-CN"/>
              </w:rPr>
            </w:pPr>
            <w:r>
              <w:rPr>
                <w:rFonts w:hint="eastAsia" w:ascii="仿宋" w:hAnsi="仿宋" w:eastAsia="仿宋" w:cs="仿宋"/>
                <w:bCs/>
                <w:color w:val="auto"/>
                <w:sz w:val="22"/>
                <w:highlight w:val="none"/>
                <w:lang w:val="zh-CN"/>
              </w:rPr>
              <w:t>投标报价超过招标文件中规定的预算金额或者最高限价的;</w:t>
            </w:r>
          </w:p>
          <w:p>
            <w:pPr>
              <w:keepNext w:val="0"/>
              <w:keepLines w:val="0"/>
              <w:widowControl/>
              <w:suppressLineNumbers w:val="0"/>
              <w:spacing w:before="0" w:beforeAutospacing="0" w:after="0" w:afterAutospacing="0" w:line="360" w:lineRule="auto"/>
              <w:ind w:left="0" w:right="0" w:firstLine="440" w:firstLineChars="200"/>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widowControl/>
              <w:suppressLineNumbers w:val="0"/>
              <w:spacing w:before="0" w:beforeAutospacing="0" w:after="0" w:afterAutospacing="0" w:line="360" w:lineRule="auto"/>
              <w:ind w:left="0" w:right="0" w:firstLine="440" w:firstLineChars="200"/>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投标人对根据修正原则修正后的报价不确认的。</w:t>
            </w:r>
          </w:p>
          <w:p>
            <w:pPr>
              <w:keepNext w:val="0"/>
              <w:keepLines w:val="0"/>
              <w:widowControl/>
              <w:suppressLineNumbers w:val="0"/>
              <w:spacing w:before="0" w:beforeAutospacing="0" w:after="0" w:afterAutospacing="0" w:line="360" w:lineRule="auto"/>
              <w:ind w:left="0" w:right="0" w:firstLine="440" w:firstLineChars="200"/>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资格文件、商务技术文件与报价文件未分开制作。</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中小企业信用融资</w:t>
            </w:r>
          </w:p>
        </w:tc>
        <w:tc>
          <w:tcPr>
            <w:tcW w:w="6640" w:type="dxa"/>
            <w:vAlign w:val="center"/>
          </w:tcPr>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本项目支持《杭州市萧山区政府采购支持中小企业信用融资暂行办法》。</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"http://www.xiaoshan.gov.cn/art/2018/12/20/art_1229293109_1559514.html" </w:instrText>
            </w:r>
            <w:r>
              <w:rPr>
                <w:rFonts w:hint="eastAsia" w:ascii="仿宋" w:hAnsi="仿宋" w:eastAsia="仿宋" w:cs="仿宋"/>
                <w:color w:val="auto"/>
                <w:highlight w:val="none"/>
              </w:rPr>
              <w:fldChar w:fldCharType="separate"/>
            </w:r>
            <w:r>
              <w:rPr>
                <w:rStyle w:val="30"/>
                <w:rFonts w:hint="eastAsia" w:ascii="仿宋" w:hAnsi="仿宋" w:eastAsia="仿宋" w:cs="仿宋"/>
                <w:snapToGrid/>
                <w:color w:val="auto"/>
                <w:sz w:val="22"/>
                <w:szCs w:val="24"/>
                <w:highlight w:val="none"/>
              </w:rPr>
              <w:t>http://www.xiaoshan.gov.cn/art/2018/12/20/art_1229293109_1559514.html</w:t>
            </w:r>
            <w:r>
              <w:rPr>
                <w:rStyle w:val="30"/>
                <w:rFonts w:hint="eastAsia" w:ascii="仿宋" w:hAnsi="仿宋" w:eastAsia="仿宋" w:cs="仿宋"/>
                <w:snapToGrid/>
                <w:color w:val="auto"/>
                <w:sz w:val="22"/>
                <w:szCs w:val="24"/>
                <w:highlight w:val="none"/>
              </w:rPr>
              <w:fldChar w:fldCharType="end"/>
            </w:r>
          </w:p>
          <w:p>
            <w:pPr>
              <w:keepNext w:val="0"/>
              <w:keepLines w:val="0"/>
              <w:widowControl/>
              <w:suppressLineNumbers w:val="0"/>
              <w:spacing w:before="0" w:beforeAutospacing="0" w:after="0" w:afterAutospacing="0"/>
              <w:ind w:left="0" w:right="0"/>
              <w:rPr>
                <w:rFonts w:hint="eastAsia" w:ascii="仿宋" w:hAnsi="仿宋" w:eastAsia="仿宋" w:cs="仿宋"/>
                <w:color w:val="auto"/>
                <w:sz w:val="22"/>
                <w:highlight w:val="none"/>
              </w:rPr>
            </w:pP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snapToGrid w:val="0"/>
                <w:color w:val="auto"/>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备份投标文件</w:t>
            </w:r>
          </w:p>
        </w:tc>
        <w:tc>
          <w:tcPr>
            <w:tcW w:w="6640"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kern w:val="28"/>
                <w:sz w:val="22"/>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采购机构代理费用</w:t>
            </w:r>
          </w:p>
        </w:tc>
        <w:tc>
          <w:tcPr>
            <w:tcW w:w="6640"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由中标单位支付，按《招标代理服务收费管理暂行办法》[2002]1980号文件收费标准收取。</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缴纳账号：33001617092053005082 </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开户银行：萧山建行时代广场支行 </w:t>
            </w:r>
          </w:p>
          <w:p>
            <w:pPr>
              <w:keepNext w:val="0"/>
              <w:keepLines w:val="0"/>
              <w:widowControl/>
              <w:suppressLineNumbers w:val="0"/>
              <w:spacing w:before="0" w:beforeAutospacing="0" w:after="0" w:afterAutospacing="0"/>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帐户名称：浙江华域高宇项目管理有限公司</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银行帐号：33001617092053005082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履约保证金</w:t>
            </w:r>
          </w:p>
        </w:tc>
        <w:tc>
          <w:tcPr>
            <w:tcW w:w="6640" w:type="dxa"/>
            <w:vAlign w:val="center"/>
          </w:tcPr>
          <w:p>
            <w:pPr>
              <w:pStyle w:val="15"/>
              <w:keepNext w:val="0"/>
              <w:keepLines w:val="0"/>
              <w:suppressLineNumbers w:val="0"/>
              <w:spacing w:before="0" w:beforeAutospacing="0" w:afterAutospacing="0" w:line="360" w:lineRule="auto"/>
              <w:ind w:left="0" w:right="0" w:hanging="4"/>
              <w:rPr>
                <w:rFonts w:hint="eastAsia" w:ascii="仿宋" w:hAnsi="仿宋" w:eastAsia="仿宋" w:cs="仿宋"/>
                <w:color w:val="auto"/>
                <w:sz w:val="22"/>
                <w:highlight w:val="none"/>
              </w:rPr>
            </w:pPr>
            <w:r>
              <w:rPr>
                <w:rFonts w:hint="eastAsia" w:ascii="仿宋" w:hAnsi="仿宋" w:eastAsia="仿宋" w:cs="仿宋"/>
                <w:color w:val="auto"/>
                <w:sz w:val="22"/>
                <w:highlight w:val="none"/>
              </w:rPr>
              <w:t>履约保证金：收取1%，合同签订后支付，履约完成后无息退还。</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资格审查和信用信息审查</w:t>
            </w:r>
          </w:p>
        </w:tc>
        <w:tc>
          <w:tcPr>
            <w:tcW w:w="6640"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本项目由采购人/采购机构进行资格文件及信用信息查询。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质疑接收人及答复</w:t>
            </w:r>
          </w:p>
        </w:tc>
        <w:tc>
          <w:tcPr>
            <w:tcW w:w="6640" w:type="dxa"/>
            <w:vAlign w:val="center"/>
          </w:tcPr>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采购人、采购机构质疑接收人、联系方式：详见公告</w:t>
            </w:r>
          </w:p>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线上提交质疑方式：政采云线上质疑路径：项目采购-询问质疑投诉-质疑列表。请使用ca签章在每一页质疑文件中加盖电子公章，上传完整附件。</w:t>
            </w:r>
          </w:p>
          <w:p>
            <w:pPr>
              <w:keepNext w:val="0"/>
              <w:keepLines w:val="0"/>
              <w:widowControl/>
              <w:suppressLineNumbers w:val="0"/>
              <w:snapToGrid w:val="0"/>
              <w:spacing w:before="0" w:beforeAutospacing="0" w:after="0" w:afterAutospacing="0" w:line="360" w:lineRule="auto"/>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本项目涉及资格条件、采购需求、评分办法及采购过程中有关现场考察或开标前答疑会等事项由采购人进行答复。</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sz w:val="22"/>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1411"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特别说明</w:t>
            </w:r>
          </w:p>
        </w:tc>
        <w:tc>
          <w:tcPr>
            <w:tcW w:w="6640"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严格执行预算限价，项目如涉及办公用房装修、通用办公设备家具的不得超限额标准。</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b/>
                <w:color w:val="auto"/>
                <w:sz w:val="22"/>
                <w:highlight w:val="none"/>
              </w:rPr>
              <w:t>本项目通用总则条款与前附表等专用特别规定有冲突之处，以专用条款（特别规定）为准</w:t>
            </w:r>
          </w:p>
        </w:tc>
      </w:tr>
    </w:tbl>
    <w:p>
      <w:pPr>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一、总则</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 适用范围</w:t>
      </w:r>
    </w:p>
    <w:p>
      <w:pPr>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本招标文件适用于该项目的招标、投标、开标、资格审查及信用信息查询、评标、定标、合同、验收等行为（法律、法规另有规定的，从其规定）。</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2.定义</w:t>
      </w:r>
    </w:p>
    <w:p>
      <w:pPr>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pPr>
        <w:rPr>
          <w:rFonts w:hint="eastAsia" w:ascii="仿宋" w:hAnsi="仿宋" w:eastAsia="仿宋" w:cs="仿宋"/>
          <w:color w:val="auto"/>
          <w:highlight w:val="none"/>
        </w:rPr>
      </w:pPr>
      <w:r>
        <w:rPr>
          <w:rFonts w:hint="eastAsia" w:ascii="仿宋" w:hAnsi="仿宋" w:eastAsia="仿宋" w:cs="仿宋"/>
          <w:color w:val="auto"/>
          <w:highlight w:val="none"/>
        </w:rPr>
        <w:t>2.2 “采购机构”系指招标公告中载明的本项目的采购机构。</w:t>
      </w:r>
    </w:p>
    <w:p>
      <w:pPr>
        <w:rPr>
          <w:rFonts w:hint="eastAsia" w:ascii="仿宋" w:hAnsi="仿宋" w:eastAsia="仿宋" w:cs="仿宋"/>
          <w:color w:val="auto"/>
          <w:highlight w:val="none"/>
        </w:rPr>
      </w:pPr>
      <w:r>
        <w:rPr>
          <w:rFonts w:hint="eastAsia" w:ascii="仿宋" w:hAnsi="仿宋" w:eastAsia="仿宋" w:cs="仿宋"/>
          <w:color w:val="auto"/>
          <w:highlight w:val="none"/>
        </w:rPr>
        <w:t>2.3 “投标人”系指是指响应招标、参加投标竞争的法人、其他组织或者自然人。</w:t>
      </w:r>
    </w:p>
    <w:p>
      <w:pPr>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pPr>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2.6“电子交易平台”是指本项目政府采购活动所依托的政府采购云平台（https://www.zcygov.cn/）。</w:t>
      </w:r>
    </w:p>
    <w:p>
      <w:pPr>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 系指适用本项目的要求，“（  ）”系指不适用本项目的要求。</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3. 采购项目需要落实的政府采购政策</w:t>
      </w:r>
    </w:p>
    <w:p>
      <w:pPr>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pPr>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pPr>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pPr>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pPr>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w:t>
      </w:r>
    </w:p>
    <w:p>
      <w:pPr>
        <w:rPr>
          <w:rFonts w:hint="eastAsia" w:ascii="仿宋" w:hAnsi="仿宋" w:eastAsia="仿宋" w:cs="仿宋"/>
          <w:color w:val="auto"/>
          <w:highlight w:val="none"/>
        </w:rPr>
      </w:pPr>
      <w:r>
        <w:rPr>
          <w:rFonts w:hint="eastAsia" w:ascii="仿宋" w:hAnsi="仿宋" w:eastAsia="仿宋" w:cs="仿宋"/>
          <w:color w:val="auto"/>
          <w:highlight w:val="none"/>
        </w:rPr>
        <w:t>3.3.2.1在货物采购项目中，货物由中小企业制造，即货物由中小企业生产且使用该中小企业商号或者注册商标；</w:t>
      </w:r>
    </w:p>
    <w:p>
      <w:pPr>
        <w:rPr>
          <w:rFonts w:hint="eastAsia" w:ascii="仿宋" w:hAnsi="仿宋" w:eastAsia="仿宋" w:cs="仿宋"/>
          <w:color w:val="auto"/>
          <w:highlight w:val="none"/>
        </w:rPr>
      </w:pPr>
      <w:r>
        <w:rPr>
          <w:rFonts w:hint="eastAsia" w:ascii="仿宋" w:hAnsi="仿宋" w:eastAsia="仿宋" w:cs="仿宋"/>
          <w:color w:val="auto"/>
          <w:highlight w:val="none"/>
        </w:rPr>
        <w:t>3.3.2.2在工程采购项目中，工程由中小企业承建，即工程施工单位为中小企业；</w:t>
      </w:r>
    </w:p>
    <w:p>
      <w:pPr>
        <w:rPr>
          <w:rFonts w:hint="eastAsia" w:ascii="仿宋" w:hAnsi="仿宋" w:eastAsia="仿宋" w:cs="仿宋"/>
          <w:color w:val="auto"/>
          <w:highlight w:val="none"/>
        </w:rPr>
      </w:pPr>
      <w:r>
        <w:rPr>
          <w:rFonts w:hint="eastAsia" w:ascii="仿宋" w:hAnsi="仿宋" w:eastAsia="仿宋" w:cs="仿宋"/>
          <w:color w:val="auto"/>
          <w:highlight w:val="none"/>
        </w:rPr>
        <w:t>3.3.2.3在服务采购项目中，服务由中小企业承接，即提供服务的人员为中小企业依照《中华人民共和国劳动合同法》订立劳动合同的从业人员。</w:t>
      </w:r>
    </w:p>
    <w:p>
      <w:pPr>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在货物采购项目中，投标人提供的货物既有中小企业制造货物，也有大型企业制造货物的，不享受中小企业扶持政策。</w:t>
      </w:r>
    </w:p>
    <w:p>
      <w:pPr>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pPr>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pPr>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pPr>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pPr>
        <w:rPr>
          <w:rFonts w:hint="eastAsia"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pPr>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4. 询问、质疑、投诉</w:t>
      </w:r>
    </w:p>
    <w:p>
      <w:pPr>
        <w:rPr>
          <w:rFonts w:hint="eastAsia" w:ascii="仿宋" w:hAnsi="仿宋" w:eastAsia="仿宋" w:cs="仿宋"/>
          <w:color w:val="auto"/>
          <w:highlight w:val="none"/>
        </w:rPr>
      </w:pPr>
      <w:r>
        <w:rPr>
          <w:rFonts w:hint="eastAsia" w:ascii="仿宋" w:hAnsi="仿宋" w:eastAsia="仿宋" w:cs="仿宋"/>
          <w:color w:val="auto"/>
          <w:highlight w:val="none"/>
        </w:rPr>
        <w:t>4.1供应商询问</w:t>
      </w:r>
    </w:p>
    <w:p>
      <w:pPr>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rPr>
          <w:rFonts w:hint="eastAsia" w:ascii="仿宋" w:hAnsi="仿宋" w:eastAsia="仿宋" w:cs="仿宋"/>
          <w:color w:val="auto"/>
          <w:highlight w:val="none"/>
        </w:rPr>
      </w:pPr>
      <w:r>
        <w:rPr>
          <w:rFonts w:hint="eastAsia" w:ascii="仿宋" w:hAnsi="仿宋" w:eastAsia="仿宋" w:cs="仿宋"/>
          <w:color w:val="auto"/>
          <w:highlight w:val="none"/>
        </w:rPr>
        <w:t>4.2供应商质疑</w:t>
      </w:r>
    </w:p>
    <w:p>
      <w:pPr>
        <w:rPr>
          <w:rFonts w:hint="eastAsia" w:ascii="仿宋" w:hAnsi="仿宋" w:eastAsia="仿宋" w:cs="仿宋"/>
          <w:color w:val="auto"/>
          <w:highlight w:val="none"/>
        </w:rPr>
      </w:pPr>
      <w:r>
        <w:rPr>
          <w:rFonts w:hint="eastAsia" w:ascii="仿宋" w:hAnsi="仿宋" w:eastAsia="仿宋" w:cs="仿宋"/>
          <w:color w:val="auto"/>
          <w:highlight w:val="none"/>
        </w:rPr>
        <w:t>4.2.1提出质疑的供应商应当是参与所质疑项目采购活动的供应商。潜在供应商已依法获取其可质疑的招标文件的，可以对该文件提出质疑。</w:t>
      </w:r>
    </w:p>
    <w:p>
      <w:pPr>
        <w:rPr>
          <w:rFonts w:hint="eastAsia" w:ascii="仿宋" w:hAnsi="仿宋" w:eastAsia="仿宋" w:cs="仿宋"/>
          <w:color w:val="auto"/>
          <w:highlight w:val="none"/>
        </w:rPr>
      </w:pPr>
      <w:r>
        <w:rPr>
          <w:rFonts w:hint="eastAsia" w:ascii="仿宋" w:hAnsi="仿宋" w:eastAsia="仿宋" w:cs="仿宋"/>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rFonts w:hint="eastAsia" w:ascii="仿宋" w:hAnsi="仿宋" w:eastAsia="仿宋" w:cs="仿宋"/>
          <w:color w:val="auto"/>
          <w:highlight w:val="none"/>
        </w:rPr>
      </w:pPr>
      <w:r>
        <w:rPr>
          <w:rFonts w:hint="eastAsia" w:ascii="仿宋" w:hAnsi="仿宋" w:eastAsia="仿宋" w:cs="仿宋"/>
          <w:color w:val="auto"/>
          <w:highlight w:val="none"/>
        </w:rPr>
        <w:t>4.2.2.1对招标文件提出质疑的，质疑期限为供应商获得招标文件之日或者招标文件公告期限届满之日起计算。</w:t>
      </w:r>
    </w:p>
    <w:p>
      <w:pPr>
        <w:rPr>
          <w:rFonts w:hint="eastAsia"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pPr>
        <w:rPr>
          <w:rFonts w:hint="eastAsia"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pPr>
        <w:rPr>
          <w:rFonts w:hint="eastAsia" w:ascii="仿宋" w:hAnsi="仿宋" w:eastAsia="仿宋" w:cs="仿宋"/>
          <w:color w:val="auto"/>
          <w:highlight w:val="none"/>
        </w:rPr>
      </w:pPr>
      <w:r>
        <w:rPr>
          <w:rFonts w:hint="eastAsia" w:ascii="仿宋" w:hAnsi="仿宋" w:eastAsia="仿宋" w:cs="仿宋"/>
          <w:color w:val="auto"/>
          <w:highlight w:val="none"/>
        </w:rPr>
        <w:t>4.2.3供应商提出质疑应当提交质疑函和必要的证明材料。质疑函应当包括下列内容：</w:t>
      </w:r>
    </w:p>
    <w:p>
      <w:pPr>
        <w:rPr>
          <w:rFonts w:hint="eastAsia" w:ascii="仿宋" w:hAnsi="仿宋" w:eastAsia="仿宋" w:cs="仿宋"/>
          <w:color w:val="auto"/>
          <w:highlight w:val="none"/>
        </w:rPr>
      </w:pPr>
      <w:r>
        <w:rPr>
          <w:rFonts w:hint="eastAsia" w:ascii="仿宋" w:hAnsi="仿宋" w:eastAsia="仿宋" w:cs="仿宋"/>
          <w:color w:val="auto"/>
          <w:highlight w:val="none"/>
        </w:rPr>
        <w:t>　　4.2.3.1供应商的姓名或者名称、地址、邮编、联系人及联系电话；</w:t>
      </w:r>
    </w:p>
    <w:p>
      <w:pPr>
        <w:rPr>
          <w:rFonts w:hint="eastAsia" w:ascii="仿宋" w:hAnsi="仿宋" w:eastAsia="仿宋" w:cs="仿宋"/>
          <w:color w:val="auto"/>
          <w:highlight w:val="none"/>
        </w:rPr>
      </w:pPr>
      <w:r>
        <w:rPr>
          <w:rFonts w:hint="eastAsia" w:ascii="仿宋" w:hAnsi="仿宋" w:eastAsia="仿宋" w:cs="仿宋"/>
          <w:color w:val="auto"/>
          <w:highlight w:val="none"/>
        </w:rPr>
        <w:t>　　4.2.3.2质疑项目的名称、编号；</w:t>
      </w:r>
    </w:p>
    <w:p>
      <w:pPr>
        <w:rPr>
          <w:rFonts w:hint="eastAsia" w:ascii="仿宋" w:hAnsi="仿宋" w:eastAsia="仿宋" w:cs="仿宋"/>
          <w:color w:val="auto"/>
          <w:highlight w:val="none"/>
        </w:rPr>
      </w:pPr>
      <w:r>
        <w:rPr>
          <w:rFonts w:hint="eastAsia" w:ascii="仿宋" w:hAnsi="仿宋" w:eastAsia="仿宋" w:cs="仿宋"/>
          <w:color w:val="auto"/>
          <w:highlight w:val="none"/>
        </w:rPr>
        <w:t>　　4.2.3.3具体、明确的质疑事项和与质疑事项相关的请求；</w:t>
      </w:r>
    </w:p>
    <w:p>
      <w:pPr>
        <w:rPr>
          <w:rFonts w:hint="eastAsia" w:ascii="仿宋" w:hAnsi="仿宋" w:eastAsia="仿宋" w:cs="仿宋"/>
          <w:color w:val="auto"/>
          <w:highlight w:val="none"/>
        </w:rPr>
      </w:pPr>
      <w:r>
        <w:rPr>
          <w:rFonts w:hint="eastAsia" w:ascii="仿宋" w:hAnsi="仿宋" w:eastAsia="仿宋" w:cs="仿宋"/>
          <w:color w:val="auto"/>
          <w:highlight w:val="none"/>
        </w:rPr>
        <w:t>　　4.2.3.4事实依据；</w:t>
      </w:r>
    </w:p>
    <w:p>
      <w:pPr>
        <w:rPr>
          <w:rFonts w:hint="eastAsia" w:ascii="仿宋" w:hAnsi="仿宋" w:eastAsia="仿宋" w:cs="仿宋"/>
          <w:color w:val="auto"/>
          <w:highlight w:val="none"/>
        </w:rPr>
      </w:pPr>
      <w:r>
        <w:rPr>
          <w:rFonts w:hint="eastAsia" w:ascii="仿宋" w:hAnsi="仿宋" w:eastAsia="仿宋" w:cs="仿宋"/>
          <w:color w:val="auto"/>
          <w:highlight w:val="none"/>
        </w:rPr>
        <w:t>　　4.2.3.5必要的法律依据；</w:t>
      </w:r>
    </w:p>
    <w:p>
      <w:pPr>
        <w:rPr>
          <w:rFonts w:hint="eastAsia" w:ascii="仿宋" w:hAnsi="仿宋" w:eastAsia="仿宋" w:cs="仿宋"/>
          <w:color w:val="auto"/>
          <w:highlight w:val="none"/>
        </w:rPr>
      </w:pPr>
      <w:r>
        <w:rPr>
          <w:rFonts w:hint="eastAsia" w:ascii="仿宋" w:hAnsi="仿宋" w:eastAsia="仿宋" w:cs="仿宋"/>
          <w:color w:val="auto"/>
          <w:highlight w:val="none"/>
        </w:rPr>
        <w:t>4.2.3.6提出质疑的日期。</w:t>
      </w:r>
    </w:p>
    <w:p>
      <w:pPr>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rPr>
          <w:rFonts w:hint="eastAsia" w:ascii="仿宋" w:hAnsi="仿宋" w:eastAsia="仿宋" w:cs="仿宋"/>
          <w:color w:val="auto"/>
          <w:highlight w:val="none"/>
        </w:rPr>
      </w:pPr>
      <w:r>
        <w:rPr>
          <w:rFonts w:hint="eastAsia" w:ascii="仿宋" w:hAnsi="仿宋" w:eastAsia="仿宋" w:cs="仿宋"/>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rFonts w:hint="eastAsia" w:ascii="仿宋" w:hAnsi="仿宋" w:eastAsia="仿宋" w:cs="仿宋"/>
          <w:color w:val="auto"/>
          <w:highlight w:val="none"/>
        </w:rPr>
      </w:pPr>
      <w:r>
        <w:rPr>
          <w:rFonts w:hint="eastAsia" w:ascii="仿宋" w:hAnsi="仿宋" w:eastAsia="仿宋" w:cs="仿宋"/>
          <w:color w:val="auto"/>
          <w:highlight w:val="none"/>
        </w:rPr>
        <w:t>4.2.5询问或者质疑事项可能影响采购结果的，采购人应当暂停签订合同，已经签订合同的，应当中止履行合同。</w:t>
      </w:r>
    </w:p>
    <w:p>
      <w:pPr>
        <w:rPr>
          <w:rFonts w:hint="eastAsia" w:ascii="仿宋" w:hAnsi="仿宋" w:eastAsia="仿宋" w:cs="仿宋"/>
          <w:color w:val="auto"/>
          <w:highlight w:val="none"/>
        </w:rPr>
      </w:pPr>
      <w:r>
        <w:rPr>
          <w:rFonts w:hint="eastAsia" w:ascii="仿宋" w:hAnsi="仿宋" w:eastAsia="仿宋" w:cs="仿宋"/>
          <w:color w:val="auto"/>
          <w:highlight w:val="none"/>
        </w:rPr>
        <w:t>4.3供应商投诉</w:t>
      </w:r>
    </w:p>
    <w:p>
      <w:pPr>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rPr>
          <w:rFonts w:hint="eastAsia"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pPr>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rPr>
          <w:rFonts w:hint="eastAsia" w:ascii="仿宋" w:hAnsi="仿宋" w:eastAsia="仿宋" w:cs="仿宋"/>
          <w:color w:val="auto"/>
          <w:highlight w:val="none"/>
        </w:rPr>
      </w:pPr>
      <w:r>
        <w:rPr>
          <w:rFonts w:hint="eastAsia" w:ascii="仿宋" w:hAnsi="仿宋" w:eastAsia="仿宋" w:cs="仿宋"/>
          <w:color w:val="auto"/>
          <w:highlight w:val="none"/>
        </w:rPr>
        <w:t>4.3.4 以联合体形式参加政府采购活动的，其投诉应当由组成联合体的所有供应商共同提出。</w:t>
      </w:r>
    </w:p>
    <w:p>
      <w:pPr>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二、招标文件的构成、澄清、修改</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5．招标文件的构成</w:t>
      </w:r>
    </w:p>
    <w:p>
      <w:pPr>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pPr>
        <w:rPr>
          <w:rFonts w:hint="eastAsia" w:ascii="仿宋" w:hAnsi="仿宋" w:eastAsia="仿宋" w:cs="仿宋"/>
          <w:color w:val="auto"/>
          <w:highlight w:val="none"/>
        </w:rPr>
      </w:pPr>
      <w:r>
        <w:rPr>
          <w:rFonts w:hint="eastAsia" w:ascii="仿宋" w:hAnsi="仿宋" w:eastAsia="仿宋" w:cs="仿宋"/>
          <w:color w:val="auto"/>
          <w:highlight w:val="none"/>
        </w:rPr>
        <w:t>5.1.1招标公告；</w:t>
      </w:r>
    </w:p>
    <w:p>
      <w:pPr>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pPr>
        <w:rPr>
          <w:rFonts w:hint="eastAsia" w:ascii="仿宋" w:hAnsi="仿宋" w:eastAsia="仿宋" w:cs="仿宋"/>
          <w:color w:val="auto"/>
          <w:highlight w:val="none"/>
        </w:rPr>
      </w:pPr>
      <w:r>
        <w:rPr>
          <w:rFonts w:hint="eastAsia" w:ascii="仿宋" w:hAnsi="仿宋" w:eastAsia="仿宋" w:cs="仿宋"/>
          <w:color w:val="auto"/>
          <w:highlight w:val="none"/>
        </w:rPr>
        <w:t>5.1.3采购需求；</w:t>
      </w:r>
    </w:p>
    <w:p>
      <w:pPr>
        <w:rPr>
          <w:rFonts w:hint="eastAsia" w:ascii="仿宋" w:hAnsi="仿宋" w:eastAsia="仿宋" w:cs="仿宋"/>
          <w:color w:val="auto"/>
          <w:highlight w:val="none"/>
        </w:rPr>
      </w:pPr>
      <w:r>
        <w:rPr>
          <w:rFonts w:hint="eastAsia" w:ascii="仿宋" w:hAnsi="仿宋" w:eastAsia="仿宋" w:cs="仿宋"/>
          <w:color w:val="auto"/>
          <w:highlight w:val="none"/>
        </w:rPr>
        <w:t>5.1.4评标办法；</w:t>
      </w:r>
    </w:p>
    <w:p>
      <w:pPr>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pPr>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pPr>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5.2与本项目有关的澄清或者修改的内容为招标文件的组成部分。</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6. 招标文件的澄清、修改</w:t>
      </w:r>
    </w:p>
    <w:p>
      <w:pPr>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三、投标</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7. 招标文件的获取</w:t>
      </w:r>
    </w:p>
    <w:p>
      <w:pPr>
        <w:rPr>
          <w:rFonts w:hint="eastAsia" w:ascii="仿宋" w:hAnsi="仿宋" w:eastAsia="仿宋" w:cs="仿宋"/>
          <w:color w:val="auto"/>
          <w:highlight w:val="none"/>
        </w:rPr>
      </w:pPr>
      <w:r>
        <w:rPr>
          <w:rFonts w:hint="eastAsia" w:ascii="仿宋" w:hAnsi="仿宋" w:eastAsia="仿宋" w:cs="仿宋"/>
          <w:color w:val="auto"/>
          <w:highlight w:val="none"/>
        </w:rPr>
        <w:t>详见招标公告中获取招标文件的时间期限、地点、方式及招标文件售价。</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8.开标前答疑会或现场考察</w:t>
      </w:r>
    </w:p>
    <w:p>
      <w:pPr>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9.投标保证金</w:t>
      </w:r>
    </w:p>
    <w:p>
      <w:pPr>
        <w:rPr>
          <w:rFonts w:hint="eastAsia" w:ascii="仿宋" w:hAnsi="仿宋" w:eastAsia="仿宋" w:cs="仿宋"/>
          <w:color w:val="auto"/>
          <w:highlight w:val="none"/>
        </w:rPr>
      </w:pPr>
      <w:r>
        <w:rPr>
          <w:rFonts w:hint="eastAsia" w:ascii="仿宋" w:hAnsi="仿宋" w:eastAsia="仿宋" w:cs="仿宋"/>
          <w:color w:val="auto"/>
          <w:highlight w:val="none"/>
        </w:rPr>
        <w:t>本项目不需缴纳投标保证金。</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10. 投标文件的语言</w:t>
      </w:r>
    </w:p>
    <w:p>
      <w:pPr>
        <w:rPr>
          <w:rFonts w:hint="eastAsia" w:ascii="仿宋" w:hAnsi="仿宋" w:eastAsia="仿宋" w:cs="仿宋"/>
          <w:color w:val="auto"/>
          <w:highlight w:val="none"/>
        </w:rPr>
      </w:pPr>
      <w:r>
        <w:rPr>
          <w:rFonts w:hint="eastAsia" w:ascii="仿宋" w:hAnsi="仿宋" w:eastAsia="仿宋" w:cs="仿宋"/>
          <w:color w:val="auto"/>
          <w:highlight w:val="none"/>
        </w:rPr>
        <w:t>投标文件及投标人与采购有关的来往通知、函件和文件均应使用中文。</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11. 投标文件的组成</w:t>
      </w:r>
    </w:p>
    <w:p>
      <w:pPr>
        <w:rPr>
          <w:rFonts w:hint="eastAsia" w:ascii="仿宋" w:hAnsi="仿宋" w:eastAsia="仿宋" w:cs="仿宋"/>
          <w:color w:val="auto"/>
          <w:highlight w:val="none"/>
        </w:rPr>
      </w:pPr>
      <w:r>
        <w:rPr>
          <w:rFonts w:hint="eastAsia" w:ascii="仿宋" w:hAnsi="仿宋" w:eastAsia="仿宋" w:cs="仿宋"/>
          <w:color w:val="auto"/>
          <w:highlight w:val="none"/>
        </w:rPr>
        <w:t>11.1资格文件：</w:t>
      </w:r>
    </w:p>
    <w:p>
      <w:pPr>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pPr>
        <w:rPr>
          <w:rFonts w:hint="eastAsia" w:ascii="仿宋" w:hAnsi="仿宋" w:eastAsia="仿宋" w:cs="仿宋"/>
          <w:color w:val="auto"/>
          <w:highlight w:val="none"/>
        </w:rPr>
      </w:pPr>
      <w:r>
        <w:rPr>
          <w:rFonts w:hint="eastAsia" w:ascii="仿宋" w:hAnsi="仿宋" w:eastAsia="仿宋" w:cs="仿宋"/>
          <w:color w:val="auto"/>
          <w:highlight w:val="none"/>
        </w:rPr>
        <w:t>11.1.2落实政府采购政策需满足的资格要求；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11.1.3本项目的特定资格要求。</w:t>
      </w:r>
    </w:p>
    <w:p>
      <w:pPr>
        <w:rPr>
          <w:rFonts w:hint="eastAsia" w:ascii="仿宋" w:hAnsi="仿宋" w:eastAsia="仿宋" w:cs="仿宋"/>
          <w:color w:val="auto"/>
          <w:highlight w:val="none"/>
        </w:rPr>
      </w:pPr>
      <w:r>
        <w:rPr>
          <w:rFonts w:hint="eastAsia" w:ascii="仿宋" w:hAnsi="仿宋" w:eastAsia="仿宋" w:cs="仿宋"/>
          <w:color w:val="auto"/>
          <w:highlight w:val="none"/>
        </w:rPr>
        <w:t>11.2  商务技术文件：</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11.2.1投标函； </w:t>
      </w:r>
    </w:p>
    <w:p>
      <w:pPr>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pPr>
        <w:rPr>
          <w:rFonts w:hint="eastAsia" w:ascii="仿宋" w:hAnsi="仿宋" w:eastAsia="仿宋" w:cs="仿宋"/>
          <w:color w:val="auto"/>
          <w:highlight w:val="none"/>
        </w:rPr>
      </w:pPr>
      <w:r>
        <w:rPr>
          <w:rFonts w:hint="eastAsia" w:ascii="仿宋" w:hAnsi="仿宋" w:eastAsia="仿宋" w:cs="仿宋"/>
          <w:color w:val="auto"/>
          <w:highlight w:val="none"/>
        </w:rPr>
        <w:t>11.2.3联合协议；</w:t>
      </w:r>
    </w:p>
    <w:p>
      <w:pPr>
        <w:rPr>
          <w:rFonts w:hint="eastAsia" w:ascii="仿宋" w:hAnsi="仿宋" w:eastAsia="仿宋" w:cs="仿宋"/>
          <w:color w:val="auto"/>
          <w:highlight w:val="none"/>
        </w:rPr>
      </w:pPr>
      <w:r>
        <w:rPr>
          <w:rFonts w:hint="eastAsia" w:ascii="仿宋" w:hAnsi="仿宋" w:eastAsia="仿宋" w:cs="仿宋"/>
          <w:color w:val="auto"/>
          <w:highlight w:val="none"/>
        </w:rPr>
        <w:t>11.2.4分包意向协议；</w:t>
      </w:r>
    </w:p>
    <w:p>
      <w:pPr>
        <w:rPr>
          <w:rFonts w:hint="eastAsia" w:ascii="仿宋" w:hAnsi="仿宋" w:eastAsia="仿宋" w:cs="仿宋"/>
          <w:color w:val="auto"/>
          <w:highlight w:val="none"/>
        </w:rPr>
      </w:pPr>
      <w:r>
        <w:rPr>
          <w:rFonts w:hint="eastAsia" w:ascii="仿宋" w:hAnsi="仿宋" w:eastAsia="仿宋" w:cs="仿宋"/>
          <w:color w:val="auto"/>
          <w:highlight w:val="none"/>
        </w:rPr>
        <w:t>11.2.5符合性审查资料；</w:t>
      </w:r>
    </w:p>
    <w:p>
      <w:pPr>
        <w:rPr>
          <w:rFonts w:hint="eastAsia" w:ascii="仿宋" w:hAnsi="仿宋" w:eastAsia="仿宋" w:cs="仿宋"/>
          <w:color w:val="auto"/>
          <w:highlight w:val="none"/>
        </w:rPr>
      </w:pPr>
      <w:r>
        <w:rPr>
          <w:rFonts w:hint="eastAsia" w:ascii="仿宋" w:hAnsi="仿宋" w:eastAsia="仿宋" w:cs="仿宋"/>
          <w:color w:val="auto"/>
          <w:highlight w:val="none"/>
        </w:rPr>
        <w:t>11.2.6评标标准相应的商务技术资料；</w:t>
      </w:r>
    </w:p>
    <w:p>
      <w:pPr>
        <w:rPr>
          <w:rFonts w:hint="eastAsia" w:ascii="仿宋" w:hAnsi="仿宋" w:eastAsia="仿宋" w:cs="仿宋"/>
          <w:color w:val="auto"/>
          <w:highlight w:val="none"/>
        </w:rPr>
      </w:pPr>
      <w:r>
        <w:rPr>
          <w:rFonts w:hint="eastAsia" w:ascii="仿宋" w:hAnsi="仿宋" w:eastAsia="仿宋" w:cs="仿宋"/>
          <w:color w:val="auto"/>
          <w:highlight w:val="none"/>
        </w:rPr>
        <w:t>11.2.7投标标的清单；</w:t>
      </w:r>
    </w:p>
    <w:p>
      <w:pPr>
        <w:rPr>
          <w:rFonts w:hint="eastAsia" w:ascii="仿宋" w:hAnsi="仿宋" w:eastAsia="仿宋" w:cs="仿宋"/>
          <w:color w:val="auto"/>
          <w:highlight w:val="none"/>
        </w:rPr>
      </w:pPr>
      <w:r>
        <w:rPr>
          <w:rFonts w:hint="eastAsia" w:ascii="仿宋" w:hAnsi="仿宋" w:eastAsia="仿宋" w:cs="仿宋"/>
          <w:color w:val="auto"/>
          <w:highlight w:val="none"/>
        </w:rPr>
        <w:t>11.2.8商务技术偏离表；</w:t>
      </w:r>
    </w:p>
    <w:p>
      <w:pPr>
        <w:rPr>
          <w:rFonts w:hint="eastAsia" w:ascii="仿宋" w:hAnsi="仿宋" w:eastAsia="仿宋" w:cs="仿宋"/>
          <w:color w:val="auto"/>
          <w:highlight w:val="none"/>
        </w:rPr>
      </w:pPr>
      <w:r>
        <w:rPr>
          <w:rFonts w:hint="eastAsia" w:ascii="仿宋" w:hAnsi="仿宋" w:eastAsia="仿宋" w:cs="仿宋"/>
          <w:color w:val="auto"/>
          <w:highlight w:val="none"/>
        </w:rPr>
        <w:t>11.2.9政府采购供应商廉洁自律承诺书；</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11.3报价文件： </w:t>
      </w:r>
    </w:p>
    <w:p>
      <w:pPr>
        <w:rPr>
          <w:rFonts w:hint="eastAsia" w:ascii="仿宋" w:hAnsi="仿宋" w:eastAsia="仿宋" w:cs="仿宋"/>
          <w:color w:val="auto"/>
          <w:highlight w:val="none"/>
        </w:rPr>
      </w:pPr>
      <w:r>
        <w:rPr>
          <w:rFonts w:hint="eastAsia" w:ascii="仿宋" w:hAnsi="仿宋" w:eastAsia="仿宋" w:cs="仿宋"/>
          <w:color w:val="auto"/>
          <w:highlight w:val="none"/>
        </w:rPr>
        <w:t>11.3.1开标一览表（报价表）；</w:t>
      </w:r>
    </w:p>
    <w:p>
      <w:pPr>
        <w:rPr>
          <w:rFonts w:hint="eastAsia" w:ascii="仿宋" w:hAnsi="仿宋" w:eastAsia="仿宋" w:cs="仿宋"/>
          <w:color w:val="auto"/>
          <w:highlight w:val="none"/>
        </w:rPr>
      </w:pPr>
      <w:r>
        <w:rPr>
          <w:rFonts w:hint="eastAsia" w:ascii="仿宋" w:hAnsi="仿宋" w:eastAsia="仿宋" w:cs="仿宋"/>
          <w:color w:val="auto"/>
          <w:highlight w:val="none"/>
        </w:rPr>
        <w:t>11.3.2中小企业声明函。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投标文件含有采购人不能接受的附加条件的，投标无效；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投标人提供虚假材料投标的，投标无效。</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12. 投标文件的编制</w:t>
      </w:r>
    </w:p>
    <w:p>
      <w:pPr>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13.投标文件的签署、盖章</w:t>
      </w:r>
    </w:p>
    <w:p>
      <w:pPr>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14. 投标文件的提交、补充、修改、撤回</w:t>
      </w:r>
    </w:p>
    <w:p>
      <w:pPr>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15.备份投标文件</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15.3直接提交备份投标文件的，投标人应于投标截止时间前在招标公告中载明的开标地点将备份投标文件提交给采购机构，采购机构将拒绝接受逾期送达的备份投标文件。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rFonts w:hint="eastAsia"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16.投标文件的无效处理</w:t>
      </w:r>
    </w:p>
    <w:p>
      <w:pPr>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17.投标有效期</w:t>
      </w:r>
    </w:p>
    <w:p>
      <w:pPr>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四、开标、资格审查与信用信息查询</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 xml:space="preserve">18.开标 </w:t>
      </w:r>
    </w:p>
    <w:p>
      <w:pPr>
        <w:rPr>
          <w:rFonts w:hint="eastAsia" w:ascii="仿宋" w:hAnsi="仿宋" w:eastAsia="仿宋" w:cs="仿宋"/>
          <w:color w:val="auto"/>
          <w:highlight w:val="none"/>
        </w:rPr>
      </w:pPr>
      <w:r>
        <w:rPr>
          <w:rFonts w:hint="eastAsia" w:ascii="仿宋" w:hAnsi="仿宋" w:eastAsia="仿宋" w:cs="仿宋"/>
          <w:color w:val="auto"/>
          <w:highlight w:val="none"/>
        </w:rPr>
        <w:t>18.1采购机构按照招标文件规定的时间通过电子交易平台组织开标，所有投标人均应当准时在线参加。投标人不足3家的，不得开标。</w:t>
      </w:r>
    </w:p>
    <w:p>
      <w:pPr>
        <w:rPr>
          <w:rFonts w:hint="eastAsia" w:ascii="仿宋" w:hAnsi="仿宋" w:eastAsia="仿宋" w:cs="仿宋"/>
          <w:color w:val="auto"/>
          <w:highlight w:val="none"/>
        </w:rPr>
      </w:pPr>
      <w:r>
        <w:rPr>
          <w:rFonts w:hint="eastAsia" w:ascii="仿宋" w:hAnsi="仿宋" w:eastAsia="仿宋" w:cs="仿宋"/>
          <w:color w:val="auto"/>
          <w:highlight w:val="none"/>
        </w:rPr>
        <w:t>　18.2开标时，电子交易平台按开标时间自动提取所有投标文件。采购机构依托电子交易平台发起开始解密指令，投标人按照平台提示和招标文件的规定在半小时内完成在线解密。</w:t>
      </w:r>
    </w:p>
    <w:p>
      <w:pPr>
        <w:rPr>
          <w:rFonts w:hint="eastAsia" w:ascii="仿宋" w:hAnsi="仿宋" w:eastAsia="仿宋" w:cs="仿宋"/>
          <w:color w:val="auto"/>
          <w:highlight w:val="none"/>
        </w:rPr>
      </w:pPr>
      <w:r>
        <w:rPr>
          <w:rFonts w:hint="eastAsia" w:ascii="仿宋" w:hAnsi="仿宋" w:eastAsia="仿宋" w:cs="仿宋"/>
          <w:color w:val="auto"/>
          <w:highlight w:val="none"/>
        </w:rPr>
        <w:t>　18.3投标文件未按时解密，投标人提供了备份投标文件的，以备份投标文件作为依据，否则视为投标文件撤回。投标文件已按时解密的，备份投标文件自动失效。</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19、资格审查</w:t>
      </w:r>
    </w:p>
    <w:p>
      <w:pPr>
        <w:rPr>
          <w:rFonts w:hint="eastAsia" w:ascii="仿宋" w:hAnsi="仿宋" w:eastAsia="仿宋" w:cs="仿宋"/>
          <w:color w:val="auto"/>
          <w:highlight w:val="none"/>
        </w:rPr>
      </w:pPr>
      <w:r>
        <w:rPr>
          <w:rFonts w:hint="eastAsia" w:ascii="仿宋" w:hAnsi="仿宋" w:eastAsia="仿宋" w:cs="仿宋"/>
          <w:color w:val="auto"/>
          <w:highlight w:val="none"/>
        </w:rPr>
        <w:t>19.1开标后，采购人或采购机构将依法对投标人的资格进行审查。</w:t>
      </w:r>
    </w:p>
    <w:p>
      <w:pPr>
        <w:rPr>
          <w:rFonts w:hint="eastAsia" w:ascii="仿宋" w:hAnsi="仿宋" w:eastAsia="仿宋" w:cs="仿宋"/>
          <w:color w:val="auto"/>
          <w:highlight w:val="none"/>
        </w:rPr>
      </w:pPr>
      <w:r>
        <w:rPr>
          <w:rFonts w:hint="eastAsia" w:ascii="仿宋" w:hAnsi="仿宋" w:eastAsia="仿宋" w:cs="仿宋"/>
          <w:color w:val="auto"/>
          <w:highlight w:val="none"/>
        </w:rPr>
        <w:t>19.2采购人或采购机构依据法律法规和招标文件的规定，对投标人的基本资格条件、特定资格条件进行审查。</w:t>
      </w:r>
    </w:p>
    <w:p>
      <w:pPr>
        <w:rPr>
          <w:rFonts w:hint="eastAsia" w:ascii="仿宋" w:hAnsi="仿宋" w:eastAsia="仿宋" w:cs="仿宋"/>
          <w:color w:val="auto"/>
          <w:highlight w:val="none"/>
        </w:rPr>
      </w:pPr>
      <w:r>
        <w:rPr>
          <w:rFonts w:hint="eastAsia" w:ascii="仿宋" w:hAnsi="仿宋" w:eastAsia="仿宋" w:cs="仿宋"/>
          <w:color w:val="auto"/>
          <w:highlight w:val="none"/>
        </w:rPr>
        <w:t>19.3投标人未按照招标文件要求提供与基本资格条件、特定资格条件相应的有效资格证明材料的，视为投标人不具备招标文件中规定的资格要求，其投标无效。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19.4对未通过资格审查的投标人，采购人或采购机构告知其未通过的原因。</w:t>
      </w:r>
    </w:p>
    <w:p>
      <w:pPr>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20、信用信息查询</w:t>
      </w:r>
    </w:p>
    <w:p>
      <w:pPr>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20.1信用信息查询渠道及截止时间：采购机构将通过“信用中国”网站(www.creditchina.gov.cn)、中国政府采购网(www.ccgp.gov.cn)渠道查询投标人投标截止时间当天的信用记录。</w:t>
      </w:r>
    </w:p>
    <w:p>
      <w:pPr>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pPr>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五、评标</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21. 评标</w:t>
      </w:r>
    </w:p>
    <w:p>
      <w:pPr>
        <w:rPr>
          <w:rFonts w:hint="eastAsia" w:ascii="仿宋" w:hAnsi="仿宋" w:eastAsia="仿宋" w:cs="仿宋"/>
          <w:color w:val="auto"/>
          <w:highlight w:val="none"/>
        </w:rPr>
      </w:pP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六、定 标</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22. 确定中标供应商</w:t>
      </w:r>
    </w:p>
    <w:p>
      <w:pPr>
        <w:rPr>
          <w:rFonts w:hint="eastAsia" w:ascii="仿宋" w:hAnsi="仿宋" w:eastAsia="仿宋" w:cs="仿宋"/>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23. 中标通知与中标结果公告</w:t>
      </w:r>
    </w:p>
    <w:p>
      <w:pPr>
        <w:rPr>
          <w:rFonts w:hint="eastAsia" w:ascii="仿宋" w:hAnsi="仿宋" w:eastAsia="仿宋" w:cs="仿宋"/>
          <w:color w:val="auto"/>
          <w:highlight w:val="none"/>
        </w:rPr>
      </w:pPr>
      <w:r>
        <w:rPr>
          <w:rFonts w:hint="eastAsia" w:ascii="仿宋" w:hAnsi="仿宋" w:eastAsia="仿宋" w:cs="仿宋"/>
          <w:color w:val="auto"/>
          <w:highlight w:val="none"/>
        </w:rPr>
        <w:t>23.1自中标人确定之日起2个工作日内，采购机构通过电子交易平台向中标人发出中标通知书，同时编制发布采购结果公告。采购机构也可以以纸质形式进行中标通知。</w:t>
      </w:r>
    </w:p>
    <w:p>
      <w:pPr>
        <w:rPr>
          <w:rFonts w:hint="eastAsia" w:ascii="仿宋" w:hAnsi="仿宋" w:eastAsia="仿宋" w:cs="仿宋"/>
          <w:color w:val="auto"/>
          <w:highlight w:val="none"/>
        </w:rPr>
      </w:pPr>
      <w:r>
        <w:rPr>
          <w:rFonts w:hint="eastAsia" w:ascii="仿宋" w:hAnsi="仿宋" w:eastAsia="仿宋" w:cs="仿宋"/>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七、合同授予</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24. 合同主要条款详见第五部分拟签订的合同文本。</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25. 合同的签订</w:t>
      </w:r>
    </w:p>
    <w:p>
      <w:pPr>
        <w:rPr>
          <w:rFonts w:hint="eastAsia" w:ascii="仿宋" w:hAnsi="仿宋" w:eastAsia="仿宋" w:cs="仿宋"/>
          <w:color w:val="auto"/>
          <w:highlight w:val="none"/>
        </w:rPr>
      </w:pPr>
      <w:r>
        <w:rPr>
          <w:rFonts w:hint="eastAsia" w:ascii="仿宋" w:hAnsi="仿宋" w:eastAsia="仿宋" w:cs="仿宋"/>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rPr>
          <w:rFonts w:hint="eastAsia" w:ascii="仿宋" w:hAnsi="仿宋" w:eastAsia="仿宋" w:cs="仿宋"/>
          <w:color w:val="auto"/>
          <w:highlight w:val="none"/>
        </w:rPr>
      </w:pPr>
      <w:r>
        <w:rPr>
          <w:rFonts w:hint="eastAsia" w:ascii="仿宋" w:hAnsi="仿宋" w:eastAsia="仿宋" w:cs="仿宋"/>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26. 履约保证金</w:t>
      </w:r>
    </w:p>
    <w:p>
      <w:pPr>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rPr>
          <w:rFonts w:hint="eastAsia" w:ascii="仿宋" w:hAnsi="仿宋" w:eastAsia="仿宋" w:cs="仿宋"/>
          <w:color w:val="auto"/>
          <w:highlight w:val="none"/>
        </w:rPr>
      </w:pPr>
      <w:r>
        <w:rPr>
          <w:rFonts w:hint="eastAsia" w:ascii="仿宋" w:hAnsi="仿宋" w:eastAsia="仿宋" w:cs="仿宋"/>
          <w:color w:val="auto"/>
          <w:highlight w:val="none"/>
        </w:rPr>
        <w:t>政府采购货物和服务项目中，采购单位可根据杭州市政府采购网公布的供应商履约评价情况减免履约保证金。供应商履约验收评价总分为100分的，采购单位应当免收履约保证金；</w:t>
      </w:r>
    </w:p>
    <w:p>
      <w:pPr>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pacing w:line="276" w:lineRule="auto"/>
        <w:rPr>
          <w:rFonts w:hint="eastAsia" w:ascii="仿宋" w:hAnsi="仿宋" w:eastAsia="仿宋" w:cs="仿宋"/>
          <w:b/>
          <w:smallCaps/>
          <w:color w:val="auto"/>
          <w:sz w:val="28"/>
          <w:szCs w:val="28"/>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27. 电子交易活动的中止。</w:t>
      </w:r>
    </w:p>
    <w:p>
      <w:pPr>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九、验收</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29.验收</w:t>
      </w:r>
    </w:p>
    <w:p>
      <w:pPr>
        <w:rPr>
          <w:rFonts w:hint="eastAsia" w:ascii="仿宋" w:hAnsi="仿宋" w:eastAsia="仿宋" w:cs="仿宋"/>
          <w:color w:val="auto"/>
          <w:highlight w:val="none"/>
        </w:rPr>
      </w:pPr>
      <w:r>
        <w:rPr>
          <w:rFonts w:hint="eastAsia" w:ascii="仿宋" w:hAnsi="仿宋" w:eastAsia="仿宋" w:cs="仿宋"/>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rPr>
          <w:rFonts w:hint="eastAsia" w:ascii="仿宋" w:hAnsi="仿宋" w:eastAsia="仿宋" w:cs="仿宋"/>
          <w:color w:val="auto"/>
          <w:highlight w:val="none"/>
        </w:rPr>
      </w:pPr>
      <w:r>
        <w:rPr>
          <w:rFonts w:hint="eastAsia" w:ascii="仿宋" w:hAnsi="仿宋" w:eastAsia="仿宋" w:cs="仿宋"/>
          <w:color w:val="auto"/>
          <w:highlight w:val="none"/>
        </w:rPr>
        <w:t>联系电话: 0571-83587785/0571-82816012  联系地址: 萧山区通惠北路2-1号302室</w:t>
      </w:r>
    </w:p>
    <w:p>
      <w:pPr>
        <w:rPr>
          <w:rFonts w:hint="eastAsia" w:ascii="仿宋" w:hAnsi="仿宋" w:eastAsia="仿宋" w:cs="仿宋"/>
          <w:color w:val="auto"/>
          <w:highlight w:val="none"/>
        </w:rPr>
      </w:pPr>
      <w:r>
        <w:rPr>
          <w:rFonts w:hint="eastAsia" w:ascii="仿宋" w:hAnsi="仿宋" w:eastAsia="仿宋" w:cs="仿宋"/>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第三部分   采购需求</w:t>
      </w:r>
    </w:p>
    <w:p>
      <w:pPr>
        <w:snapToGrid w:val="0"/>
        <w:jc w:val="center"/>
        <w:rPr>
          <w:rStyle w:val="52"/>
          <w:rFonts w:hint="eastAsia" w:ascii="仿宋" w:hAnsi="仿宋" w:eastAsia="仿宋" w:cs="仿宋"/>
          <w:color w:val="auto"/>
          <w:highlight w:val="none"/>
        </w:rPr>
      </w:pPr>
      <w:r>
        <w:rPr>
          <w:rStyle w:val="52"/>
          <w:rFonts w:hint="eastAsia" w:ascii="仿宋" w:hAnsi="仿宋" w:eastAsia="仿宋" w:cs="仿宋"/>
          <w:color w:val="auto"/>
          <w:highlight w:val="none"/>
        </w:rPr>
        <w:t>属于实质性要求条款的，请用符号“▲”标明，否则属于非实质性要求。</w:t>
      </w:r>
    </w:p>
    <w:p>
      <w:pPr>
        <w:snapToGrid w:val="0"/>
        <w:jc w:val="center"/>
        <w:rPr>
          <w:rStyle w:val="52"/>
          <w:rFonts w:hint="eastAsia" w:ascii="仿宋" w:hAnsi="仿宋" w:eastAsia="仿宋" w:cs="仿宋"/>
          <w:color w:val="auto"/>
          <w:highlight w:val="none"/>
        </w:rPr>
      </w:pPr>
      <w:r>
        <w:rPr>
          <w:rStyle w:val="52"/>
          <w:rFonts w:hint="eastAsia" w:ascii="仿宋" w:hAnsi="仿宋" w:eastAsia="仿宋" w:cs="仿宋"/>
          <w:color w:val="auto"/>
          <w:highlight w:val="none"/>
        </w:rPr>
        <w:t>“★”系产品采购项目中单一产品或核心产品。</w:t>
      </w:r>
    </w:p>
    <w:p>
      <w:pPr>
        <w:pStyle w:val="4"/>
        <w:numPr>
          <w:ilvl w:val="0"/>
          <w:numId w:val="1"/>
        </w:numPr>
        <w:ind w:left="1110"/>
        <w:rPr>
          <w:rFonts w:hint="eastAsia" w:ascii="仿宋" w:hAnsi="仿宋" w:eastAsia="仿宋" w:cs="仿宋"/>
          <w:color w:val="auto"/>
          <w:highlight w:val="none"/>
        </w:rPr>
      </w:pPr>
      <w:r>
        <w:rPr>
          <w:rFonts w:hint="eastAsia" w:ascii="仿宋" w:hAnsi="仿宋" w:eastAsia="仿宋" w:cs="仿宋"/>
          <w:color w:val="auto"/>
          <w:highlight w:val="none"/>
        </w:rPr>
        <w:t>招标一览表</w:t>
      </w:r>
    </w:p>
    <w:p>
      <w:pPr>
        <w:pStyle w:val="4"/>
        <w:rPr>
          <w:rFonts w:hint="eastAsia" w:ascii="仿宋" w:hAnsi="仿宋" w:eastAsia="仿宋" w:cs="仿宋"/>
          <w:color w:val="auto"/>
          <w:highlight w:val="none"/>
        </w:rPr>
      </w:pPr>
    </w:p>
    <w:tbl>
      <w:tblPr>
        <w:tblStyle w:val="25"/>
        <w:tblpPr w:leftFromText="180" w:rightFromText="180" w:vertAnchor="text" w:horzAnchor="page" w:tblpX="1691" w:tblpY="-116"/>
        <w:tblOverlap w:val="never"/>
        <w:tblW w:w="8407" w:type="dxa"/>
        <w:jc w:val="center"/>
        <w:tblLayout w:type="fixed"/>
        <w:tblCellMar>
          <w:top w:w="0" w:type="dxa"/>
          <w:left w:w="0" w:type="dxa"/>
          <w:bottom w:w="0" w:type="dxa"/>
          <w:right w:w="0" w:type="dxa"/>
        </w:tblCellMar>
      </w:tblPr>
      <w:tblGrid>
        <w:gridCol w:w="1251"/>
        <w:gridCol w:w="2910"/>
        <w:gridCol w:w="1860"/>
        <w:gridCol w:w="810"/>
        <w:gridCol w:w="870"/>
        <w:gridCol w:w="706"/>
      </w:tblGrid>
      <w:tr>
        <w:tblPrEx>
          <w:tblCellMar>
            <w:top w:w="0" w:type="dxa"/>
            <w:left w:w="0" w:type="dxa"/>
            <w:bottom w:w="0" w:type="dxa"/>
            <w:right w:w="0" w:type="dxa"/>
          </w:tblCellMar>
        </w:tblPrEx>
        <w:trPr>
          <w:cantSplit/>
          <w:trHeight w:val="663" w:hRule="atLeast"/>
          <w:jc w:val="center"/>
        </w:trPr>
        <w:tc>
          <w:tcPr>
            <w:tcW w:w="12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bookmarkStart w:id="2" w:name="_Toc21378"/>
            <w:r>
              <w:rPr>
                <w:rFonts w:hint="eastAsia" w:ascii="仿宋" w:hAnsi="仿宋" w:eastAsia="仿宋" w:cs="仿宋"/>
                <w:bCs/>
                <w:color w:val="auto"/>
                <w:highlight w:val="none"/>
              </w:rPr>
              <w:t xml:space="preserve"> 标项</w:t>
            </w:r>
          </w:p>
        </w:tc>
        <w:tc>
          <w:tcPr>
            <w:tcW w:w="29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名称</w:t>
            </w:r>
          </w:p>
        </w:tc>
        <w:tc>
          <w:tcPr>
            <w:tcW w:w="18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规格型号与参数</w:t>
            </w: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单位</w:t>
            </w:r>
          </w:p>
        </w:tc>
        <w:tc>
          <w:tcPr>
            <w:tcW w:w="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数量</w:t>
            </w:r>
          </w:p>
        </w:tc>
        <w:tc>
          <w:tcPr>
            <w:tcW w:w="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备注</w:t>
            </w:r>
          </w:p>
        </w:tc>
      </w:tr>
      <w:tr>
        <w:tblPrEx>
          <w:tblCellMar>
            <w:top w:w="0" w:type="dxa"/>
            <w:left w:w="0" w:type="dxa"/>
            <w:bottom w:w="0" w:type="dxa"/>
            <w:right w:w="0" w:type="dxa"/>
          </w:tblCellMar>
        </w:tblPrEx>
        <w:trPr>
          <w:cantSplit/>
          <w:trHeight w:val="927" w:hRule="atLeast"/>
          <w:jc w:val="center"/>
        </w:trPr>
        <w:tc>
          <w:tcPr>
            <w:tcW w:w="12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p>
        </w:tc>
        <w:tc>
          <w:tcPr>
            <w:tcW w:w="29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lang w:eastAsia="zh-CN"/>
              </w:rPr>
            </w:pPr>
            <w:r>
              <w:rPr>
                <w:rFonts w:hint="eastAsia" w:cs="仿宋"/>
                <w:color w:val="auto"/>
                <w:highlight w:val="none"/>
                <w:lang w:eastAsia="zh-CN"/>
              </w:rPr>
              <w:t>杭州南站出租车秩序服务及防疫服务采购项目</w:t>
            </w:r>
          </w:p>
        </w:tc>
        <w:tc>
          <w:tcPr>
            <w:tcW w:w="18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详见招标需求</w:t>
            </w: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default" w:ascii="仿宋" w:hAnsi="仿宋" w:eastAsia="仿宋" w:cs="仿宋"/>
                <w:bCs/>
                <w:color w:val="auto"/>
                <w:highlight w:val="none"/>
                <w:lang w:val="en-US" w:eastAsia="zh-CN"/>
              </w:rPr>
            </w:pPr>
            <w:r>
              <w:rPr>
                <w:rFonts w:hint="eastAsia" w:cs="仿宋"/>
                <w:bCs/>
                <w:color w:val="auto"/>
                <w:highlight w:val="none"/>
                <w:lang w:val="en-US" w:eastAsia="zh-CN"/>
              </w:rPr>
              <w:t>项</w:t>
            </w:r>
          </w:p>
        </w:tc>
        <w:tc>
          <w:tcPr>
            <w:tcW w:w="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p>
        </w:tc>
        <w:tc>
          <w:tcPr>
            <w:tcW w:w="7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bCs/>
                <w:color w:val="auto"/>
                <w:highlight w:val="none"/>
              </w:rPr>
            </w:pPr>
          </w:p>
        </w:tc>
      </w:tr>
    </w:tbl>
    <w:p>
      <w:pPr>
        <w:pStyle w:val="4"/>
        <w:numPr>
          <w:ilvl w:val="0"/>
          <w:numId w:val="1"/>
        </w:numPr>
        <w:ind w:left="1110" w:leftChars="0"/>
        <w:rPr>
          <w:rFonts w:hint="eastAsia" w:ascii="仿宋" w:hAnsi="仿宋" w:eastAsia="仿宋" w:cs="仿宋"/>
          <w:b/>
          <w:color w:val="auto"/>
          <w:sz w:val="28"/>
          <w:szCs w:val="28"/>
          <w:highlight w:val="none"/>
        </w:rPr>
      </w:pPr>
      <w:r>
        <w:rPr>
          <w:rFonts w:hint="eastAsia" w:ascii="仿宋" w:hAnsi="仿宋" w:eastAsia="仿宋" w:cs="仿宋"/>
          <w:bCs w:val="0"/>
          <w:color w:val="auto"/>
          <w:sz w:val="28"/>
          <w:highlight w:val="none"/>
        </w:rPr>
        <w:t>招标</w:t>
      </w:r>
      <w:r>
        <w:rPr>
          <w:rFonts w:hint="eastAsia" w:ascii="仿宋" w:hAnsi="仿宋" w:eastAsia="仿宋" w:cs="仿宋"/>
          <w:bCs w:val="0"/>
          <w:color w:val="auto"/>
          <w:sz w:val="28"/>
          <w:highlight w:val="none"/>
          <w:lang w:val="zh-CN"/>
        </w:rPr>
        <w:t>需求</w:t>
      </w:r>
      <w:bookmarkEnd w:id="2"/>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（一）服务范围</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1、西广场出租车区域：面积：4609平方米；</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2、东广场出租车区域：面积：4625平方米；</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lang w:eastAsia="zh-CN"/>
        </w:rPr>
        <w:t>疫情</w:t>
      </w:r>
      <w:r>
        <w:rPr>
          <w:rFonts w:hint="eastAsia" w:cs="仿宋"/>
          <w:b w:val="0"/>
          <w:bCs w:val="0"/>
          <w:color w:val="auto"/>
          <w:sz w:val="24"/>
          <w:szCs w:val="24"/>
          <w:highlight w:val="none"/>
          <w:lang w:eastAsia="zh-CN"/>
        </w:rPr>
        <w:t>服务：</w:t>
      </w:r>
      <w:r>
        <w:rPr>
          <w:rFonts w:hint="eastAsia" w:ascii="仿宋" w:hAnsi="仿宋" w:eastAsia="仿宋" w:cs="仿宋"/>
          <w:b w:val="0"/>
          <w:bCs w:val="0"/>
          <w:color w:val="auto"/>
          <w:sz w:val="24"/>
          <w:szCs w:val="24"/>
          <w:highlight w:val="none"/>
          <w:lang w:eastAsia="zh-CN"/>
        </w:rPr>
        <w:t>东、西广场消毒等疫情涉及相关范围。</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（二）管理服务岗位及时间要求</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▲1、人员配置</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出租车、</w:t>
      </w:r>
      <w:r>
        <w:rPr>
          <w:rFonts w:hint="eastAsia" w:ascii="仿宋" w:hAnsi="仿宋" w:eastAsia="仿宋" w:cs="仿宋"/>
          <w:b w:val="0"/>
          <w:bCs w:val="0"/>
          <w:color w:val="auto"/>
          <w:sz w:val="24"/>
          <w:szCs w:val="24"/>
          <w:highlight w:val="none"/>
          <w:lang w:eastAsia="zh-CN"/>
        </w:rPr>
        <w:t>疫情</w:t>
      </w:r>
      <w:r>
        <w:rPr>
          <w:rFonts w:hint="eastAsia" w:cs="仿宋"/>
          <w:b w:val="0"/>
          <w:bCs w:val="0"/>
          <w:color w:val="auto"/>
          <w:sz w:val="24"/>
          <w:szCs w:val="24"/>
          <w:highlight w:val="none"/>
          <w:lang w:eastAsia="zh-CN"/>
        </w:rPr>
        <w:t>服务</w:t>
      </w:r>
      <w:r>
        <w:rPr>
          <w:rFonts w:hint="eastAsia" w:ascii="仿宋" w:hAnsi="仿宋" w:eastAsia="仿宋" w:cs="仿宋"/>
          <w:b w:val="0"/>
          <w:bCs w:val="0"/>
          <w:color w:val="auto"/>
          <w:sz w:val="24"/>
          <w:szCs w:val="24"/>
          <w:highlight w:val="none"/>
          <w:lang w:eastAsia="zh-CN"/>
        </w:rPr>
        <w:t>等工作人员总实际岗位：出租车服务及防疫服务等 30岗</w:t>
      </w:r>
      <w:r>
        <w:rPr>
          <w:rFonts w:hint="eastAsia" w:cs="仿宋"/>
          <w:b w:val="0"/>
          <w:bCs w:val="0"/>
          <w:color w:val="auto"/>
          <w:sz w:val="24"/>
          <w:szCs w:val="24"/>
          <w:highlight w:val="none"/>
          <w:lang w:eastAsia="zh-CN"/>
        </w:rPr>
        <w:t>以内</w:t>
      </w:r>
      <w:r>
        <w:rPr>
          <w:rFonts w:hint="eastAsia" w:ascii="仿宋" w:hAnsi="仿宋" w:eastAsia="仿宋" w:cs="仿宋"/>
          <w:b w:val="0"/>
          <w:bCs w:val="0"/>
          <w:color w:val="auto"/>
          <w:sz w:val="24"/>
          <w:szCs w:val="24"/>
          <w:highlight w:val="none"/>
          <w:lang w:eastAsia="zh-CN"/>
        </w:rPr>
        <w:t>（最终根据甲方实际需求设置岗位），按照火车站24小时运行的要求。每时段出勤人数按照采购方实际需求进行布置，结算依据为实际出勤人数并根据需求方考核为准。</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▲2、人员资质</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（1）管理人员：45岁以下，</w:t>
      </w:r>
      <w:r>
        <w:rPr>
          <w:rFonts w:hint="eastAsia" w:cs="仿宋"/>
          <w:b w:val="0"/>
          <w:bCs w:val="0"/>
          <w:color w:val="auto"/>
          <w:sz w:val="24"/>
          <w:szCs w:val="24"/>
          <w:highlight w:val="none"/>
          <w:lang w:eastAsia="zh-CN"/>
        </w:rPr>
        <w:t>思想上进，无犯罪记录，</w:t>
      </w:r>
      <w:r>
        <w:rPr>
          <w:rFonts w:hint="eastAsia" w:ascii="仿宋" w:hAnsi="仿宋" w:eastAsia="仿宋" w:cs="仿宋"/>
          <w:b w:val="0"/>
          <w:bCs w:val="0"/>
          <w:color w:val="auto"/>
          <w:sz w:val="24"/>
          <w:szCs w:val="24"/>
          <w:highlight w:val="none"/>
          <w:lang w:eastAsia="zh-CN"/>
        </w:rPr>
        <w:t>大专及以上文化程度，从事物业管理相关工作5年以上、综合管理、协调能力强，认真负责；</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（2）消防安全管理员：持有消防安全管理员证，熟练掌握消防器材使用；</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（3）秩序人员：</w:t>
      </w:r>
      <w:r>
        <w:rPr>
          <w:rFonts w:hint="eastAsia" w:cs="仿宋"/>
          <w:b w:val="0"/>
          <w:bCs w:val="0"/>
          <w:color w:val="auto"/>
          <w:sz w:val="24"/>
          <w:szCs w:val="24"/>
          <w:highlight w:val="none"/>
          <w:lang w:eastAsia="zh-CN"/>
        </w:rPr>
        <w:t>男</w:t>
      </w:r>
      <w:r>
        <w:rPr>
          <w:rFonts w:hint="eastAsia" w:ascii="仿宋" w:hAnsi="仿宋" w:eastAsia="仿宋" w:cs="仿宋"/>
          <w:b w:val="0"/>
          <w:bCs w:val="0"/>
          <w:color w:val="auto"/>
          <w:sz w:val="24"/>
          <w:szCs w:val="24"/>
          <w:highlight w:val="none"/>
          <w:lang w:eastAsia="zh-CN"/>
        </w:rPr>
        <w:t>50岁以下，</w:t>
      </w:r>
      <w:r>
        <w:rPr>
          <w:rFonts w:hint="eastAsia" w:cs="仿宋"/>
          <w:b w:val="0"/>
          <w:bCs w:val="0"/>
          <w:color w:val="auto"/>
          <w:sz w:val="24"/>
          <w:szCs w:val="24"/>
          <w:highlight w:val="none"/>
          <w:lang w:eastAsia="zh-CN"/>
        </w:rPr>
        <w:t>女</w:t>
      </w:r>
      <w:r>
        <w:rPr>
          <w:rFonts w:hint="eastAsia" w:cs="仿宋"/>
          <w:b w:val="0"/>
          <w:bCs w:val="0"/>
          <w:color w:val="auto"/>
          <w:sz w:val="24"/>
          <w:szCs w:val="24"/>
          <w:highlight w:val="none"/>
          <w:lang w:val="en-US" w:eastAsia="zh-CN"/>
        </w:rPr>
        <w:t>45</w:t>
      </w:r>
      <w:r>
        <w:rPr>
          <w:rFonts w:hint="eastAsia" w:ascii="仿宋" w:hAnsi="仿宋" w:eastAsia="仿宋" w:cs="仿宋"/>
          <w:b w:val="0"/>
          <w:bCs w:val="0"/>
          <w:color w:val="auto"/>
          <w:sz w:val="24"/>
          <w:szCs w:val="24"/>
          <w:highlight w:val="none"/>
          <w:lang w:eastAsia="zh-CN"/>
        </w:rPr>
        <w:t>岁以下</w:t>
      </w:r>
      <w:r>
        <w:rPr>
          <w:rFonts w:hint="eastAsia" w:cs="仿宋"/>
          <w:b w:val="0"/>
          <w:bCs w:val="0"/>
          <w:color w:val="auto"/>
          <w:sz w:val="24"/>
          <w:szCs w:val="24"/>
          <w:highlight w:val="none"/>
          <w:lang w:eastAsia="zh-CN"/>
        </w:rPr>
        <w:t>，男女</w:t>
      </w:r>
      <w:r>
        <w:rPr>
          <w:rFonts w:hint="eastAsia" w:cs="仿宋"/>
          <w:b w:val="0"/>
          <w:bCs w:val="0"/>
          <w:color w:val="auto"/>
          <w:sz w:val="24"/>
          <w:szCs w:val="24"/>
          <w:highlight w:val="none"/>
          <w:lang w:val="en-US" w:eastAsia="zh-CN"/>
        </w:rPr>
        <w:t>比例不大于7：3，</w:t>
      </w:r>
      <w:r>
        <w:rPr>
          <w:rFonts w:hint="eastAsia" w:ascii="仿宋" w:hAnsi="仿宋" w:eastAsia="仿宋" w:cs="仿宋"/>
          <w:b w:val="0"/>
          <w:bCs w:val="0"/>
          <w:color w:val="auto"/>
          <w:sz w:val="24"/>
          <w:szCs w:val="24"/>
          <w:highlight w:val="none"/>
          <w:lang w:eastAsia="zh-CN"/>
        </w:rPr>
        <w:t>初中及以上文化程度，持保安证；</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（4）疫情保障人员：</w:t>
      </w:r>
      <w:r>
        <w:rPr>
          <w:rFonts w:hint="eastAsia" w:cs="仿宋"/>
          <w:b w:val="0"/>
          <w:bCs w:val="0"/>
          <w:color w:val="auto"/>
          <w:sz w:val="24"/>
          <w:szCs w:val="24"/>
          <w:highlight w:val="none"/>
          <w:lang w:eastAsia="zh-CN"/>
        </w:rPr>
        <w:t>男</w:t>
      </w:r>
      <w:r>
        <w:rPr>
          <w:rFonts w:hint="eastAsia" w:ascii="仿宋" w:hAnsi="仿宋" w:eastAsia="仿宋" w:cs="仿宋"/>
          <w:b w:val="0"/>
          <w:bCs w:val="0"/>
          <w:color w:val="auto"/>
          <w:sz w:val="24"/>
          <w:szCs w:val="24"/>
          <w:highlight w:val="none"/>
          <w:lang w:eastAsia="zh-CN"/>
        </w:rPr>
        <w:t>50岁以下，</w:t>
      </w:r>
      <w:r>
        <w:rPr>
          <w:rFonts w:hint="eastAsia" w:cs="仿宋"/>
          <w:b w:val="0"/>
          <w:bCs w:val="0"/>
          <w:color w:val="auto"/>
          <w:sz w:val="24"/>
          <w:szCs w:val="24"/>
          <w:highlight w:val="none"/>
          <w:lang w:eastAsia="zh-CN"/>
        </w:rPr>
        <w:t>女</w:t>
      </w:r>
      <w:r>
        <w:rPr>
          <w:rFonts w:hint="eastAsia" w:cs="仿宋"/>
          <w:b w:val="0"/>
          <w:bCs w:val="0"/>
          <w:color w:val="auto"/>
          <w:sz w:val="24"/>
          <w:szCs w:val="24"/>
          <w:highlight w:val="none"/>
          <w:lang w:val="en-US" w:eastAsia="zh-CN"/>
        </w:rPr>
        <w:t>45</w:t>
      </w:r>
      <w:r>
        <w:rPr>
          <w:rFonts w:hint="eastAsia" w:ascii="仿宋" w:hAnsi="仿宋" w:eastAsia="仿宋" w:cs="仿宋"/>
          <w:b w:val="0"/>
          <w:bCs w:val="0"/>
          <w:color w:val="auto"/>
          <w:sz w:val="24"/>
          <w:szCs w:val="24"/>
          <w:highlight w:val="none"/>
          <w:lang w:eastAsia="zh-CN"/>
        </w:rPr>
        <w:t>岁以下</w:t>
      </w:r>
      <w:r>
        <w:rPr>
          <w:rFonts w:hint="eastAsia" w:cs="仿宋"/>
          <w:b w:val="0"/>
          <w:bCs w:val="0"/>
          <w:color w:val="auto"/>
          <w:sz w:val="24"/>
          <w:szCs w:val="24"/>
          <w:highlight w:val="none"/>
          <w:lang w:eastAsia="zh-CN"/>
        </w:rPr>
        <w:t>，男女</w:t>
      </w:r>
      <w:r>
        <w:rPr>
          <w:rFonts w:hint="eastAsia" w:cs="仿宋"/>
          <w:b w:val="0"/>
          <w:bCs w:val="0"/>
          <w:color w:val="auto"/>
          <w:sz w:val="24"/>
          <w:szCs w:val="24"/>
          <w:highlight w:val="none"/>
          <w:lang w:val="en-US" w:eastAsia="zh-CN"/>
        </w:rPr>
        <w:t>比例不大于6：4，</w:t>
      </w:r>
      <w:r>
        <w:rPr>
          <w:rFonts w:hint="eastAsia" w:ascii="仿宋" w:hAnsi="仿宋" w:eastAsia="仿宋" w:cs="仿宋"/>
          <w:b w:val="0"/>
          <w:bCs w:val="0"/>
          <w:color w:val="auto"/>
          <w:sz w:val="24"/>
          <w:szCs w:val="24"/>
          <w:highlight w:val="none"/>
          <w:lang w:eastAsia="zh-CN"/>
        </w:rPr>
        <w:t>，高中及以上学历，亲和力强、责任心强。</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▲3、工作时间</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管理人员、消防安全管理员、秩序人员和疫情防控人员工作时间：24小时</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▲4、管理服务指标</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（1）杜绝火灾责任事故和刑事案件；</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（2）环境卫生、清洁率达99%；</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（3）维修、报修及时率100%，返修率小于1%；</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（4）服务有效投诉及时处理率100%；</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（5）防疫卡口工作期间，对采购方的防疫要求执行率达100%。</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（三）服务内容</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1、管理人员：负责出租车场及疫情管控点总体管理与协调；</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2、主管：协助运管、公安、防疫做好人员日常管理培训工作，处理突发事件。</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3、出口闸机管理：负责进出口闸机的开启，对无关车辆制止，保持大门岗车辆畅通。</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4、车辆引导员：引导、协助乘客上车，确保上客点有序。</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5、候客管理员：负责出租车场地内候客蓄车车辆排队有序，停靠整齐。</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6、</w:t>
      </w:r>
      <w:r>
        <w:rPr>
          <w:rFonts w:hint="eastAsia" w:ascii="仿宋" w:hAnsi="仿宋" w:eastAsia="仿宋" w:cs="仿宋"/>
          <w:b w:val="0"/>
          <w:bCs w:val="0"/>
          <w:color w:val="auto"/>
          <w:sz w:val="24"/>
          <w:szCs w:val="24"/>
          <w:highlight w:val="none"/>
          <w:lang w:eastAsia="zh-CN"/>
        </w:rPr>
        <w:t>疫情登记管理：负责登记处的排队管理、安全疏导及疫情应急处理。</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7、疫情登记引导：负责整个区域内人员引导、秩序管理及疫情应急处理。</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8、疫情卡口处管理：负责卡口处人员疫情管控及疫情应急处理</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lang w:eastAsia="zh-CN"/>
        </w:rPr>
        <w:t>、其他采购方安排的工作。</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注：器材配备：对讲机20部、荧光棒40只、反光背心40件，**装备30套（头盔、盾牌、钢叉、防刺背心、伸缩警棍等），旅客应急医疗服务40套（针线包、创可贴、速效救心丸、藿香正气水等应急药品），手持式大型喇叭20只，防疫物资根据实际管控情况服从采购方要求按需配备。（由服务方采购）</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（四）现场管理要求</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1、东西广场出租车通道现场管理要求</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（1）做好日常秩序管理。</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①在岗安保服务人员必须统一着装，按规范佩戴并使用设施设备；</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负责做好杭州火车南站东西广场出租车通道秩序管理。确保出租车通道及上客区域顺畅、有序，文明服务出租车司机，不得出现蓄车排队无序，上客区域车辆滞留挑客、兜客、侯客等情况发生；确保出租车通道场地内有序、可控，不得让“黄牛”，“酒店拉客”等无关人员进入管理区域；不得收受出租车司机等服务对象的好处，为其在排队、侯客、载客时提供便利和帮助。使通道排队侯客、接客不公平的；</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③现场安保服务人员管理不得简单粗暴，不文明不规范，服务不到位导致与司机、乘客发生争吵、冲突造成有责投诉。遇到旅客消费纠纷，当班综合管理人员在第一时间进行调解，遇调解不成功的立即上报；及时制止和劝导旅客吵架、打架、吸烟、乱扔垃圾、翻越栏杆等不文明行为，负责出租车通道正常的公共秩序；协助有困难的旅客，确保出租车通道客流顺畅，掌握本站客流情况，引导旅客有秩序地进出站；遇客流大时应及时引导、疏散旅客尽快离站；发现异常情况及时汇报。</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④负责保护甲方指定范围内的人身、财产和信息等安全，维护现场秩序、道路秩序，参加甲方组织并要求乙方参加的会议、演练、抢险救灾等行动，听从甲方及其指定人员的指挥，服从命令、执行任务、接受考核，确保出租车通道及相关区域内安全目标的实现。</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⑤做好出租车通道相关车辆、人员的日常管理工作。严格按照相关规定，禁止私家车、工程车等外来车辆在未得到杭州南站枢纽管理委员会审批情况下驶入出租车专用通道；禁止相关施工人员等外来人员在未得到杭州南站枢纽管理委员会审批情况下进入出租车通道施工、踏勘等。</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⑥现场保安做好日常环境消杀和保洁工作，随时保持墙面、地面、坡道等区域清洁，经常性疏通水沟，保持水沟畅通，由于日常保洁不到位或消杀不到位的责任扣除服务单位相应费用。</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⑦经常性为有困难的乘客提供公益性帮助，包括提行李箱、大件包裹、婴儿推车等，由于服务不到位、态度不端正引起投诉的扣除服务单位相关费用。</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⑧中标单位承担指定区域内设施设备的日常维护保养及相关能耗费用，如有维护不当或造成外因破坏的损失由服务单位承担修复或赔偿，并扣除相关管理费用。</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（2）配合职能部门开展日常管理工作。</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 xml:space="preserve">①熟练掌握五大职能部门的职责，协助职能部门做好管辖区域的安全保卫、城市管理等工作。发现管理区域保洁卫生问题、治安安全问题、违法停车、非法营运车辆等违规行为，应立即教育、劝导、阻止，对不听劝导的，应立即报告当班班长、队长，队长应组织人员进一步劝阻，在无效的情况下，上报到各相关职能部门，请求执法支撑，当值管理人员要一起配合解决，并记录整个事件的时间、内容、处置结果等情况，每月汇总交至杭州南站枢纽管理委员会。  </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②每日进行客流量、车流量统计登记。</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（3）坚守工作岗位，不得迟到早退，擅自离岗、串岗，缺岗。</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（4）各类应急突发事件的处置。</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①做好杭州火车南站东西广场出租车通道场地冬季雨雪冰冻等恶劣天气期间的防范应对工作，避免出租车回旋通道交通主干道内因雨雪冰冻天气出现交通事故或交通拥堵现象，确保枢纽内车辆有序通行，保障旅客的人身和财产安全，维护枢纽地区秩序稳定，确保枢纽旅客运输安全、畅通、有序。</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做好在枢纽运行中可能发生或可能影响枢纽正常运行的突发公共事件处置工作。主要分为以下四类：自然灾害类、事故灾难类、公共卫生类、社会安全类。按照性质、严重程度、可控性和影响范围等因素，突发公共事件一般分为I级（特别重大事件）、II级（重大事件）、III级（较大事件）和IV级（一般事件），乙方需做好应对突发公共事件应急防范预警工作及节假日、各类重大活动的应急保障工作，完善各类应急预案。</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③做好杭州火车南站出租车通道场地内发生的各类恐怖袭击事件的应急工作。最大程度地预防和减少恐怖袭击事件造成的损害，维护杭州火车南站安全和社会稳定，保护旅客生命和财产安全。</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（5）通道旅客服务。</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①</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严格按照</w:t>
      </w:r>
      <w:r>
        <w:rPr>
          <w:rFonts w:hint="eastAsia"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lang w:eastAsia="zh-CN"/>
        </w:rPr>
        <w:t>要求做好出租车通道日常旅客、车辆的管理服务工作，确保旅客排队上车文明、有序，车辆出入快速、安全。</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②在岗人员除了按要求做好本职工作，同时也要做好服务工作（包括日常旅客上车引导、重点旅客“一对一服务”、医疗服务、日常问题投诉处理、旅客咨询服务、以及及时为旅客解决困难等）。</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③</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应按</w:t>
      </w:r>
      <w:r>
        <w:rPr>
          <w:rFonts w:hint="eastAsia"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lang w:eastAsia="zh-CN"/>
        </w:rPr>
        <w:t>要求重要岗位、重点位置配备熟知业务、综合素质高、学历在高中以上的人员，能有效及时解决各类问题和矛盾纠纷。</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（6）通道安全巡查。</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应按</w:t>
      </w:r>
      <w:r>
        <w:rPr>
          <w:rFonts w:hint="eastAsia"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lang w:eastAsia="zh-CN"/>
        </w:rPr>
        <w:t>要求确保南站出租车通道内综合管理工作顺利开展，具体职责为：</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①熟练掌握相关规章制度、设施设备、周边道路情况。掌握出租车通道管理的相关规章制度，熟悉工作标准；熟练掌握手提广播、对讲机、消防设备等设备的使用方法；熟悉杭州火车南站周围公交、路名及周边环境；岗位人员要积极与不法行为和不法人员做斗争，给旅客创造一个安全有序的出行环境。</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对出租车通道消防安全设施设备每日进行安全隐患排查，每两小时对整个出租车通道巡更打点，发现安全隐患及时上报处置；遇**、抗台、抗雪防冻、消防火情等突发事件时要求反应速度灵敏，处置速度及时，同时按照相应的突发事件处置流程进行处置；按照</w:t>
      </w:r>
      <w:r>
        <w:rPr>
          <w:rFonts w:hint="eastAsia"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lang w:eastAsia="zh-CN"/>
        </w:rPr>
        <w:t>要求做好各类应急响应拉练。</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（7）日常培训、训练、</w:t>
      </w:r>
      <w:r>
        <w:rPr>
          <w:rFonts w:hint="eastAsia" w:cs="仿宋"/>
          <w:b w:val="0"/>
          <w:bCs w:val="0"/>
          <w:color w:val="auto"/>
          <w:sz w:val="24"/>
          <w:szCs w:val="24"/>
          <w:highlight w:val="none"/>
          <w:lang w:eastAsia="zh-CN"/>
        </w:rPr>
        <w:t>演</w:t>
      </w:r>
      <w:r>
        <w:rPr>
          <w:rFonts w:hint="eastAsia" w:ascii="仿宋" w:hAnsi="仿宋" w:eastAsia="仿宋" w:cs="仿宋"/>
          <w:b w:val="0"/>
          <w:bCs w:val="0"/>
          <w:color w:val="auto"/>
          <w:sz w:val="24"/>
          <w:szCs w:val="24"/>
          <w:highlight w:val="none"/>
          <w:lang w:eastAsia="zh-CN"/>
        </w:rPr>
        <w:t>练。</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①做好日常培训，</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所安排的综合管理人员需持有从业资格证明、佩戴上岗证，</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每年对综合管理人员进行培训考核，每月定期对综合管理人员开展安全形势、安全意识、五大职能部门相关业务职责的教育培训工作。</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②做好定期训练、</w:t>
      </w:r>
      <w:r>
        <w:rPr>
          <w:rFonts w:hint="eastAsia" w:cs="仿宋"/>
          <w:b w:val="0"/>
          <w:bCs w:val="0"/>
          <w:color w:val="auto"/>
          <w:sz w:val="24"/>
          <w:szCs w:val="24"/>
          <w:highlight w:val="none"/>
          <w:lang w:eastAsia="zh-CN"/>
        </w:rPr>
        <w:t>演练</w:t>
      </w:r>
      <w:r>
        <w:rPr>
          <w:rFonts w:hint="eastAsia" w:ascii="仿宋" w:hAnsi="仿宋" w:eastAsia="仿宋" w:cs="仿宋"/>
          <w:b w:val="0"/>
          <w:bCs w:val="0"/>
          <w:color w:val="auto"/>
          <w:sz w:val="24"/>
          <w:szCs w:val="24"/>
          <w:highlight w:val="none"/>
          <w:lang w:eastAsia="zh-CN"/>
        </w:rPr>
        <w:t>，</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每月定期对综合管理人员开展**防暴、日常消防巡检、抗台、抗雪防冻等各类预案的培训，定期组织应急响应演练。</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③</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为本项目所配备的各级管理人员上岗前应接受</w:t>
      </w:r>
      <w:r>
        <w:rPr>
          <w:rFonts w:hint="eastAsia"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lang w:eastAsia="zh-CN"/>
        </w:rPr>
        <w:t>及各职能部门相关业务职责等各项内容的专项培训。业务培训不仅限于日常工作业务培训，更要求队员在各类突发事件处置、公共卫生知识等方面的培训，队员要遇事具有初步判断的能力，例如在面对旅客突然晕倒要及时采取相关救护措施，为病人争取抢救的时间。</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（8）杭州南站枢纽管理委员会交办的其它工作。及时完成杭州南站枢纽管理委员会交办的其他各项任务（包括突击性任务）。</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2、东西广场疫情管控现场管理要求</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（1）在岗安保服务人员必须统一着装，按规范佩戴并使用设施设备。</w:t>
      </w:r>
    </w:p>
    <w:p>
      <w:pPr>
        <w:adjustRightInd/>
        <w:spacing w:line="360" w:lineRule="auto"/>
        <w:jc w:val="left"/>
        <w:rPr>
          <w:rFonts w:hint="eastAsia"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w:t>
      </w:r>
      <w:r>
        <w:rPr>
          <w:rFonts w:hint="eastAsia" w:cs="仿宋"/>
          <w:b w:val="0"/>
          <w:bCs w:val="0"/>
          <w:color w:val="auto"/>
          <w:sz w:val="24"/>
          <w:szCs w:val="24"/>
          <w:highlight w:val="none"/>
          <w:lang w:eastAsia="zh-CN"/>
        </w:rPr>
        <w:t>定时根据现行防疫政策做好旅客的处置工作。</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五、▲服务期限：1年。（2023年01月01日至2023年12月31日）</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合同履行完毕后，在未找到接替公司前，中标人应延续服务，费用按原合同签订的费用标准支付。合同期满后，妥善处理退场移交、人员安置，如果出现劳资纠纷，责任在中标单位。</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六、付款方式：</w:t>
      </w:r>
    </w:p>
    <w:p>
      <w:pPr>
        <w:adjustRightInd/>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▲1、合同生效后7个工作日内</w:t>
      </w:r>
      <w:r>
        <w:rPr>
          <w:rFonts w:hint="eastAsia"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eastAsia="zh-CN"/>
        </w:rPr>
        <w:t>向</w:t>
      </w:r>
      <w:r>
        <w:rPr>
          <w:rFonts w:hint="eastAsia"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lang w:eastAsia="zh-CN"/>
        </w:rPr>
        <w:t>支付合同价款的</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0%作为预付款</w:t>
      </w:r>
      <w:r>
        <w:rPr>
          <w:rFonts w:hint="eastAsia"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考核合格后（具体考核标准在合同中约定），</w:t>
      </w:r>
      <w:r>
        <w:rPr>
          <w:rFonts w:hint="eastAsia" w:cs="仿宋"/>
          <w:b w:val="0"/>
          <w:bCs w:val="0"/>
          <w:color w:val="auto"/>
          <w:sz w:val="24"/>
          <w:szCs w:val="24"/>
          <w:highlight w:val="none"/>
          <w:lang w:val="en-US" w:eastAsia="zh-CN"/>
        </w:rPr>
        <w:t>余款</w:t>
      </w:r>
      <w:r>
        <w:rPr>
          <w:rFonts w:hint="eastAsia" w:ascii="仿宋" w:hAnsi="仿宋" w:eastAsia="仿宋" w:cs="仿宋"/>
          <w:b w:val="0"/>
          <w:bCs w:val="0"/>
          <w:color w:val="auto"/>
          <w:sz w:val="24"/>
          <w:szCs w:val="24"/>
          <w:highlight w:val="none"/>
          <w:lang w:eastAsia="zh-CN"/>
        </w:rPr>
        <w:t>按月按实际结算付费，在每月度结束</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送达合格增值税专用发票5个工作日内，</w:t>
      </w:r>
      <w:r>
        <w:rPr>
          <w:rFonts w:hint="eastAsia"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lang w:eastAsia="zh-CN"/>
        </w:rPr>
        <w:t>按照发票金额将服务费转至</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银行账户。</w:t>
      </w:r>
    </w:p>
    <w:p>
      <w:pPr>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eastAsia="zh-CN"/>
        </w:rPr>
        <w:t>2、</w:t>
      </w:r>
      <w:r>
        <w:rPr>
          <w:rFonts w:hint="eastAsia"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lang w:eastAsia="zh-CN"/>
        </w:rPr>
        <w:t>所支付的服务费已包含</w:t>
      </w:r>
      <w:r>
        <w:rPr>
          <w:rFonts w:hint="eastAsia"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lang w:eastAsia="zh-CN"/>
        </w:rPr>
        <w:t>给员工所需的所有工资、奖金、加班薪资、员工福利、员工服装和政府规定的各类保险（包括养老、医疗、工伤、生育险、失业保险、第三责任保险等）及福利（如高温费、各类节假日加班工资等），辅助执法过程中所需不仅限于制服、对讲机、荧光棒、反光背心，**装备（头盔、盾牌、钢叉、防刺背心、伸缩警棍等），疫情防控物资，旅客应急医疗服务（针线包、创可贴、速效救心丸、藿香正气水等应急药品），手持式大型喇叭等设施设备及出租车通道场地内的卫生和保洁，零星设备的维护和更换税费、利润以及完成合同条件所需的一切开支。</w:t>
      </w:r>
    </w:p>
    <w:p>
      <w:pPr>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1、除采购文件标注的参考品牌外，欢迎其它能满足本项目技术需求且性能与所注品牌相当的产品参与。</w:t>
      </w:r>
    </w:p>
    <w:p>
      <w:pPr>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2、如有附图，仅作参考。</w:t>
      </w:r>
    </w:p>
    <w:p>
      <w:pPr>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3、招标文件中打▲内容为实质性要求，不允许有负偏离，否则将以涉及无效投标条款作无效投标。</w:t>
      </w:r>
    </w:p>
    <w:p>
      <w:pPr>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4、中标供应商所提供的货物、服务须与投标承诺一致，不得以次充好、偷工减料，若在项目验收中发现有上述情况，将向有关部门举报，根据相关规定进行处理。</w:t>
      </w:r>
    </w:p>
    <w:p>
      <w:pPr>
        <w:spacing w:line="276" w:lineRule="auto"/>
        <w:rPr>
          <w:rFonts w:hint="eastAsia" w:ascii="仿宋" w:hAnsi="仿宋" w:eastAsia="仿宋" w:cs="仿宋"/>
          <w:color w:val="auto"/>
          <w:highlight w:val="none"/>
        </w:rPr>
      </w:pPr>
    </w:p>
    <w:p>
      <w:pPr>
        <w:pStyle w:val="3"/>
        <w:rPr>
          <w:rFonts w:hint="eastAsia" w:ascii="仿宋" w:hAnsi="仿宋" w:eastAsia="仿宋" w:cs="仿宋"/>
          <w:color w:val="auto"/>
          <w:highlight w:val="none"/>
        </w:rPr>
      </w:pPr>
      <w:r>
        <w:rPr>
          <w:rFonts w:hint="eastAsia" w:ascii="仿宋" w:hAnsi="仿宋" w:eastAsia="仿宋" w:cs="仿宋"/>
          <w:color w:val="auto"/>
          <w:highlight w:val="none"/>
        </w:rPr>
        <w:t xml:space="preserve">第四部分   </w:t>
      </w:r>
      <w:bookmarkStart w:id="3" w:name="_Toc184312069"/>
      <w:bookmarkEnd w:id="3"/>
      <w:bookmarkStart w:id="4" w:name="_Toc184308050"/>
      <w:bookmarkEnd w:id="4"/>
      <w:bookmarkStart w:id="5" w:name="_Toc184314434"/>
      <w:bookmarkEnd w:id="5"/>
      <w:bookmarkStart w:id="6" w:name="_Toc184312104"/>
      <w:bookmarkEnd w:id="6"/>
      <w:bookmarkStart w:id="7" w:name="_Toc184310344"/>
      <w:bookmarkEnd w:id="7"/>
      <w:bookmarkStart w:id="8" w:name="_Toc184314441"/>
      <w:bookmarkEnd w:id="8"/>
      <w:bookmarkStart w:id="9" w:name="_Toc184313270"/>
      <w:bookmarkEnd w:id="9"/>
      <w:bookmarkStart w:id="10" w:name="_Toc184313259"/>
      <w:bookmarkEnd w:id="10"/>
      <w:bookmarkStart w:id="11" w:name="_Toc184314411"/>
      <w:bookmarkEnd w:id="11"/>
      <w:bookmarkStart w:id="12" w:name="_Toc184310297"/>
      <w:bookmarkEnd w:id="12"/>
      <w:bookmarkStart w:id="13" w:name="_Toc184310273"/>
      <w:bookmarkEnd w:id="13"/>
      <w:bookmarkStart w:id="14" w:name="_Toc184308071"/>
      <w:bookmarkEnd w:id="14"/>
      <w:bookmarkStart w:id="15" w:name="_Toc184314423"/>
      <w:bookmarkEnd w:id="15"/>
      <w:bookmarkStart w:id="16" w:name="_Toc184308065"/>
      <w:bookmarkEnd w:id="16"/>
      <w:bookmarkStart w:id="17" w:name="_Toc184314466"/>
      <w:bookmarkEnd w:id="17"/>
      <w:bookmarkStart w:id="18" w:name="_Toc184310278"/>
      <w:bookmarkEnd w:id="18"/>
      <w:bookmarkStart w:id="19" w:name="_Toc184314469"/>
      <w:bookmarkEnd w:id="19"/>
      <w:bookmarkStart w:id="20" w:name="_Toc184310292"/>
      <w:bookmarkEnd w:id="20"/>
      <w:bookmarkStart w:id="21" w:name="_Toc184308051"/>
      <w:bookmarkEnd w:id="21"/>
      <w:bookmarkStart w:id="22" w:name="_Toc184313300"/>
      <w:bookmarkEnd w:id="22"/>
      <w:bookmarkStart w:id="23" w:name="_Toc184308061"/>
      <w:bookmarkEnd w:id="23"/>
      <w:bookmarkStart w:id="24" w:name="_Toc184313263"/>
      <w:bookmarkEnd w:id="24"/>
      <w:bookmarkStart w:id="25" w:name="_Toc184312076"/>
      <w:bookmarkEnd w:id="25"/>
      <w:bookmarkStart w:id="26" w:name="_Toc184314448"/>
      <w:bookmarkEnd w:id="26"/>
      <w:bookmarkStart w:id="27" w:name="_Toc184308102"/>
      <w:bookmarkEnd w:id="27"/>
      <w:bookmarkStart w:id="28" w:name="_Toc184308092"/>
      <w:bookmarkEnd w:id="28"/>
      <w:bookmarkStart w:id="29" w:name="_Toc184310302"/>
      <w:bookmarkEnd w:id="29"/>
      <w:bookmarkStart w:id="30" w:name="_Toc184313280"/>
      <w:bookmarkEnd w:id="30"/>
      <w:bookmarkStart w:id="31" w:name="_Toc184312081"/>
      <w:bookmarkEnd w:id="31"/>
      <w:bookmarkStart w:id="32" w:name="_Toc184314430"/>
      <w:bookmarkEnd w:id="32"/>
      <w:bookmarkStart w:id="33" w:name="_Toc184314442"/>
      <w:bookmarkEnd w:id="33"/>
      <w:bookmarkStart w:id="34" w:name="_Toc184312123"/>
      <w:bookmarkEnd w:id="34"/>
      <w:bookmarkStart w:id="35" w:name="_Toc184310328"/>
      <w:bookmarkEnd w:id="35"/>
      <w:bookmarkStart w:id="36" w:name="_Toc184313262"/>
      <w:bookmarkEnd w:id="36"/>
      <w:bookmarkStart w:id="37" w:name="_Toc184314473"/>
      <w:bookmarkEnd w:id="37"/>
      <w:bookmarkStart w:id="38" w:name="_Toc184308066"/>
      <w:bookmarkEnd w:id="38"/>
      <w:bookmarkStart w:id="39" w:name="_Toc184313260"/>
      <w:bookmarkEnd w:id="39"/>
      <w:bookmarkStart w:id="40" w:name="_Toc184314424"/>
      <w:bookmarkEnd w:id="40"/>
      <w:bookmarkStart w:id="41" w:name="_Toc184308096"/>
      <w:bookmarkEnd w:id="41"/>
      <w:bookmarkStart w:id="42" w:name="_Toc184308064"/>
      <w:bookmarkEnd w:id="42"/>
      <w:bookmarkStart w:id="43" w:name="_Toc184312084"/>
      <w:bookmarkEnd w:id="43"/>
      <w:bookmarkStart w:id="44" w:name="_Toc184314416"/>
      <w:bookmarkEnd w:id="44"/>
      <w:bookmarkStart w:id="45" w:name="_Toc184314420"/>
      <w:bookmarkEnd w:id="45"/>
      <w:bookmarkStart w:id="46" w:name="_Toc184314478"/>
      <w:bookmarkEnd w:id="46"/>
      <w:bookmarkStart w:id="47" w:name="_Toc184312138"/>
      <w:bookmarkEnd w:id="47"/>
      <w:bookmarkStart w:id="48" w:name="_Toc184313275"/>
      <w:bookmarkEnd w:id="48"/>
      <w:bookmarkStart w:id="49" w:name="_Toc184314482"/>
      <w:bookmarkEnd w:id="49"/>
      <w:bookmarkStart w:id="50" w:name="_Toc184313304"/>
      <w:bookmarkEnd w:id="50"/>
      <w:bookmarkStart w:id="51" w:name="_Toc184312133"/>
      <w:bookmarkEnd w:id="51"/>
      <w:bookmarkStart w:id="52" w:name="_Toc184310334"/>
      <w:bookmarkEnd w:id="52"/>
      <w:bookmarkStart w:id="53" w:name="_Toc184312077"/>
      <w:bookmarkEnd w:id="53"/>
      <w:bookmarkStart w:id="54" w:name="_Toc184313258"/>
      <w:bookmarkEnd w:id="54"/>
      <w:bookmarkStart w:id="55" w:name="_Toc184312117"/>
      <w:bookmarkEnd w:id="55"/>
      <w:bookmarkStart w:id="56" w:name="_Toc184308068"/>
      <w:bookmarkEnd w:id="56"/>
      <w:bookmarkStart w:id="57" w:name="_Toc184310336"/>
      <w:bookmarkEnd w:id="57"/>
      <w:bookmarkStart w:id="58" w:name="_Toc184314447"/>
      <w:bookmarkEnd w:id="58"/>
      <w:bookmarkStart w:id="59" w:name="_Toc184310275"/>
      <w:bookmarkEnd w:id="59"/>
      <w:bookmarkStart w:id="60" w:name="_Toc184313297"/>
      <w:bookmarkEnd w:id="60"/>
      <w:bookmarkStart w:id="61" w:name="_Toc184313303"/>
      <w:bookmarkEnd w:id="61"/>
      <w:bookmarkStart w:id="62" w:name="_Toc184312089"/>
      <w:bookmarkEnd w:id="62"/>
      <w:bookmarkStart w:id="63" w:name="_Toc184313293"/>
      <w:bookmarkEnd w:id="63"/>
      <w:bookmarkStart w:id="64" w:name="_Toc184313264"/>
      <w:bookmarkEnd w:id="64"/>
      <w:bookmarkStart w:id="65" w:name="_Toc184313306"/>
      <w:bookmarkEnd w:id="65"/>
      <w:bookmarkStart w:id="66" w:name="_Toc184310294"/>
      <w:bookmarkEnd w:id="66"/>
      <w:bookmarkStart w:id="67" w:name="_Toc184310303"/>
      <w:bookmarkEnd w:id="67"/>
      <w:bookmarkStart w:id="68" w:name="_Toc184313285"/>
      <w:bookmarkEnd w:id="68"/>
      <w:bookmarkStart w:id="69" w:name="_Toc184312078"/>
      <w:bookmarkEnd w:id="69"/>
      <w:bookmarkStart w:id="70" w:name="_Toc184312106"/>
      <w:bookmarkEnd w:id="70"/>
      <w:bookmarkStart w:id="71" w:name="_Toc184308076"/>
      <w:bookmarkEnd w:id="71"/>
      <w:bookmarkStart w:id="72" w:name="_Toc184310317"/>
      <w:bookmarkEnd w:id="72"/>
      <w:bookmarkStart w:id="73" w:name="_Toc184314445"/>
      <w:bookmarkEnd w:id="73"/>
      <w:bookmarkStart w:id="74" w:name="_Toc184314449"/>
      <w:bookmarkEnd w:id="74"/>
      <w:bookmarkStart w:id="75" w:name="_Toc184308045"/>
      <w:bookmarkEnd w:id="75"/>
      <w:bookmarkStart w:id="76" w:name="_Toc184313286"/>
      <w:bookmarkEnd w:id="76"/>
      <w:bookmarkStart w:id="77" w:name="_Toc184310333"/>
      <w:bookmarkEnd w:id="77"/>
      <w:bookmarkStart w:id="78" w:name="_Toc184308094"/>
      <w:bookmarkEnd w:id="78"/>
      <w:bookmarkStart w:id="79" w:name="_Toc184313251"/>
      <w:bookmarkEnd w:id="79"/>
      <w:bookmarkStart w:id="80" w:name="_Toc184312116"/>
      <w:bookmarkEnd w:id="80"/>
      <w:bookmarkStart w:id="81" w:name="_Toc184310287"/>
      <w:bookmarkEnd w:id="81"/>
      <w:bookmarkStart w:id="82" w:name="_Toc184314438"/>
      <w:bookmarkEnd w:id="82"/>
      <w:bookmarkStart w:id="83" w:name="_Toc184310339"/>
      <w:bookmarkEnd w:id="83"/>
      <w:bookmarkStart w:id="84" w:name="_Toc184308062"/>
      <w:bookmarkEnd w:id="84"/>
      <w:bookmarkStart w:id="85" w:name="_Toc184310284"/>
      <w:bookmarkEnd w:id="85"/>
      <w:bookmarkStart w:id="86" w:name="_Toc184314437"/>
      <w:bookmarkEnd w:id="86"/>
      <w:bookmarkStart w:id="87" w:name="_Toc184310285"/>
      <w:bookmarkEnd w:id="87"/>
      <w:bookmarkStart w:id="88" w:name="_Toc184308104"/>
      <w:bookmarkEnd w:id="88"/>
      <w:bookmarkStart w:id="89" w:name="_Toc184310301"/>
      <w:bookmarkEnd w:id="89"/>
      <w:bookmarkStart w:id="90" w:name="_Toc184314450"/>
      <w:bookmarkEnd w:id="90"/>
      <w:bookmarkStart w:id="91" w:name="_Toc184310311"/>
      <w:bookmarkEnd w:id="91"/>
      <w:bookmarkStart w:id="92" w:name="_Toc184314453"/>
      <w:bookmarkEnd w:id="92"/>
      <w:bookmarkStart w:id="93" w:name="_Toc184314426"/>
      <w:bookmarkEnd w:id="93"/>
      <w:bookmarkStart w:id="94" w:name="_Toc184313277"/>
      <w:bookmarkEnd w:id="94"/>
      <w:bookmarkStart w:id="95" w:name="_Toc184312115"/>
      <w:bookmarkEnd w:id="95"/>
      <w:bookmarkStart w:id="96" w:name="_Toc184310295"/>
      <w:bookmarkEnd w:id="96"/>
      <w:bookmarkStart w:id="97" w:name="_Toc184310298"/>
      <w:bookmarkEnd w:id="97"/>
      <w:bookmarkStart w:id="98" w:name="_Toc184314412"/>
      <w:bookmarkEnd w:id="98"/>
      <w:bookmarkStart w:id="99" w:name="_Toc184310316"/>
      <w:bookmarkEnd w:id="99"/>
      <w:bookmarkStart w:id="100" w:name="_Toc184312128"/>
      <w:bookmarkEnd w:id="100"/>
      <w:bookmarkStart w:id="101" w:name="_Toc184314474"/>
      <w:bookmarkEnd w:id="101"/>
      <w:bookmarkStart w:id="102" w:name="_Toc184308074"/>
      <w:bookmarkEnd w:id="102"/>
      <w:bookmarkStart w:id="103" w:name="_Toc184308099"/>
      <w:bookmarkEnd w:id="103"/>
      <w:bookmarkStart w:id="104" w:name="_Toc184310327"/>
      <w:bookmarkEnd w:id="104"/>
      <w:bookmarkStart w:id="105" w:name="_Toc184310309"/>
      <w:bookmarkEnd w:id="105"/>
      <w:bookmarkStart w:id="106" w:name="_Toc184312111"/>
      <w:bookmarkEnd w:id="106"/>
      <w:bookmarkStart w:id="107" w:name="_Toc184312097"/>
      <w:bookmarkEnd w:id="107"/>
      <w:bookmarkStart w:id="108" w:name="_Toc184312136"/>
      <w:bookmarkEnd w:id="108"/>
      <w:bookmarkStart w:id="109" w:name="_Toc184312072"/>
      <w:bookmarkEnd w:id="109"/>
      <w:bookmarkStart w:id="110" w:name="_Toc184314468"/>
      <w:bookmarkEnd w:id="110"/>
      <w:bookmarkStart w:id="111" w:name="_Toc184310332"/>
      <w:bookmarkEnd w:id="111"/>
      <w:bookmarkStart w:id="112" w:name="_Toc184312131"/>
      <w:bookmarkEnd w:id="112"/>
      <w:bookmarkStart w:id="113" w:name="_Toc184312087"/>
      <w:bookmarkEnd w:id="113"/>
      <w:bookmarkStart w:id="114" w:name="_Toc184314413"/>
      <w:bookmarkEnd w:id="114"/>
      <w:bookmarkStart w:id="115" w:name="_Toc184313256"/>
      <w:bookmarkEnd w:id="115"/>
      <w:bookmarkStart w:id="116" w:name="_Toc184312126"/>
      <w:bookmarkEnd w:id="116"/>
      <w:bookmarkStart w:id="117" w:name="_Toc184313245"/>
      <w:bookmarkEnd w:id="117"/>
      <w:bookmarkStart w:id="118" w:name="_Toc184313271"/>
      <w:bookmarkEnd w:id="118"/>
      <w:bookmarkStart w:id="119" w:name="_Toc184313310"/>
      <w:bookmarkEnd w:id="119"/>
      <w:bookmarkStart w:id="120" w:name="_Toc184310286"/>
      <w:bookmarkEnd w:id="120"/>
      <w:bookmarkStart w:id="121" w:name="_Toc184314419"/>
      <w:bookmarkEnd w:id="121"/>
      <w:bookmarkStart w:id="122" w:name="_Toc184312088"/>
      <w:bookmarkEnd w:id="122"/>
      <w:bookmarkStart w:id="123" w:name="_Toc184312134"/>
      <w:bookmarkEnd w:id="123"/>
      <w:bookmarkStart w:id="124" w:name="_Toc184314431"/>
      <w:bookmarkEnd w:id="124"/>
      <w:bookmarkStart w:id="125" w:name="_Toc184312099"/>
      <w:bookmarkEnd w:id="125"/>
      <w:bookmarkStart w:id="126" w:name="_Toc184310342"/>
      <w:bookmarkEnd w:id="126"/>
      <w:bookmarkStart w:id="127" w:name="_Toc184310305"/>
      <w:bookmarkEnd w:id="127"/>
      <w:bookmarkStart w:id="128" w:name="_Toc184308046"/>
      <w:bookmarkEnd w:id="128"/>
      <w:bookmarkStart w:id="129" w:name="_Toc184308079"/>
      <w:bookmarkEnd w:id="129"/>
      <w:bookmarkStart w:id="130" w:name="_Toc184314461"/>
      <w:bookmarkEnd w:id="130"/>
      <w:bookmarkStart w:id="131" w:name="_Toc184310326"/>
      <w:bookmarkEnd w:id="131"/>
      <w:bookmarkStart w:id="132" w:name="_Toc184308105"/>
      <w:bookmarkEnd w:id="132"/>
      <w:bookmarkStart w:id="133" w:name="_Toc184314463"/>
      <w:bookmarkEnd w:id="133"/>
      <w:bookmarkStart w:id="134" w:name="_Toc184313242"/>
      <w:bookmarkEnd w:id="134"/>
      <w:bookmarkStart w:id="135" w:name="_Toc184314464"/>
      <w:bookmarkEnd w:id="135"/>
      <w:bookmarkStart w:id="136" w:name="_Toc184312103"/>
      <w:bookmarkEnd w:id="136"/>
      <w:bookmarkStart w:id="137" w:name="_Toc184312109"/>
      <w:bookmarkEnd w:id="137"/>
      <w:bookmarkStart w:id="138" w:name="_Toc184314479"/>
      <w:bookmarkEnd w:id="138"/>
      <w:bookmarkStart w:id="139" w:name="_Toc184313266"/>
      <w:bookmarkEnd w:id="139"/>
      <w:bookmarkStart w:id="140" w:name="_Toc184314460"/>
      <w:bookmarkEnd w:id="140"/>
      <w:bookmarkStart w:id="141" w:name="_Toc184308106"/>
      <w:bookmarkEnd w:id="141"/>
      <w:bookmarkStart w:id="142" w:name="_Toc184313289"/>
      <w:bookmarkEnd w:id="142"/>
      <w:bookmarkStart w:id="143" w:name="_Toc184308047"/>
      <w:bookmarkEnd w:id="143"/>
      <w:bookmarkStart w:id="144" w:name="_Toc184314417"/>
      <w:bookmarkEnd w:id="144"/>
      <w:bookmarkStart w:id="145" w:name="_Toc184312100"/>
      <w:bookmarkEnd w:id="145"/>
      <w:bookmarkStart w:id="146" w:name="_Toc184312074"/>
      <w:bookmarkEnd w:id="146"/>
      <w:bookmarkStart w:id="147" w:name="_Toc184308073"/>
      <w:bookmarkEnd w:id="147"/>
      <w:bookmarkStart w:id="148" w:name="_Toc184313254"/>
      <w:bookmarkEnd w:id="148"/>
      <w:bookmarkStart w:id="149" w:name="_Toc184313274"/>
      <w:bookmarkEnd w:id="149"/>
      <w:bookmarkStart w:id="150" w:name="_Toc184312114"/>
      <w:bookmarkEnd w:id="150"/>
      <w:bookmarkStart w:id="151" w:name="_Toc184310279"/>
      <w:bookmarkEnd w:id="151"/>
      <w:bookmarkStart w:id="152" w:name="_Toc184308070"/>
      <w:bookmarkEnd w:id="152"/>
      <w:bookmarkStart w:id="153" w:name="_Toc184312127"/>
      <w:bookmarkEnd w:id="153"/>
      <w:bookmarkStart w:id="154" w:name="_Toc184308054"/>
      <w:bookmarkEnd w:id="154"/>
      <w:bookmarkStart w:id="155" w:name="_Toc184312108"/>
      <w:bookmarkEnd w:id="155"/>
      <w:bookmarkStart w:id="156" w:name="_Toc184314465"/>
      <w:bookmarkEnd w:id="156"/>
      <w:bookmarkStart w:id="157" w:name="_Toc184308080"/>
      <w:bookmarkEnd w:id="157"/>
      <w:bookmarkStart w:id="158" w:name="_Toc184308055"/>
      <w:bookmarkEnd w:id="158"/>
      <w:bookmarkStart w:id="159" w:name="_Toc184313279"/>
      <w:bookmarkEnd w:id="159"/>
      <w:bookmarkStart w:id="160" w:name="_Toc184314455"/>
      <w:bookmarkEnd w:id="160"/>
      <w:bookmarkStart w:id="161" w:name="_Toc184308058"/>
      <w:bookmarkEnd w:id="161"/>
      <w:bookmarkStart w:id="162" w:name="_Toc184308086"/>
      <w:bookmarkEnd w:id="162"/>
      <w:bookmarkStart w:id="163" w:name="_Toc184313241"/>
      <w:bookmarkEnd w:id="163"/>
      <w:bookmarkStart w:id="164" w:name="_Toc184310296"/>
      <w:bookmarkEnd w:id="164"/>
      <w:bookmarkStart w:id="165" w:name="_Toc184312125"/>
      <w:bookmarkEnd w:id="165"/>
      <w:bookmarkStart w:id="166" w:name="_Toc184310272"/>
      <w:bookmarkEnd w:id="166"/>
      <w:bookmarkStart w:id="167" w:name="_Toc184310289"/>
      <w:bookmarkEnd w:id="167"/>
      <w:bookmarkStart w:id="168" w:name="_Toc184308077"/>
      <w:bookmarkEnd w:id="168"/>
      <w:bookmarkStart w:id="169" w:name="_Toc184310343"/>
      <w:bookmarkEnd w:id="169"/>
      <w:bookmarkStart w:id="170" w:name="_Toc184310341"/>
      <w:bookmarkEnd w:id="170"/>
      <w:bookmarkStart w:id="171" w:name="_Toc184308085"/>
      <w:bookmarkEnd w:id="171"/>
      <w:bookmarkStart w:id="172" w:name="_Toc184314415"/>
      <w:bookmarkEnd w:id="172"/>
      <w:bookmarkStart w:id="173" w:name="_Toc184310324"/>
      <w:bookmarkEnd w:id="173"/>
      <w:bookmarkStart w:id="174" w:name="_Toc184312101"/>
      <w:bookmarkEnd w:id="174"/>
      <w:bookmarkStart w:id="175" w:name="_Toc184312137"/>
      <w:bookmarkEnd w:id="175"/>
      <w:bookmarkStart w:id="176" w:name="_Toc184312091"/>
      <w:bookmarkEnd w:id="176"/>
      <w:bookmarkStart w:id="177" w:name="_Toc184312068"/>
      <w:bookmarkEnd w:id="177"/>
      <w:bookmarkStart w:id="178" w:name="_Toc184312096"/>
      <w:bookmarkEnd w:id="178"/>
      <w:bookmarkStart w:id="179" w:name="_Toc184312139"/>
      <w:bookmarkEnd w:id="179"/>
      <w:bookmarkStart w:id="180" w:name="_Toc184308042"/>
      <w:bookmarkEnd w:id="180"/>
      <w:bookmarkStart w:id="181" w:name="_Toc184314480"/>
      <w:bookmarkEnd w:id="181"/>
      <w:bookmarkStart w:id="182" w:name="_Toc184308043"/>
      <w:bookmarkEnd w:id="182"/>
      <w:bookmarkStart w:id="183" w:name="_Toc184314457"/>
      <w:bookmarkEnd w:id="183"/>
      <w:bookmarkStart w:id="184" w:name="_Toc184312120"/>
      <w:bookmarkEnd w:id="184"/>
      <w:bookmarkStart w:id="185" w:name="_Toc184314459"/>
      <w:bookmarkEnd w:id="185"/>
      <w:bookmarkStart w:id="186" w:name="_Toc184312119"/>
      <w:bookmarkEnd w:id="186"/>
      <w:bookmarkStart w:id="187" w:name="_Toc184308057"/>
      <w:bookmarkEnd w:id="187"/>
      <w:bookmarkStart w:id="188" w:name="_Toc184310321"/>
      <w:bookmarkEnd w:id="188"/>
      <w:bookmarkStart w:id="189" w:name="_Toc184308041"/>
      <w:bookmarkEnd w:id="189"/>
      <w:bookmarkStart w:id="190" w:name="_Toc184314475"/>
      <w:bookmarkEnd w:id="190"/>
      <w:bookmarkStart w:id="191" w:name="_Toc184313283"/>
      <w:bookmarkEnd w:id="191"/>
      <w:bookmarkStart w:id="192" w:name="_Toc184314432"/>
      <w:bookmarkEnd w:id="192"/>
      <w:bookmarkStart w:id="193" w:name="_Toc184310299"/>
      <w:bookmarkEnd w:id="193"/>
      <w:bookmarkStart w:id="194" w:name="_Toc184308091"/>
      <w:bookmarkEnd w:id="194"/>
      <w:bookmarkStart w:id="195" w:name="_Toc184313290"/>
      <w:bookmarkEnd w:id="195"/>
      <w:bookmarkStart w:id="196" w:name="_Toc184310281"/>
      <w:bookmarkEnd w:id="196"/>
      <w:bookmarkStart w:id="197" w:name="_Toc184314425"/>
      <w:bookmarkEnd w:id="197"/>
      <w:bookmarkStart w:id="198" w:name="_Toc184314452"/>
      <w:bookmarkEnd w:id="198"/>
      <w:bookmarkStart w:id="199" w:name="_Toc184313278"/>
      <w:bookmarkEnd w:id="199"/>
      <w:bookmarkStart w:id="200" w:name="_Toc184313267"/>
      <w:bookmarkEnd w:id="200"/>
      <w:bookmarkStart w:id="201" w:name="_Toc184312067"/>
      <w:bookmarkEnd w:id="201"/>
      <w:bookmarkStart w:id="202" w:name="_Toc184314446"/>
      <w:bookmarkEnd w:id="202"/>
      <w:bookmarkStart w:id="203" w:name="_Toc184310304"/>
      <w:bookmarkEnd w:id="203"/>
      <w:bookmarkStart w:id="204" w:name="_Toc184308103"/>
      <w:bookmarkEnd w:id="204"/>
      <w:bookmarkStart w:id="205" w:name="_Toc184310291"/>
      <w:bookmarkEnd w:id="205"/>
      <w:bookmarkStart w:id="206" w:name="_Toc184312092"/>
      <w:bookmarkEnd w:id="206"/>
      <w:bookmarkStart w:id="207" w:name="_Toc184313284"/>
      <w:bookmarkEnd w:id="207"/>
      <w:bookmarkStart w:id="208" w:name="_Toc184308108"/>
      <w:bookmarkEnd w:id="208"/>
      <w:bookmarkStart w:id="209" w:name="_Toc184310325"/>
      <w:bookmarkEnd w:id="209"/>
      <w:bookmarkStart w:id="210" w:name="_Toc184308052"/>
      <w:bookmarkEnd w:id="210"/>
      <w:bookmarkStart w:id="211" w:name="_Toc184308078"/>
      <w:bookmarkEnd w:id="211"/>
      <w:bookmarkStart w:id="212" w:name="_Toc184308063"/>
      <w:bookmarkEnd w:id="212"/>
      <w:bookmarkStart w:id="213" w:name="_Toc184312112"/>
      <w:bookmarkEnd w:id="213"/>
      <w:bookmarkStart w:id="214" w:name="_Toc184312098"/>
      <w:bookmarkEnd w:id="214"/>
      <w:bookmarkStart w:id="215" w:name="_Toc184308056"/>
      <w:bookmarkEnd w:id="215"/>
      <w:bookmarkStart w:id="216" w:name="_Toc184313295"/>
      <w:bookmarkEnd w:id="216"/>
      <w:bookmarkStart w:id="217" w:name="_Toc184312071"/>
      <w:bookmarkEnd w:id="217"/>
      <w:bookmarkStart w:id="218" w:name="_Toc184313299"/>
      <w:bookmarkEnd w:id="218"/>
      <w:bookmarkStart w:id="219" w:name="_Toc184313287"/>
      <w:bookmarkEnd w:id="219"/>
      <w:bookmarkStart w:id="220" w:name="_Toc184308037"/>
      <w:bookmarkEnd w:id="220"/>
      <w:bookmarkStart w:id="221" w:name="_Toc184313298"/>
      <w:bookmarkEnd w:id="221"/>
      <w:bookmarkStart w:id="222" w:name="_Toc184313305"/>
      <w:bookmarkEnd w:id="222"/>
      <w:bookmarkStart w:id="223" w:name="_Toc184312129"/>
      <w:bookmarkEnd w:id="223"/>
      <w:bookmarkStart w:id="224" w:name="_Toc184310280"/>
      <w:bookmarkEnd w:id="224"/>
      <w:bookmarkStart w:id="225" w:name="_Toc184313253"/>
      <w:bookmarkEnd w:id="225"/>
      <w:bookmarkStart w:id="226" w:name="_Toc184313250"/>
      <w:bookmarkEnd w:id="226"/>
      <w:bookmarkStart w:id="227" w:name="_Toc184310319"/>
      <w:bookmarkEnd w:id="227"/>
      <w:bookmarkStart w:id="228" w:name="_Toc184314451"/>
      <w:bookmarkEnd w:id="228"/>
      <w:bookmarkStart w:id="229" w:name="_Toc184312090"/>
      <w:bookmarkEnd w:id="229"/>
      <w:bookmarkStart w:id="230" w:name="_Toc184310290"/>
      <w:bookmarkEnd w:id="230"/>
      <w:bookmarkStart w:id="231" w:name="_Toc184312132"/>
      <w:bookmarkEnd w:id="231"/>
      <w:bookmarkStart w:id="232" w:name="_Toc184308067"/>
      <w:bookmarkEnd w:id="232"/>
      <w:bookmarkStart w:id="233" w:name="_Toc184313288"/>
      <w:bookmarkEnd w:id="233"/>
      <w:bookmarkStart w:id="234" w:name="_Toc184310310"/>
      <w:bookmarkEnd w:id="234"/>
      <w:bookmarkStart w:id="235" w:name="_Toc184310288"/>
      <w:bookmarkEnd w:id="235"/>
      <w:bookmarkStart w:id="236" w:name="_Toc184312075"/>
      <w:bookmarkEnd w:id="236"/>
      <w:bookmarkStart w:id="237" w:name="_Toc184313294"/>
      <w:bookmarkEnd w:id="237"/>
      <w:bookmarkStart w:id="238" w:name="_Toc184314433"/>
      <w:bookmarkEnd w:id="238"/>
      <w:bookmarkStart w:id="239" w:name="_Toc184308069"/>
      <w:bookmarkEnd w:id="239"/>
      <w:bookmarkStart w:id="240" w:name="_Toc184312085"/>
      <w:bookmarkEnd w:id="240"/>
      <w:bookmarkStart w:id="241" w:name="_Toc184313239"/>
      <w:bookmarkEnd w:id="241"/>
      <w:bookmarkStart w:id="242" w:name="_Toc184308039"/>
      <w:bookmarkEnd w:id="242"/>
      <w:bookmarkStart w:id="243" w:name="_Toc184308101"/>
      <w:bookmarkEnd w:id="243"/>
      <w:bookmarkStart w:id="244" w:name="_Toc184313281"/>
      <w:bookmarkEnd w:id="244"/>
      <w:bookmarkStart w:id="245" w:name="_Toc184308081"/>
      <w:bookmarkEnd w:id="245"/>
      <w:bookmarkStart w:id="246" w:name="_Toc184313309"/>
      <w:bookmarkEnd w:id="246"/>
      <w:bookmarkStart w:id="247" w:name="_Toc184314436"/>
      <w:bookmarkEnd w:id="247"/>
      <w:bookmarkStart w:id="248" w:name="_Toc184313296"/>
      <w:bookmarkEnd w:id="248"/>
      <w:bookmarkStart w:id="249" w:name="_Toc184313302"/>
      <w:bookmarkEnd w:id="249"/>
      <w:bookmarkStart w:id="250" w:name="_Toc184310318"/>
      <w:bookmarkEnd w:id="250"/>
      <w:bookmarkStart w:id="251" w:name="_Toc184313243"/>
      <w:bookmarkEnd w:id="251"/>
      <w:bookmarkStart w:id="252" w:name="_Toc184313249"/>
      <w:bookmarkEnd w:id="252"/>
      <w:bookmarkStart w:id="253" w:name="_Toc184313307"/>
      <w:bookmarkEnd w:id="253"/>
      <w:bookmarkStart w:id="254" w:name="_Toc184314458"/>
      <w:bookmarkEnd w:id="254"/>
      <w:bookmarkStart w:id="255" w:name="_Toc184314467"/>
      <w:bookmarkEnd w:id="255"/>
      <w:bookmarkStart w:id="256" w:name="_Toc184314477"/>
      <w:bookmarkEnd w:id="256"/>
      <w:bookmarkStart w:id="257" w:name="_Toc184308072"/>
      <w:bookmarkEnd w:id="257"/>
      <w:bookmarkStart w:id="258" w:name="_Toc184313247"/>
      <w:bookmarkEnd w:id="258"/>
      <w:bookmarkStart w:id="259" w:name="_Toc184314414"/>
      <w:bookmarkEnd w:id="259"/>
      <w:bookmarkStart w:id="260" w:name="_Toc184308060"/>
      <w:bookmarkEnd w:id="260"/>
      <w:bookmarkStart w:id="261" w:name="_Toc184308097"/>
      <w:bookmarkEnd w:id="261"/>
      <w:bookmarkStart w:id="262" w:name="_Toc184308098"/>
      <w:bookmarkEnd w:id="262"/>
      <w:bookmarkStart w:id="263" w:name="_Toc184312102"/>
      <w:bookmarkEnd w:id="263"/>
      <w:bookmarkStart w:id="264" w:name="_Toc184308089"/>
      <w:bookmarkEnd w:id="264"/>
      <w:bookmarkStart w:id="265" w:name="_Toc184314481"/>
      <w:bookmarkEnd w:id="265"/>
      <w:bookmarkStart w:id="266" w:name="_Toc184314471"/>
      <w:bookmarkEnd w:id="266"/>
      <w:bookmarkStart w:id="267" w:name="_Toc184308083"/>
      <w:bookmarkEnd w:id="267"/>
      <w:bookmarkStart w:id="268" w:name="_Toc184312083"/>
      <w:bookmarkEnd w:id="268"/>
      <w:bookmarkStart w:id="269" w:name="_Toc184312080"/>
      <w:bookmarkEnd w:id="269"/>
      <w:bookmarkStart w:id="270" w:name="_Toc184308053"/>
      <w:bookmarkEnd w:id="270"/>
      <w:bookmarkStart w:id="271" w:name="_Toc184314444"/>
      <w:bookmarkEnd w:id="271"/>
      <w:bookmarkStart w:id="272" w:name="_Toc184312130"/>
      <w:bookmarkEnd w:id="272"/>
      <w:bookmarkStart w:id="273" w:name="_Toc184310276"/>
      <w:bookmarkEnd w:id="273"/>
      <w:bookmarkStart w:id="274" w:name="_Toc184314422"/>
      <w:bookmarkEnd w:id="274"/>
      <w:bookmarkStart w:id="275" w:name="_Toc184312086"/>
      <w:bookmarkEnd w:id="275"/>
      <w:bookmarkStart w:id="276" w:name="_Toc184312121"/>
      <w:bookmarkEnd w:id="276"/>
      <w:bookmarkStart w:id="277" w:name="_Toc184314472"/>
      <w:bookmarkEnd w:id="277"/>
      <w:bookmarkStart w:id="278" w:name="_Toc184310277"/>
      <w:bookmarkEnd w:id="278"/>
      <w:bookmarkStart w:id="279" w:name="_Toc184308088"/>
      <w:bookmarkEnd w:id="279"/>
      <w:bookmarkStart w:id="280" w:name="_Toc184308095"/>
      <w:bookmarkEnd w:id="280"/>
      <w:bookmarkStart w:id="281" w:name="_Toc184313238"/>
      <w:bookmarkEnd w:id="281"/>
      <w:bookmarkStart w:id="282" w:name="_Toc184313269"/>
      <w:bookmarkEnd w:id="282"/>
      <w:bookmarkStart w:id="283" w:name="_Toc184308093"/>
      <w:bookmarkEnd w:id="283"/>
      <w:bookmarkStart w:id="284" w:name="_Toc184313246"/>
      <w:bookmarkEnd w:id="284"/>
      <w:bookmarkStart w:id="285" w:name="_Toc184313308"/>
      <w:bookmarkEnd w:id="285"/>
      <w:bookmarkStart w:id="286" w:name="_Toc184313272"/>
      <w:bookmarkEnd w:id="286"/>
      <w:bookmarkStart w:id="287" w:name="_Toc184310340"/>
      <w:bookmarkEnd w:id="287"/>
      <w:bookmarkStart w:id="288" w:name="_Toc184314421"/>
      <w:bookmarkEnd w:id="288"/>
      <w:bookmarkStart w:id="289" w:name="_Toc184310307"/>
      <w:bookmarkEnd w:id="289"/>
      <w:bookmarkStart w:id="290" w:name="_Toc184310293"/>
      <w:bookmarkEnd w:id="290"/>
      <w:bookmarkStart w:id="291" w:name="_Toc184313252"/>
      <w:bookmarkEnd w:id="291"/>
      <w:bookmarkStart w:id="292" w:name="_Toc184308048"/>
      <w:bookmarkEnd w:id="292"/>
      <w:bookmarkStart w:id="293" w:name="_Toc184310329"/>
      <w:bookmarkEnd w:id="293"/>
      <w:bookmarkStart w:id="294" w:name="_Toc184312107"/>
      <w:bookmarkEnd w:id="294"/>
      <w:bookmarkStart w:id="295" w:name="_Toc184310315"/>
      <w:bookmarkEnd w:id="295"/>
      <w:bookmarkStart w:id="296" w:name="_Toc184313276"/>
      <w:bookmarkEnd w:id="296"/>
      <w:bookmarkStart w:id="297" w:name="_Toc184308059"/>
      <w:bookmarkEnd w:id="297"/>
      <w:bookmarkStart w:id="298" w:name="_Toc184308087"/>
      <w:bookmarkEnd w:id="298"/>
      <w:bookmarkStart w:id="299" w:name="_Toc184312070"/>
      <w:bookmarkEnd w:id="299"/>
      <w:bookmarkStart w:id="300" w:name="_Toc184310320"/>
      <w:bookmarkEnd w:id="300"/>
      <w:bookmarkStart w:id="301" w:name="_Toc184313240"/>
      <w:bookmarkEnd w:id="301"/>
      <w:bookmarkStart w:id="302" w:name="_Toc184313257"/>
      <w:bookmarkEnd w:id="302"/>
      <w:bookmarkStart w:id="303" w:name="_Toc184313292"/>
      <w:bookmarkEnd w:id="303"/>
      <w:bookmarkStart w:id="304" w:name="_Toc184312095"/>
      <w:bookmarkEnd w:id="304"/>
      <w:bookmarkStart w:id="305" w:name="_Toc184313291"/>
      <w:bookmarkEnd w:id="305"/>
      <w:bookmarkStart w:id="306" w:name="_Toc184312105"/>
      <w:bookmarkEnd w:id="306"/>
      <w:bookmarkStart w:id="307" w:name="_Toc184310335"/>
      <w:bookmarkEnd w:id="307"/>
      <w:bookmarkStart w:id="308" w:name="_Toc184312124"/>
      <w:bookmarkEnd w:id="308"/>
      <w:bookmarkStart w:id="309" w:name="_Toc184313273"/>
      <w:bookmarkEnd w:id="309"/>
      <w:bookmarkStart w:id="310" w:name="_Toc184312093"/>
      <w:bookmarkEnd w:id="310"/>
      <w:bookmarkStart w:id="311" w:name="_Toc184312122"/>
      <w:bookmarkEnd w:id="311"/>
      <w:bookmarkStart w:id="312" w:name="_Toc184314410"/>
      <w:bookmarkEnd w:id="312"/>
      <w:bookmarkStart w:id="313" w:name="_Toc184314462"/>
      <w:bookmarkEnd w:id="313"/>
      <w:bookmarkStart w:id="314" w:name="_Toc184313261"/>
      <w:bookmarkEnd w:id="314"/>
      <w:bookmarkStart w:id="315" w:name="_Toc184312082"/>
      <w:bookmarkEnd w:id="315"/>
      <w:bookmarkStart w:id="316" w:name="_Toc184308044"/>
      <w:bookmarkEnd w:id="316"/>
      <w:bookmarkStart w:id="317" w:name="_Toc184310323"/>
      <w:bookmarkEnd w:id="317"/>
      <w:bookmarkStart w:id="318" w:name="_Toc184310282"/>
      <w:bookmarkEnd w:id="318"/>
      <w:bookmarkStart w:id="319" w:name="_Toc184310306"/>
      <w:bookmarkEnd w:id="319"/>
      <w:bookmarkStart w:id="320" w:name="_Toc184313255"/>
      <w:bookmarkEnd w:id="320"/>
      <w:bookmarkStart w:id="321" w:name="_Toc184308040"/>
      <w:bookmarkEnd w:id="321"/>
      <w:bookmarkStart w:id="322" w:name="_Toc184310274"/>
      <w:bookmarkEnd w:id="322"/>
      <w:bookmarkStart w:id="323" w:name="_Toc184313244"/>
      <w:bookmarkEnd w:id="323"/>
      <w:bookmarkStart w:id="324" w:name="_Toc184310338"/>
      <w:bookmarkEnd w:id="324"/>
      <w:bookmarkStart w:id="325" w:name="_Toc184308084"/>
      <w:bookmarkEnd w:id="325"/>
      <w:bookmarkStart w:id="326" w:name="_Toc184314435"/>
      <w:bookmarkEnd w:id="326"/>
      <w:bookmarkStart w:id="327" w:name="_Toc184314427"/>
      <w:bookmarkEnd w:id="327"/>
      <w:bookmarkStart w:id="328" w:name="_Toc184308049"/>
      <w:bookmarkEnd w:id="328"/>
      <w:bookmarkStart w:id="329" w:name="_Toc184310312"/>
      <w:bookmarkEnd w:id="329"/>
      <w:bookmarkStart w:id="330" w:name="_Toc184310314"/>
      <w:bookmarkEnd w:id="330"/>
      <w:bookmarkStart w:id="331" w:name="_Toc184314470"/>
      <w:bookmarkEnd w:id="331"/>
      <w:bookmarkStart w:id="332" w:name="_Toc184312094"/>
      <w:bookmarkEnd w:id="332"/>
      <w:bookmarkStart w:id="333" w:name="_Toc184314476"/>
      <w:bookmarkEnd w:id="333"/>
      <w:bookmarkStart w:id="334" w:name="_Toc184312113"/>
      <w:bookmarkEnd w:id="334"/>
      <w:bookmarkStart w:id="335" w:name="_Toc184314428"/>
      <w:bookmarkEnd w:id="335"/>
      <w:bookmarkStart w:id="336" w:name="_Toc184310300"/>
      <w:bookmarkEnd w:id="336"/>
      <w:bookmarkStart w:id="337" w:name="_Toc184314418"/>
      <w:bookmarkEnd w:id="337"/>
      <w:bookmarkStart w:id="338" w:name="_Toc184312135"/>
      <w:bookmarkEnd w:id="338"/>
      <w:bookmarkStart w:id="339" w:name="_Toc184313265"/>
      <w:bookmarkEnd w:id="339"/>
      <w:bookmarkStart w:id="340" w:name="_Toc184308036"/>
      <w:bookmarkEnd w:id="340"/>
      <w:bookmarkStart w:id="341" w:name="_Toc184313268"/>
      <w:bookmarkEnd w:id="341"/>
      <w:bookmarkStart w:id="342" w:name="_Toc184310337"/>
      <w:bookmarkEnd w:id="342"/>
      <w:bookmarkStart w:id="343" w:name="_Toc184308100"/>
      <w:bookmarkEnd w:id="343"/>
      <w:bookmarkStart w:id="344" w:name="_Toc184314456"/>
      <w:bookmarkEnd w:id="344"/>
      <w:bookmarkStart w:id="345" w:name="_Toc184310283"/>
      <w:bookmarkEnd w:id="345"/>
      <w:bookmarkStart w:id="346" w:name="_Toc184308082"/>
      <w:bookmarkEnd w:id="346"/>
      <w:bookmarkStart w:id="347" w:name="_Toc184314440"/>
      <w:bookmarkEnd w:id="347"/>
      <w:bookmarkStart w:id="348" w:name="_Toc184314439"/>
      <w:bookmarkEnd w:id="348"/>
      <w:bookmarkStart w:id="349" w:name="_Toc184314443"/>
      <w:bookmarkEnd w:id="349"/>
      <w:bookmarkStart w:id="350" w:name="_Toc184308075"/>
      <w:bookmarkEnd w:id="350"/>
      <w:bookmarkStart w:id="351" w:name="_Toc184313282"/>
      <w:bookmarkEnd w:id="351"/>
      <w:bookmarkStart w:id="352" w:name="_Toc184310330"/>
      <w:bookmarkEnd w:id="352"/>
      <w:bookmarkStart w:id="353" w:name="_Toc184313301"/>
      <w:bookmarkEnd w:id="353"/>
      <w:bookmarkStart w:id="354" w:name="_Toc184314429"/>
      <w:bookmarkEnd w:id="354"/>
      <w:bookmarkStart w:id="355" w:name="_Toc184313248"/>
      <w:bookmarkEnd w:id="355"/>
      <w:bookmarkStart w:id="356" w:name="_Toc184308090"/>
      <w:bookmarkEnd w:id="356"/>
      <w:bookmarkStart w:id="357" w:name="_Toc184312110"/>
      <w:bookmarkEnd w:id="357"/>
      <w:bookmarkStart w:id="358" w:name="_Toc184312118"/>
      <w:bookmarkEnd w:id="358"/>
      <w:bookmarkStart w:id="359" w:name="_Toc184310322"/>
      <w:bookmarkEnd w:id="359"/>
      <w:bookmarkStart w:id="360" w:name="_Toc184310308"/>
      <w:bookmarkEnd w:id="360"/>
      <w:bookmarkStart w:id="361" w:name="_Toc184308038"/>
      <w:bookmarkEnd w:id="361"/>
      <w:bookmarkStart w:id="362" w:name="_Toc184314454"/>
      <w:bookmarkEnd w:id="362"/>
      <w:bookmarkStart w:id="363" w:name="_Toc184312079"/>
      <w:bookmarkEnd w:id="363"/>
      <w:bookmarkStart w:id="364" w:name="_Toc184310331"/>
      <w:bookmarkEnd w:id="364"/>
      <w:bookmarkStart w:id="365" w:name="_Toc184310313"/>
      <w:bookmarkEnd w:id="365"/>
      <w:bookmarkStart w:id="366" w:name="_Toc184312073"/>
      <w:bookmarkEnd w:id="366"/>
      <w:bookmarkStart w:id="367" w:name="_Toc184308107"/>
      <w:bookmarkEnd w:id="367"/>
      <w:r>
        <w:rPr>
          <w:rFonts w:hint="eastAsia" w:ascii="仿宋" w:hAnsi="仿宋" w:eastAsia="仿宋" w:cs="仿宋"/>
          <w:color w:val="auto"/>
          <w:highlight w:val="none"/>
        </w:rPr>
        <w:t>评标办法</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商务资信（</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bl>
      <w:tblPr>
        <w:tblStyle w:val="25"/>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11"/>
        <w:gridCol w:w="6270"/>
        <w:gridCol w:w="89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24" w:type="dxa"/>
            <w:vAlign w:val="center"/>
          </w:tcPr>
          <w:p>
            <w:pPr>
              <w:keepNext w:val="0"/>
              <w:keepLines w:val="0"/>
              <w:widowControl/>
              <w:suppressLineNumbers w:val="0"/>
              <w:spacing w:before="0" w:beforeAutospacing="0" w:afterAutospacing="0" w:line="240" w:lineRule="auto"/>
              <w:ind w:left="0" w:right="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6881" w:type="dxa"/>
            <w:gridSpan w:val="2"/>
            <w:vAlign w:val="center"/>
          </w:tcPr>
          <w:p>
            <w:pPr>
              <w:keepNext w:val="0"/>
              <w:keepLines w:val="0"/>
              <w:widowControl/>
              <w:suppressLineNumbers w:val="0"/>
              <w:spacing w:before="0" w:beforeAutospacing="0" w:afterAutospacing="0" w:line="240" w:lineRule="auto"/>
              <w:ind w:left="0" w:right="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w:t>
            </w:r>
          </w:p>
        </w:tc>
        <w:tc>
          <w:tcPr>
            <w:tcW w:w="894" w:type="dxa"/>
            <w:vAlign w:val="center"/>
          </w:tcPr>
          <w:p>
            <w:pPr>
              <w:keepNext w:val="0"/>
              <w:keepLines w:val="0"/>
              <w:widowControl/>
              <w:suppressLineNumbers w:val="0"/>
              <w:spacing w:before="0" w:beforeAutospacing="0" w:afterAutospacing="0" w:line="24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权值</w:t>
            </w:r>
          </w:p>
        </w:tc>
        <w:tc>
          <w:tcPr>
            <w:tcW w:w="1125" w:type="dxa"/>
            <w:vAlign w:val="center"/>
          </w:tcPr>
          <w:p>
            <w:pPr>
              <w:keepNext w:val="0"/>
              <w:keepLines w:val="0"/>
              <w:widowControl/>
              <w:suppressLineNumbers w:val="0"/>
              <w:spacing w:before="0" w:beforeAutospacing="0" w:afterAutospacing="0" w:line="240" w:lineRule="auto"/>
              <w:ind w:left="0" w:right="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Merge w:val="restart"/>
            <w:vAlign w:val="center"/>
          </w:tcPr>
          <w:p>
            <w:pPr>
              <w:keepNext w:val="0"/>
              <w:keepLines w:val="0"/>
              <w:widowControl/>
              <w:suppressLineNumbers w:val="0"/>
              <w:spacing w:before="0" w:beforeAutospacing="0" w:afterAutospacing="0" w:line="240" w:lineRule="auto"/>
              <w:ind w:left="0" w:right="0"/>
              <w:jc w:val="both"/>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商务资信分（</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分）</w:t>
            </w:r>
          </w:p>
        </w:tc>
        <w:tc>
          <w:tcPr>
            <w:tcW w:w="611" w:type="dxa"/>
            <w:vAlign w:val="center"/>
          </w:tcPr>
          <w:p>
            <w:pPr>
              <w:keepNext w:val="0"/>
              <w:keepLines w:val="0"/>
              <w:widowControl/>
              <w:suppressLineNumbers w:val="0"/>
              <w:spacing w:before="0" w:beforeAutospacing="0" w:afterAutospacing="0" w:line="24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1</w:t>
            </w:r>
          </w:p>
        </w:tc>
        <w:tc>
          <w:tcPr>
            <w:tcW w:w="6270" w:type="dxa"/>
            <w:vAlign w:val="center"/>
          </w:tcPr>
          <w:p>
            <w:pPr>
              <w:keepNext w:val="0"/>
              <w:keepLines w:val="0"/>
              <w:widowControl/>
              <w:suppressLineNumbers w:val="0"/>
              <w:spacing w:before="0" w:beforeAutospacing="0" w:afterAutospacing="0" w:line="240" w:lineRule="auto"/>
              <w:ind w:left="0" w:right="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自2018年1月1日至今已完成或正在服务的类似本项目，每项得</w:t>
            </w:r>
            <w:r>
              <w:rPr>
                <w:rFonts w:hint="eastAsia" w:ascii="仿宋" w:hAnsi="仿宋" w:eastAsia="仿宋" w:cs="仿宋_GB2312"/>
                <w:color w:val="auto"/>
                <w:sz w:val="24"/>
                <w:highlight w:val="none"/>
                <w:lang w:val="en-US" w:eastAsia="zh-CN"/>
              </w:rPr>
              <w:t>0.5</w:t>
            </w:r>
            <w:r>
              <w:rPr>
                <w:rFonts w:hint="eastAsia" w:ascii="仿宋" w:hAnsi="仿宋" w:eastAsia="仿宋" w:cs="仿宋_GB2312"/>
                <w:color w:val="auto"/>
                <w:sz w:val="24"/>
                <w:highlight w:val="none"/>
                <w:lang w:eastAsia="zh-CN"/>
              </w:rPr>
              <w:t>分，最高得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eastAsia="zh-CN"/>
              </w:rPr>
              <w:t>分。（投标文件中提供合同证明材料，不提供不得分）</w:t>
            </w:r>
          </w:p>
        </w:tc>
        <w:tc>
          <w:tcPr>
            <w:tcW w:w="894" w:type="dxa"/>
            <w:vAlign w:val="center"/>
          </w:tcPr>
          <w:p>
            <w:pPr>
              <w:keepNext w:val="0"/>
              <w:keepLines w:val="0"/>
              <w:widowControl/>
              <w:suppressLineNumbers w:val="0"/>
              <w:spacing w:before="0" w:beforeAutospacing="0" w:afterAutospacing="0" w:line="240" w:lineRule="auto"/>
              <w:ind w:left="0" w:right="0"/>
              <w:jc w:val="center"/>
              <w:rPr>
                <w:rFonts w:hint="eastAsia" w:ascii="仿宋" w:hAnsi="仿宋" w:eastAsia="仿宋" w:cs="仿宋_GB2312"/>
                <w:color w:val="auto"/>
                <w:sz w:val="24"/>
                <w:highlight w:val="none"/>
                <w:lang w:val="en-US" w:eastAsia="zh-CN"/>
              </w:rPr>
            </w:pPr>
            <w:bookmarkStart w:id="527" w:name="_GoBack"/>
            <w:r>
              <w:rPr>
                <w:rFonts w:hint="eastAsia" w:ascii="仿宋" w:hAnsi="仿宋" w:eastAsia="仿宋" w:cs="仿宋_GB2312"/>
                <w:color w:val="auto"/>
                <w:sz w:val="24"/>
                <w:highlight w:val="none"/>
                <w:lang w:val="en-US" w:eastAsia="zh-CN"/>
              </w:rPr>
              <w:t>1</w:t>
            </w:r>
            <w:bookmarkEnd w:id="527"/>
          </w:p>
        </w:tc>
        <w:tc>
          <w:tcPr>
            <w:tcW w:w="1125" w:type="dxa"/>
            <w:vAlign w:val="center"/>
          </w:tcPr>
          <w:p>
            <w:pPr>
              <w:keepNext w:val="0"/>
              <w:keepLines w:val="0"/>
              <w:widowControl/>
              <w:suppressLineNumbers w:val="0"/>
              <w:spacing w:before="0" w:beforeAutospacing="0" w:afterAutospacing="0" w:line="240" w:lineRule="auto"/>
              <w:ind w:left="0" w:right="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24" w:type="dxa"/>
            <w:vMerge w:val="continue"/>
            <w:vAlign w:val="center"/>
          </w:tcPr>
          <w:p>
            <w:pPr>
              <w:keepNext w:val="0"/>
              <w:keepLines w:val="0"/>
              <w:widowControl/>
              <w:suppressLineNumbers w:val="0"/>
              <w:spacing w:before="0" w:beforeAutospacing="0" w:afterAutospacing="0" w:line="240" w:lineRule="auto"/>
              <w:ind w:left="0" w:right="0" w:firstLine="480" w:firstLineChars="200"/>
              <w:jc w:val="center"/>
              <w:rPr>
                <w:rFonts w:hint="eastAsia" w:ascii="仿宋" w:hAnsi="仿宋" w:eastAsia="仿宋" w:cs="仿宋_GB2312"/>
                <w:color w:val="auto"/>
                <w:sz w:val="24"/>
                <w:highlight w:val="none"/>
              </w:rPr>
            </w:pPr>
          </w:p>
        </w:tc>
        <w:tc>
          <w:tcPr>
            <w:tcW w:w="611" w:type="dxa"/>
            <w:vAlign w:val="center"/>
          </w:tcPr>
          <w:p>
            <w:pPr>
              <w:keepNext w:val="0"/>
              <w:keepLines w:val="0"/>
              <w:widowControl/>
              <w:suppressLineNumbers w:val="0"/>
              <w:spacing w:before="0" w:beforeAutospacing="0" w:afterAutospacing="0" w:line="24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2</w:t>
            </w:r>
          </w:p>
        </w:tc>
        <w:tc>
          <w:tcPr>
            <w:tcW w:w="6270" w:type="dxa"/>
            <w:vAlign w:val="center"/>
          </w:tcPr>
          <w:p>
            <w:pPr>
              <w:keepNext w:val="0"/>
              <w:keepLines w:val="0"/>
              <w:widowControl/>
              <w:suppressLineNumbers w:val="0"/>
              <w:spacing w:before="0" w:beforeAutospacing="0" w:afterAutospacing="0" w:line="240" w:lineRule="auto"/>
              <w:ind w:left="0" w:right="0"/>
              <w:rPr>
                <w:rFonts w:hint="eastAsia" w:ascii="仿宋" w:hAnsi="仿宋" w:eastAsia="仿宋" w:cs="仿宋_GB2312"/>
                <w:color w:val="auto"/>
                <w:sz w:val="24"/>
                <w:highlight w:val="none"/>
                <w:lang w:eastAsia="zh-CN"/>
              </w:rPr>
            </w:pPr>
            <w:r>
              <w:rPr>
                <w:rFonts w:hint="eastAsia" w:ascii="仿宋" w:hAnsi="仿宋" w:eastAsia="仿宋" w:cs="仿宋"/>
                <w:color w:val="auto"/>
                <w:sz w:val="24"/>
                <w:szCs w:val="24"/>
                <w:highlight w:val="none"/>
                <w:lang w:val="zh-CN"/>
              </w:rPr>
              <w:t>投标人</w:t>
            </w:r>
            <w:r>
              <w:rPr>
                <w:rFonts w:hint="eastAsia" w:ascii="仿宋" w:hAnsi="仿宋" w:eastAsia="仿宋" w:cs="仿宋"/>
                <w:color w:val="auto"/>
                <w:sz w:val="24"/>
                <w:szCs w:val="24"/>
                <w:highlight w:val="none"/>
                <w:lang w:val="zh-CN" w:eastAsia="zh-CN"/>
              </w:rPr>
              <w:t>具有</w:t>
            </w:r>
            <w:r>
              <w:rPr>
                <w:rFonts w:hint="eastAsia" w:ascii="仿宋" w:hAnsi="仿宋" w:eastAsia="仿宋" w:cs="仿宋"/>
                <w:color w:val="auto"/>
                <w:sz w:val="24"/>
                <w:szCs w:val="24"/>
                <w:highlight w:val="none"/>
                <w:lang w:val="zh-CN"/>
              </w:rPr>
              <w:t>质量管理体系认证、</w:t>
            </w:r>
            <w:r>
              <w:rPr>
                <w:rFonts w:hint="eastAsia" w:ascii="仿宋" w:hAnsi="仿宋" w:eastAsia="仿宋" w:cs="仿宋"/>
                <w:color w:val="auto"/>
                <w:sz w:val="24"/>
                <w:szCs w:val="24"/>
                <w:highlight w:val="none"/>
                <w:lang w:val="en-US" w:eastAsia="zh-CN"/>
              </w:rPr>
              <w:t>环境管理</w:t>
            </w:r>
            <w:r>
              <w:rPr>
                <w:rFonts w:hint="eastAsia" w:ascii="仿宋" w:hAnsi="仿宋" w:eastAsia="仿宋" w:cs="仿宋"/>
                <w:color w:val="auto"/>
                <w:sz w:val="24"/>
                <w:szCs w:val="24"/>
                <w:highlight w:val="none"/>
                <w:lang w:val="zh-CN"/>
              </w:rPr>
              <w:t>体系认证、职业健康安全管理体系认证，</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en-US" w:eastAsia="zh-CN"/>
              </w:rPr>
              <w:t>最高得6分（提供证书复印件和查询网站的有效截图，否则不得分）</w:t>
            </w:r>
            <w:r>
              <w:rPr>
                <w:rFonts w:hint="eastAsia" w:ascii="仿宋" w:hAnsi="仿宋" w:eastAsia="仿宋" w:cs="仿宋"/>
                <w:color w:val="auto"/>
                <w:sz w:val="24"/>
                <w:szCs w:val="24"/>
                <w:highlight w:val="none"/>
              </w:rPr>
              <w:t>；</w:t>
            </w:r>
          </w:p>
        </w:tc>
        <w:tc>
          <w:tcPr>
            <w:tcW w:w="894" w:type="dxa"/>
            <w:vAlign w:val="center"/>
          </w:tcPr>
          <w:p>
            <w:pPr>
              <w:keepNext w:val="0"/>
              <w:keepLines w:val="0"/>
              <w:widowControl/>
              <w:suppressLineNumbers w:val="0"/>
              <w:spacing w:before="0" w:beforeAutospacing="0" w:afterAutospacing="0" w:line="240" w:lineRule="auto"/>
              <w:ind w:left="0" w:right="0" w:firstLine="240" w:firstLineChars="10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25" w:type="dxa"/>
            <w:vAlign w:val="center"/>
          </w:tcPr>
          <w:p>
            <w:pPr>
              <w:keepNext w:val="0"/>
              <w:keepLines w:val="0"/>
              <w:widowControl/>
              <w:suppressLineNumbers w:val="0"/>
              <w:spacing w:before="0" w:beforeAutospacing="0" w:afterAutospacing="0" w:line="240" w:lineRule="auto"/>
              <w:ind w:left="0" w:right="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24" w:type="dxa"/>
            <w:vMerge w:val="continue"/>
            <w:vAlign w:val="center"/>
          </w:tcPr>
          <w:p>
            <w:pPr>
              <w:keepNext w:val="0"/>
              <w:keepLines w:val="0"/>
              <w:widowControl/>
              <w:suppressLineNumbers w:val="0"/>
              <w:spacing w:before="0" w:beforeAutospacing="0" w:afterAutospacing="0" w:line="240" w:lineRule="auto"/>
              <w:ind w:left="0" w:right="0" w:firstLine="480" w:firstLineChars="200"/>
              <w:jc w:val="center"/>
              <w:rPr>
                <w:rFonts w:hint="eastAsia" w:ascii="仿宋" w:hAnsi="仿宋" w:eastAsia="仿宋" w:cs="仿宋_GB2312"/>
                <w:color w:val="auto"/>
                <w:sz w:val="24"/>
                <w:highlight w:val="none"/>
              </w:rPr>
            </w:pPr>
          </w:p>
        </w:tc>
        <w:tc>
          <w:tcPr>
            <w:tcW w:w="611" w:type="dxa"/>
            <w:vAlign w:val="center"/>
          </w:tcPr>
          <w:p>
            <w:pPr>
              <w:keepNext w:val="0"/>
              <w:keepLines w:val="0"/>
              <w:widowControl/>
              <w:suppressLineNumbers w:val="0"/>
              <w:spacing w:before="0" w:beforeAutospacing="0" w:afterAutospacing="0" w:line="24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62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4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投标人具有信用等级AAA级证书得3分，信用等级AA级证书得2分，信用等级A级证书得1分，没有的不得分。</w:t>
            </w:r>
          </w:p>
          <w:p>
            <w:pPr>
              <w:keepNext w:val="0"/>
              <w:keepLines w:val="0"/>
              <w:widowControl/>
              <w:suppressLineNumbers w:val="0"/>
              <w:spacing w:before="0" w:beforeAutospacing="0" w:afterAutospacing="0" w:line="240" w:lineRule="auto"/>
              <w:ind w:left="0" w:right="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注：投标文件中需提供相关信用等级证书复印件</w:t>
            </w:r>
            <w:r>
              <w:rPr>
                <w:rFonts w:hint="eastAsia" w:ascii="仿宋" w:hAnsi="仿宋" w:eastAsia="仿宋" w:cs="仿宋"/>
                <w:color w:val="auto"/>
                <w:sz w:val="24"/>
                <w:szCs w:val="24"/>
                <w:highlight w:val="none"/>
                <w:lang w:eastAsia="zh-CN"/>
              </w:rPr>
              <w:t>，不提供不得分</w:t>
            </w:r>
            <w:r>
              <w:rPr>
                <w:rFonts w:hint="eastAsia" w:ascii="仿宋" w:hAnsi="仿宋" w:eastAsia="仿宋" w:cs="仿宋"/>
                <w:color w:val="auto"/>
                <w:sz w:val="24"/>
                <w:szCs w:val="24"/>
                <w:highlight w:val="none"/>
              </w:rPr>
              <w:t>。</w:t>
            </w:r>
          </w:p>
        </w:tc>
        <w:tc>
          <w:tcPr>
            <w:tcW w:w="894" w:type="dxa"/>
            <w:vAlign w:val="center"/>
          </w:tcPr>
          <w:p>
            <w:pPr>
              <w:keepNext w:val="0"/>
              <w:keepLines w:val="0"/>
              <w:widowControl/>
              <w:suppressLineNumbers w:val="0"/>
              <w:spacing w:before="0" w:beforeAutospacing="0" w:afterAutospacing="0" w:line="240" w:lineRule="auto"/>
              <w:ind w:left="0" w:right="0" w:firstLine="240" w:firstLineChars="10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1125" w:type="dxa"/>
            <w:vAlign w:val="center"/>
          </w:tcPr>
          <w:p>
            <w:pPr>
              <w:keepNext w:val="0"/>
              <w:keepLines w:val="0"/>
              <w:widowControl/>
              <w:suppressLineNumbers w:val="0"/>
              <w:spacing w:before="0" w:beforeAutospacing="0" w:afterAutospacing="0" w:line="240" w:lineRule="auto"/>
              <w:ind w:left="0" w:right="0"/>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bl>
    <w:p>
      <w:pPr>
        <w:widowControl/>
        <w:adjustRightInd/>
        <w:jc w:val="left"/>
        <w:rPr>
          <w:rFonts w:hint="eastAsia" w:ascii="仿宋" w:hAnsi="仿宋" w:eastAsia="仿宋" w:cs="仿宋"/>
          <w:color w:val="auto"/>
          <w:sz w:val="24"/>
          <w:highlight w:val="none"/>
          <w:lang w:val="en-US" w:eastAsia="zh-CN"/>
        </w:rPr>
      </w:pP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cs="仿宋"/>
          <w:color w:val="auto"/>
          <w:sz w:val="24"/>
          <w:highlight w:val="none"/>
          <w:lang w:val="en-US" w:eastAsia="zh-CN"/>
        </w:rPr>
        <w:t>6</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tbl>
      <w:tblPr>
        <w:tblStyle w:val="25"/>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75"/>
        <w:gridCol w:w="1097"/>
        <w:gridCol w:w="5735"/>
        <w:gridCol w:w="71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bCs w:val="0"/>
                <w:i w:val="0"/>
                <w:caps w:val="0"/>
                <w:color w:val="auto"/>
                <w:spacing w:val="0"/>
                <w:w w:val="100"/>
                <w:kern w:val="0"/>
                <w:sz w:val="24"/>
                <w:szCs w:val="24"/>
                <w:highlight w:val="none"/>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bCs w:val="0"/>
                <w:i w:val="0"/>
                <w:caps w:val="0"/>
                <w:color w:val="auto"/>
                <w:spacing w:val="0"/>
                <w:w w:val="100"/>
                <w:kern w:val="0"/>
                <w:sz w:val="24"/>
                <w:szCs w:val="24"/>
                <w:highlight w:val="none"/>
              </w:rPr>
            </w:pPr>
            <w:r>
              <w:rPr>
                <w:rFonts w:hint="eastAsia" w:ascii="仿宋" w:hAnsi="仿宋" w:eastAsia="仿宋" w:cs="仿宋"/>
                <w:b w:val="0"/>
                <w:bCs w:val="0"/>
                <w:i w:val="0"/>
                <w:caps w:val="0"/>
                <w:color w:val="auto"/>
                <w:spacing w:val="0"/>
                <w:w w:val="100"/>
                <w:kern w:val="0"/>
                <w:sz w:val="24"/>
                <w:szCs w:val="24"/>
                <w:highlight w:val="none"/>
              </w:rPr>
              <w:t>序号</w:t>
            </w:r>
          </w:p>
        </w:tc>
        <w:tc>
          <w:tcPr>
            <w:tcW w:w="68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bCs w:val="0"/>
                <w:i w:val="0"/>
                <w:caps w:val="0"/>
                <w:color w:val="auto"/>
                <w:spacing w:val="0"/>
                <w:w w:val="100"/>
                <w:kern w:val="0"/>
                <w:sz w:val="24"/>
                <w:szCs w:val="24"/>
                <w:highlight w:val="none"/>
              </w:rPr>
            </w:pPr>
            <w:r>
              <w:rPr>
                <w:rFonts w:hint="eastAsia" w:ascii="仿宋" w:hAnsi="仿宋" w:eastAsia="仿宋" w:cs="仿宋"/>
                <w:b w:val="0"/>
                <w:bCs w:val="0"/>
                <w:i w:val="0"/>
                <w:caps w:val="0"/>
                <w:color w:val="auto"/>
                <w:spacing w:val="0"/>
                <w:w w:val="100"/>
                <w:kern w:val="0"/>
                <w:sz w:val="24"/>
                <w:szCs w:val="24"/>
                <w:highlight w:val="none"/>
              </w:rPr>
              <w:t>评分内容和标准</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bCs/>
                <w:i w:val="0"/>
                <w:caps w:val="0"/>
                <w:color w:val="auto"/>
                <w:spacing w:val="0"/>
                <w:w w:val="100"/>
                <w:kern w:val="0"/>
                <w:sz w:val="24"/>
                <w:szCs w:val="24"/>
                <w:highlight w:val="none"/>
              </w:rPr>
            </w:pPr>
            <w:r>
              <w:rPr>
                <w:rFonts w:hint="eastAsia" w:ascii="仿宋" w:hAnsi="仿宋" w:eastAsia="仿宋" w:cs="仿宋"/>
                <w:color w:val="auto"/>
                <w:sz w:val="24"/>
                <w:szCs w:val="24"/>
                <w:highlight w:val="none"/>
                <w:lang w:eastAsia="zh-CN"/>
              </w:rPr>
              <w:t>权重</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bCs/>
                <w:i w:val="0"/>
                <w:caps w:val="0"/>
                <w:color w:val="auto"/>
                <w:spacing w:val="0"/>
                <w:w w:val="100"/>
                <w:kern w:val="0"/>
                <w:sz w:val="24"/>
                <w:szCs w:val="24"/>
                <w:highlight w:val="none"/>
              </w:rPr>
            </w:pPr>
            <w:r>
              <w:rPr>
                <w:rFonts w:hint="eastAsia" w:ascii="仿宋" w:hAnsi="仿宋" w:eastAsia="仿宋" w:cs="仿宋"/>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9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术</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w:t>
            </w:r>
            <w:r>
              <w:rPr>
                <w:rFonts w:hint="eastAsia" w:cs="仿宋"/>
                <w:b w:val="0"/>
                <w:i w:val="0"/>
                <w:caps w:val="0"/>
                <w:color w:val="auto"/>
                <w:spacing w:val="0"/>
                <w:w w:val="100"/>
                <w:kern w:val="0"/>
                <w:sz w:val="24"/>
                <w:szCs w:val="24"/>
                <w:highlight w:val="none"/>
                <w:lang w:val="en-US" w:eastAsia="zh-CN"/>
              </w:rPr>
              <w:t>6</w:t>
            </w:r>
            <w:r>
              <w:rPr>
                <w:rFonts w:hint="eastAsia" w:ascii="仿宋" w:hAnsi="仿宋" w:eastAsia="仿宋" w:cs="仿宋"/>
                <w:b w:val="0"/>
                <w:i w:val="0"/>
                <w:caps w:val="0"/>
                <w:color w:val="auto"/>
                <w:spacing w:val="0"/>
                <w:w w:val="100"/>
                <w:kern w:val="0"/>
                <w:sz w:val="24"/>
                <w:szCs w:val="24"/>
                <w:highlight w:val="none"/>
              </w:rPr>
              <w:t>0分）</w:t>
            </w:r>
          </w:p>
        </w:tc>
        <w:tc>
          <w:tcPr>
            <w:tcW w:w="57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eastAsia="zh-CN"/>
              </w:rPr>
            </w:pPr>
            <w:r>
              <w:rPr>
                <w:rFonts w:hint="eastAsia" w:ascii="仿宋" w:hAnsi="仿宋" w:eastAsia="仿宋" w:cs="仿宋"/>
                <w:b w:val="0"/>
                <w:i w:val="0"/>
                <w:caps w:val="0"/>
                <w:color w:val="auto"/>
                <w:spacing w:val="0"/>
                <w:w w:val="100"/>
                <w:kern w:val="0"/>
                <w:sz w:val="24"/>
                <w:szCs w:val="24"/>
                <w:highlight w:val="none"/>
                <w:lang w:val="en-US" w:eastAsia="zh-CN"/>
              </w:rPr>
              <w:t>1</w:t>
            </w:r>
          </w:p>
        </w:tc>
        <w:tc>
          <w:tcPr>
            <w:tcW w:w="1097"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rPr>
              <w:t>投标的整体方案</w:t>
            </w:r>
          </w:p>
        </w:tc>
        <w:tc>
          <w:tcPr>
            <w:tcW w:w="573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cs="仿宋"/>
                <w:b w:val="0"/>
                <w:i w:val="0"/>
                <w:caps w:val="0"/>
                <w:color w:val="auto"/>
                <w:spacing w:val="0"/>
                <w:w w:val="100"/>
                <w:kern w:val="0"/>
                <w:sz w:val="24"/>
                <w:szCs w:val="24"/>
                <w:highlight w:val="none"/>
                <w:lang w:val="en-US" w:eastAsia="zh-CN"/>
              </w:rPr>
              <w:t>1、</w:t>
            </w:r>
            <w:r>
              <w:rPr>
                <w:rFonts w:hint="eastAsia" w:ascii="仿宋" w:hAnsi="仿宋" w:eastAsia="仿宋" w:cs="仿宋"/>
                <w:b w:val="0"/>
                <w:i w:val="0"/>
                <w:caps w:val="0"/>
                <w:color w:val="auto"/>
                <w:spacing w:val="0"/>
                <w:w w:val="100"/>
                <w:kern w:val="0"/>
                <w:sz w:val="24"/>
                <w:szCs w:val="24"/>
                <w:highlight w:val="none"/>
              </w:rPr>
              <w:t>投标的整体方案与采购需求的吻合程度，应答是否详尽、明晰，是否满足招标文件要求；</w:t>
            </w:r>
            <w:r>
              <w:rPr>
                <w:rFonts w:hint="eastAsia" w:ascii="仿宋" w:hAnsi="仿宋" w:eastAsia="仿宋" w:cs="仿宋"/>
                <w:b w:val="0"/>
                <w:i w:val="0"/>
                <w:caps w:val="0"/>
                <w:color w:val="auto"/>
                <w:spacing w:val="0"/>
                <w:w w:val="100"/>
                <w:kern w:val="0"/>
                <w:sz w:val="24"/>
                <w:szCs w:val="24"/>
                <w:highlight w:val="none"/>
                <w:lang w:eastAsia="zh-CN"/>
              </w:rPr>
              <w:t>（</w:t>
            </w:r>
            <w:r>
              <w:rPr>
                <w:rFonts w:hint="eastAsia" w:ascii="仿宋" w:hAnsi="仿宋" w:eastAsia="仿宋" w:cs="仿宋"/>
                <w:b w:val="0"/>
                <w:i w:val="0"/>
                <w:caps w:val="0"/>
                <w:color w:val="auto"/>
                <w:spacing w:val="0"/>
                <w:w w:val="100"/>
                <w:kern w:val="0"/>
                <w:sz w:val="24"/>
                <w:szCs w:val="24"/>
                <w:highlight w:val="none"/>
                <w:lang w:val="en-US" w:eastAsia="zh-CN"/>
              </w:rPr>
              <w:t>0-</w:t>
            </w:r>
            <w:r>
              <w:rPr>
                <w:rFonts w:hint="eastAsia"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lang w:val="en-US" w:eastAsia="zh-CN"/>
              </w:rPr>
              <w:t>分</w:t>
            </w:r>
            <w:r>
              <w:rPr>
                <w:rFonts w:hint="eastAsia" w:ascii="仿宋" w:hAnsi="仿宋" w:eastAsia="仿宋" w:cs="仿宋"/>
                <w:b w:val="0"/>
                <w:i w:val="0"/>
                <w:caps w:val="0"/>
                <w:color w:val="auto"/>
                <w:spacing w:val="0"/>
                <w:w w:val="100"/>
                <w:kern w:val="0"/>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cs="仿宋"/>
                <w:b w:val="0"/>
                <w:i w:val="0"/>
                <w:caps w:val="0"/>
                <w:color w:val="auto"/>
                <w:spacing w:val="0"/>
                <w:w w:val="100"/>
                <w:kern w:val="0"/>
                <w:sz w:val="24"/>
                <w:szCs w:val="24"/>
                <w:highlight w:val="none"/>
                <w:lang w:val="en-US" w:eastAsia="zh-CN"/>
              </w:rPr>
              <w:t>2、</w:t>
            </w:r>
            <w:r>
              <w:rPr>
                <w:rFonts w:hint="eastAsia" w:ascii="仿宋" w:hAnsi="仿宋" w:eastAsia="仿宋" w:cs="仿宋"/>
                <w:b w:val="0"/>
                <w:i w:val="0"/>
                <w:caps w:val="0"/>
                <w:color w:val="auto"/>
                <w:spacing w:val="0"/>
                <w:w w:val="100"/>
                <w:kern w:val="0"/>
                <w:sz w:val="24"/>
                <w:szCs w:val="24"/>
                <w:highlight w:val="none"/>
              </w:rPr>
              <w:t>投标</w:t>
            </w:r>
            <w:r>
              <w:rPr>
                <w:rFonts w:hint="eastAsia" w:ascii="仿宋" w:hAnsi="仿宋" w:eastAsia="仿宋" w:cs="仿宋"/>
                <w:b w:val="0"/>
                <w:i w:val="0"/>
                <w:caps w:val="0"/>
                <w:color w:val="auto"/>
                <w:spacing w:val="0"/>
                <w:w w:val="100"/>
                <w:kern w:val="0"/>
                <w:sz w:val="24"/>
                <w:szCs w:val="24"/>
                <w:highlight w:val="none"/>
                <w:lang w:eastAsia="zh-CN"/>
              </w:rPr>
              <w:t>的整体</w:t>
            </w:r>
            <w:r>
              <w:rPr>
                <w:rFonts w:hint="eastAsia" w:ascii="仿宋" w:hAnsi="仿宋" w:eastAsia="仿宋" w:cs="仿宋"/>
                <w:b w:val="0"/>
                <w:i w:val="0"/>
                <w:caps w:val="0"/>
                <w:color w:val="auto"/>
                <w:spacing w:val="0"/>
                <w:w w:val="100"/>
                <w:kern w:val="0"/>
                <w:sz w:val="24"/>
                <w:szCs w:val="24"/>
                <w:highlight w:val="none"/>
              </w:rPr>
              <w:t>方案内容是否完整齐全、表述准确、条理清晰，内容无前后矛盾，符合招标文件要求。</w:t>
            </w:r>
            <w:r>
              <w:rPr>
                <w:rFonts w:hint="eastAsia" w:ascii="仿宋" w:hAnsi="仿宋" w:eastAsia="仿宋" w:cs="仿宋"/>
                <w:b w:val="0"/>
                <w:i w:val="0"/>
                <w:caps w:val="0"/>
                <w:color w:val="auto"/>
                <w:spacing w:val="0"/>
                <w:w w:val="100"/>
                <w:kern w:val="0"/>
                <w:sz w:val="24"/>
                <w:szCs w:val="24"/>
                <w:highlight w:val="none"/>
                <w:lang w:eastAsia="zh-CN"/>
              </w:rPr>
              <w:t>（</w:t>
            </w:r>
            <w:r>
              <w:rPr>
                <w:rFonts w:hint="eastAsia" w:ascii="仿宋" w:hAnsi="仿宋" w:eastAsia="仿宋" w:cs="仿宋"/>
                <w:b w:val="0"/>
                <w:i w:val="0"/>
                <w:caps w:val="0"/>
                <w:color w:val="auto"/>
                <w:spacing w:val="0"/>
                <w:w w:val="100"/>
                <w:kern w:val="0"/>
                <w:sz w:val="24"/>
                <w:szCs w:val="24"/>
                <w:highlight w:val="none"/>
                <w:lang w:val="en-US" w:eastAsia="zh-CN"/>
              </w:rPr>
              <w:t>0-</w:t>
            </w:r>
            <w:r>
              <w:rPr>
                <w:rFonts w:hint="eastAsia"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lang w:val="en-US" w:eastAsia="zh-CN"/>
              </w:rPr>
              <w:t>分</w:t>
            </w:r>
            <w:r>
              <w:rPr>
                <w:rFonts w:hint="eastAsia" w:ascii="仿宋" w:hAnsi="仿宋" w:eastAsia="仿宋" w:cs="仿宋"/>
                <w:b w:val="0"/>
                <w:i w:val="0"/>
                <w:caps w:val="0"/>
                <w:color w:val="auto"/>
                <w:spacing w:val="0"/>
                <w:w w:val="100"/>
                <w:kern w:val="0"/>
                <w:sz w:val="24"/>
                <w:szCs w:val="24"/>
                <w:highlight w:val="none"/>
                <w:lang w:eastAsia="zh-CN"/>
              </w:rPr>
              <w:t>）</w:t>
            </w:r>
          </w:p>
        </w:tc>
        <w:tc>
          <w:tcPr>
            <w:tcW w:w="719"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default" w:ascii="仿宋" w:hAnsi="仿宋" w:eastAsia="仿宋" w:cs="仿宋"/>
                <w:b w:val="0"/>
                <w:i w:val="0"/>
                <w:caps w:val="0"/>
                <w:color w:val="auto"/>
                <w:spacing w:val="0"/>
                <w:w w:val="100"/>
                <w:kern w:val="0"/>
                <w:sz w:val="24"/>
                <w:szCs w:val="24"/>
                <w:highlight w:val="none"/>
                <w:lang w:val="en-US" w:eastAsia="zh-CN"/>
              </w:rPr>
            </w:pPr>
            <w:r>
              <w:rPr>
                <w:rFonts w:hint="eastAsia" w:cs="仿宋"/>
                <w:b w:val="0"/>
                <w:i w:val="0"/>
                <w:caps w:val="0"/>
                <w:color w:val="auto"/>
                <w:spacing w:val="0"/>
                <w:w w:val="100"/>
                <w:kern w:val="0"/>
                <w:sz w:val="24"/>
                <w:szCs w:val="24"/>
                <w:highlight w:val="none"/>
                <w:lang w:val="en-US" w:eastAsia="zh-CN"/>
              </w:rPr>
              <w:t>6分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95"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p>
        </w:tc>
        <w:tc>
          <w:tcPr>
            <w:tcW w:w="575"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eastAsia="zh-CN"/>
              </w:rPr>
            </w:pPr>
            <w:r>
              <w:rPr>
                <w:rFonts w:hint="eastAsia" w:ascii="仿宋" w:hAnsi="仿宋" w:eastAsia="仿宋" w:cs="仿宋"/>
                <w:b w:val="0"/>
                <w:i w:val="0"/>
                <w:caps w:val="0"/>
                <w:color w:val="auto"/>
                <w:spacing w:val="0"/>
                <w:w w:val="100"/>
                <w:kern w:val="0"/>
                <w:sz w:val="24"/>
                <w:szCs w:val="24"/>
                <w:highlight w:val="none"/>
                <w:lang w:val="en-US" w:eastAsia="zh-CN"/>
              </w:rPr>
              <w:t>2</w:t>
            </w:r>
          </w:p>
        </w:tc>
        <w:tc>
          <w:tcPr>
            <w:tcW w:w="1097"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lang w:eastAsia="zh-CN"/>
              </w:rPr>
              <w:t>秩序</w:t>
            </w:r>
            <w:r>
              <w:rPr>
                <w:rFonts w:hint="eastAsia" w:ascii="仿宋" w:hAnsi="仿宋" w:eastAsia="仿宋" w:cs="仿宋"/>
                <w:b w:val="0"/>
                <w:i w:val="0"/>
                <w:caps w:val="0"/>
                <w:color w:val="auto"/>
                <w:spacing w:val="0"/>
                <w:w w:val="100"/>
                <w:sz w:val="24"/>
                <w:szCs w:val="24"/>
                <w:highlight w:val="none"/>
              </w:rPr>
              <w:t>管理服务内容、质量及管理手段</w:t>
            </w:r>
          </w:p>
        </w:tc>
        <w:tc>
          <w:tcPr>
            <w:tcW w:w="5735" w:type="dxa"/>
            <w:tcBorders>
              <w:top w:val="single" w:color="auto" w:sz="4" w:space="0"/>
              <w:left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能清晰简练地列出主要管理流程，包括运作流程、激励机制、监督机制、自我约束机制、信息反馈及处理等机制；（0-</w:t>
            </w:r>
            <w:r>
              <w:rPr>
                <w:rFonts w:hint="eastAsia" w:ascii="仿宋" w:hAnsi="仿宋" w:eastAsia="仿宋"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rPr>
              <w:t>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rPr>
              <w:t>有阶段性的工作计划，经常性组织管理专业培训，保证服务质量。（0-</w:t>
            </w:r>
            <w:r>
              <w:rPr>
                <w:rFonts w:hint="eastAsia" w:ascii="仿宋" w:hAnsi="仿宋" w:eastAsia="仿宋"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rPr>
              <w:t>分）</w:t>
            </w:r>
          </w:p>
        </w:tc>
        <w:tc>
          <w:tcPr>
            <w:tcW w:w="719"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lang w:val="en-US" w:eastAsia="zh-CN"/>
              </w:rPr>
              <w:t>6</w:t>
            </w:r>
            <w:r>
              <w:rPr>
                <w:rFonts w:hint="eastAsia" w:ascii="仿宋" w:hAnsi="仿宋" w:eastAsia="仿宋" w:cs="仿宋"/>
                <w:b w:val="0"/>
                <w:i w:val="0"/>
                <w:caps w:val="0"/>
                <w:color w:val="auto"/>
                <w:spacing w:val="0"/>
                <w:w w:val="100"/>
                <w:kern w:val="0"/>
                <w:sz w:val="24"/>
                <w:szCs w:val="24"/>
                <w:highlight w:val="none"/>
              </w:rPr>
              <w:t>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95"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eastAsia="zh-CN"/>
              </w:rPr>
            </w:pPr>
            <w:r>
              <w:rPr>
                <w:rFonts w:hint="eastAsia" w:ascii="仿宋" w:hAnsi="仿宋" w:eastAsia="仿宋" w:cs="仿宋"/>
                <w:b w:val="0"/>
                <w:i w:val="0"/>
                <w:caps w:val="0"/>
                <w:color w:val="auto"/>
                <w:spacing w:val="0"/>
                <w:w w:val="100"/>
                <w:kern w:val="0"/>
                <w:sz w:val="24"/>
                <w:szCs w:val="24"/>
                <w:highlight w:val="none"/>
                <w:lang w:val="en-US" w:eastAsia="zh-CN"/>
              </w:rPr>
              <w:t>3</w:t>
            </w: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rPr>
              <w:t>秩序管理实施方案</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针对本项目管理的整体设想及服务理念；（0-</w:t>
            </w:r>
            <w:r>
              <w:rPr>
                <w:rFonts w:hint="eastAsia" w:ascii="仿宋" w:hAnsi="仿宋" w:eastAsia="仿宋"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rPr>
              <w:t>分）</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针对本项目的重点及难点，科学合理的解决方案；（0-</w:t>
            </w:r>
            <w:r>
              <w:rPr>
                <w:rFonts w:hint="eastAsia" w:ascii="仿宋" w:hAnsi="仿宋" w:eastAsia="仿宋"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rPr>
              <w:t>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rPr>
              <w:t>、针对本项目服务完成的主要实施方案</w:t>
            </w:r>
            <w:r>
              <w:rPr>
                <w:rFonts w:hint="eastAsia" w:ascii="仿宋" w:hAnsi="仿宋" w:eastAsia="仿宋" w:cs="仿宋"/>
                <w:b w:val="0"/>
                <w:i w:val="0"/>
                <w:caps w:val="0"/>
                <w:color w:val="auto"/>
                <w:spacing w:val="0"/>
                <w:w w:val="100"/>
                <w:kern w:val="0"/>
                <w:sz w:val="24"/>
                <w:szCs w:val="24"/>
                <w:highlight w:val="none"/>
                <w:lang w:val="en-US" w:eastAsia="zh-CN"/>
              </w:rPr>
              <w:t>。</w:t>
            </w:r>
            <w:r>
              <w:rPr>
                <w:rFonts w:hint="eastAsia" w:ascii="仿宋" w:hAnsi="仿宋" w:eastAsia="仿宋" w:cs="仿宋"/>
                <w:b w:val="0"/>
                <w:i w:val="0"/>
                <w:caps w:val="0"/>
                <w:color w:val="auto"/>
                <w:spacing w:val="0"/>
                <w:w w:val="100"/>
                <w:kern w:val="0"/>
                <w:sz w:val="24"/>
                <w:szCs w:val="24"/>
                <w:highlight w:val="none"/>
              </w:rPr>
              <w:t>（0-</w:t>
            </w:r>
            <w:r>
              <w:rPr>
                <w:rFonts w:hint="eastAsia" w:ascii="仿宋" w:hAnsi="仿宋" w:eastAsia="仿宋"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rPr>
              <w:t>分）</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cs="仿宋"/>
                <w:b w:val="0"/>
                <w:i w:val="0"/>
                <w:caps w:val="0"/>
                <w:color w:val="auto"/>
                <w:spacing w:val="0"/>
                <w:w w:val="100"/>
                <w:kern w:val="0"/>
                <w:sz w:val="24"/>
                <w:szCs w:val="24"/>
                <w:highlight w:val="none"/>
                <w:lang w:val="en-US" w:eastAsia="zh-CN"/>
              </w:rPr>
              <w:t>9</w:t>
            </w:r>
            <w:r>
              <w:rPr>
                <w:rFonts w:hint="eastAsia" w:ascii="仿宋" w:hAnsi="仿宋" w:eastAsia="仿宋" w:cs="仿宋"/>
                <w:b w:val="0"/>
                <w:i w:val="0"/>
                <w:caps w:val="0"/>
                <w:color w:val="auto"/>
                <w:spacing w:val="0"/>
                <w:w w:val="100"/>
                <w:kern w:val="0"/>
                <w:sz w:val="24"/>
                <w:szCs w:val="24"/>
                <w:highlight w:val="none"/>
              </w:rPr>
              <w:t>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95"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eastAsia="zh-CN"/>
              </w:rPr>
            </w:pPr>
            <w:r>
              <w:rPr>
                <w:rFonts w:hint="eastAsia" w:ascii="仿宋" w:hAnsi="仿宋" w:eastAsia="仿宋" w:cs="仿宋"/>
                <w:b w:val="0"/>
                <w:i w:val="0"/>
                <w:caps w:val="0"/>
                <w:color w:val="auto"/>
                <w:spacing w:val="0"/>
                <w:w w:val="100"/>
                <w:kern w:val="0"/>
                <w:sz w:val="24"/>
                <w:szCs w:val="24"/>
                <w:highlight w:val="none"/>
                <w:lang w:val="en-US" w:eastAsia="zh-CN"/>
              </w:rPr>
              <w:t>4</w:t>
            </w: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eastAsia="zh-CN"/>
              </w:rPr>
              <w:t>疫情防控</w:t>
            </w:r>
            <w:r>
              <w:rPr>
                <w:rFonts w:hint="eastAsia" w:ascii="仿宋" w:hAnsi="仿宋" w:eastAsia="仿宋" w:cs="仿宋"/>
                <w:b w:val="0"/>
                <w:i w:val="0"/>
                <w:caps w:val="0"/>
                <w:color w:val="auto"/>
                <w:spacing w:val="0"/>
                <w:w w:val="100"/>
                <w:kern w:val="0"/>
                <w:sz w:val="24"/>
                <w:szCs w:val="24"/>
                <w:highlight w:val="none"/>
              </w:rPr>
              <w:t>管理实施方案</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beforeAutospacing="0" w:after="0" w:afterAutospacing="0" w:line="440" w:lineRule="exact"/>
              <w:ind w:left="0" w:right="0"/>
              <w:jc w:val="both"/>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1、</w:t>
            </w:r>
            <w:r>
              <w:rPr>
                <w:rFonts w:hint="eastAsia" w:cs="仿宋"/>
                <w:b w:val="0"/>
                <w:i w:val="0"/>
                <w:caps w:val="0"/>
                <w:color w:val="auto"/>
                <w:spacing w:val="0"/>
                <w:w w:val="100"/>
                <w:kern w:val="0"/>
                <w:sz w:val="24"/>
                <w:szCs w:val="24"/>
                <w:highlight w:val="none"/>
                <w:lang w:eastAsia="zh-CN"/>
              </w:rPr>
              <w:t>根据投标人提供</w:t>
            </w:r>
            <w:r>
              <w:rPr>
                <w:rFonts w:hint="eastAsia" w:ascii="仿宋" w:hAnsi="仿宋" w:eastAsia="仿宋" w:cs="仿宋"/>
                <w:b w:val="0"/>
                <w:i w:val="0"/>
                <w:caps w:val="0"/>
                <w:color w:val="auto"/>
                <w:spacing w:val="0"/>
                <w:w w:val="100"/>
                <w:kern w:val="0"/>
                <w:sz w:val="24"/>
                <w:szCs w:val="24"/>
                <w:highlight w:val="none"/>
                <w:lang w:eastAsia="zh-CN"/>
              </w:rPr>
              <w:t>针对疫情防控管理</w:t>
            </w:r>
            <w:r>
              <w:rPr>
                <w:rFonts w:hint="eastAsia" w:ascii="仿宋" w:hAnsi="仿宋" w:eastAsia="仿宋" w:cs="仿宋"/>
                <w:b w:val="0"/>
                <w:i w:val="0"/>
                <w:caps w:val="0"/>
                <w:color w:val="auto"/>
                <w:spacing w:val="0"/>
                <w:w w:val="100"/>
                <w:kern w:val="0"/>
                <w:sz w:val="24"/>
                <w:szCs w:val="24"/>
                <w:highlight w:val="none"/>
              </w:rPr>
              <w:t>基础</w:t>
            </w:r>
            <w:r>
              <w:rPr>
                <w:rFonts w:hint="eastAsia" w:ascii="仿宋" w:hAnsi="仿宋" w:eastAsia="仿宋" w:cs="仿宋"/>
                <w:b w:val="0"/>
                <w:i w:val="0"/>
                <w:caps w:val="0"/>
                <w:color w:val="auto"/>
                <w:spacing w:val="0"/>
                <w:w w:val="100"/>
                <w:kern w:val="0"/>
                <w:sz w:val="24"/>
                <w:szCs w:val="24"/>
                <w:highlight w:val="none"/>
                <w:lang w:eastAsia="zh-CN"/>
              </w:rPr>
              <w:t>方案</w:t>
            </w:r>
            <w:r>
              <w:rPr>
                <w:rFonts w:hint="eastAsia" w:cs="仿宋"/>
                <w:b w:val="0"/>
                <w:i w:val="0"/>
                <w:caps w:val="0"/>
                <w:color w:val="auto"/>
                <w:spacing w:val="0"/>
                <w:w w:val="100"/>
                <w:kern w:val="0"/>
                <w:sz w:val="24"/>
                <w:szCs w:val="24"/>
                <w:highlight w:val="none"/>
                <w:lang w:eastAsia="zh-CN"/>
              </w:rPr>
              <w:t>，</w:t>
            </w:r>
            <w:r>
              <w:rPr>
                <w:rFonts w:hint="eastAsia" w:ascii="仿宋" w:hAnsi="仿宋" w:eastAsia="仿宋" w:cs="仿宋"/>
                <w:b w:val="0"/>
                <w:i w:val="0"/>
                <w:caps w:val="0"/>
                <w:color w:val="auto"/>
                <w:spacing w:val="0"/>
                <w:w w:val="100"/>
                <w:kern w:val="0"/>
                <w:sz w:val="24"/>
                <w:szCs w:val="24"/>
                <w:highlight w:val="none"/>
                <w:lang w:eastAsia="zh-CN"/>
              </w:rPr>
              <w:t>疫情管控突发事件处理流程</w:t>
            </w:r>
            <w:r>
              <w:rPr>
                <w:rFonts w:hint="eastAsia" w:cs="仿宋"/>
                <w:b w:val="0"/>
                <w:i w:val="0"/>
                <w:caps w:val="0"/>
                <w:color w:val="auto"/>
                <w:spacing w:val="0"/>
                <w:w w:val="100"/>
                <w:kern w:val="0"/>
                <w:sz w:val="24"/>
                <w:szCs w:val="24"/>
                <w:highlight w:val="none"/>
                <w:lang w:eastAsia="zh-CN"/>
              </w:rPr>
              <w:t>，</w:t>
            </w:r>
            <w:r>
              <w:rPr>
                <w:rFonts w:hint="eastAsia" w:ascii="仿宋" w:hAnsi="仿宋" w:eastAsia="仿宋" w:cs="仿宋"/>
                <w:b w:val="0"/>
                <w:i w:val="0"/>
                <w:caps w:val="0"/>
                <w:color w:val="auto"/>
                <w:spacing w:val="0"/>
                <w:w w:val="100"/>
                <w:kern w:val="0"/>
                <w:sz w:val="24"/>
                <w:szCs w:val="24"/>
                <w:highlight w:val="none"/>
                <w:lang w:eastAsia="zh-CN"/>
              </w:rPr>
              <w:t>如何调节疫情管控突发事件</w:t>
            </w:r>
            <w:r>
              <w:rPr>
                <w:rFonts w:hint="eastAsia" w:ascii="仿宋" w:hAnsi="仿宋" w:eastAsia="仿宋" w:cs="仿宋"/>
                <w:b w:val="0"/>
                <w:i w:val="0"/>
                <w:caps w:val="0"/>
                <w:color w:val="auto"/>
                <w:spacing w:val="0"/>
                <w:w w:val="100"/>
                <w:kern w:val="0"/>
                <w:sz w:val="24"/>
                <w:szCs w:val="24"/>
                <w:highlight w:val="none"/>
              </w:rPr>
              <w:t>矛盾纠纷，</w:t>
            </w:r>
            <w:r>
              <w:rPr>
                <w:rFonts w:hint="eastAsia" w:ascii="仿宋" w:hAnsi="仿宋" w:eastAsia="仿宋" w:cs="仿宋"/>
                <w:b w:val="0"/>
                <w:i w:val="0"/>
                <w:caps w:val="0"/>
                <w:color w:val="auto"/>
                <w:spacing w:val="0"/>
                <w:w w:val="100"/>
                <w:sz w:val="24"/>
                <w:szCs w:val="24"/>
                <w:highlight w:val="none"/>
              </w:rPr>
              <w:t>服务</w:t>
            </w:r>
            <w:r>
              <w:rPr>
                <w:rFonts w:hint="eastAsia" w:ascii="仿宋" w:hAnsi="仿宋" w:eastAsia="仿宋" w:cs="仿宋"/>
                <w:b w:val="0"/>
                <w:i w:val="0"/>
                <w:caps w:val="0"/>
                <w:color w:val="auto"/>
                <w:spacing w:val="0"/>
                <w:w w:val="100"/>
                <w:sz w:val="24"/>
                <w:szCs w:val="24"/>
                <w:highlight w:val="none"/>
                <w:lang w:eastAsia="zh-CN"/>
              </w:rPr>
              <w:t>旅客</w:t>
            </w:r>
            <w:r>
              <w:rPr>
                <w:rFonts w:hint="eastAsia"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rPr>
              <w:t>协助</w:t>
            </w:r>
            <w:r>
              <w:rPr>
                <w:rFonts w:hint="eastAsia" w:ascii="仿宋" w:hAnsi="仿宋" w:eastAsia="仿宋" w:cs="仿宋"/>
                <w:b w:val="0"/>
                <w:i w:val="0"/>
                <w:caps w:val="0"/>
                <w:color w:val="auto"/>
                <w:spacing w:val="0"/>
                <w:w w:val="100"/>
                <w:sz w:val="24"/>
                <w:szCs w:val="24"/>
                <w:highlight w:val="none"/>
                <w:lang w:eastAsia="zh-CN"/>
              </w:rPr>
              <w:t>管委会</w:t>
            </w:r>
            <w:r>
              <w:rPr>
                <w:rFonts w:hint="eastAsia" w:ascii="仿宋" w:hAnsi="仿宋" w:eastAsia="仿宋" w:cs="仿宋"/>
                <w:b w:val="0"/>
                <w:i w:val="0"/>
                <w:caps w:val="0"/>
                <w:color w:val="auto"/>
                <w:spacing w:val="0"/>
                <w:w w:val="100"/>
                <w:kern w:val="0"/>
                <w:sz w:val="24"/>
                <w:szCs w:val="24"/>
                <w:highlight w:val="none"/>
              </w:rPr>
              <w:t>及相关部门，帮扶困难</w:t>
            </w:r>
            <w:r>
              <w:rPr>
                <w:rFonts w:hint="eastAsia" w:ascii="仿宋" w:hAnsi="仿宋" w:eastAsia="仿宋" w:cs="仿宋"/>
                <w:b w:val="0"/>
                <w:i w:val="0"/>
                <w:caps w:val="0"/>
                <w:color w:val="auto"/>
                <w:spacing w:val="0"/>
                <w:w w:val="100"/>
                <w:kern w:val="0"/>
                <w:sz w:val="24"/>
                <w:szCs w:val="24"/>
                <w:highlight w:val="none"/>
                <w:lang w:eastAsia="zh-CN"/>
              </w:rPr>
              <w:t>旅客，承诺承担相应的帮扶费用</w:t>
            </w:r>
            <w:r>
              <w:rPr>
                <w:rFonts w:hint="eastAsia" w:ascii="仿宋" w:hAnsi="仿宋" w:eastAsia="仿宋" w:cs="仿宋"/>
                <w:b w:val="0"/>
                <w:i w:val="0"/>
                <w:caps w:val="0"/>
                <w:color w:val="auto"/>
                <w:spacing w:val="0"/>
                <w:w w:val="100"/>
                <w:sz w:val="24"/>
                <w:szCs w:val="24"/>
                <w:highlight w:val="none"/>
              </w:rPr>
              <w:t>。</w:t>
            </w:r>
            <w:r>
              <w:rPr>
                <w:rFonts w:hint="eastAsia" w:ascii="仿宋" w:hAnsi="仿宋" w:eastAsia="仿宋" w:cs="仿宋"/>
                <w:b w:val="0"/>
                <w:i w:val="0"/>
                <w:caps w:val="0"/>
                <w:color w:val="auto"/>
                <w:spacing w:val="0"/>
                <w:w w:val="100"/>
                <w:kern w:val="0"/>
                <w:sz w:val="24"/>
                <w:szCs w:val="24"/>
                <w:highlight w:val="none"/>
              </w:rPr>
              <w:t>（0-</w:t>
            </w:r>
            <w:r>
              <w:rPr>
                <w:rFonts w:hint="eastAsia" w:cs="仿宋"/>
                <w:b w:val="0"/>
                <w:i w:val="0"/>
                <w:caps w:val="0"/>
                <w:color w:val="auto"/>
                <w:spacing w:val="0"/>
                <w:w w:val="100"/>
                <w:kern w:val="0"/>
                <w:sz w:val="24"/>
                <w:szCs w:val="24"/>
                <w:highlight w:val="none"/>
                <w:lang w:val="en-US" w:eastAsia="zh-CN"/>
              </w:rPr>
              <w:t>5</w:t>
            </w:r>
            <w:r>
              <w:rPr>
                <w:rFonts w:hint="eastAsia" w:ascii="仿宋" w:hAnsi="仿宋" w:eastAsia="仿宋" w:cs="仿宋"/>
                <w:b w:val="0"/>
                <w:i w:val="0"/>
                <w:caps w:val="0"/>
                <w:color w:val="auto"/>
                <w:spacing w:val="0"/>
                <w:w w:val="100"/>
                <w:kern w:val="0"/>
                <w:sz w:val="24"/>
                <w:szCs w:val="24"/>
                <w:highlight w:val="none"/>
              </w:rPr>
              <w:t>分）</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cs="仿宋"/>
                <w:b w:val="0"/>
                <w:i w:val="0"/>
                <w:caps w:val="0"/>
                <w:color w:val="auto"/>
                <w:spacing w:val="0"/>
                <w:w w:val="100"/>
                <w:kern w:val="0"/>
                <w:sz w:val="24"/>
                <w:szCs w:val="24"/>
                <w:highlight w:val="none"/>
                <w:lang w:val="en-US" w:eastAsia="zh-CN"/>
              </w:rPr>
              <w:t>5</w:t>
            </w:r>
            <w:r>
              <w:rPr>
                <w:rFonts w:hint="eastAsia" w:ascii="仿宋" w:hAnsi="仿宋" w:eastAsia="仿宋" w:cs="仿宋"/>
                <w:b w:val="0"/>
                <w:i w:val="0"/>
                <w:caps w:val="0"/>
                <w:color w:val="auto"/>
                <w:spacing w:val="0"/>
                <w:w w:val="100"/>
                <w:kern w:val="0"/>
                <w:sz w:val="24"/>
                <w:szCs w:val="24"/>
                <w:highlight w:val="none"/>
              </w:rPr>
              <w:t>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95"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eastAsia="zh-CN"/>
              </w:rPr>
            </w:pPr>
            <w:r>
              <w:rPr>
                <w:rFonts w:hint="eastAsia" w:ascii="仿宋" w:hAnsi="仿宋" w:eastAsia="仿宋" w:cs="仿宋"/>
                <w:b w:val="0"/>
                <w:i w:val="0"/>
                <w:caps w:val="0"/>
                <w:color w:val="auto"/>
                <w:spacing w:val="0"/>
                <w:w w:val="100"/>
                <w:kern w:val="0"/>
                <w:sz w:val="24"/>
                <w:szCs w:val="24"/>
                <w:highlight w:val="none"/>
                <w:lang w:val="en-US" w:eastAsia="zh-CN"/>
              </w:rPr>
              <w:t>5</w:t>
            </w: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rPr>
              <w:t>应急方案</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sz w:val="24"/>
                <w:szCs w:val="24"/>
                <w:highlight w:val="none"/>
              </w:rPr>
              <w:t>对紧急事件（包括疫情爆发、发生台风、暴雨等自然灾害性天气及其他突发事件）时的应急预案及相应的措施。</w:t>
            </w:r>
            <w:r>
              <w:rPr>
                <w:rFonts w:hint="eastAsia" w:ascii="仿宋" w:hAnsi="仿宋" w:eastAsia="仿宋" w:cs="仿宋"/>
                <w:b w:val="0"/>
                <w:i w:val="0"/>
                <w:caps w:val="0"/>
                <w:color w:val="auto"/>
                <w:spacing w:val="0"/>
                <w:w w:val="100"/>
                <w:kern w:val="0"/>
                <w:sz w:val="24"/>
                <w:szCs w:val="24"/>
                <w:highlight w:val="none"/>
              </w:rPr>
              <w:t>（0-</w:t>
            </w:r>
            <w:r>
              <w:rPr>
                <w:rFonts w:hint="eastAsia" w:ascii="仿宋" w:hAnsi="仿宋" w:eastAsia="仿宋" w:cs="仿宋"/>
                <w:b w:val="0"/>
                <w:i w:val="0"/>
                <w:caps w:val="0"/>
                <w:color w:val="auto"/>
                <w:spacing w:val="0"/>
                <w:w w:val="100"/>
                <w:kern w:val="0"/>
                <w:sz w:val="24"/>
                <w:szCs w:val="24"/>
                <w:highlight w:val="none"/>
                <w:lang w:val="en-US" w:eastAsia="zh-CN"/>
              </w:rPr>
              <w:t>5</w:t>
            </w:r>
            <w:r>
              <w:rPr>
                <w:rFonts w:hint="eastAsia" w:ascii="仿宋" w:hAnsi="仿宋" w:eastAsia="仿宋" w:cs="仿宋"/>
                <w:b w:val="0"/>
                <w:i w:val="0"/>
                <w:caps w:val="0"/>
                <w:color w:val="auto"/>
                <w:spacing w:val="0"/>
                <w:w w:val="100"/>
                <w:kern w:val="0"/>
                <w:sz w:val="24"/>
                <w:szCs w:val="24"/>
                <w:highlight w:val="none"/>
              </w:rPr>
              <w:t>分）</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5分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5"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eastAsia="zh-CN"/>
              </w:rPr>
            </w:pPr>
            <w:r>
              <w:rPr>
                <w:rFonts w:hint="eastAsia" w:ascii="仿宋" w:hAnsi="仿宋" w:eastAsia="仿宋" w:cs="仿宋"/>
                <w:b w:val="0"/>
                <w:i w:val="0"/>
                <w:caps w:val="0"/>
                <w:color w:val="auto"/>
                <w:spacing w:val="0"/>
                <w:w w:val="100"/>
                <w:kern w:val="0"/>
                <w:sz w:val="24"/>
                <w:szCs w:val="24"/>
                <w:highlight w:val="none"/>
                <w:lang w:val="en-US" w:eastAsia="zh-CN"/>
              </w:rPr>
              <w:t>6</w:t>
            </w: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rPr>
              <w:t>人员安排情况</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1、完善的</w:t>
            </w:r>
            <w:r>
              <w:rPr>
                <w:rFonts w:hint="eastAsia" w:ascii="仿宋" w:hAnsi="仿宋" w:eastAsia="仿宋" w:cs="仿宋"/>
                <w:b w:val="0"/>
                <w:i w:val="0"/>
                <w:caps w:val="0"/>
                <w:color w:val="auto"/>
                <w:spacing w:val="0"/>
                <w:w w:val="100"/>
                <w:kern w:val="0"/>
                <w:sz w:val="24"/>
                <w:szCs w:val="24"/>
                <w:highlight w:val="none"/>
                <w:lang w:eastAsia="zh-CN"/>
              </w:rPr>
              <w:t>人</w:t>
            </w:r>
            <w:r>
              <w:rPr>
                <w:rFonts w:hint="eastAsia" w:ascii="仿宋" w:hAnsi="仿宋" w:eastAsia="仿宋" w:cs="仿宋"/>
                <w:b w:val="0"/>
                <w:i w:val="0"/>
                <w:caps w:val="0"/>
                <w:color w:val="auto"/>
                <w:spacing w:val="0"/>
                <w:w w:val="100"/>
                <w:kern w:val="0"/>
                <w:sz w:val="24"/>
                <w:szCs w:val="24"/>
                <w:highlight w:val="none"/>
              </w:rPr>
              <w:t>员组织架构；（0-</w:t>
            </w:r>
            <w:r>
              <w:rPr>
                <w:rFonts w:hint="eastAsia" w:ascii="仿宋" w:hAnsi="仿宋" w:eastAsia="仿宋"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rPr>
              <w:t>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2、投标人投入的人员数量，工作安排等方面的合理性</w:t>
            </w:r>
            <w:r>
              <w:rPr>
                <w:rFonts w:hint="eastAsia" w:ascii="仿宋" w:hAnsi="仿宋" w:eastAsia="仿宋" w:cs="仿宋"/>
                <w:b w:val="0"/>
                <w:i w:val="0"/>
                <w:caps w:val="0"/>
                <w:color w:val="auto"/>
                <w:spacing w:val="0"/>
                <w:w w:val="100"/>
                <w:kern w:val="0"/>
                <w:sz w:val="24"/>
                <w:szCs w:val="24"/>
                <w:highlight w:val="none"/>
                <w:lang w:eastAsia="zh-CN"/>
              </w:rPr>
              <w:t>，拟投入</w:t>
            </w:r>
            <w:r>
              <w:rPr>
                <w:rFonts w:hint="eastAsia" w:ascii="仿宋" w:hAnsi="仿宋" w:eastAsia="仿宋" w:cs="仿宋"/>
                <w:b w:val="0"/>
                <w:i w:val="0"/>
                <w:caps w:val="0"/>
                <w:color w:val="auto"/>
                <w:spacing w:val="0"/>
                <w:w w:val="100"/>
                <w:kern w:val="0"/>
                <w:sz w:val="24"/>
                <w:szCs w:val="24"/>
                <w:highlight w:val="none"/>
                <w:lang w:val="en-US" w:eastAsia="zh-CN"/>
              </w:rPr>
              <w:t>的</w:t>
            </w:r>
            <w:r>
              <w:rPr>
                <w:rFonts w:hint="eastAsia" w:ascii="仿宋" w:hAnsi="仿宋" w:eastAsia="仿宋" w:cs="仿宋"/>
                <w:b w:val="0"/>
                <w:i w:val="0"/>
                <w:caps w:val="0"/>
                <w:color w:val="auto"/>
                <w:spacing w:val="0"/>
                <w:w w:val="100"/>
                <w:kern w:val="0"/>
                <w:sz w:val="24"/>
                <w:szCs w:val="24"/>
                <w:highlight w:val="none"/>
                <w:lang w:eastAsia="zh-CN"/>
              </w:rPr>
              <w:t>人员是否具有类似项目</w:t>
            </w:r>
            <w:r>
              <w:rPr>
                <w:rFonts w:hint="eastAsia" w:ascii="仿宋" w:hAnsi="仿宋" w:eastAsia="仿宋" w:cs="仿宋"/>
                <w:b w:val="0"/>
                <w:i w:val="0"/>
                <w:caps w:val="0"/>
                <w:color w:val="auto"/>
                <w:spacing w:val="0"/>
                <w:w w:val="100"/>
                <w:kern w:val="0"/>
                <w:sz w:val="24"/>
                <w:szCs w:val="24"/>
                <w:highlight w:val="none"/>
                <w:lang w:val="en-US" w:eastAsia="zh-CN"/>
              </w:rPr>
              <w:t>实践</w:t>
            </w:r>
            <w:r>
              <w:rPr>
                <w:rFonts w:hint="eastAsia" w:ascii="仿宋" w:hAnsi="仿宋" w:eastAsia="仿宋" w:cs="仿宋"/>
                <w:b w:val="0"/>
                <w:i w:val="0"/>
                <w:caps w:val="0"/>
                <w:color w:val="auto"/>
                <w:spacing w:val="0"/>
                <w:w w:val="100"/>
                <w:kern w:val="0"/>
                <w:sz w:val="24"/>
                <w:szCs w:val="24"/>
                <w:highlight w:val="none"/>
                <w:lang w:eastAsia="zh-CN"/>
              </w:rPr>
              <w:t>经验，人员素质、技术能力等</w:t>
            </w:r>
            <w:r>
              <w:rPr>
                <w:rFonts w:hint="eastAsia" w:ascii="仿宋" w:hAnsi="仿宋" w:eastAsia="仿宋" w:cs="仿宋"/>
                <w:b w:val="0"/>
                <w:i w:val="0"/>
                <w:caps w:val="0"/>
                <w:color w:val="auto"/>
                <w:spacing w:val="0"/>
                <w:w w:val="100"/>
                <w:kern w:val="0"/>
                <w:sz w:val="24"/>
                <w:szCs w:val="24"/>
                <w:highlight w:val="none"/>
              </w:rPr>
              <w:t>；（0-</w:t>
            </w:r>
            <w:r>
              <w:rPr>
                <w:rFonts w:hint="eastAsia" w:ascii="仿宋" w:hAnsi="仿宋" w:eastAsia="仿宋" w:cs="仿宋"/>
                <w:b w:val="0"/>
                <w:i w:val="0"/>
                <w:caps w:val="0"/>
                <w:color w:val="auto"/>
                <w:spacing w:val="0"/>
                <w:w w:val="100"/>
                <w:kern w:val="0"/>
                <w:sz w:val="24"/>
                <w:szCs w:val="24"/>
                <w:highlight w:val="none"/>
                <w:lang w:val="en-US" w:eastAsia="zh-CN"/>
              </w:rPr>
              <w:t>4</w:t>
            </w:r>
            <w:r>
              <w:rPr>
                <w:rFonts w:hint="eastAsia" w:ascii="仿宋" w:hAnsi="仿宋" w:eastAsia="仿宋" w:cs="仿宋"/>
                <w:b w:val="0"/>
                <w:i w:val="0"/>
                <w:caps w:val="0"/>
                <w:color w:val="auto"/>
                <w:spacing w:val="0"/>
                <w:w w:val="100"/>
                <w:kern w:val="0"/>
                <w:sz w:val="24"/>
                <w:szCs w:val="24"/>
                <w:highlight w:val="none"/>
              </w:rPr>
              <w:t>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3、投标人配置的通讯器材、交通工具、服装等配置情况</w:t>
            </w:r>
            <w:r>
              <w:rPr>
                <w:rFonts w:hint="eastAsia" w:ascii="仿宋" w:hAnsi="仿宋" w:eastAsia="仿宋" w:cs="仿宋"/>
                <w:b w:val="0"/>
                <w:i w:val="0"/>
                <w:caps w:val="0"/>
                <w:color w:val="auto"/>
                <w:spacing w:val="0"/>
                <w:w w:val="100"/>
                <w:kern w:val="0"/>
                <w:sz w:val="24"/>
                <w:szCs w:val="24"/>
                <w:highlight w:val="none"/>
                <w:lang w:eastAsia="zh-CN"/>
              </w:rPr>
              <w:t>，从业人员的培训和发展计划等。</w:t>
            </w:r>
            <w:r>
              <w:rPr>
                <w:rFonts w:hint="eastAsia" w:ascii="仿宋" w:hAnsi="仿宋" w:eastAsia="仿宋" w:cs="仿宋"/>
                <w:b w:val="0"/>
                <w:i w:val="0"/>
                <w:caps w:val="0"/>
                <w:color w:val="auto"/>
                <w:spacing w:val="0"/>
                <w:w w:val="100"/>
                <w:kern w:val="0"/>
                <w:sz w:val="24"/>
                <w:szCs w:val="24"/>
                <w:highlight w:val="none"/>
              </w:rPr>
              <w:t>（0-</w:t>
            </w:r>
            <w:r>
              <w:rPr>
                <w:rFonts w:hint="eastAsia" w:ascii="仿宋" w:hAnsi="仿宋" w:eastAsia="仿宋" w:cs="仿宋"/>
                <w:b w:val="0"/>
                <w:i w:val="0"/>
                <w:caps w:val="0"/>
                <w:color w:val="auto"/>
                <w:spacing w:val="0"/>
                <w:w w:val="100"/>
                <w:kern w:val="0"/>
                <w:sz w:val="24"/>
                <w:szCs w:val="24"/>
                <w:highlight w:val="none"/>
                <w:lang w:val="en-US" w:eastAsia="zh-CN"/>
              </w:rPr>
              <w:t>3</w:t>
            </w:r>
            <w:r>
              <w:rPr>
                <w:rFonts w:hint="eastAsia" w:ascii="仿宋" w:hAnsi="仿宋" w:eastAsia="仿宋" w:cs="仿宋"/>
                <w:b w:val="0"/>
                <w:i w:val="0"/>
                <w:caps w:val="0"/>
                <w:color w:val="auto"/>
                <w:spacing w:val="0"/>
                <w:w w:val="100"/>
                <w:kern w:val="0"/>
                <w:sz w:val="24"/>
                <w:szCs w:val="24"/>
                <w:highlight w:val="none"/>
              </w:rPr>
              <w:t>分）</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lang w:val="en-US" w:eastAsia="zh-CN"/>
              </w:rPr>
              <w:t>10</w:t>
            </w:r>
            <w:r>
              <w:rPr>
                <w:rFonts w:hint="eastAsia" w:ascii="仿宋" w:hAnsi="仿宋" w:eastAsia="仿宋" w:cs="仿宋"/>
                <w:b w:val="0"/>
                <w:i w:val="0"/>
                <w:caps w:val="0"/>
                <w:color w:val="auto"/>
                <w:spacing w:val="0"/>
                <w:w w:val="100"/>
                <w:kern w:val="0"/>
                <w:sz w:val="24"/>
                <w:szCs w:val="24"/>
                <w:highlight w:val="none"/>
              </w:rPr>
              <w:t>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lang w:eastAsia="zh-CN"/>
              </w:rPr>
              <w:t>主观</w:t>
            </w:r>
            <w:r>
              <w:rPr>
                <w:rFonts w:hint="eastAsia" w:ascii="仿宋" w:hAnsi="仿宋" w:eastAsia="仿宋" w:cs="仿宋"/>
                <w:b w:val="0"/>
                <w:i w:val="0"/>
                <w:caps w:val="0"/>
                <w:color w:val="auto"/>
                <w:spacing w:val="0"/>
                <w:w w:val="1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5"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val="en-US" w:eastAsia="zh-CN"/>
              </w:rPr>
              <w:t>7</w:t>
            </w: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rPr>
              <w:t>组织实施方案</w:t>
            </w:r>
          </w:p>
        </w:tc>
        <w:tc>
          <w:tcPr>
            <w:tcW w:w="5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lang w:eastAsia="zh-CN"/>
              </w:rPr>
            </w:pPr>
            <w:r>
              <w:rPr>
                <w:rFonts w:hint="eastAsia" w:ascii="仿宋" w:hAnsi="仿宋" w:eastAsia="仿宋" w:cs="仿宋"/>
                <w:b w:val="0"/>
                <w:i w:val="0"/>
                <w:caps w:val="0"/>
                <w:color w:val="auto"/>
                <w:spacing w:val="0"/>
                <w:w w:val="100"/>
                <w:kern w:val="0"/>
                <w:sz w:val="24"/>
                <w:szCs w:val="24"/>
                <w:highlight w:val="none"/>
              </w:rPr>
              <w:t>组织实施方案的科学性、合理性、规范性、可操作性等，包括项目管理机构及管理制度编制、工作职能组织运行图，阐述项目经理的管理职责、内部管理的职责分工、日常管理制度和考核办法目录、管理和协调方法、关键步骤的思路和要点等。</w:t>
            </w:r>
            <w:r>
              <w:rPr>
                <w:rFonts w:hint="eastAsia" w:ascii="仿宋" w:hAnsi="仿宋" w:eastAsia="仿宋" w:cs="仿宋"/>
                <w:b w:val="0"/>
                <w:i w:val="0"/>
                <w:caps w:val="0"/>
                <w:color w:val="auto"/>
                <w:spacing w:val="0"/>
                <w:w w:val="100"/>
                <w:kern w:val="0"/>
                <w:sz w:val="24"/>
                <w:szCs w:val="24"/>
                <w:highlight w:val="none"/>
                <w:lang w:eastAsia="zh-CN"/>
              </w:rPr>
              <w:t>（</w:t>
            </w:r>
            <w:r>
              <w:rPr>
                <w:rFonts w:hint="eastAsia" w:ascii="仿宋" w:hAnsi="仿宋" w:eastAsia="仿宋" w:cs="仿宋"/>
                <w:b w:val="0"/>
                <w:i w:val="0"/>
                <w:caps w:val="0"/>
                <w:color w:val="auto"/>
                <w:spacing w:val="0"/>
                <w:w w:val="100"/>
                <w:kern w:val="0"/>
                <w:sz w:val="24"/>
                <w:szCs w:val="24"/>
                <w:highlight w:val="none"/>
                <w:lang w:val="en-US" w:eastAsia="zh-CN"/>
              </w:rPr>
              <w:t>0-5分</w:t>
            </w:r>
            <w:r>
              <w:rPr>
                <w:rFonts w:hint="eastAsia" w:ascii="仿宋" w:hAnsi="仿宋" w:eastAsia="仿宋" w:cs="仿宋"/>
                <w:b w:val="0"/>
                <w:i w:val="0"/>
                <w:caps w:val="0"/>
                <w:color w:val="auto"/>
                <w:spacing w:val="0"/>
                <w:w w:val="100"/>
                <w:kern w:val="0"/>
                <w:sz w:val="24"/>
                <w:szCs w:val="24"/>
                <w:highlight w:val="none"/>
                <w:lang w:eastAsia="zh-CN"/>
              </w:rPr>
              <w:t>）</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val="en-US" w:eastAsia="zh-CN"/>
              </w:rPr>
              <w:t>5分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eastAsia="zh-CN"/>
              </w:rPr>
            </w:pPr>
            <w:r>
              <w:rPr>
                <w:rFonts w:hint="eastAsia" w:ascii="仿宋" w:hAnsi="仿宋" w:eastAsia="仿宋" w:cs="仿宋"/>
                <w:b w:val="0"/>
                <w:i w:val="0"/>
                <w:caps w:val="0"/>
                <w:color w:val="auto"/>
                <w:spacing w:val="0"/>
                <w:w w:val="100"/>
                <w:kern w:val="0"/>
                <w:sz w:val="24"/>
                <w:szCs w:val="24"/>
                <w:highlight w:val="none"/>
                <w:lang w:eastAsia="zh-CN"/>
              </w:rPr>
              <w:t>主观</w:t>
            </w:r>
            <w:r>
              <w:rPr>
                <w:rFonts w:hint="eastAsia" w:ascii="仿宋" w:hAnsi="仿宋" w:eastAsia="仿宋" w:cs="仿宋"/>
                <w:b w:val="0"/>
                <w:i w:val="0"/>
                <w:caps w:val="0"/>
                <w:color w:val="auto"/>
                <w:spacing w:val="0"/>
                <w:w w:val="10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eastAsia="zh-CN"/>
              </w:rPr>
            </w:pPr>
            <w:r>
              <w:rPr>
                <w:rFonts w:hint="eastAsia" w:ascii="仿宋" w:hAnsi="仿宋" w:eastAsia="仿宋" w:cs="仿宋"/>
                <w:b w:val="0"/>
                <w:i w:val="0"/>
                <w:caps w:val="0"/>
                <w:color w:val="auto"/>
                <w:spacing w:val="0"/>
                <w:w w:val="100"/>
                <w:kern w:val="0"/>
                <w:sz w:val="24"/>
                <w:szCs w:val="24"/>
                <w:highlight w:val="none"/>
                <w:lang w:val="en-US" w:eastAsia="zh-CN"/>
              </w:rPr>
              <w:t>8</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rPr>
              <w:t>管理目标、指标及方式</w:t>
            </w:r>
          </w:p>
        </w:tc>
        <w:tc>
          <w:tcPr>
            <w:tcW w:w="5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管理目标、指标及方式。质量管理目标的定位准确性和针对性，以及管理方式的科学性、合理性和先进性。</w:t>
            </w:r>
            <w:r>
              <w:rPr>
                <w:rFonts w:hint="eastAsia" w:ascii="仿宋" w:hAnsi="仿宋" w:eastAsia="仿宋" w:cs="仿宋"/>
                <w:b w:val="0"/>
                <w:i w:val="0"/>
                <w:caps w:val="0"/>
                <w:color w:val="auto"/>
                <w:spacing w:val="0"/>
                <w:w w:val="100"/>
                <w:kern w:val="0"/>
                <w:sz w:val="24"/>
                <w:szCs w:val="24"/>
                <w:highlight w:val="none"/>
                <w:lang w:eastAsia="zh-CN"/>
              </w:rPr>
              <w:t>（</w:t>
            </w:r>
            <w:r>
              <w:rPr>
                <w:rFonts w:hint="eastAsia" w:ascii="仿宋" w:hAnsi="仿宋" w:eastAsia="仿宋" w:cs="仿宋"/>
                <w:b w:val="0"/>
                <w:i w:val="0"/>
                <w:caps w:val="0"/>
                <w:color w:val="auto"/>
                <w:spacing w:val="0"/>
                <w:w w:val="100"/>
                <w:kern w:val="0"/>
                <w:sz w:val="24"/>
                <w:szCs w:val="24"/>
                <w:highlight w:val="none"/>
                <w:lang w:val="en-US" w:eastAsia="zh-CN"/>
              </w:rPr>
              <w:t>0-5分</w:t>
            </w:r>
            <w:r>
              <w:rPr>
                <w:rFonts w:hint="eastAsia" w:ascii="仿宋" w:hAnsi="仿宋" w:eastAsia="仿宋" w:cs="仿宋"/>
                <w:b w:val="0"/>
                <w:i w:val="0"/>
                <w:caps w:val="0"/>
                <w:color w:val="auto"/>
                <w:spacing w:val="0"/>
                <w:w w:val="100"/>
                <w:kern w:val="0"/>
                <w:sz w:val="24"/>
                <w:szCs w:val="24"/>
                <w:highlight w:val="none"/>
                <w:lang w:eastAsia="zh-CN"/>
              </w:rPr>
              <w:t>）</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kern w:val="0"/>
                <w:sz w:val="24"/>
                <w:szCs w:val="24"/>
                <w:highlight w:val="none"/>
              </w:rPr>
              <w:t>5分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cs="仿宋"/>
                <w:b w:val="0"/>
                <w:i w:val="0"/>
                <w:caps w:val="0"/>
                <w:color w:val="auto"/>
                <w:spacing w:val="0"/>
                <w:w w:val="100"/>
                <w:kern w:val="0"/>
                <w:sz w:val="24"/>
                <w:szCs w:val="24"/>
                <w:highlight w:val="none"/>
                <w:lang w:val="en-US" w:eastAsia="zh-CN"/>
              </w:rPr>
              <w:t>9</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rPr>
              <w:t>内部管理情况</w:t>
            </w:r>
          </w:p>
        </w:tc>
        <w:tc>
          <w:tcPr>
            <w:tcW w:w="5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内部管理制度和质量控制标准情况，是否具有相关规章制度和保障措施；（0-2分）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2、是否实行电脑信息管理等情况。（0-2分）</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kern w:val="0"/>
                <w:sz w:val="24"/>
                <w:szCs w:val="24"/>
                <w:highlight w:val="none"/>
              </w:rPr>
              <w:t>4分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val="en-US" w:eastAsia="zh-CN"/>
              </w:rPr>
              <w:t>1</w:t>
            </w:r>
            <w:r>
              <w:rPr>
                <w:rFonts w:hint="eastAsia" w:cs="仿宋"/>
                <w:b w:val="0"/>
                <w:i w:val="0"/>
                <w:caps w:val="0"/>
                <w:color w:val="auto"/>
                <w:spacing w:val="0"/>
                <w:w w:val="100"/>
                <w:kern w:val="0"/>
                <w:sz w:val="24"/>
                <w:szCs w:val="24"/>
                <w:highlight w:val="none"/>
                <w:lang w:val="en-US" w:eastAsia="zh-CN"/>
              </w:rPr>
              <w:t>0</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val="en-US" w:eastAsia="zh-CN"/>
              </w:rPr>
              <w:t>服务承诺</w:t>
            </w:r>
          </w:p>
        </w:tc>
        <w:tc>
          <w:tcPr>
            <w:tcW w:w="5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本地化服务承诺、项目管理及质量保证、优惠措施</w:t>
            </w:r>
            <w:r>
              <w:rPr>
                <w:rFonts w:hint="eastAsia" w:cs="仿宋"/>
                <w:b w:val="0"/>
                <w:i w:val="0"/>
                <w:caps w:val="0"/>
                <w:color w:val="auto"/>
                <w:spacing w:val="0"/>
                <w:w w:val="100"/>
                <w:kern w:val="0"/>
                <w:sz w:val="24"/>
                <w:szCs w:val="24"/>
                <w:highlight w:val="none"/>
                <w:lang w:eastAsia="zh-CN"/>
              </w:rPr>
              <w:t>及人员的管理安全保证</w:t>
            </w:r>
            <w:r>
              <w:rPr>
                <w:rFonts w:hint="eastAsia" w:ascii="仿宋" w:hAnsi="仿宋" w:eastAsia="仿宋" w:cs="仿宋"/>
                <w:b w:val="0"/>
                <w:i w:val="0"/>
                <w:caps w:val="0"/>
                <w:color w:val="auto"/>
                <w:spacing w:val="0"/>
                <w:w w:val="100"/>
                <w:kern w:val="0"/>
                <w:sz w:val="24"/>
                <w:szCs w:val="24"/>
                <w:highlight w:val="none"/>
              </w:rPr>
              <w:t>等。</w:t>
            </w:r>
            <w:r>
              <w:rPr>
                <w:rFonts w:hint="eastAsia" w:ascii="仿宋" w:hAnsi="仿宋" w:eastAsia="仿宋" w:cs="仿宋"/>
                <w:b w:val="0"/>
                <w:i w:val="0"/>
                <w:caps w:val="0"/>
                <w:color w:val="auto"/>
                <w:spacing w:val="0"/>
                <w:w w:val="100"/>
                <w:kern w:val="0"/>
                <w:sz w:val="24"/>
                <w:szCs w:val="24"/>
                <w:highlight w:val="none"/>
                <w:lang w:eastAsia="zh-CN"/>
              </w:rPr>
              <w:t>（</w:t>
            </w:r>
            <w:r>
              <w:rPr>
                <w:rFonts w:hint="eastAsia" w:ascii="仿宋" w:hAnsi="仿宋" w:eastAsia="仿宋" w:cs="仿宋"/>
                <w:b w:val="0"/>
                <w:i w:val="0"/>
                <w:caps w:val="0"/>
                <w:color w:val="auto"/>
                <w:spacing w:val="0"/>
                <w:w w:val="100"/>
                <w:kern w:val="0"/>
                <w:sz w:val="24"/>
                <w:szCs w:val="24"/>
                <w:highlight w:val="none"/>
                <w:lang w:val="en-US" w:eastAsia="zh-CN"/>
              </w:rPr>
              <w:t>0-5分</w:t>
            </w:r>
            <w:r>
              <w:rPr>
                <w:rFonts w:hint="eastAsia" w:ascii="仿宋" w:hAnsi="仿宋" w:eastAsia="仿宋" w:cs="仿宋"/>
                <w:b w:val="0"/>
                <w:i w:val="0"/>
                <w:caps w:val="0"/>
                <w:color w:val="auto"/>
                <w:spacing w:val="0"/>
                <w:w w:val="100"/>
                <w:kern w:val="0"/>
                <w:sz w:val="24"/>
                <w:szCs w:val="24"/>
                <w:highlight w:val="none"/>
                <w:lang w:eastAsia="zh-CN"/>
              </w:rPr>
              <w:t>）</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kern w:val="0"/>
                <w:sz w:val="24"/>
                <w:szCs w:val="24"/>
                <w:highlight w:val="none"/>
              </w:rPr>
              <w:t>5分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baseline"/>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b w:val="0"/>
                <w:i w:val="0"/>
                <w:caps w:val="0"/>
                <w:color w:val="auto"/>
                <w:spacing w:val="0"/>
                <w:w w:val="100"/>
                <w:kern w:val="0"/>
                <w:sz w:val="24"/>
                <w:szCs w:val="24"/>
                <w:highlight w:val="none"/>
              </w:rPr>
              <w:t>主观分</w:t>
            </w:r>
          </w:p>
        </w:tc>
      </w:tr>
    </w:tbl>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价格分（</w:t>
      </w:r>
      <w:r>
        <w:rPr>
          <w:rFonts w:hint="eastAsia" w:cs="仿宋"/>
          <w:b/>
          <w:color w:val="auto"/>
          <w:highlight w:val="none"/>
          <w:lang w:val="en-US" w:eastAsia="zh-CN"/>
        </w:rPr>
        <w:t>3</w:t>
      </w:r>
      <w:r>
        <w:rPr>
          <w:rFonts w:hint="eastAsia" w:ascii="仿宋" w:hAnsi="仿宋" w:eastAsia="仿宋" w:cs="仿宋"/>
          <w:b/>
          <w:color w:val="auto"/>
          <w:highlight w:val="none"/>
        </w:rPr>
        <w:t>0分）</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3"/>
        <w:gridCol w:w="2126"/>
        <w:gridCol w:w="4394"/>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价格分</w:t>
            </w:r>
          </w:p>
        </w:tc>
        <w:tc>
          <w:tcPr>
            <w:tcW w:w="553" w:type="dxa"/>
            <w:vAlign w:val="center"/>
          </w:tcPr>
          <w:p>
            <w:pPr>
              <w:pStyle w:val="33"/>
              <w:keepNext w:val="0"/>
              <w:keepLines w:val="0"/>
              <w:widowControl/>
              <w:numPr>
                <w:ilvl w:val="0"/>
                <w:numId w:val="4"/>
              </w:numPr>
              <w:suppressLineNumbers w:val="0"/>
              <w:spacing w:before="0" w:beforeAutospacing="0" w:after="0" w:afterAutospacing="0"/>
              <w:ind w:right="0"/>
              <w:jc w:val="center"/>
              <w:rPr>
                <w:rFonts w:hint="eastAsia" w:ascii="仿宋" w:hAnsi="仿宋" w:eastAsia="仿宋" w:cs="仿宋"/>
                <w:color w:val="auto"/>
                <w:highlight w:val="none"/>
              </w:rPr>
            </w:pPr>
          </w:p>
        </w:tc>
        <w:tc>
          <w:tcPr>
            <w:tcW w:w="2126"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价格权值</w:t>
            </w:r>
          </w:p>
        </w:tc>
        <w:tc>
          <w:tcPr>
            <w:tcW w:w="4394" w:type="dxa"/>
          </w:tcPr>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最低有效投标价格为评标基准价</w:t>
            </w:r>
          </w:p>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 xml:space="preserve">投标报价得分=(评标基准价／投标报价)×价格权值×100 </w:t>
            </w:r>
          </w:p>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（计算得分保留小数点后2位）</w:t>
            </w:r>
          </w:p>
        </w:tc>
        <w:tc>
          <w:tcPr>
            <w:tcW w:w="709" w:type="dxa"/>
            <w:vAlign w:val="center"/>
          </w:tcPr>
          <w:p>
            <w:pPr>
              <w:keepNext w:val="0"/>
              <w:keepLines w:val="0"/>
              <w:widowControl/>
              <w:suppressLineNumbers w:val="0"/>
              <w:spacing w:before="0" w:beforeAutospacing="0" w:after="0" w:afterAutospacing="0"/>
              <w:ind w:left="0" w:right="0"/>
              <w:rPr>
                <w:rFonts w:hint="default"/>
                <w:color w:val="auto"/>
                <w:highlight w:val="none"/>
                <w:lang w:val="en-US"/>
              </w:rPr>
            </w:pPr>
            <w:r>
              <w:rPr>
                <w:rFonts w:hint="eastAsia"/>
                <w:color w:val="auto"/>
                <w:highlight w:val="none"/>
                <w:lang w:val="en-US" w:eastAsia="zh-CN"/>
              </w:rPr>
              <w:t>30</w:t>
            </w:r>
          </w:p>
        </w:tc>
        <w:tc>
          <w:tcPr>
            <w:tcW w:w="850" w:type="dxa"/>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highlight w:val="none"/>
              </w:rPr>
            </w:pPr>
          </w:p>
        </w:tc>
      </w:tr>
    </w:tbl>
    <w:p>
      <w:pPr>
        <w:spacing w:line="360" w:lineRule="auto"/>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1、评分条款中涉及的业绩、荣誉、人员、社保等分公司均有效。</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3、投标人编制投标文件（商务技术文件部分）时，建议按此目录（序号和内容）提供评标标准相应的商务技术资料。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一、评标方法</w:t>
      </w:r>
    </w:p>
    <w:p>
      <w:pPr>
        <w:spacing w:line="360" w:lineRule="auto"/>
        <w:ind w:firstLine="472" w:firstLineChars="196"/>
        <w:rPr>
          <w:rFonts w:hint="eastAsia" w:ascii="仿宋" w:hAnsi="仿宋" w:eastAsia="仿宋" w:cs="仿宋"/>
          <w:color w:val="auto"/>
          <w:highlight w:val="none"/>
        </w:rPr>
      </w:pPr>
      <w:r>
        <w:rPr>
          <w:rStyle w:val="38"/>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pPr>
        <w:pStyle w:val="4"/>
        <w:ind w:left="480"/>
        <w:rPr>
          <w:rFonts w:hint="eastAsia" w:ascii="仿宋" w:hAnsi="仿宋" w:eastAsia="仿宋" w:cs="仿宋"/>
          <w:color w:val="auto"/>
          <w:sz w:val="24"/>
          <w:highlight w:val="none"/>
        </w:rPr>
      </w:pPr>
      <w:r>
        <w:rPr>
          <w:rFonts w:hint="eastAsia" w:ascii="仿宋" w:hAnsi="仿宋" w:eastAsia="仿宋" w:cs="仿宋"/>
          <w:color w:val="auto"/>
          <w:highlight w:val="none"/>
        </w:rPr>
        <w:t>二、评标标准</w:t>
      </w:r>
    </w:p>
    <w:p>
      <w:pPr>
        <w:spacing w:line="360" w:lineRule="auto"/>
        <w:ind w:firstLine="472" w:firstLineChars="196"/>
        <w:rPr>
          <w:rFonts w:hint="eastAsia" w:ascii="仿宋" w:hAnsi="仿宋" w:eastAsia="仿宋" w:cs="仿宋"/>
          <w:b/>
          <w:color w:val="auto"/>
          <w:highlight w:val="none"/>
        </w:rPr>
      </w:pPr>
      <w:r>
        <w:rPr>
          <w:rStyle w:val="38"/>
          <w:rFonts w:hint="eastAsia" w:ascii="仿宋" w:hAnsi="仿宋" w:eastAsia="仿宋" w:cs="仿宋"/>
          <w:color w:val="auto"/>
          <w:highlight w:val="none"/>
        </w:rPr>
        <w:t>2. 评标标准：</w:t>
      </w:r>
      <w:r>
        <w:rPr>
          <w:rFonts w:hint="eastAsia" w:ascii="仿宋" w:hAnsi="仿宋" w:eastAsia="仿宋" w:cs="仿宋"/>
          <w:color w:val="auto"/>
          <w:highlight w:val="none"/>
        </w:rPr>
        <w:t>见评标办法前附表。</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三、评标程序</w:t>
      </w:r>
    </w:p>
    <w:p>
      <w:pPr>
        <w:spacing w:line="360" w:lineRule="auto"/>
        <w:ind w:firstLine="472" w:firstLineChars="196"/>
        <w:rPr>
          <w:rFonts w:hint="eastAsia" w:ascii="仿宋" w:hAnsi="仿宋" w:eastAsia="仿宋" w:cs="仿宋"/>
          <w:color w:val="auto"/>
          <w:highlight w:val="none"/>
        </w:rPr>
      </w:pPr>
      <w:r>
        <w:rPr>
          <w:rStyle w:val="38"/>
          <w:rFonts w:hint="eastAsia" w:ascii="仿宋" w:hAnsi="仿宋" w:eastAsia="仿宋" w:cs="仿宋"/>
          <w:color w:val="auto"/>
          <w:highlight w:val="none"/>
        </w:rPr>
        <w:t>3.1符合性审查。</w:t>
      </w:r>
      <w:r>
        <w:rPr>
          <w:rFonts w:hint="eastAsia" w:ascii="仿宋" w:hAnsi="仿宋" w:eastAsia="仿宋" w:cs="仿宋"/>
          <w:color w:val="auto"/>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highlight w:val="none"/>
        </w:rPr>
      </w:pPr>
      <w:r>
        <w:rPr>
          <w:rStyle w:val="38"/>
          <w:rFonts w:hint="eastAsia" w:ascii="仿宋" w:hAnsi="仿宋" w:eastAsia="仿宋" w:cs="仿宋"/>
          <w:color w:val="auto"/>
          <w:highlight w:val="none"/>
        </w:rPr>
        <w:t>3.2 比较与评价。</w:t>
      </w:r>
      <w:r>
        <w:rPr>
          <w:rFonts w:hint="eastAsia" w:ascii="仿宋" w:hAnsi="仿宋" w:eastAsia="仿宋" w:cs="仿宋"/>
          <w:color w:val="auto"/>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highlight w:val="none"/>
        </w:rPr>
      </w:pPr>
      <w:r>
        <w:rPr>
          <w:rStyle w:val="38"/>
          <w:rFonts w:hint="eastAsia" w:ascii="仿宋" w:hAnsi="仿宋" w:eastAsia="仿宋" w:cs="仿宋"/>
          <w:color w:val="auto"/>
          <w:highlight w:val="none"/>
        </w:rPr>
        <w:t>3.3汇总商务技术得分。</w:t>
      </w:r>
      <w:r>
        <w:rPr>
          <w:rFonts w:hint="eastAsia" w:ascii="仿宋" w:hAnsi="仿宋" w:eastAsia="仿宋" w:cs="仿宋"/>
          <w:color w:val="auto"/>
          <w:highlight w:val="none"/>
        </w:rPr>
        <w:t>评标委员会各成员应当独立对每个投标人的商务和技术文件进行评价，并汇总商务技术得分情况。</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3.4报价评审。</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3.4.1.1投标文件中开标一览表(报价表)内容与投标文件中相应内容不一致的，以开标一览表(报价表)为准;</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highlight w:val="none"/>
        </w:rPr>
      </w:pPr>
      <w:r>
        <w:rPr>
          <w:rStyle w:val="38"/>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highlight w:val="none"/>
        </w:rPr>
      </w:pPr>
      <w:r>
        <w:rPr>
          <w:rFonts w:hint="eastAsia" w:ascii="仿宋" w:hAnsi="仿宋" w:eastAsia="仿宋"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highlight w:val="none"/>
        </w:rPr>
      </w:pPr>
      <w:r>
        <w:rPr>
          <w:rStyle w:val="38"/>
          <w:rFonts w:hint="eastAsia" w:ascii="仿宋" w:hAnsi="仿宋" w:eastAsia="仿宋" w:cs="仿宋"/>
          <w:color w:val="auto"/>
          <w:highlight w:val="none"/>
        </w:rPr>
        <w:t>3.6编写评标报告。</w:t>
      </w:r>
      <w:r>
        <w:rPr>
          <w:rFonts w:hint="eastAsia" w:ascii="仿宋" w:hAnsi="仿宋" w:eastAsia="仿宋"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四、评标中的其他事项</w:t>
      </w:r>
    </w:p>
    <w:p>
      <w:pPr>
        <w:pStyle w:val="61"/>
        <w:rPr>
          <w:rFonts w:hint="eastAsia" w:ascii="仿宋" w:hAnsi="仿宋" w:eastAsia="仿宋" w:cs="仿宋"/>
          <w:color w:val="auto"/>
          <w:highlight w:val="none"/>
        </w:rPr>
      </w:pPr>
      <w:r>
        <w:rPr>
          <w:rStyle w:val="38"/>
          <w:rFonts w:hint="eastAsia" w:ascii="仿宋" w:hAnsi="仿宋" w:eastAsia="仿宋" w:cs="仿宋"/>
          <w:color w:val="auto"/>
          <w:highlight w:val="none"/>
        </w:rPr>
        <w:t>4.1投标人澄清、说明或者补正。</w:t>
      </w:r>
      <w:r>
        <w:rPr>
          <w:rFonts w:hint="eastAsia" w:ascii="仿宋" w:hAnsi="仿宋" w:eastAsia="仿宋" w:cs="仿宋"/>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4"/>
        <w:spacing w:line="360" w:lineRule="auto"/>
        <w:ind w:left="1021" w:leftChars="226" w:hanging="479" w:firstLineChars="0"/>
        <w:rPr>
          <w:rFonts w:hint="eastAsia" w:ascii="仿宋" w:hAnsi="仿宋" w:eastAsia="仿宋" w:cs="仿宋"/>
          <w:color w:val="auto"/>
          <w:szCs w:val="21"/>
          <w:highlight w:val="none"/>
        </w:rPr>
      </w:pPr>
      <w:r>
        <w:rPr>
          <w:rStyle w:val="38"/>
          <w:rFonts w:hint="eastAsia" w:ascii="仿宋" w:hAnsi="仿宋" w:eastAsia="仿宋" w:cs="仿宋"/>
          <w:color w:val="auto"/>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4.2.4投标文件含有采购人不能接受的附加条件的；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4.2.5投标文件中承诺的投标有效期少于招标文件中载明的投标有效期的；</w:t>
      </w:r>
    </w:p>
    <w:p>
      <w:pPr>
        <w:snapToGrid w:val="0"/>
        <w:spacing w:line="360" w:lineRule="auto"/>
        <w:ind w:firstLine="120" w:firstLineChars="50"/>
        <w:rPr>
          <w:rFonts w:hint="eastAsia" w:ascii="仿宋" w:hAnsi="仿宋" w:eastAsia="仿宋" w:cs="仿宋"/>
          <w:color w:val="auto"/>
          <w:highlight w:val="none"/>
        </w:rPr>
      </w:pPr>
      <w:r>
        <w:rPr>
          <w:rFonts w:hint="eastAsia" w:ascii="仿宋" w:hAnsi="仿宋" w:eastAsia="仿宋" w:cs="仿宋"/>
          <w:color w:val="auto"/>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4.2.9投标人对根据修正原则修正后的报价不确认的；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4.2.10投标人提供虚假材料投标的；</w:t>
      </w:r>
    </w:p>
    <w:p>
      <w:pPr>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4.2.12投标人仅提交备份投标文件，未在电子交易平台传输递交投标文件的，投标无效；</w:t>
      </w:r>
    </w:p>
    <w:p>
      <w:pPr>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4.2.13 投标文件不满足招标文件的其它实质性要求的；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4.2.14法律、法规、规章（适用本市的）及省级以上规范性文件（适用本市的）规定的其他无效情形。</w:t>
      </w:r>
    </w:p>
    <w:p>
      <w:pPr>
        <w:pStyle w:val="14"/>
        <w:snapToGrid w:val="0"/>
        <w:spacing w:line="360" w:lineRule="auto"/>
        <w:ind w:firstLine="472" w:firstLineChars="196"/>
        <w:rPr>
          <w:rFonts w:hint="eastAsia" w:ascii="仿宋" w:hAnsi="仿宋" w:eastAsia="仿宋" w:cs="仿宋"/>
          <w:color w:val="auto"/>
          <w:highlight w:val="none"/>
        </w:rPr>
      </w:pPr>
      <w:r>
        <w:rPr>
          <w:rStyle w:val="38"/>
          <w:rFonts w:hint="eastAsia" w:ascii="仿宋" w:hAnsi="仿宋" w:eastAsia="仿宋"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4"/>
        <w:snapToGrid w:val="0"/>
        <w:spacing w:line="360" w:lineRule="auto"/>
        <w:ind w:firstLine="590" w:firstLineChars="245"/>
        <w:rPr>
          <w:rFonts w:hint="eastAsia" w:ascii="仿宋" w:hAnsi="仿宋" w:eastAsia="仿宋" w:cs="仿宋"/>
          <w:color w:val="auto"/>
          <w:highlight w:val="none"/>
        </w:rPr>
      </w:pPr>
      <w:r>
        <w:rPr>
          <w:rStyle w:val="38"/>
          <w:rFonts w:hint="eastAsia" w:ascii="仿宋" w:hAnsi="仿宋" w:eastAsia="仿宋" w:cs="仿宋"/>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4"/>
        <w:snapToGrid w:val="0"/>
        <w:spacing w:line="360" w:lineRule="auto"/>
        <w:ind w:firstLine="590" w:firstLineChars="245"/>
        <w:rPr>
          <w:rFonts w:hint="eastAsia" w:ascii="仿宋" w:hAnsi="仿宋" w:eastAsia="仿宋" w:cs="仿宋"/>
          <w:color w:val="auto"/>
          <w:highlight w:val="none"/>
        </w:rPr>
      </w:pPr>
      <w:r>
        <w:rPr>
          <w:rStyle w:val="38"/>
          <w:rFonts w:hint="eastAsia" w:ascii="仿宋" w:hAnsi="仿宋" w:eastAsia="仿宋" w:cs="仿宋"/>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kern w:val="2"/>
          <w:highlight w:val="none"/>
        </w:rPr>
      </w:pPr>
      <w:r>
        <w:rPr>
          <w:rFonts w:hint="eastAsia" w:ascii="仿宋" w:hAnsi="仿宋" w:eastAsia="仿宋" w:cs="仿宋"/>
          <w:color w:val="auto"/>
          <w:highlight w:val="none"/>
        </w:rPr>
        <w:t>第五部分 拟签订的合同文本</w:t>
      </w:r>
    </w:p>
    <w:p>
      <w:pPr>
        <w:rPr>
          <w:rFonts w:hint="eastAsia" w:ascii="仿宋" w:hAnsi="仿宋" w:eastAsia="仿宋" w:cs="仿宋"/>
          <w:color w:val="auto"/>
          <w:highlight w:val="none"/>
        </w:rPr>
      </w:pPr>
      <w:r>
        <w:rPr>
          <w:rFonts w:hint="eastAsia" w:ascii="仿宋" w:hAnsi="仿宋" w:eastAsia="仿宋" w:cs="仿宋"/>
          <w:color w:val="auto"/>
          <w:highlight w:val="none"/>
        </w:rPr>
        <w:t>服务类合同建议可按照参考格式按照实际情况调整修改。</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货物类参考范本</w:t>
      </w:r>
    </w:p>
    <w:p>
      <w:pPr>
        <w:jc w:val="right"/>
        <w:rPr>
          <w:rFonts w:hint="eastAsia" w:ascii="仿宋" w:hAnsi="仿宋" w:eastAsia="仿宋" w:cs="仿宋"/>
          <w:color w:val="auto"/>
          <w:highlight w:val="none"/>
          <w:u w:val="single"/>
        </w:rPr>
      </w:pPr>
      <w:r>
        <w:rPr>
          <w:rFonts w:hint="eastAsia" w:ascii="仿宋" w:hAnsi="仿宋" w:eastAsia="仿宋" w:cs="仿宋"/>
          <w:color w:val="auto"/>
          <w:highlight w:val="none"/>
        </w:rPr>
        <w:t>合同编号：</w:t>
      </w:r>
      <w:r>
        <w:rPr>
          <w:rFonts w:hint="eastAsia" w:ascii="仿宋" w:hAnsi="仿宋" w:eastAsia="仿宋" w:cs="仿宋"/>
          <w:color w:val="auto"/>
          <w:highlight w:val="none"/>
          <w:u w:val="single"/>
        </w:rPr>
        <w:t xml:space="preserve">           </w:t>
      </w:r>
    </w:p>
    <w:p>
      <w:pPr>
        <w:pStyle w:val="14"/>
        <w:snapToGrid w:val="0"/>
        <w:spacing w:line="360" w:lineRule="auto"/>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2"/>
        <w:ind w:left="480"/>
        <w:jc w:val="center"/>
        <w:rPr>
          <w:rFonts w:hint="eastAsia" w:ascii="仿宋" w:hAnsi="仿宋" w:eastAsia="仿宋" w:cs="仿宋"/>
          <w:color w:val="auto"/>
          <w:szCs w:val="24"/>
          <w:highlight w:val="none"/>
        </w:rPr>
      </w:pP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第一部分 合同书</w:t>
      </w:r>
    </w:p>
    <w:p>
      <w:pPr>
        <w:pStyle w:val="72"/>
        <w:ind w:left="48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p>
    <w:p>
      <w:pPr>
        <w:pStyle w:val="71"/>
        <w:spacing w:before="120" w:line="22" w:lineRule="atLeast"/>
        <w:rPr>
          <w:rFonts w:hint="eastAsia" w:ascii="仿宋" w:hAnsi="仿宋" w:eastAsia="仿宋" w:cs="仿宋"/>
          <w:color w:val="auto"/>
          <w:szCs w:val="24"/>
          <w:highlight w:val="none"/>
        </w:rPr>
      </w:pPr>
    </w:p>
    <w:p>
      <w:pPr>
        <w:pStyle w:val="71"/>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highlight w:val="none"/>
          <w:u w:val="singl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p>
    <w:p>
      <w:pPr>
        <w:spacing w:before="120" w:line="22" w:lineRule="atLeast"/>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highlight w:val="none"/>
          <w:u w:val="singl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p>
    <w:p>
      <w:pPr>
        <w:spacing w:before="120" w:line="22" w:lineRule="atLeast"/>
        <w:rPr>
          <w:rFonts w:hint="eastAsia" w:ascii="仿宋" w:hAnsi="仿宋" w:eastAsia="仿宋" w:cs="仿宋"/>
          <w:color w:val="auto"/>
          <w:highlight w:val="none"/>
        </w:rPr>
      </w:pPr>
    </w:p>
    <w:p>
      <w:pPr>
        <w:spacing w:before="120" w:line="22" w:lineRule="atLeast"/>
        <w:ind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签订地：</w:t>
      </w:r>
      <w:r>
        <w:rPr>
          <w:rFonts w:hint="eastAsia" w:ascii="仿宋" w:hAnsi="仿宋" w:eastAsia="仿宋" w:cs="仿宋"/>
          <w:color w:val="auto"/>
          <w:highlight w:val="none"/>
          <w:u w:val="single"/>
        </w:rPr>
        <w:t xml:space="preserve">                                     </w:t>
      </w:r>
    </w:p>
    <w:p>
      <w:pPr>
        <w:spacing w:before="120" w:line="22" w:lineRule="atLeast"/>
        <w:rPr>
          <w:rFonts w:hint="eastAsia" w:ascii="仿宋" w:hAnsi="仿宋" w:eastAsia="仿宋" w:cs="仿宋"/>
          <w:color w:val="auto"/>
          <w:highlight w:val="none"/>
        </w:rPr>
      </w:pPr>
    </w:p>
    <w:p>
      <w:pPr>
        <w:spacing w:before="120" w:line="22" w:lineRule="atLeast"/>
        <w:ind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rPr>
          <w:rFonts w:hint="eastAsia" w:ascii="仿宋" w:hAnsi="仿宋" w:eastAsia="仿宋" w:cs="仿宋"/>
          <w:color w:val="auto"/>
          <w:highlight w:val="none"/>
        </w:r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日</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rPr>
        <w:t>以</w:t>
      </w:r>
      <w:r>
        <w:rPr>
          <w:rFonts w:hint="eastAsia" w:ascii="仿宋" w:hAnsi="仿宋" w:eastAsia="仿宋" w:cs="仿宋"/>
          <w:color w:val="auto"/>
          <w:highlight w:val="none"/>
          <w:u w:val="single"/>
        </w:rPr>
        <w:t xml:space="preserve">   （政府采购方式）  </w:t>
      </w:r>
      <w:r>
        <w:rPr>
          <w:rFonts w:hint="eastAsia" w:ascii="仿宋" w:hAnsi="仿宋" w:eastAsia="仿宋" w:cs="仿宋"/>
          <w:color w:val="auto"/>
          <w:highlight w:val="none"/>
        </w:rPr>
        <w:t>对</w:t>
      </w:r>
      <w:r>
        <w:rPr>
          <w:rFonts w:hint="eastAsia" w:ascii="仿宋" w:hAnsi="仿宋" w:eastAsia="仿宋" w:cs="仿宋"/>
          <w:color w:val="auto"/>
          <w:highlight w:val="none"/>
          <w:u w:val="single"/>
        </w:rPr>
        <w:t xml:space="preserve">   （同前页项目名称）   </w:t>
      </w:r>
      <w:r>
        <w:rPr>
          <w:rFonts w:hint="eastAsia" w:ascii="仿宋" w:hAnsi="仿宋" w:eastAsia="仿宋" w:cs="仿宋"/>
          <w:color w:val="auto"/>
          <w:highlight w:val="none"/>
        </w:rPr>
        <w:t>项目进行了采购。经</w:t>
      </w:r>
      <w:r>
        <w:rPr>
          <w:rFonts w:hint="eastAsia" w:ascii="仿宋" w:hAnsi="仿宋" w:eastAsia="仿宋" w:cs="仿宋"/>
          <w:color w:val="auto"/>
          <w:highlight w:val="none"/>
          <w:u w:val="single"/>
        </w:rPr>
        <w:t xml:space="preserve">   （相关评定主体名称）   </w:t>
      </w:r>
      <w:r>
        <w:rPr>
          <w:rFonts w:hint="eastAsia" w:ascii="仿宋" w:hAnsi="仿宋" w:eastAsia="仿宋" w:cs="仿宋"/>
          <w:color w:val="auto"/>
          <w:highlight w:val="none"/>
        </w:rPr>
        <w:t>评定，</w:t>
      </w:r>
      <w:r>
        <w:rPr>
          <w:rFonts w:hint="eastAsia" w:ascii="仿宋" w:hAnsi="仿宋" w:eastAsia="仿宋" w:cs="仿宋"/>
          <w:color w:val="auto"/>
          <w:highlight w:val="none"/>
          <w:u w:val="single"/>
        </w:rPr>
        <w:t xml:space="preserve">   （中标供应商名称）</w:t>
      </w:r>
      <w:r>
        <w:rPr>
          <w:rFonts w:hint="eastAsia" w:ascii="仿宋" w:hAnsi="仿宋" w:eastAsia="仿宋" w:cs="仿宋"/>
          <w:color w:val="auto"/>
          <w:highlight w:val="none"/>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lang w:val="zh-CN"/>
        </w:rPr>
        <w:t>(以下简称：甲方)和</w:t>
      </w:r>
      <w:r>
        <w:rPr>
          <w:rFonts w:hint="eastAsia" w:ascii="仿宋" w:hAnsi="仿宋" w:eastAsia="仿宋" w:cs="仿宋"/>
          <w:color w:val="auto"/>
          <w:highlight w:val="none"/>
          <w:u w:val="single"/>
        </w:rPr>
        <w:t xml:space="preserve">   （中标供应商名称）   </w:t>
      </w:r>
      <w:r>
        <w:rPr>
          <w:rFonts w:hint="eastAsia" w:ascii="仿宋" w:hAnsi="仿宋" w:eastAsia="仿宋" w:cs="仿宋"/>
          <w:color w:val="auto"/>
          <w:highlight w:val="none"/>
          <w:lang w:val="zh-CN"/>
        </w:rPr>
        <w:t>(以下简称：乙方)协商一致，约定以下合同</w:t>
      </w:r>
      <w:r>
        <w:rPr>
          <w:rFonts w:hint="eastAsia" w:ascii="仿宋" w:hAnsi="仿宋" w:eastAsia="仿宋" w:cs="仿宋"/>
          <w:color w:val="auto"/>
          <w:highlight w:val="none"/>
        </w:rPr>
        <w:t>条款，以兹共同遵守、全面履行。</w:t>
      </w:r>
    </w:p>
    <w:p>
      <w:pPr>
        <w:pStyle w:val="5"/>
        <w:rPr>
          <w:rFonts w:hint="eastAsia" w:ascii="仿宋" w:hAnsi="仿宋" w:eastAsia="仿宋" w:cs="仿宋"/>
          <w:color w:val="auto"/>
          <w:highlight w:val="none"/>
        </w:rPr>
      </w:pPr>
      <w:bookmarkStart w:id="368" w:name="_Toc2232"/>
      <w:bookmarkStart w:id="369" w:name="_Toc3029"/>
      <w:bookmarkStart w:id="370" w:name="_Toc24059"/>
      <w:r>
        <w:rPr>
          <w:rFonts w:hint="eastAsia" w:ascii="仿宋" w:hAnsi="仿宋" w:eastAsia="仿宋" w:cs="仿宋"/>
          <w:color w:val="auto"/>
          <w:highlight w:val="none"/>
        </w:rPr>
        <w:t>1.1 合同组成部分</w:t>
      </w:r>
      <w:bookmarkEnd w:id="368"/>
      <w:bookmarkEnd w:id="369"/>
      <w:bookmarkEnd w:id="370"/>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1.1.1 本合同及其补充合同、变更协议；</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 中标通知书；</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1.1.3 投标文件（含澄清或者说明文件）；</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1.1.4 招标文件（含澄清或者修改文件）；</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1.1.5 其他相关采购文件。</w:t>
      </w:r>
    </w:p>
    <w:p>
      <w:pPr>
        <w:pStyle w:val="5"/>
        <w:rPr>
          <w:rFonts w:hint="eastAsia" w:ascii="仿宋" w:hAnsi="仿宋" w:eastAsia="仿宋" w:cs="仿宋"/>
          <w:color w:val="auto"/>
          <w:highlight w:val="none"/>
        </w:rPr>
      </w:pPr>
      <w:bookmarkStart w:id="371" w:name="_Toc27126"/>
      <w:bookmarkStart w:id="372" w:name="_Toc21295"/>
      <w:bookmarkStart w:id="373" w:name="_Toc24300"/>
      <w:r>
        <w:rPr>
          <w:rFonts w:hint="eastAsia" w:ascii="仿宋" w:hAnsi="仿宋" w:eastAsia="仿宋" w:cs="仿宋"/>
          <w:color w:val="auto"/>
          <w:highlight w:val="none"/>
        </w:rPr>
        <w:t>1.2 货物</w:t>
      </w:r>
      <w:bookmarkEnd w:id="371"/>
      <w:bookmarkEnd w:id="372"/>
      <w:bookmarkEnd w:id="373"/>
    </w:p>
    <w:p>
      <w:pPr>
        <w:spacing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1.2.1 货物名称：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spacing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1.2.2 货物数量：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1.2.3 货物质量：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5"/>
        <w:rPr>
          <w:rFonts w:hint="eastAsia" w:ascii="仿宋" w:hAnsi="仿宋" w:eastAsia="仿宋" w:cs="仿宋"/>
          <w:color w:val="auto"/>
          <w:highlight w:val="none"/>
        </w:rPr>
      </w:pPr>
      <w:bookmarkStart w:id="374" w:name="_Toc21631"/>
      <w:bookmarkStart w:id="375" w:name="_Toc21551"/>
      <w:bookmarkStart w:id="376" w:name="_Toc23292"/>
      <w:r>
        <w:rPr>
          <w:rFonts w:hint="eastAsia" w:ascii="仿宋" w:hAnsi="仿宋" w:eastAsia="仿宋" w:cs="仿宋"/>
          <w:color w:val="auto"/>
          <w:highlight w:val="none"/>
        </w:rPr>
        <w:t>1.3 价款</w:t>
      </w:r>
      <w:bookmarkEnd w:id="374"/>
      <w:bookmarkEnd w:id="375"/>
      <w:bookmarkEnd w:id="376"/>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本合同总价为：￥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元人民币）。</w:t>
      </w:r>
    </w:p>
    <w:p>
      <w:pPr>
        <w:spacing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8"/>
              <w:keepNext w:val="0"/>
              <w:keepLines w:val="0"/>
              <w:suppressLineNumbers w:val="0"/>
              <w:spacing w:before="0" w:beforeAutospacing="0" w:afterAutospacing="0" w:line="560" w:lineRule="exact"/>
              <w:ind w:left="0" w:right="0" w:firstLine="200"/>
              <w:jc w:val="center"/>
              <w:rPr>
                <w:rFonts w:hint="eastAsia" w:ascii="仿宋" w:hAnsi="仿宋" w:eastAsia="仿宋" w:cs="仿宋"/>
                <w:color w:val="auto"/>
                <w:sz w:val="24"/>
                <w:szCs w:val="24"/>
                <w:highlight w:val="none"/>
              </w:rPr>
            </w:pPr>
          </w:p>
        </w:tc>
      </w:tr>
    </w:tbl>
    <w:p>
      <w:pPr>
        <w:pStyle w:val="5"/>
        <w:rPr>
          <w:rFonts w:hint="eastAsia" w:ascii="仿宋" w:hAnsi="仿宋" w:eastAsia="仿宋" w:cs="仿宋"/>
          <w:color w:val="auto"/>
          <w:highlight w:val="none"/>
        </w:rPr>
      </w:pPr>
      <w:bookmarkStart w:id="377" w:name="_Toc1814"/>
      <w:bookmarkStart w:id="378" w:name="_Toc22618"/>
      <w:bookmarkStart w:id="379" w:name="_Toc10340"/>
      <w:r>
        <w:rPr>
          <w:rFonts w:hint="eastAsia" w:ascii="仿宋" w:hAnsi="仿宋" w:eastAsia="仿宋" w:cs="仿宋"/>
          <w:color w:val="auto"/>
          <w:highlight w:val="none"/>
        </w:rPr>
        <w:t>1.4 付款</w:t>
      </w:r>
      <w:bookmarkEnd w:id="377"/>
      <w:bookmarkEnd w:id="378"/>
      <w:bookmarkEnd w:id="379"/>
      <w:r>
        <w:rPr>
          <w:rFonts w:hint="eastAsia" w:ascii="仿宋" w:hAnsi="仿宋" w:eastAsia="仿宋" w:cs="仿宋"/>
          <w:color w:val="auto"/>
          <w:highlight w:val="none"/>
        </w:rPr>
        <w:t>方式、时间和条件</w:t>
      </w:r>
    </w:p>
    <w:p>
      <w:pPr>
        <w:pStyle w:val="7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rPr>
          <w:rFonts w:hint="eastAsia" w:ascii="仿宋" w:hAnsi="仿宋" w:eastAsia="仿宋" w:cs="仿宋"/>
          <w:color w:val="auto"/>
          <w:highlight w:val="none"/>
        </w:rPr>
      </w:pPr>
      <w:r>
        <w:rPr>
          <w:rFonts w:hint="eastAsia" w:ascii="仿宋" w:hAnsi="仿宋" w:eastAsia="仿宋" w:cs="仿宋"/>
          <w:color w:val="auto"/>
          <w:highlight w:val="none"/>
        </w:rPr>
        <w:t>1.4.4资金支付的方式、时间和条件详见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5"/>
        <w:rPr>
          <w:rFonts w:hint="eastAsia" w:ascii="仿宋" w:hAnsi="仿宋" w:eastAsia="仿宋" w:cs="仿宋"/>
          <w:color w:val="auto"/>
          <w:highlight w:val="none"/>
        </w:rPr>
      </w:pPr>
      <w:bookmarkStart w:id="380" w:name="_Toc32071"/>
      <w:bookmarkStart w:id="381" w:name="_Toc19304"/>
      <w:bookmarkStart w:id="382" w:name="_Toc2846"/>
      <w:r>
        <w:rPr>
          <w:rFonts w:hint="eastAsia" w:ascii="仿宋" w:hAnsi="仿宋" w:eastAsia="仿宋" w:cs="仿宋"/>
          <w:color w:val="auto"/>
          <w:highlight w:val="none"/>
        </w:rPr>
        <w:t>1.5 货物交付期限、地点和方式</w:t>
      </w:r>
      <w:bookmarkEnd w:id="380"/>
      <w:bookmarkEnd w:id="381"/>
      <w:bookmarkEnd w:id="382"/>
    </w:p>
    <w:p>
      <w:pPr>
        <w:spacing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1.5.1 交付期限：详见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 交付地点：</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1.5.3 交付方式：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5"/>
        <w:rPr>
          <w:rFonts w:hint="eastAsia" w:ascii="仿宋" w:hAnsi="仿宋" w:eastAsia="仿宋" w:cs="仿宋"/>
          <w:color w:val="auto"/>
          <w:highlight w:val="none"/>
        </w:rPr>
      </w:pPr>
      <w:bookmarkStart w:id="383" w:name="_Toc19554"/>
      <w:bookmarkStart w:id="384" w:name="_Toc27250"/>
      <w:bookmarkStart w:id="385" w:name="_Toc21423"/>
      <w:r>
        <w:rPr>
          <w:rFonts w:hint="eastAsia" w:ascii="仿宋" w:hAnsi="仿宋" w:eastAsia="仿宋" w:cs="仿宋"/>
          <w:color w:val="auto"/>
          <w:highlight w:val="none"/>
        </w:rPr>
        <w:t>1.6 违约责任</w:t>
      </w:r>
      <w:bookmarkEnd w:id="383"/>
      <w:bookmarkEnd w:id="384"/>
      <w:bookmarkEnd w:id="385"/>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1.6.7违约责任</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另有约定的，从其约定。</w:t>
      </w:r>
    </w:p>
    <w:p>
      <w:pPr>
        <w:pStyle w:val="5"/>
        <w:rPr>
          <w:rFonts w:hint="eastAsia" w:ascii="仿宋" w:hAnsi="仿宋" w:eastAsia="仿宋" w:cs="仿宋"/>
          <w:color w:val="auto"/>
          <w:highlight w:val="none"/>
        </w:rPr>
      </w:pPr>
      <w:bookmarkStart w:id="386" w:name="_Toc16021"/>
      <w:bookmarkStart w:id="387" w:name="_Toc28375"/>
      <w:bookmarkStart w:id="388" w:name="_Toc15583"/>
      <w:r>
        <w:rPr>
          <w:rFonts w:hint="eastAsia" w:ascii="仿宋" w:hAnsi="仿宋" w:eastAsia="仿宋" w:cs="仿宋"/>
          <w:color w:val="auto"/>
          <w:highlight w:val="none"/>
        </w:rPr>
        <w:t>1.7 合同争议的解决</w:t>
      </w:r>
      <w:bookmarkEnd w:id="386"/>
      <w:bookmarkEnd w:id="387"/>
      <w:bookmarkEnd w:id="388"/>
    </w:p>
    <w:p>
      <w:pPr>
        <w:spacing w:line="560" w:lineRule="exact"/>
        <w:ind w:left="-70" w:leftChars="-29" w:right="-480" w:rightChars="-200"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highlight w:val="none"/>
          <w:u w:val="single"/>
        </w:rPr>
        <w:t xml:space="preserve"> 合同专用条款  </w:t>
      </w:r>
      <w:r>
        <w:rPr>
          <w:rFonts w:hint="eastAsia" w:ascii="仿宋" w:hAnsi="仿宋" w:eastAsia="仿宋" w:cs="仿宋"/>
          <w:color w:val="auto"/>
          <w:highlight w:val="none"/>
        </w:rPr>
        <w:t>条款规定的方式解决：</w:t>
      </w:r>
    </w:p>
    <w:p>
      <w:pPr>
        <w:spacing w:line="560" w:lineRule="exact"/>
        <w:ind w:left="-480" w:leftChars="-200" w:right="-480" w:rightChars="-200"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1.7.1 将争议提交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仲裁委员会依申请仲裁时其现行有效的仲裁规则裁决；</w:t>
      </w:r>
    </w:p>
    <w:p>
      <w:pPr>
        <w:spacing w:line="560" w:lineRule="exact"/>
        <w:ind w:left="-480" w:leftChars="-200" w:right="-480" w:rightChars="-200"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1.7.2 向</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人民法院起诉。</w:t>
      </w:r>
    </w:p>
    <w:p>
      <w:pPr>
        <w:pStyle w:val="5"/>
        <w:rPr>
          <w:rFonts w:hint="eastAsia" w:ascii="仿宋" w:hAnsi="仿宋" w:eastAsia="仿宋" w:cs="仿宋"/>
          <w:color w:val="auto"/>
          <w:highlight w:val="none"/>
        </w:rPr>
      </w:pPr>
      <w:bookmarkStart w:id="389" w:name="_Toc15322"/>
      <w:bookmarkStart w:id="390" w:name="_Toc11173"/>
      <w:bookmarkStart w:id="391" w:name="_Toc7245"/>
      <w:r>
        <w:rPr>
          <w:rFonts w:hint="eastAsia" w:ascii="仿宋" w:hAnsi="仿宋" w:eastAsia="仿宋" w:cs="仿宋"/>
          <w:color w:val="auto"/>
          <w:highlight w:val="none"/>
        </w:rPr>
        <w:t>1.8 合同生效</w:t>
      </w:r>
      <w:bookmarkEnd w:id="389"/>
      <w:bookmarkEnd w:id="390"/>
      <w:bookmarkEnd w:id="391"/>
    </w:p>
    <w:p>
      <w:pPr>
        <w:spacing w:line="560" w:lineRule="exact"/>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本合同自双方当事人盖章或者签字时生效。</w:t>
      </w:r>
    </w:p>
    <w:p>
      <w:pPr>
        <w:autoSpaceDE w:val="0"/>
        <w:autoSpaceDN w:val="0"/>
        <w:spacing w:line="560" w:lineRule="exact"/>
        <w:rPr>
          <w:rFonts w:hint="eastAsia" w:ascii="仿宋" w:hAnsi="仿宋" w:eastAsia="仿宋" w:cs="仿宋"/>
          <w:color w:val="auto"/>
          <w:highlight w:val="none"/>
          <w:lang w:val="zh-CN"/>
        </w:rPr>
      </w:pP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b/>
          <w:color w:val="auto"/>
          <w:highlight w:val="none"/>
          <w:lang w:val="zh-CN"/>
        </w:rPr>
        <w:t>甲方</w:t>
      </w:r>
      <w:r>
        <w:rPr>
          <w:rFonts w:hint="eastAsia" w:ascii="仿宋" w:hAnsi="仿宋" w:eastAsia="仿宋" w:cs="仿宋"/>
          <w:color w:val="auto"/>
          <w:highlight w:val="none"/>
          <w:lang w:val="zh-CN"/>
        </w:rPr>
        <w:t xml:space="preserve">：                             </w:t>
      </w:r>
      <w:r>
        <w:rPr>
          <w:rFonts w:hint="eastAsia" w:ascii="仿宋" w:hAnsi="仿宋" w:eastAsia="仿宋" w:cs="仿宋"/>
          <w:b/>
          <w:color w:val="auto"/>
          <w:highlight w:val="none"/>
          <w:lang w:val="zh-CN"/>
        </w:rPr>
        <w:t xml:space="preserve">      乙方</w:t>
      </w:r>
      <w:r>
        <w:rPr>
          <w:rFonts w:hint="eastAsia" w:ascii="仿宋" w:hAnsi="仿宋" w:eastAsia="仿宋" w:cs="仿宋"/>
          <w:color w:val="auto"/>
          <w:highlight w:val="none"/>
          <w:lang w:val="zh-CN"/>
        </w:rPr>
        <w:t>：</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highlight w:val="none"/>
          <w:lang w:val="zh-CN"/>
        </w:rPr>
      </w:pP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住所：                                   住所：</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法定代表人或                             法定代表人</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授权代表（签字）：                        或授权代表（签字）: </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联系人：                                 联系人：</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约定送达地址：                           约定送达地址：</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邮政编码：                               邮政编码：</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电话:                                    电话: </w:t>
      </w:r>
    </w:p>
    <w:p>
      <w:pPr>
        <w:autoSpaceDE w:val="0"/>
        <w:autoSpaceDN w:val="0"/>
        <w:spacing w:line="5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传真:                                    传真:</w:t>
      </w:r>
    </w:p>
    <w:p>
      <w:pPr>
        <w:autoSpaceDE w:val="0"/>
        <w:autoSpaceDN w:val="0"/>
        <w:spacing w:line="560" w:lineRule="exact"/>
        <w:rPr>
          <w:rFonts w:hint="eastAsia" w:ascii="仿宋" w:hAnsi="仿宋" w:eastAsia="仿宋" w:cs="仿宋"/>
          <w:color w:val="auto"/>
          <w:highlight w:val="none"/>
        </w:rPr>
      </w:pPr>
      <w:r>
        <w:rPr>
          <w:rFonts w:hint="eastAsia" w:ascii="仿宋" w:hAnsi="仿宋" w:eastAsia="仿宋" w:cs="仿宋"/>
          <w:color w:val="auto"/>
          <w:highlight w:val="none"/>
          <w:lang w:val="zh-CN"/>
        </w:rPr>
        <w:t>电子邮箱：                               电子邮箱：</w:t>
      </w:r>
    </w:p>
    <w:p>
      <w:pPr>
        <w:autoSpaceDE w:val="0"/>
        <w:autoSpaceDN w:val="0"/>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w:t>
      </w:r>
    </w:p>
    <w:p>
      <w:pPr>
        <w:autoSpaceDE w:val="0"/>
        <w:autoSpaceDN w:val="0"/>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开户名称：                               开户名称： </w:t>
      </w:r>
    </w:p>
    <w:p>
      <w:pPr>
        <w:autoSpaceDE w:val="0"/>
        <w:autoSpaceDN w:val="0"/>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开户账号：</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开户账号：</w:t>
      </w:r>
    </w:p>
    <w:p>
      <w:pPr>
        <w:spacing w:line="560" w:lineRule="exact"/>
        <w:rPr>
          <w:rFonts w:hint="eastAsia" w:ascii="仿宋" w:hAnsi="仿宋" w:eastAsia="仿宋" w:cs="仿宋"/>
          <w:b/>
          <w:color w:val="auto"/>
          <w:highlight w:val="none"/>
        </w:rPr>
      </w:pPr>
      <w:bookmarkStart w:id="392" w:name="_Toc331685783"/>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第二部分 合同一般条款</w:t>
      </w:r>
      <w:bookmarkEnd w:id="392"/>
    </w:p>
    <w:p>
      <w:pPr>
        <w:pStyle w:val="5"/>
        <w:rPr>
          <w:rFonts w:hint="eastAsia" w:ascii="仿宋" w:hAnsi="仿宋" w:eastAsia="仿宋" w:cs="仿宋"/>
          <w:color w:val="auto"/>
          <w:highlight w:val="none"/>
        </w:rPr>
      </w:pPr>
      <w:bookmarkStart w:id="393" w:name="_Ref467378499"/>
      <w:bookmarkStart w:id="394" w:name="_Ref467379214"/>
      <w:bookmarkStart w:id="395" w:name="_Toc487900349"/>
      <w:bookmarkStart w:id="396" w:name="_Toc28763"/>
      <w:bookmarkStart w:id="397" w:name="_Toc279701240"/>
      <w:bookmarkStart w:id="398" w:name="_Ref467378404"/>
      <w:bookmarkStart w:id="399" w:name="_Ref467379225"/>
      <w:bookmarkStart w:id="400" w:name="_Toc19614"/>
      <w:bookmarkStart w:id="401" w:name="_Ref467379101"/>
      <w:bookmarkStart w:id="402" w:name="_Ref467379109"/>
      <w:bookmarkStart w:id="403" w:name="_Ref467379205"/>
      <w:bookmarkStart w:id="404" w:name="_Toc16917"/>
      <w:bookmarkStart w:id="405" w:name="_Ref467378463"/>
      <w:bookmarkStart w:id="406" w:name="_Ref467379094"/>
      <w:bookmarkStart w:id="407" w:name="_Ref467379195"/>
      <w:bookmarkStart w:id="408" w:name="_Toc259093669"/>
      <w:r>
        <w:rPr>
          <w:rFonts w:hint="eastAsia" w:ascii="仿宋" w:hAnsi="仿宋" w:eastAsia="仿宋" w:cs="仿宋"/>
          <w:color w:val="auto"/>
          <w:highlight w:val="none"/>
        </w:rPr>
        <w:t>2.1 定义</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本合同中的下列词语应按以下内容进行解释：</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highlight w:val="none"/>
        </w:rPr>
      </w:pPr>
      <w:bookmarkStart w:id="409" w:name="_Ref467378840"/>
      <w:r>
        <w:rPr>
          <w:rFonts w:hint="eastAsia" w:ascii="仿宋" w:hAnsi="仿宋" w:eastAsia="仿宋" w:cs="仿宋"/>
          <w:color w:val="auto"/>
          <w:highlight w:val="none"/>
        </w:rPr>
        <w:t>2.1.4 “甲方”系指与中标供应商签署合同的采购人</w:t>
      </w:r>
      <w:bookmarkEnd w:id="409"/>
      <w:r>
        <w:rPr>
          <w:rFonts w:hint="eastAsia" w:ascii="仿宋" w:hAnsi="仿宋" w:eastAsia="仿宋" w:cs="仿宋"/>
          <w:color w:val="auto"/>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highlight w:val="none"/>
        </w:rPr>
      </w:pPr>
      <w:bookmarkStart w:id="410" w:name="_Ref467379400"/>
      <w:r>
        <w:rPr>
          <w:rFonts w:hint="eastAsia" w:ascii="仿宋" w:hAnsi="仿宋" w:eastAsia="仿宋" w:cs="仿宋"/>
          <w:color w:val="auto"/>
          <w:highlight w:val="none"/>
        </w:rPr>
        <w:t>2.1.5 “乙方”系指根据合同约定交付货物的中标供应商</w:t>
      </w:r>
      <w:bookmarkEnd w:id="410"/>
      <w:r>
        <w:rPr>
          <w:rFonts w:hint="eastAsia" w:ascii="仿宋" w:hAnsi="仿宋" w:eastAsia="仿宋" w:cs="仿宋"/>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highlight w:val="none"/>
        </w:rPr>
      </w:pPr>
      <w:bookmarkStart w:id="411" w:name="_Ref467379436"/>
      <w:r>
        <w:rPr>
          <w:rFonts w:hint="eastAsia" w:ascii="仿宋" w:hAnsi="仿宋" w:eastAsia="仿宋" w:cs="仿宋"/>
          <w:color w:val="auto"/>
          <w:highlight w:val="none"/>
        </w:rPr>
        <w:t>2.1.6 “现场”系指合同约定货物将要运至或者安装的地点。</w:t>
      </w:r>
      <w:bookmarkEnd w:id="411"/>
    </w:p>
    <w:p>
      <w:pPr>
        <w:pStyle w:val="5"/>
        <w:rPr>
          <w:rFonts w:hint="eastAsia" w:ascii="仿宋" w:hAnsi="仿宋" w:eastAsia="仿宋" w:cs="仿宋"/>
          <w:color w:val="auto"/>
          <w:highlight w:val="none"/>
        </w:rPr>
      </w:pPr>
      <w:bookmarkStart w:id="412" w:name="_Toc13336"/>
      <w:bookmarkStart w:id="413" w:name="_Toc27635"/>
      <w:bookmarkStart w:id="414" w:name="_Toc259093670"/>
      <w:bookmarkStart w:id="415" w:name="_Toc279701241"/>
      <w:bookmarkStart w:id="416" w:name="_Toc487900350"/>
      <w:bookmarkStart w:id="417" w:name="_Toc32504"/>
      <w:r>
        <w:rPr>
          <w:rFonts w:hint="eastAsia" w:ascii="仿宋" w:hAnsi="仿宋" w:eastAsia="仿宋" w:cs="仿宋"/>
          <w:color w:val="auto"/>
          <w:highlight w:val="none"/>
        </w:rPr>
        <w:t>2.2 技术规范</w:t>
      </w:r>
      <w:bookmarkEnd w:id="412"/>
      <w:bookmarkEnd w:id="413"/>
      <w:bookmarkEnd w:id="414"/>
      <w:bookmarkEnd w:id="415"/>
      <w:bookmarkEnd w:id="416"/>
      <w:bookmarkEnd w:id="417"/>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5"/>
        <w:rPr>
          <w:rFonts w:hint="eastAsia" w:ascii="仿宋" w:hAnsi="仿宋" w:eastAsia="仿宋" w:cs="仿宋"/>
          <w:color w:val="auto"/>
          <w:highlight w:val="none"/>
        </w:rPr>
      </w:pPr>
      <w:bookmarkStart w:id="418" w:name="_Toc259093671"/>
      <w:bookmarkStart w:id="419" w:name="_Toc487900351"/>
      <w:bookmarkStart w:id="420" w:name="_Toc9829"/>
      <w:bookmarkStart w:id="421" w:name="_Toc31634"/>
      <w:bookmarkStart w:id="422" w:name="_Toc27853"/>
      <w:bookmarkStart w:id="423" w:name="_Toc279701242"/>
      <w:r>
        <w:rPr>
          <w:rFonts w:hint="eastAsia" w:ascii="仿宋" w:hAnsi="仿宋" w:eastAsia="仿宋" w:cs="仿宋"/>
          <w:color w:val="auto"/>
          <w:highlight w:val="none"/>
        </w:rPr>
        <w:t>2.3 知识产权</w:t>
      </w:r>
      <w:bookmarkEnd w:id="418"/>
      <w:bookmarkEnd w:id="419"/>
      <w:bookmarkEnd w:id="420"/>
      <w:bookmarkEnd w:id="421"/>
      <w:bookmarkEnd w:id="422"/>
      <w:bookmarkEnd w:id="423"/>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2.3.2具有知识产权的计算机软件等货物的知识产权归属，详见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5"/>
        <w:rPr>
          <w:rFonts w:hint="eastAsia" w:ascii="仿宋" w:hAnsi="仿宋" w:eastAsia="仿宋" w:cs="仿宋"/>
          <w:color w:val="auto"/>
          <w:highlight w:val="none"/>
        </w:rPr>
      </w:pPr>
      <w:bookmarkStart w:id="424" w:name="_Toc29149"/>
      <w:bookmarkStart w:id="425" w:name="_Toc4194"/>
      <w:bookmarkStart w:id="426" w:name="_Toc11932"/>
      <w:r>
        <w:rPr>
          <w:rFonts w:hint="eastAsia" w:ascii="仿宋" w:hAnsi="仿宋" w:eastAsia="仿宋" w:cs="仿宋"/>
          <w:color w:val="auto"/>
          <w:highlight w:val="none"/>
        </w:rPr>
        <w:t>2.4 包装和装运</w:t>
      </w:r>
      <w:bookmarkEnd w:id="424"/>
      <w:bookmarkEnd w:id="425"/>
      <w:bookmarkEnd w:id="426"/>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2.4.1除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2.4.2 装运货物的要求和通知，详见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5"/>
        <w:rPr>
          <w:rFonts w:hint="eastAsia" w:ascii="仿宋" w:hAnsi="仿宋" w:eastAsia="仿宋" w:cs="仿宋"/>
          <w:color w:val="auto"/>
          <w:highlight w:val="none"/>
        </w:rPr>
      </w:pPr>
      <w:bookmarkStart w:id="427" w:name="_Toc487900354"/>
      <w:bookmarkStart w:id="428" w:name="_Toc279701245"/>
      <w:bookmarkStart w:id="429" w:name="_Ref467379527"/>
      <w:bookmarkStart w:id="430" w:name="_Toc259093674"/>
      <w:bookmarkStart w:id="431" w:name="_Ref467379536"/>
      <w:bookmarkStart w:id="432" w:name="_Ref467378541"/>
      <w:bookmarkStart w:id="433" w:name="_Ref467378591"/>
      <w:bookmarkStart w:id="434" w:name="_Ref467379542"/>
      <w:bookmarkStart w:id="435" w:name="_Toc26182"/>
      <w:bookmarkStart w:id="436" w:name="_Toc19074"/>
      <w:bookmarkStart w:id="437" w:name="_Toc30272"/>
      <w:r>
        <w:rPr>
          <w:rFonts w:hint="eastAsia" w:ascii="仿宋" w:hAnsi="仿宋" w:eastAsia="仿宋" w:cs="仿宋"/>
          <w:color w:val="auto"/>
          <w:highlight w:val="none"/>
        </w:rPr>
        <w:t>2.</w:t>
      </w:r>
      <w:bookmarkEnd w:id="427"/>
      <w:bookmarkEnd w:id="428"/>
      <w:bookmarkEnd w:id="429"/>
      <w:bookmarkEnd w:id="430"/>
      <w:bookmarkEnd w:id="431"/>
      <w:bookmarkEnd w:id="432"/>
      <w:bookmarkEnd w:id="433"/>
      <w:bookmarkEnd w:id="434"/>
      <w:r>
        <w:rPr>
          <w:rFonts w:hint="eastAsia" w:ascii="仿宋" w:hAnsi="仿宋" w:eastAsia="仿宋" w:cs="仿宋"/>
          <w:color w:val="auto"/>
          <w:highlight w:val="none"/>
        </w:rPr>
        <w:t>5 履约检查和问题反馈</w:t>
      </w:r>
      <w:bookmarkEnd w:id="435"/>
      <w:bookmarkEnd w:id="436"/>
      <w:bookmarkEnd w:id="437"/>
    </w:p>
    <w:p>
      <w:pPr>
        <w:spacing w:line="560" w:lineRule="exact"/>
        <w:ind w:firstLine="480" w:firstLineChars="200"/>
        <w:rPr>
          <w:rFonts w:hint="eastAsia" w:ascii="仿宋" w:hAnsi="仿宋" w:eastAsia="仿宋" w:cs="仿宋"/>
          <w:color w:val="auto"/>
          <w:highlight w:val="none"/>
        </w:rPr>
      </w:pPr>
      <w:bookmarkStart w:id="438" w:name="_Ref467379657"/>
      <w:r>
        <w:rPr>
          <w:rFonts w:hint="eastAsia" w:ascii="仿宋" w:hAnsi="仿宋" w:eastAsia="仿宋" w:cs="仿宋"/>
          <w:color w:val="auto"/>
          <w:highlight w:val="none"/>
        </w:rPr>
        <w:t>2.5.1</w:t>
      </w:r>
      <w:bookmarkEnd w:id="438"/>
      <w:bookmarkStart w:id="439" w:name="_Toc186431854"/>
      <w:bookmarkStart w:id="440" w:name="_Ref467379793"/>
      <w:bookmarkStart w:id="441" w:name="_Toc279701247"/>
      <w:bookmarkStart w:id="442" w:name="_Toc259093676"/>
      <w:bookmarkStart w:id="443" w:name="_Ref467379807"/>
      <w:bookmarkStart w:id="444" w:name="_Toc487900357"/>
      <w:r>
        <w:rPr>
          <w:rFonts w:hint="eastAsia" w:ascii="仿宋" w:hAnsi="仿宋" w:eastAsia="仿宋" w:cs="仿宋"/>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2.5.2 合同履行期间，甲方有权将履行过程中出现的问题反馈给乙方，双方当事人应以书面形式约定需要完善和改进的内容</w:t>
      </w:r>
      <w:bookmarkEnd w:id="439"/>
      <w:bookmarkStart w:id="445" w:name="_Toc186431855"/>
      <w:r>
        <w:rPr>
          <w:rFonts w:hint="eastAsia" w:ascii="仿宋" w:hAnsi="仿宋" w:eastAsia="仿宋" w:cs="仿宋"/>
          <w:color w:val="auto"/>
          <w:highlight w:val="none"/>
        </w:rPr>
        <w:t>。</w:t>
      </w:r>
    </w:p>
    <w:bookmarkEnd w:id="440"/>
    <w:bookmarkEnd w:id="441"/>
    <w:bookmarkEnd w:id="442"/>
    <w:bookmarkEnd w:id="443"/>
    <w:bookmarkEnd w:id="444"/>
    <w:bookmarkEnd w:id="445"/>
    <w:p>
      <w:pPr>
        <w:pStyle w:val="5"/>
        <w:rPr>
          <w:rFonts w:hint="eastAsia" w:ascii="仿宋" w:hAnsi="仿宋" w:eastAsia="仿宋" w:cs="仿宋"/>
          <w:color w:val="auto"/>
          <w:highlight w:val="none"/>
        </w:rPr>
      </w:pPr>
      <w:bookmarkStart w:id="446" w:name="_Ref467379863"/>
      <w:bookmarkStart w:id="447" w:name="_Toc259093677"/>
      <w:bookmarkStart w:id="448" w:name="_Toc487900358"/>
      <w:bookmarkStart w:id="449" w:name="_Ref467379852"/>
      <w:bookmarkStart w:id="450" w:name="_Toc279701248"/>
      <w:bookmarkStart w:id="451" w:name="_Ref467379923"/>
      <w:bookmarkStart w:id="452" w:name="_Toc774"/>
      <w:bookmarkStart w:id="453" w:name="_Toc3225"/>
      <w:bookmarkStart w:id="454" w:name="_Toc16110"/>
      <w:r>
        <w:rPr>
          <w:rFonts w:hint="eastAsia" w:ascii="仿宋" w:hAnsi="仿宋" w:eastAsia="仿宋" w:cs="仿宋"/>
          <w:color w:val="auto"/>
          <w:highlight w:val="none"/>
        </w:rPr>
        <w:t>2.6 技术资料</w:t>
      </w:r>
      <w:bookmarkEnd w:id="446"/>
      <w:bookmarkEnd w:id="447"/>
      <w:bookmarkEnd w:id="448"/>
      <w:bookmarkEnd w:id="449"/>
      <w:bookmarkEnd w:id="450"/>
      <w:bookmarkEnd w:id="451"/>
      <w:r>
        <w:rPr>
          <w:rFonts w:hint="eastAsia" w:ascii="仿宋" w:hAnsi="仿宋" w:eastAsia="仿宋" w:cs="仿宋"/>
          <w:color w:val="auto"/>
          <w:highlight w:val="none"/>
        </w:rPr>
        <w:t>和保密义务</w:t>
      </w:r>
      <w:bookmarkEnd w:id="452"/>
      <w:bookmarkEnd w:id="453"/>
      <w:bookmarkEnd w:id="454"/>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rPr>
          <w:rFonts w:hint="eastAsia" w:ascii="仿宋" w:hAnsi="仿宋" w:eastAsia="仿宋" w:cs="仿宋"/>
          <w:color w:val="auto"/>
          <w:highlight w:val="none"/>
        </w:rPr>
      </w:pPr>
      <w:bookmarkStart w:id="455" w:name="_Toc7860"/>
      <w:r>
        <w:rPr>
          <w:rFonts w:hint="eastAsia" w:ascii="仿宋" w:hAnsi="仿宋" w:eastAsia="仿宋" w:cs="仿宋"/>
          <w:color w:val="auto"/>
          <w:highlight w:val="none"/>
        </w:rPr>
        <w:t>2.7 质量保证</w:t>
      </w:r>
      <w:bookmarkEnd w:id="455"/>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2.7.2 乙方应保证履行合同的人员数量和素质、软件和硬件设备的配置、场地、环境和设施等满足全面履行合同的要求，并应接受甲方的监督检查。</w:t>
      </w:r>
    </w:p>
    <w:p>
      <w:pPr>
        <w:pStyle w:val="5"/>
        <w:rPr>
          <w:rFonts w:hint="eastAsia" w:ascii="仿宋" w:hAnsi="仿宋" w:eastAsia="仿宋" w:cs="仿宋"/>
          <w:color w:val="auto"/>
          <w:highlight w:val="none"/>
        </w:rPr>
      </w:pPr>
      <w:bookmarkStart w:id="456" w:name="_Toc17244"/>
      <w:bookmarkStart w:id="457" w:name="_Toc487900362"/>
      <w:bookmarkStart w:id="458" w:name="_Toc259093681"/>
      <w:bookmarkStart w:id="459" w:name="_Toc279701252"/>
      <w:r>
        <w:rPr>
          <w:rFonts w:hint="eastAsia" w:ascii="仿宋" w:hAnsi="仿宋" w:eastAsia="仿宋" w:cs="仿宋"/>
          <w:color w:val="auto"/>
          <w:highlight w:val="none"/>
        </w:rPr>
        <w:t>2.8 货物的风险负担</w:t>
      </w:r>
      <w:bookmarkEnd w:id="456"/>
    </w:p>
    <w:p>
      <w:pPr>
        <w:spacing w:line="560" w:lineRule="exact"/>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货物或者在途货物或者交付给第一承运人后的货物毁损、灭失的风险负担详见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pPr>
        <w:pStyle w:val="5"/>
        <w:rPr>
          <w:rFonts w:hint="eastAsia" w:ascii="仿宋" w:hAnsi="仿宋" w:eastAsia="仿宋" w:cs="仿宋"/>
          <w:color w:val="auto"/>
          <w:highlight w:val="none"/>
        </w:rPr>
      </w:pPr>
      <w:bookmarkStart w:id="460" w:name="_Toc14055"/>
      <w:r>
        <w:rPr>
          <w:rFonts w:hint="eastAsia" w:ascii="仿宋" w:hAnsi="仿宋" w:eastAsia="仿宋" w:cs="仿宋"/>
          <w:color w:val="auto"/>
          <w:highlight w:val="none"/>
        </w:rPr>
        <w:t>2.9 延迟交货</w:t>
      </w:r>
      <w:bookmarkEnd w:id="457"/>
      <w:bookmarkEnd w:id="458"/>
      <w:bookmarkEnd w:id="459"/>
      <w:bookmarkEnd w:id="460"/>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rPr>
          <w:rFonts w:hint="eastAsia" w:ascii="仿宋" w:hAnsi="仿宋" w:eastAsia="仿宋" w:cs="仿宋"/>
          <w:color w:val="auto"/>
          <w:highlight w:val="none"/>
        </w:rPr>
      </w:pPr>
      <w:bookmarkStart w:id="461" w:name="_Toc7502"/>
      <w:bookmarkStart w:id="462" w:name="_Toc259093683"/>
      <w:bookmarkStart w:id="463" w:name="_Toc279701254"/>
      <w:bookmarkStart w:id="464" w:name="_Toc487900364"/>
      <w:bookmarkStart w:id="465" w:name="_Ref467378121"/>
      <w:r>
        <w:rPr>
          <w:rFonts w:hint="eastAsia" w:ascii="仿宋" w:hAnsi="仿宋" w:eastAsia="仿宋" w:cs="仿宋"/>
          <w:color w:val="auto"/>
          <w:highlight w:val="none"/>
        </w:rPr>
        <w:t>2.10 合同变更</w:t>
      </w:r>
      <w:bookmarkEnd w:id="461"/>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合同继续履行将损害国家利益和社会公共利益的，双方当事人应当以书面形式变更合同。有过错的一方应当承担赔偿责任，双方当事人都有过错的，各自承担相应的责任。</w:t>
      </w:r>
      <w:bookmarkStart w:id="466" w:name="_Toc279701259"/>
      <w:bookmarkStart w:id="467" w:name="_Toc259093688"/>
      <w:bookmarkStart w:id="468" w:name="_Toc487900369"/>
    </w:p>
    <w:p>
      <w:pPr>
        <w:pStyle w:val="5"/>
        <w:rPr>
          <w:rFonts w:hint="eastAsia" w:ascii="仿宋" w:hAnsi="仿宋" w:eastAsia="仿宋" w:cs="仿宋"/>
          <w:color w:val="auto"/>
          <w:highlight w:val="none"/>
        </w:rPr>
      </w:pPr>
      <w:bookmarkStart w:id="469" w:name="_Toc22955"/>
      <w:bookmarkStart w:id="470" w:name="_Toc15237"/>
      <w:bookmarkStart w:id="471" w:name="_Toc10366"/>
      <w:r>
        <w:rPr>
          <w:rFonts w:hint="eastAsia" w:ascii="仿宋" w:hAnsi="仿宋" w:eastAsia="仿宋" w:cs="仿宋"/>
          <w:color w:val="auto"/>
          <w:highlight w:val="none"/>
        </w:rPr>
        <w:t>2.11 合同转让</w:t>
      </w:r>
      <w:bookmarkEnd w:id="466"/>
      <w:bookmarkEnd w:id="467"/>
      <w:bookmarkEnd w:id="468"/>
      <w:r>
        <w:rPr>
          <w:rFonts w:hint="eastAsia" w:ascii="仿宋" w:hAnsi="仿宋" w:eastAsia="仿宋" w:cs="仿宋"/>
          <w:color w:val="auto"/>
          <w:highlight w:val="none"/>
        </w:rPr>
        <w:t>和分包</w:t>
      </w:r>
      <w:bookmarkEnd w:id="469"/>
      <w:bookmarkEnd w:id="470"/>
      <w:bookmarkEnd w:id="471"/>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2.11.2乙方采取分包方式履行合同的，甲方可直接向分包供应商支付款项。</w:t>
      </w:r>
    </w:p>
    <w:p>
      <w:pPr>
        <w:pStyle w:val="5"/>
        <w:rPr>
          <w:rFonts w:hint="eastAsia" w:ascii="仿宋" w:hAnsi="仿宋" w:eastAsia="仿宋" w:cs="仿宋"/>
          <w:color w:val="auto"/>
          <w:highlight w:val="none"/>
        </w:rPr>
      </w:pPr>
      <w:bookmarkStart w:id="472" w:name="_Toc16508"/>
      <w:bookmarkStart w:id="473" w:name="_Toc13566"/>
      <w:bookmarkStart w:id="474" w:name="_Toc14066"/>
      <w:r>
        <w:rPr>
          <w:rFonts w:hint="eastAsia" w:ascii="仿宋" w:hAnsi="仿宋" w:eastAsia="仿宋" w:cs="仿宋"/>
          <w:color w:val="auto"/>
          <w:highlight w:val="none"/>
        </w:rPr>
        <w:t>2.12 不可抗力</w:t>
      </w:r>
      <w:bookmarkEnd w:id="472"/>
      <w:bookmarkEnd w:id="473"/>
      <w:bookmarkEnd w:id="474"/>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2.12.3 因不可抗力致使合同有变更必要的，双方当事人应在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约定时间内以书面形式变更合同；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2.12.4受不可抗力影响的一方在不可抗力发生后，应在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约定时间内以书面形式通知对方当事人，并在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约定时间内，将有关部门出具的证明文件送达对方当事人。</w:t>
      </w:r>
    </w:p>
    <w:p>
      <w:pPr>
        <w:pStyle w:val="5"/>
        <w:rPr>
          <w:rFonts w:hint="eastAsia" w:ascii="仿宋" w:hAnsi="仿宋" w:eastAsia="仿宋" w:cs="仿宋"/>
          <w:color w:val="auto"/>
          <w:highlight w:val="none"/>
        </w:rPr>
      </w:pPr>
      <w:bookmarkStart w:id="475" w:name="_Toc30676"/>
      <w:bookmarkStart w:id="476" w:name="_Toc6969"/>
      <w:bookmarkStart w:id="477" w:name="_Toc279701255"/>
      <w:bookmarkStart w:id="478" w:name="_Toc259093684"/>
      <w:bookmarkStart w:id="479" w:name="_Toc487900365"/>
      <w:bookmarkStart w:id="480" w:name="_Toc689"/>
      <w:r>
        <w:rPr>
          <w:rFonts w:hint="eastAsia" w:ascii="仿宋" w:hAnsi="仿宋" w:eastAsia="仿宋" w:cs="仿宋"/>
          <w:color w:val="auto"/>
          <w:highlight w:val="none"/>
        </w:rPr>
        <w:t>2.13 税费</w:t>
      </w:r>
      <w:bookmarkEnd w:id="475"/>
      <w:bookmarkEnd w:id="476"/>
      <w:bookmarkEnd w:id="477"/>
      <w:bookmarkEnd w:id="478"/>
      <w:bookmarkEnd w:id="479"/>
      <w:bookmarkEnd w:id="480"/>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与合同有关的一切税费，均按照中华人民共和国法律的相关规定。</w:t>
      </w:r>
    </w:p>
    <w:p>
      <w:pPr>
        <w:pStyle w:val="5"/>
        <w:rPr>
          <w:rFonts w:hint="eastAsia" w:ascii="仿宋" w:hAnsi="仿宋" w:eastAsia="仿宋" w:cs="仿宋"/>
          <w:color w:val="auto"/>
          <w:highlight w:val="none"/>
        </w:rPr>
      </w:pPr>
      <w:bookmarkStart w:id="481" w:name="_Toc259093687"/>
      <w:bookmarkStart w:id="482" w:name="_Toc8298"/>
      <w:bookmarkStart w:id="483" w:name="_Toc16959"/>
      <w:bookmarkStart w:id="484" w:name="_Toc279701258"/>
      <w:bookmarkStart w:id="485" w:name="_Toc487900368"/>
      <w:bookmarkStart w:id="486" w:name="_Toc7102"/>
      <w:r>
        <w:rPr>
          <w:rFonts w:hint="eastAsia" w:ascii="仿宋" w:hAnsi="仿宋" w:eastAsia="仿宋" w:cs="仿宋"/>
          <w:color w:val="auto"/>
          <w:highlight w:val="none"/>
        </w:rPr>
        <w:t>2.14乙方破产</w:t>
      </w:r>
      <w:bookmarkEnd w:id="481"/>
      <w:bookmarkEnd w:id="482"/>
      <w:bookmarkEnd w:id="483"/>
      <w:bookmarkEnd w:id="484"/>
      <w:bookmarkEnd w:id="485"/>
      <w:bookmarkEnd w:id="486"/>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rPr>
          <w:rFonts w:hint="eastAsia" w:ascii="仿宋" w:hAnsi="仿宋" w:eastAsia="仿宋" w:cs="仿宋"/>
          <w:color w:val="auto"/>
          <w:highlight w:val="none"/>
        </w:rPr>
      </w:pPr>
      <w:bookmarkStart w:id="487" w:name="_Toc6134"/>
      <w:bookmarkStart w:id="488" w:name="_Toc15387"/>
      <w:bookmarkStart w:id="489" w:name="_Toc29333"/>
      <w:r>
        <w:rPr>
          <w:rFonts w:hint="eastAsia" w:ascii="仿宋" w:hAnsi="仿宋" w:eastAsia="仿宋" w:cs="仿宋"/>
          <w:color w:val="auto"/>
          <w:highlight w:val="none"/>
        </w:rPr>
        <w:t>2.15 合同中止、终止</w:t>
      </w:r>
      <w:bookmarkEnd w:id="487"/>
      <w:bookmarkEnd w:id="488"/>
      <w:bookmarkEnd w:id="489"/>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2.15.1 双方当事人不得擅自中止或者终止合同；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2.15.2合同继续履行将损害国家利益和社会公共利益的，双方当事人应当中止或者终止合同。有过错的一方应当承担赔偿责任，双方当事人都有过错的，各自承担相应的责任。</w:t>
      </w:r>
    </w:p>
    <w:p>
      <w:pPr>
        <w:pStyle w:val="5"/>
        <w:rPr>
          <w:rFonts w:hint="eastAsia" w:ascii="仿宋" w:hAnsi="仿宋" w:eastAsia="仿宋" w:cs="仿宋"/>
          <w:color w:val="auto"/>
          <w:highlight w:val="none"/>
        </w:rPr>
      </w:pPr>
      <w:bookmarkStart w:id="490" w:name="_Toc6596"/>
      <w:bookmarkStart w:id="491" w:name="_Toc14563"/>
      <w:bookmarkStart w:id="492" w:name="_Toc1125"/>
      <w:r>
        <w:rPr>
          <w:rFonts w:hint="eastAsia" w:ascii="仿宋" w:hAnsi="仿宋" w:eastAsia="仿宋" w:cs="仿宋"/>
          <w:color w:val="auto"/>
          <w:highlight w:val="none"/>
        </w:rPr>
        <w:t>2.16检验和验收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2.16.3 检验和验收标准、程序等具体内容以及前述验收书的效力详见</w:t>
      </w:r>
      <w:r>
        <w:rPr>
          <w:rFonts w:hint="eastAsia" w:ascii="仿宋" w:hAnsi="仿宋" w:eastAsia="仿宋" w:cs="仿宋"/>
          <w:b/>
          <w:i/>
          <w:color w:val="auto"/>
          <w:highlight w:val="none"/>
          <w:u w:val="single"/>
        </w:rPr>
        <w:t>合同专用条款</w:t>
      </w:r>
      <w:r>
        <w:rPr>
          <w:rFonts w:hint="eastAsia" w:ascii="仿宋" w:hAnsi="仿宋" w:eastAsia="仿宋" w:cs="仿宋"/>
          <w:i/>
          <w:color w:val="auto"/>
          <w:highlight w:val="none"/>
        </w:rPr>
        <w:t>。</w:t>
      </w:r>
    </w:p>
    <w:bookmarkEnd w:id="462"/>
    <w:bookmarkEnd w:id="463"/>
    <w:bookmarkEnd w:id="464"/>
    <w:bookmarkEnd w:id="465"/>
    <w:p>
      <w:pPr>
        <w:pStyle w:val="5"/>
        <w:rPr>
          <w:rFonts w:hint="eastAsia" w:ascii="仿宋" w:hAnsi="仿宋" w:eastAsia="仿宋" w:cs="仿宋"/>
          <w:color w:val="auto"/>
          <w:highlight w:val="none"/>
        </w:rPr>
      </w:pPr>
      <w:bookmarkStart w:id="493" w:name="_Toc259093690"/>
      <w:bookmarkStart w:id="494" w:name="_Toc487900371"/>
      <w:bookmarkStart w:id="495" w:name="_Toc279701261"/>
      <w:bookmarkStart w:id="496" w:name="_Toc19604"/>
      <w:bookmarkStart w:id="497" w:name="_Toc25182"/>
      <w:bookmarkStart w:id="498" w:name="_Toc11284"/>
      <w:r>
        <w:rPr>
          <w:rFonts w:hint="eastAsia" w:ascii="仿宋" w:hAnsi="仿宋" w:eastAsia="仿宋" w:cs="仿宋"/>
          <w:color w:val="auto"/>
          <w:highlight w:val="none"/>
        </w:rPr>
        <w:t>2.17 通知</w:t>
      </w:r>
      <w:bookmarkEnd w:id="493"/>
      <w:bookmarkEnd w:id="494"/>
      <w:bookmarkEnd w:id="495"/>
      <w:r>
        <w:rPr>
          <w:rFonts w:hint="eastAsia" w:ascii="仿宋" w:hAnsi="仿宋" w:eastAsia="仿宋" w:cs="仿宋"/>
          <w:color w:val="auto"/>
          <w:highlight w:val="none"/>
        </w:rPr>
        <w:t>和送达</w:t>
      </w:r>
      <w:bookmarkEnd w:id="496"/>
      <w:bookmarkEnd w:id="497"/>
      <w:bookmarkEnd w:id="498"/>
    </w:p>
    <w:p>
      <w:pPr>
        <w:spacing w:line="560" w:lineRule="exact"/>
        <w:ind w:firstLine="480" w:firstLineChars="200"/>
        <w:rPr>
          <w:rFonts w:hint="eastAsia" w:ascii="仿宋" w:hAnsi="仿宋" w:eastAsia="仿宋" w:cs="仿宋"/>
          <w:color w:val="auto"/>
          <w:highlight w:val="none"/>
        </w:rPr>
      </w:pPr>
      <w:bookmarkStart w:id="499" w:name="_Toc3135"/>
      <w:bookmarkStart w:id="500" w:name="_Toc6698"/>
      <w:bookmarkStart w:id="501" w:name="_Toc279701262"/>
      <w:bookmarkStart w:id="502" w:name="_Toc259093691"/>
      <w:bookmarkStart w:id="503" w:name="_Toc487900372"/>
      <w:r>
        <w:rPr>
          <w:rFonts w:hint="eastAsia" w:ascii="仿宋" w:hAnsi="仿宋" w:eastAsia="仿宋" w:cs="仿宋"/>
          <w:color w:val="auto"/>
          <w:highlight w:val="none"/>
        </w:rPr>
        <w:t xml:space="preserve">2.17.1任何一方因履行合同而以合同第一部分尾部所列明的传真或电子邮件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发出的所有通知、文件、材料，均视为已向对方当事人送达；任何一方变更上述送达方式或者地址的，应于</w:t>
      </w:r>
      <w:r>
        <w:rPr>
          <w:rFonts w:hint="eastAsia" w:ascii="仿宋" w:hAnsi="仿宋" w:eastAsia="仿宋" w:cs="仿宋"/>
          <w:color w:val="auto"/>
          <w:highlight w:val="none"/>
          <w:u w:val="single"/>
        </w:rPr>
        <w:t>3</w:t>
      </w:r>
      <w:r>
        <w:rPr>
          <w:rFonts w:hint="eastAsia" w:ascii="仿宋" w:hAnsi="仿宋" w:eastAsia="仿宋" w:cs="仿宋"/>
          <w:color w:val="auto"/>
          <w:highlight w:val="none"/>
        </w:rPr>
        <w:t>个工作日内书面通知对方当事人，在对方当事人收到有关变更通知之前，变更前的约定送达方式或者地址仍视为有效。</w:t>
      </w:r>
      <w:bookmarkEnd w:id="499"/>
      <w:bookmarkEnd w:id="500"/>
    </w:p>
    <w:p>
      <w:pPr>
        <w:spacing w:line="560" w:lineRule="exact"/>
        <w:ind w:firstLine="480" w:firstLineChars="200"/>
        <w:rPr>
          <w:rFonts w:hint="eastAsia" w:ascii="仿宋" w:hAnsi="仿宋" w:eastAsia="仿宋" w:cs="仿宋"/>
          <w:color w:val="auto"/>
          <w:highlight w:val="none"/>
        </w:rPr>
      </w:pPr>
      <w:bookmarkStart w:id="504" w:name="_Toc23128"/>
      <w:bookmarkStart w:id="505" w:name="_Toc23294"/>
      <w:r>
        <w:rPr>
          <w:rFonts w:hint="eastAsia" w:ascii="仿宋" w:hAnsi="仿宋" w:eastAsia="仿宋" w:cs="仿宋"/>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pPr>
        <w:pStyle w:val="5"/>
        <w:rPr>
          <w:rFonts w:hint="eastAsia" w:ascii="仿宋" w:hAnsi="仿宋" w:eastAsia="仿宋" w:cs="仿宋"/>
          <w:color w:val="auto"/>
          <w:highlight w:val="none"/>
        </w:rPr>
      </w:pPr>
      <w:bookmarkStart w:id="506" w:name="_Toc4355"/>
      <w:bookmarkStart w:id="507" w:name="_Toc30599"/>
      <w:bookmarkStart w:id="508" w:name="_Toc18540"/>
      <w:r>
        <w:rPr>
          <w:rFonts w:hint="eastAsia" w:ascii="仿宋" w:hAnsi="仿宋" w:eastAsia="仿宋" w:cs="仿宋"/>
          <w:color w:val="auto"/>
          <w:highlight w:val="none"/>
        </w:rPr>
        <w:t>2.18 计量单位</w:t>
      </w:r>
      <w:bookmarkEnd w:id="501"/>
      <w:bookmarkEnd w:id="502"/>
      <w:bookmarkEnd w:id="503"/>
      <w:bookmarkEnd w:id="506"/>
      <w:bookmarkEnd w:id="507"/>
      <w:bookmarkEnd w:id="508"/>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除技术规范中另有规定外,合同的计量单位均使用国家法定计量单位。</w:t>
      </w:r>
    </w:p>
    <w:p>
      <w:pPr>
        <w:pStyle w:val="5"/>
        <w:rPr>
          <w:rFonts w:hint="eastAsia" w:ascii="仿宋" w:hAnsi="仿宋" w:eastAsia="仿宋" w:cs="仿宋"/>
          <w:color w:val="auto"/>
          <w:highlight w:val="none"/>
        </w:rPr>
      </w:pPr>
      <w:bookmarkStart w:id="509" w:name="_Toc259093692"/>
      <w:bookmarkStart w:id="510" w:name="_Toc487900373"/>
      <w:bookmarkStart w:id="511" w:name="_Toc12773"/>
      <w:bookmarkStart w:id="512" w:name="_Toc18567"/>
      <w:bookmarkStart w:id="513" w:name="_Toc10330"/>
      <w:bookmarkStart w:id="514" w:name="_Toc279701263"/>
      <w:r>
        <w:rPr>
          <w:rFonts w:hint="eastAsia" w:ascii="仿宋" w:hAnsi="仿宋" w:eastAsia="仿宋" w:cs="仿宋"/>
          <w:color w:val="auto"/>
          <w:highlight w:val="none"/>
        </w:rPr>
        <w:t>2.19 合同使用的文字和适用的法律</w:t>
      </w:r>
      <w:bookmarkEnd w:id="509"/>
      <w:bookmarkEnd w:id="510"/>
      <w:bookmarkEnd w:id="511"/>
      <w:bookmarkEnd w:id="512"/>
      <w:bookmarkEnd w:id="513"/>
      <w:bookmarkEnd w:id="514"/>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2.19.1 合同使用汉语书就、变更和解释；</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2.19.2 合同适用中华人民共和国法律。</w:t>
      </w:r>
    </w:p>
    <w:p>
      <w:pPr>
        <w:pStyle w:val="5"/>
        <w:rPr>
          <w:rFonts w:hint="eastAsia" w:ascii="仿宋" w:hAnsi="仿宋" w:eastAsia="仿宋" w:cs="仿宋"/>
          <w:color w:val="auto"/>
          <w:highlight w:val="none"/>
        </w:rPr>
      </w:pPr>
      <w:bookmarkStart w:id="515" w:name="_Toc12004"/>
      <w:bookmarkStart w:id="516" w:name="_Toc3148"/>
      <w:bookmarkStart w:id="517" w:name="_Toc259093693"/>
      <w:bookmarkStart w:id="518" w:name="_Toc279701264"/>
      <w:bookmarkStart w:id="519" w:name="_Toc16673"/>
      <w:bookmarkStart w:id="520" w:name="_Toc487900374"/>
      <w:r>
        <w:rPr>
          <w:rFonts w:hint="eastAsia" w:ascii="仿宋" w:hAnsi="仿宋" w:eastAsia="仿宋" w:cs="仿宋"/>
          <w:color w:val="auto"/>
          <w:highlight w:val="none"/>
        </w:rPr>
        <w:t>2.20 履约保证金</w:t>
      </w:r>
      <w:bookmarkEnd w:id="515"/>
      <w:bookmarkEnd w:id="516"/>
      <w:bookmarkEnd w:id="517"/>
      <w:bookmarkEnd w:id="518"/>
      <w:bookmarkEnd w:id="519"/>
    </w:p>
    <w:p>
      <w:pPr>
        <w:pStyle w:val="73"/>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2.20.2  甲方在项目验收结束后及时退还履约保证金。甲方在项目通过验收之日起</w:t>
      </w:r>
      <w:r>
        <w:rPr>
          <w:rFonts w:hint="eastAsia" w:ascii="仿宋" w:hAnsi="仿宋" w:eastAsia="仿宋" w:cs="仿宋"/>
          <w:color w:val="auto"/>
          <w:highlight w:val="none"/>
          <w:u w:val="single"/>
        </w:rPr>
        <w:t xml:space="preserve"> 5 </w:t>
      </w:r>
      <w:r>
        <w:rPr>
          <w:rFonts w:hint="eastAsia" w:ascii="仿宋" w:hAnsi="仿宋" w:eastAsia="仿宋" w:cs="仿宋"/>
          <w:color w:val="auto"/>
          <w:highlight w:val="none"/>
        </w:rPr>
        <w:t>个工作日内，按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%计算，最高限额为本合同履约保证金的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 xml:space="preserve">%； </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2.20.5甲方在乙方履行完合同约定义务事项后及时退还，延迟退还的，应当按照合同约定和法律规定承担相应的赔偿责任。</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2.21对于因甲方原因导致变更、中止或者终止政府采购合同的，甲方应当依照合同约定对供应商受到的损失予以赔偿或者补偿。</w:t>
      </w:r>
    </w:p>
    <w:bookmarkEnd w:id="520"/>
    <w:p>
      <w:pPr>
        <w:pStyle w:val="5"/>
        <w:rPr>
          <w:rFonts w:hint="eastAsia" w:ascii="仿宋" w:hAnsi="仿宋" w:eastAsia="仿宋" w:cs="仿宋"/>
          <w:color w:val="auto"/>
          <w:highlight w:val="none"/>
        </w:rPr>
      </w:pPr>
      <w:bookmarkStart w:id="521" w:name="_Toc6885"/>
      <w:bookmarkStart w:id="522" w:name="_Toc19890"/>
      <w:bookmarkStart w:id="523" w:name="_Toc14001"/>
      <w:r>
        <w:rPr>
          <w:rFonts w:hint="eastAsia" w:ascii="仿宋" w:hAnsi="仿宋" w:eastAsia="仿宋" w:cs="仿宋"/>
          <w:color w:val="auto"/>
          <w:highlight w:val="none"/>
        </w:rPr>
        <w:t>2.22合同份数</w:t>
      </w:r>
      <w:bookmarkEnd w:id="521"/>
      <w:bookmarkEnd w:id="522"/>
      <w:bookmarkEnd w:id="523"/>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合同份数按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规定，每份均具有同等法律效力。</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第三部分  合同专用条款</w:t>
      </w:r>
    </w:p>
    <w:p>
      <w:pPr>
        <w:spacing w:line="560" w:lineRule="exact"/>
        <w:ind w:left="-480" w:leftChars="-200" w:right="-480" w:rightChars="-20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条款号</w:t>
            </w:r>
          </w:p>
        </w:tc>
        <w:tc>
          <w:tcPr>
            <w:tcW w:w="8088" w:type="dxa"/>
            <w:vAlign w:val="center"/>
          </w:tcPr>
          <w:p>
            <w:pPr>
              <w:keepNext w:val="0"/>
              <w:keepLines w:val="0"/>
              <w:widowControl/>
              <w:suppressLineNumbers w:val="0"/>
              <w:spacing w:before="0" w:beforeAutospacing="0" w:afterAutospacing="0" w:line="360" w:lineRule="auto"/>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1.4.4</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 xml:space="preserve">1.5.1 </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1.5.2</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 xml:space="preserve">1.5.3 </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1.6.7</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1.7.1</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1.7.2</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2.3.2</w:t>
            </w:r>
          </w:p>
        </w:tc>
        <w:tc>
          <w:tcPr>
            <w:tcW w:w="8088" w:type="dxa"/>
            <w:vAlign w:val="center"/>
          </w:tcPr>
          <w:p>
            <w:pPr>
              <w:keepNext w:val="0"/>
              <w:keepLines w:val="0"/>
              <w:widowControl/>
              <w:suppressLineNumbers w:val="0"/>
              <w:spacing w:before="0" w:beforeAutospacing="0" w:afterAutospacing="0" w:line="360" w:lineRule="auto"/>
              <w:ind w:left="-480" w:leftChars="-200" w:right="-480" w:rightChars="-200" w:firstLine="480" w:firstLineChars="20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2.4.1</w:t>
            </w:r>
          </w:p>
        </w:tc>
        <w:tc>
          <w:tcPr>
            <w:tcW w:w="8088" w:type="dxa"/>
            <w:vAlign w:val="center"/>
          </w:tcPr>
          <w:p>
            <w:pPr>
              <w:keepNext w:val="0"/>
              <w:keepLines w:val="0"/>
              <w:widowControl/>
              <w:suppressLineNumbers w:val="0"/>
              <w:spacing w:before="0" w:beforeAutospacing="0" w:afterAutospacing="0" w:line="360" w:lineRule="auto"/>
              <w:ind w:left="-480" w:leftChars="-200" w:right="-480" w:rightChars="-200" w:firstLine="480" w:firstLineChars="20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2.4.2</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 xml:space="preserve">2.8 </w:t>
            </w:r>
          </w:p>
        </w:tc>
        <w:tc>
          <w:tcPr>
            <w:tcW w:w="8088" w:type="dxa"/>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2.12.3</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2.12.4</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2.16.1</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2.16.3</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831" w:type="dxa"/>
            <w:tcBorders>
              <w:left w:val="single" w:color="auto" w:sz="4" w:space="0"/>
            </w:tcBorders>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2.20.1</w:t>
            </w:r>
          </w:p>
        </w:tc>
        <w:tc>
          <w:tcPr>
            <w:tcW w:w="8088" w:type="dxa"/>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 xml:space="preserve">2.20.2 </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831" w:type="dxa"/>
            <w:tcBorders>
              <w:left w:val="single" w:color="auto" w:sz="4" w:space="0"/>
            </w:tcBorders>
            <w:vAlign w:val="center"/>
          </w:tcPr>
          <w:p>
            <w:pPr>
              <w:keepNext w:val="0"/>
              <w:keepLines w:val="0"/>
              <w:widowControl/>
              <w:suppressLineNumbers w:val="0"/>
              <w:spacing w:before="0" w:beforeAutospacing="0" w:afterAutospacing="0" w:line="360" w:lineRule="auto"/>
              <w:ind w:left="-480" w:leftChars="-200" w:right="-480" w:rightChars="-200"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2.22 </w:t>
            </w:r>
          </w:p>
        </w:tc>
        <w:tc>
          <w:tcPr>
            <w:tcW w:w="8088"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auto"/>
                <w:highlight w:val="none"/>
              </w:rPr>
            </w:pPr>
          </w:p>
        </w:tc>
      </w:tr>
    </w:tbl>
    <w:p>
      <w:pPr>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第六部分 应提交的有关格式范例</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pPr>
        <w:jc w:val="center"/>
        <w:rPr>
          <w:rFonts w:hint="eastAsia" w:ascii="仿宋" w:hAnsi="仿宋" w:eastAsia="仿宋" w:cs="仿宋"/>
          <w:b/>
          <w:color w:val="auto"/>
          <w:sz w:val="40"/>
          <w:highlight w:val="none"/>
        </w:rPr>
      </w:pPr>
      <w:r>
        <w:rPr>
          <w:rFonts w:hint="eastAsia" w:ascii="仿宋" w:hAnsi="仿宋" w:eastAsia="仿宋" w:cs="仿宋"/>
          <w:b/>
          <w:color w:val="auto"/>
          <w:sz w:val="40"/>
          <w:highlight w:val="none"/>
        </w:rPr>
        <w:t>目录</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（3）本项目的特定资格要求………………………………………………（页码）</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一、 符合参加政府采购活动应当具备的一般条件的承诺函</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snapToGrid w:val="0"/>
        <w:spacing w:line="360" w:lineRule="auto"/>
        <w:ind w:right="480"/>
        <w:jc w:val="center"/>
        <w:rPr>
          <w:rFonts w:hint="eastAsia" w:ascii="仿宋" w:hAnsi="仿宋" w:eastAsia="仿宋" w:cs="仿宋"/>
          <w:b/>
          <w:color w:val="auto"/>
          <w:sz w:val="32"/>
          <w:szCs w:val="32"/>
          <w:highlight w:val="none"/>
        </w:rPr>
      </w:pP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二、落实政府采购政策需满足的资格要求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（根据招标公告落实政府采购政策需满足的资格要求选择提供相应的材料；未要求的，无需提供）</w:t>
      </w:r>
    </w:p>
    <w:p>
      <w:pPr>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 xml:space="preserve">.专门面向中小企业，货物全部由符合政策要求的中小企业（或小微企业）制造或者服务全部由符合政策要求的中小企业（或小微企业）承接的，提供相应的中小企业声明函（附件5）。 </w:t>
      </w:r>
    </w:p>
    <w:p>
      <w:pPr>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联合协议</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分包意向协议</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highlight w:val="none"/>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    日期：  年  月   日</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三、本项目的特定资格要求</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（根据招标公告本项目的特定资格要求提供相应的材料；未要求的，无需提供）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（1）投标函……………………………………………………………………（页码）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评标标准相应的商务技术资料……………………………………………（页码）（7）投标标的清单………………………………………………………………（页码）（8）商务技术偏离表……………………………………………………………（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一、投标函</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我方参加你方组织的（项目名称）【招标编号：（采购编号）】招标的有关活动，并对此项目进行投标。为此：</w:t>
      </w:r>
    </w:p>
    <w:p>
      <w:pPr>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pPr>
        <w:rPr>
          <w:rFonts w:hint="eastAsia" w:ascii="仿宋" w:hAnsi="仿宋" w:eastAsia="仿宋" w:cs="仿宋"/>
          <w:color w:val="auto"/>
          <w:highlight w:val="none"/>
        </w:rPr>
      </w:pPr>
      <w:r>
        <w:rPr>
          <w:rFonts w:hint="eastAsia" w:ascii="仿宋" w:hAnsi="仿宋" w:eastAsia="仿宋" w:cs="仿宋"/>
          <w:color w:val="auto"/>
          <w:highlight w:val="none"/>
        </w:rPr>
        <w:t>2.1资格文件：</w:t>
      </w:r>
    </w:p>
    <w:p>
      <w:pPr>
        <w:rPr>
          <w:rFonts w:hint="eastAsia" w:ascii="仿宋" w:hAnsi="仿宋" w:eastAsia="仿宋" w:cs="仿宋"/>
          <w:color w:val="auto"/>
          <w:highlight w:val="none"/>
        </w:rPr>
      </w:pPr>
      <w:r>
        <w:rPr>
          <w:rFonts w:hint="eastAsia" w:ascii="仿宋" w:hAnsi="仿宋" w:eastAsia="仿宋" w:cs="仿宋"/>
          <w:color w:val="auto"/>
          <w:highlight w:val="none"/>
        </w:rPr>
        <w:t>2.1.1承诺函；</w:t>
      </w:r>
    </w:p>
    <w:p>
      <w:pPr>
        <w:rPr>
          <w:rFonts w:hint="eastAsia" w:ascii="仿宋" w:hAnsi="仿宋" w:eastAsia="仿宋" w:cs="仿宋"/>
          <w:color w:val="auto"/>
          <w:highlight w:val="none"/>
        </w:rPr>
      </w:pPr>
      <w:r>
        <w:rPr>
          <w:rFonts w:hint="eastAsia" w:ascii="仿宋" w:hAnsi="仿宋" w:eastAsia="仿宋" w:cs="仿宋"/>
          <w:color w:val="auto"/>
          <w:highlight w:val="none"/>
        </w:rPr>
        <w:t>2.1.2落实政府采购政策需满足的资格要求（如果有）；</w:t>
      </w:r>
    </w:p>
    <w:p>
      <w:pPr>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商务技术</w:t>
      </w:r>
      <w:r>
        <w:rPr>
          <w:rFonts w:hint="eastAsia" w:ascii="仿宋" w:hAnsi="仿宋" w:eastAsia="仿宋" w:cs="仿宋"/>
          <w:color w:val="auto"/>
          <w:highlight w:val="none"/>
          <w:lang w:val="zh-CN"/>
        </w:rPr>
        <w:t>文件：</w:t>
      </w:r>
    </w:p>
    <w:p>
      <w:pPr>
        <w:rPr>
          <w:rFonts w:hint="eastAsia" w:ascii="仿宋" w:hAnsi="仿宋" w:eastAsia="仿宋" w:cs="仿宋"/>
          <w:color w:val="auto"/>
          <w:highlight w:val="none"/>
        </w:rPr>
      </w:pPr>
      <w:r>
        <w:rPr>
          <w:rFonts w:hint="eastAsia" w:ascii="仿宋" w:hAnsi="仿宋" w:eastAsia="仿宋" w:cs="仿宋"/>
          <w:color w:val="auto"/>
          <w:highlight w:val="none"/>
        </w:rPr>
        <w:t>2.2.1投标函；</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pPr>
        <w:rPr>
          <w:rFonts w:hint="eastAsia" w:ascii="仿宋" w:hAnsi="仿宋" w:eastAsia="仿宋" w:cs="仿宋"/>
          <w:color w:val="auto"/>
          <w:highlight w:val="none"/>
        </w:rPr>
      </w:pPr>
      <w:r>
        <w:rPr>
          <w:rFonts w:hint="eastAsia" w:ascii="仿宋" w:hAnsi="仿宋" w:eastAsia="仿宋" w:cs="仿宋"/>
          <w:color w:val="auto"/>
          <w:highlight w:val="none"/>
        </w:rPr>
        <w:t>2.2.3联合协议（如果有）；</w:t>
      </w:r>
    </w:p>
    <w:p>
      <w:pPr>
        <w:rPr>
          <w:rFonts w:hint="eastAsia" w:ascii="仿宋" w:hAnsi="仿宋" w:eastAsia="仿宋" w:cs="仿宋"/>
          <w:color w:val="auto"/>
          <w:highlight w:val="none"/>
        </w:rPr>
      </w:pPr>
      <w:r>
        <w:rPr>
          <w:rFonts w:hint="eastAsia" w:ascii="仿宋" w:hAnsi="仿宋" w:eastAsia="仿宋" w:cs="仿宋"/>
          <w:color w:val="auto"/>
          <w:highlight w:val="none"/>
        </w:rPr>
        <w:t>2.2.4分包意向协议（如果有）；</w:t>
      </w:r>
    </w:p>
    <w:p>
      <w:pPr>
        <w:rPr>
          <w:rFonts w:hint="eastAsia" w:ascii="仿宋" w:hAnsi="仿宋" w:eastAsia="仿宋" w:cs="仿宋"/>
          <w:color w:val="auto"/>
          <w:highlight w:val="none"/>
        </w:rPr>
      </w:pPr>
      <w:r>
        <w:rPr>
          <w:rFonts w:hint="eastAsia" w:ascii="仿宋" w:hAnsi="仿宋" w:eastAsia="仿宋" w:cs="仿宋"/>
          <w:color w:val="auto"/>
          <w:highlight w:val="none"/>
        </w:rPr>
        <w:t>2.2.5符合性审查资料；</w:t>
      </w:r>
    </w:p>
    <w:p>
      <w:pPr>
        <w:rPr>
          <w:rFonts w:hint="eastAsia" w:ascii="仿宋" w:hAnsi="仿宋" w:eastAsia="仿宋" w:cs="仿宋"/>
          <w:color w:val="auto"/>
          <w:highlight w:val="none"/>
        </w:rPr>
      </w:pPr>
      <w:r>
        <w:rPr>
          <w:rFonts w:hint="eastAsia" w:ascii="仿宋" w:hAnsi="仿宋" w:eastAsia="仿宋" w:cs="仿宋"/>
          <w:color w:val="auto"/>
          <w:highlight w:val="none"/>
        </w:rPr>
        <w:t>2.2.6评标标准相应的商务技术资料；</w:t>
      </w:r>
    </w:p>
    <w:p>
      <w:pPr>
        <w:rPr>
          <w:rFonts w:hint="eastAsia" w:ascii="仿宋" w:hAnsi="仿宋" w:eastAsia="仿宋" w:cs="仿宋"/>
          <w:color w:val="auto"/>
          <w:highlight w:val="none"/>
        </w:rPr>
      </w:pPr>
      <w:r>
        <w:rPr>
          <w:rFonts w:hint="eastAsia" w:ascii="仿宋" w:hAnsi="仿宋" w:eastAsia="仿宋" w:cs="仿宋"/>
          <w:color w:val="auto"/>
          <w:highlight w:val="none"/>
        </w:rPr>
        <w:t>2.2.7投标标的清单；</w:t>
      </w:r>
    </w:p>
    <w:p>
      <w:pPr>
        <w:rPr>
          <w:rFonts w:hint="eastAsia" w:ascii="仿宋" w:hAnsi="仿宋" w:eastAsia="仿宋" w:cs="仿宋"/>
          <w:color w:val="auto"/>
          <w:highlight w:val="none"/>
        </w:rPr>
      </w:pPr>
      <w:r>
        <w:rPr>
          <w:rFonts w:hint="eastAsia" w:ascii="仿宋" w:hAnsi="仿宋" w:eastAsia="仿宋" w:cs="仿宋"/>
          <w:color w:val="auto"/>
          <w:highlight w:val="none"/>
        </w:rPr>
        <w:t>2.2.8商务技术偏离表；</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p>
    <w:p>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pPr>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pPr>
        <w:rPr>
          <w:rFonts w:hint="eastAsia" w:ascii="仿宋" w:hAnsi="仿宋" w:eastAsia="仿宋" w:cs="仿宋"/>
          <w:color w:val="auto"/>
          <w:highlight w:val="none"/>
        </w:rPr>
      </w:pPr>
      <w:r>
        <w:rPr>
          <w:rFonts w:hint="eastAsia" w:ascii="仿宋" w:hAnsi="仿宋" w:eastAsia="仿宋" w:cs="仿宋"/>
          <w:color w:val="auto"/>
          <w:highlight w:val="none"/>
        </w:rPr>
        <w:t>2.3.2中小企业声明函（如果有）。</w:t>
      </w:r>
    </w:p>
    <w:p>
      <w:pPr>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w:t>
      </w:r>
    </w:p>
    <w:p>
      <w:pPr>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pPr>
        <w:rPr>
          <w:rFonts w:hint="eastAsia" w:ascii="仿宋" w:hAnsi="仿宋" w:eastAsia="仿宋" w:cs="仿宋"/>
          <w:color w:val="auto"/>
          <w:highlight w:val="none"/>
        </w:rPr>
      </w:pPr>
      <w:r>
        <w:rPr>
          <w:rFonts w:hint="eastAsia" w:ascii="仿宋" w:hAnsi="仿宋" w:eastAsia="仿宋" w:cs="仿宋"/>
          <w:color w:val="auto"/>
          <w:highlight w:val="none"/>
        </w:rPr>
        <w:t>5、其他补充说明: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rPr>
          <w:rFonts w:hint="eastAsia" w:ascii="仿宋" w:hAnsi="仿宋" w:eastAsia="仿宋" w:cs="仿宋"/>
          <w:color w:val="auto"/>
          <w:highlight w:val="none"/>
          <w:u w:val="single"/>
        </w:rPr>
      </w:pP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签发日期：  年  月   日</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授权委托书（适用于联合体投标）</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spacing w:line="276" w:lineRule="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pPr>
        <w:autoSpaceDE w:val="0"/>
        <w:autoSpaceDN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7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5"/>
              <w:keepNext w:val="0"/>
              <w:keepLines w:val="0"/>
              <w:suppressLineNumbers w:val="0"/>
              <w:adjustRightInd w:val="0"/>
              <w:spacing w:before="0" w:beforeAutospacing="0" w:afterAutospacing="0" w:line="360" w:lineRule="auto"/>
              <w:ind w:left="0" w:right="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75"/>
              <w:keepNext w:val="0"/>
              <w:keepLines w:val="0"/>
              <w:suppressLineNumbers w:val="0"/>
              <w:adjustRightInd w:val="0"/>
              <w:spacing w:before="0" w:beforeAutospacing="0" w:afterAutospacing="0" w:line="360" w:lineRule="auto"/>
              <w:ind w:left="0" w:right="0"/>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                              </w:t>
      </w:r>
    </w:p>
    <w:p>
      <w:pPr>
        <w:spacing w:line="36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spacing w:line="276"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pPr>
        <w:pStyle w:val="4"/>
        <w:ind w:left="480"/>
        <w:rPr>
          <w:rFonts w:hint="eastAsia" w:ascii="仿宋" w:hAnsi="仿宋" w:eastAsia="仿宋" w:cs="仿宋"/>
          <w:color w:val="auto"/>
          <w:highlight w:val="none"/>
          <w:lang w:val="zh-CN"/>
        </w:rPr>
      </w:pPr>
      <w:r>
        <w:rPr>
          <w:rFonts w:hint="eastAsia" w:ascii="仿宋" w:hAnsi="仿宋" w:eastAsia="仿宋" w:cs="仿宋"/>
          <w:color w:val="auto"/>
          <w:highlight w:val="none"/>
        </w:rPr>
        <w:t>三、</w:t>
      </w:r>
      <w:r>
        <w:rPr>
          <w:rFonts w:hint="eastAsia" w:ascii="仿宋" w:hAnsi="仿宋" w:eastAsia="仿宋" w:cs="仿宋"/>
          <w:color w:val="auto"/>
          <w:highlight w:val="none"/>
          <w:lang w:val="zh-CN"/>
        </w:rPr>
        <w:t>联合协议</w:t>
      </w:r>
    </w:p>
    <w:p>
      <w:pPr>
        <w:rPr>
          <w:rFonts w:hint="eastAsia" w:ascii="仿宋" w:hAnsi="仿宋" w:eastAsia="仿宋" w:cs="仿宋"/>
          <w:color w:val="auto"/>
          <w:highlight w:val="none"/>
        </w:rPr>
      </w:pPr>
      <w:r>
        <w:rPr>
          <w:rFonts w:hint="eastAsia" w:ascii="仿宋" w:hAnsi="仿宋" w:eastAsia="仿宋" w:cs="仿宋"/>
          <w:color w:val="auto"/>
          <w:highlight w:val="none"/>
        </w:rPr>
        <w:t>（以联合体形式投标的，提供联合协议；本项目不接受联合体投标或者投标人不以联合体形式投标的，则不需要提供）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rPr>
        <w:t>提供的全部货物由小微企业制造，其合同份额占到合同总金额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四、分包意向协议</w:t>
      </w:r>
    </w:p>
    <w:p>
      <w:pPr>
        <w:rPr>
          <w:rFonts w:hint="eastAsia" w:ascii="仿宋" w:hAnsi="仿宋" w:eastAsia="仿宋" w:cs="仿宋"/>
          <w:b/>
          <w:color w:val="auto"/>
          <w:highlight w:val="none"/>
        </w:rPr>
      </w:pP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（分包供应商名称）提供的货物全部由小微企业制造，</w:t>
      </w:r>
      <w:r>
        <w:rPr>
          <w:rFonts w:hint="eastAsia" w:ascii="仿宋" w:hAnsi="仿宋" w:eastAsia="仿宋" w:cs="仿宋"/>
          <w:color w:val="auto"/>
          <w:highlight w:val="none"/>
        </w:rPr>
        <w:t>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widowControl/>
              <w:suppressLineNumbers w:val="0"/>
              <w:snapToGrid w:val="0"/>
              <w:spacing w:before="0" w:beforeAutospacing="0" w:afterAutospacing="0" w:line="240" w:lineRule="atLeast"/>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140" w:type="dxa"/>
            <w:vAlign w:val="center"/>
          </w:tcPr>
          <w:p>
            <w:pPr>
              <w:keepNext w:val="0"/>
              <w:keepLines w:val="0"/>
              <w:widowControl/>
              <w:suppressLineNumbers w:val="0"/>
              <w:snapToGrid w:val="0"/>
              <w:spacing w:before="0" w:beforeAutospacing="0" w:afterAutospacing="0" w:line="240" w:lineRule="atLeast"/>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2410" w:type="dxa"/>
            <w:vAlign w:val="center"/>
          </w:tcPr>
          <w:p>
            <w:pPr>
              <w:keepNext w:val="0"/>
              <w:keepLines w:val="0"/>
              <w:widowControl/>
              <w:suppressLineNumbers w:val="0"/>
              <w:snapToGrid w:val="0"/>
              <w:spacing w:before="0" w:beforeAutospacing="0" w:afterAutospacing="0" w:line="240" w:lineRule="atLeast"/>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701" w:type="dxa"/>
            <w:vAlign w:val="center"/>
          </w:tcPr>
          <w:p>
            <w:pPr>
              <w:keepNext w:val="0"/>
              <w:keepLines w:val="0"/>
              <w:widowControl/>
              <w:suppressLineNumbers w:val="0"/>
              <w:snapToGrid w:val="0"/>
              <w:spacing w:before="0" w:beforeAutospacing="0" w:afterAutospacing="0" w:line="240" w:lineRule="atLeast"/>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w:t>
            </w:r>
          </w:p>
          <w:p>
            <w:pPr>
              <w:keepNext w:val="0"/>
              <w:keepLines w:val="0"/>
              <w:widowControl/>
              <w:suppressLineNumbers w:val="0"/>
              <w:snapToGrid w:val="0"/>
              <w:spacing w:before="0" w:beforeAutospacing="0" w:afterAutospacing="0" w:line="240" w:lineRule="atLeast"/>
              <w:ind w:left="0" w:right="0"/>
              <w:jc w:val="center"/>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40" w:type="dxa"/>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410"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701" w:type="dxa"/>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140" w:type="dxa"/>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节能产品认证证书（本项目拟采购的产品不属于政府强制采购的节能产品品目清单范围的，无需提供）</w:t>
            </w:r>
          </w:p>
        </w:tc>
        <w:tc>
          <w:tcPr>
            <w:tcW w:w="1701" w:type="dxa"/>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见投标文件</w:t>
            </w:r>
          </w:p>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140" w:type="dxa"/>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410"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701" w:type="dxa"/>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4140" w:type="dxa"/>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410"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招标文件其它实质性要求相应的材料（“▲” 系指实质性要求条款，招标文件无其它实质性要求的，无需提供）</w:t>
            </w:r>
          </w:p>
        </w:tc>
        <w:tc>
          <w:tcPr>
            <w:tcW w:w="1701" w:type="dxa"/>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六、评标标准相应的商务技术资料</w:t>
      </w:r>
    </w:p>
    <w:p>
      <w:pPr>
        <w:snapToGrid w:val="0"/>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（按招标文件第四部分评标办法前附表中“投标文件中评标标准相应的商务技术资料目录”提供资料。）</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54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27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32"/>
                <w:szCs w:val="32"/>
                <w:highlight w:val="none"/>
              </w:rPr>
            </w:pPr>
          </w:p>
        </w:tc>
        <w:tc>
          <w:tcPr>
            <w:tcW w:w="354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32"/>
                <w:szCs w:val="32"/>
                <w:highlight w:val="none"/>
              </w:rPr>
            </w:pPr>
          </w:p>
        </w:tc>
        <w:tc>
          <w:tcPr>
            <w:tcW w:w="127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32"/>
                <w:szCs w:val="32"/>
                <w:highlight w:val="none"/>
              </w:rPr>
            </w:pPr>
          </w:p>
        </w:tc>
        <w:tc>
          <w:tcPr>
            <w:tcW w:w="354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32"/>
                <w:szCs w:val="32"/>
                <w:highlight w:val="none"/>
              </w:rPr>
            </w:pPr>
          </w:p>
        </w:tc>
        <w:tc>
          <w:tcPr>
            <w:tcW w:w="127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32"/>
                <w:szCs w:val="32"/>
                <w:highlight w:val="none"/>
              </w:rPr>
            </w:pPr>
          </w:p>
        </w:tc>
        <w:tc>
          <w:tcPr>
            <w:tcW w:w="354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32"/>
                <w:szCs w:val="32"/>
                <w:highlight w:val="none"/>
              </w:rPr>
            </w:pPr>
          </w:p>
        </w:tc>
        <w:tc>
          <w:tcPr>
            <w:tcW w:w="1276" w:type="dxa"/>
          </w:tcPr>
          <w:p>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32"/>
                <w:szCs w:val="32"/>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投标人保证：除商务技术偏离表列出的偏离外，投标人响应招标文件的全部要求</w:t>
      </w:r>
    </w:p>
    <w:p>
      <w:pPr>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bCs/>
          <w:color w:val="auto"/>
          <w:highlight w:val="none"/>
        </w:rPr>
        <w:t>九</w:t>
      </w:r>
      <w:r>
        <w:rPr>
          <w:rFonts w:hint="eastAsia" w:ascii="仿宋" w:hAnsi="仿宋" w:eastAsia="仿宋" w:cs="仿宋"/>
          <w:color w:val="auto"/>
          <w:highlight w:val="none"/>
        </w:rPr>
        <w:t>、</w:t>
      </w:r>
      <w:r>
        <w:rPr>
          <w:rFonts w:hint="eastAsia" w:ascii="仿宋" w:hAnsi="仿宋" w:eastAsia="仿宋" w:cs="仿宋"/>
          <w:color w:val="auto"/>
          <w:highlight w:val="none"/>
          <w:lang w:val="zh-CN"/>
        </w:rPr>
        <w:t>政府采购供应商廉洁自律承诺书</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好处；</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法》《中华人民共和国民法典》等法律法规，诚实守信，合法经营，坚决抵制各种违法违纪行为。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进行项目建设或其他经营活动，并通报市财政局。由此引起的相应损失均由我单位承担。</w:t>
      </w:r>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rPr>
          <w:rFonts w:hint="eastAsia" w:ascii="仿宋" w:hAnsi="仿宋" w:eastAsia="仿宋" w:cs="仿宋"/>
          <w:b/>
          <w:bCs/>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pPr>
        <w:rPr>
          <w:rFonts w:hint="eastAsia" w:ascii="仿宋" w:hAnsi="仿宋" w:eastAsia="仿宋" w:cs="仿宋"/>
          <w:color w:val="auto"/>
          <w:highlight w:val="none"/>
        </w:rPr>
      </w:pPr>
      <w:r>
        <w:rPr>
          <w:rFonts w:hint="eastAsia" w:ascii="仿宋" w:hAnsi="仿宋" w:eastAsia="仿宋" w:cs="仿宋"/>
          <w:color w:val="auto"/>
          <w:highlight w:val="none"/>
        </w:rPr>
        <w:t>（1）开标一览表（报价表）…………………………………………………（页码）</w:t>
      </w:r>
    </w:p>
    <w:p>
      <w:pPr>
        <w:rPr>
          <w:rFonts w:hint="eastAsia" w:ascii="仿宋" w:hAnsi="仿宋" w:eastAsia="仿宋" w:cs="仿宋"/>
          <w:color w:val="auto"/>
          <w:highlight w:val="none"/>
        </w:rPr>
      </w:pPr>
      <w:r>
        <w:rPr>
          <w:rFonts w:hint="eastAsia" w:ascii="仿宋" w:hAnsi="仿宋" w:eastAsia="仿宋" w:cs="仿宋"/>
          <w:color w:val="auto"/>
          <w:highlight w:val="none"/>
        </w:rPr>
        <w:t>（2）中小企业声明函…………………………………………………………（页码）</w:t>
      </w:r>
    </w:p>
    <w:p>
      <w:pPr>
        <w:snapToGrid w:val="0"/>
        <w:spacing w:line="360" w:lineRule="auto"/>
        <w:ind w:right="480"/>
        <w:jc w:val="center"/>
        <w:rPr>
          <w:rFonts w:hint="eastAsia" w:ascii="仿宋" w:hAnsi="仿宋" w:eastAsia="仿宋" w:cs="仿宋"/>
          <w:b/>
          <w:color w:val="auto"/>
          <w:sz w:val="32"/>
          <w:szCs w:val="32"/>
          <w:highlight w:val="none"/>
        </w:rPr>
      </w:pPr>
    </w:p>
    <w:p>
      <w:pPr>
        <w:pStyle w:val="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6" w:type="default"/>
          <w:pgSz w:w="11906" w:h="16838"/>
          <w:pgMar w:top="1440" w:right="1700" w:bottom="1440" w:left="1800" w:header="851" w:footer="992" w:gutter="0"/>
          <w:cols w:space="425" w:num="1"/>
          <w:docGrid w:type="lines" w:linePitch="312" w:charSpace="0"/>
        </w:sectPr>
      </w:pP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一、开标一览表（报价表）</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highlight w:val="none"/>
          <w:lang w:val="zh-CN"/>
        </w:rPr>
        <w:t>【招标编号：</w:t>
      </w:r>
      <w:r>
        <w:rPr>
          <w:rFonts w:hint="eastAsia" w:ascii="仿宋" w:hAnsi="仿宋" w:eastAsia="仿宋" w:cs="仿宋"/>
          <w:color w:val="auto"/>
          <w:highlight w:val="none"/>
        </w:rPr>
        <w:t>（采购编号）】的实施</w:t>
      </w:r>
      <w:r>
        <w:rPr>
          <w:rFonts w:hint="eastAsia" w:ascii="仿宋" w:hAnsi="仿宋" w:eastAsia="仿宋" w:cs="仿宋"/>
          <w:color w:val="auto"/>
          <w:highlight w:val="none"/>
          <w:lang w:val="zh-CN"/>
        </w:rPr>
        <w:t>。</w:t>
      </w:r>
    </w:p>
    <w:p>
      <w:pPr>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开标一览表（报价表）(单位均为人民币元)</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843" w:type="dxa"/>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p>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品牌（如果有）</w:t>
            </w:r>
          </w:p>
        </w:tc>
        <w:tc>
          <w:tcPr>
            <w:tcW w:w="3118" w:type="dxa"/>
            <w:vAlign w:val="center"/>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规格型号（或具体服务）</w:t>
            </w:r>
          </w:p>
        </w:tc>
        <w:tc>
          <w:tcPr>
            <w:tcW w:w="993" w:type="dxa"/>
            <w:vAlign w:val="center"/>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559" w:type="dxa"/>
            <w:vAlign w:val="center"/>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单价</w:t>
            </w:r>
          </w:p>
        </w:tc>
        <w:tc>
          <w:tcPr>
            <w:tcW w:w="1984" w:type="dxa"/>
            <w:vAlign w:val="center"/>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总价</w:t>
            </w:r>
          </w:p>
        </w:tc>
        <w:tc>
          <w:tcPr>
            <w:tcW w:w="3119" w:type="dxa"/>
            <w:vAlign w:val="center"/>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p>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质保或服务年限</w:t>
            </w:r>
          </w:p>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84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8"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99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55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98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84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8"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99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55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98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84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8"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99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55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98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417"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84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8"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99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55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98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417"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84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8"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993"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55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1984"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c>
          <w:tcPr>
            <w:tcW w:w="3119" w:type="dxa"/>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4"/>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widowControl/>
              <w:suppressLineNumbers w:val="0"/>
              <w:spacing w:before="0" w:beforeAutospacing="0" w:afterAutospacing="0"/>
              <w:ind w:left="0" w:right="0"/>
              <w:rPr>
                <w:rFonts w:hint="eastAsia" w:ascii="仿宋" w:hAnsi="仿宋" w:eastAsia="仿宋" w:cs="仿宋"/>
                <w:b/>
                <w:color w:val="auto"/>
                <w:highlight w:val="none"/>
              </w:rPr>
            </w:pPr>
            <w:r>
              <w:rPr>
                <w:rFonts w:hint="eastAsia" w:ascii="仿宋" w:hAnsi="仿宋" w:eastAsia="仿宋" w:cs="仿宋"/>
                <w:b/>
                <w:color w:val="auto"/>
                <w:highlight w:val="none"/>
              </w:rPr>
              <w:t>投标报价（大写）</w:t>
            </w:r>
          </w:p>
        </w:tc>
        <w:tc>
          <w:tcPr>
            <w:tcW w:w="7655" w:type="dxa"/>
            <w:gridSpan w:val="4"/>
            <w:vAlign w:val="center"/>
          </w:tcPr>
          <w:p>
            <w:pPr>
              <w:keepNext w:val="0"/>
              <w:keepLines w:val="0"/>
              <w:widowControl/>
              <w:suppressLineNumbers w:val="0"/>
              <w:spacing w:before="0" w:beforeAutospacing="0" w:afterAutospacing="0"/>
              <w:ind w:left="0" w:right="0"/>
              <w:rPr>
                <w:rFonts w:hint="eastAsia" w:ascii="仿宋" w:hAnsi="仿宋" w:eastAsia="仿宋" w:cs="仿宋"/>
                <w:color w:val="auto"/>
                <w:highlight w:val="none"/>
              </w:rPr>
            </w:pPr>
          </w:p>
        </w:tc>
      </w:tr>
    </w:tbl>
    <w:p>
      <w:pPr>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1、投标人需按本表格式填写，不得自行更改。</w:t>
      </w:r>
      <w:r>
        <w:rPr>
          <w:rFonts w:hint="eastAsia" w:ascii="仿宋" w:hAnsi="仿宋" w:eastAsia="仿宋" w:cs="仿宋"/>
          <w:color w:val="auto"/>
          <w:highlight w:val="none"/>
          <w:lang w:val="zh-CN"/>
        </w:rPr>
        <w:tab/>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2、有关本项目实施所涉及的一切费用均计入报价。</w:t>
      </w:r>
      <w:r>
        <w:rPr>
          <w:rFonts w:hint="eastAsia" w:ascii="仿宋" w:hAnsi="仿宋" w:eastAsia="仿宋" w:cs="仿宋"/>
          <w:b/>
          <w:color w:val="auto"/>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highlight w:val="none"/>
          <w:lang w:val="zh-CN"/>
        </w:rPr>
        <w:t>，</w:t>
      </w:r>
      <w:r>
        <w:rPr>
          <w:rFonts w:hint="eastAsia" w:ascii="仿宋" w:hAnsi="仿宋" w:eastAsia="仿宋" w:cs="仿宋"/>
          <w:b/>
          <w:color w:val="auto"/>
          <w:highlight w:val="none"/>
          <w:lang w:val="zh-CN"/>
        </w:rPr>
        <w:t>不得出现“0元”“免费赠送”等形式的无偿报价，</w:t>
      </w:r>
      <w:r>
        <w:rPr>
          <w:rFonts w:hint="eastAsia" w:ascii="仿宋" w:hAnsi="仿宋" w:eastAsia="仿宋" w:cs="仿宋"/>
          <w:b/>
          <w:color w:val="auto"/>
          <w:highlight w:val="none"/>
        </w:rPr>
        <w:t>否则视为投标文件含有采购人不能接受的附加条件的，投标无效</w:t>
      </w:r>
      <w:r>
        <w:rPr>
          <w:rFonts w:hint="eastAsia" w:ascii="仿宋" w:hAnsi="仿宋" w:eastAsia="仿宋" w:cs="仿宋"/>
          <w:b/>
          <w:color w:val="auto"/>
          <w:highlight w:val="none"/>
          <w:lang w:val="zh-CN"/>
        </w:rPr>
        <w:t>；采购内容未包含在《开标一览表（报价表）》名称栏中，投标人不能作出合理解释的，</w:t>
      </w:r>
      <w:r>
        <w:rPr>
          <w:rFonts w:hint="eastAsia" w:ascii="仿宋" w:hAnsi="仿宋" w:eastAsia="仿宋" w:cs="仿宋"/>
          <w:b/>
          <w:color w:val="auto"/>
          <w:highlight w:val="none"/>
        </w:rPr>
        <w:t>视为投标文件含有采购人不能接受的附加条件的，投标无效。</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3、以上表格要求细分项目及报价，在“规格型号（或具体服务）”一栏中，货物类项目填写规格型号，服务类项目填写具体服务。</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4、特别提示：采购机构将对项目名称和项目编号，中标供应商名称、地址和中标金额，主要中标标的的名称、规格型号、数量、单价、服务要求等予以公示。</w:t>
      </w:r>
    </w:p>
    <w:p>
      <w:pPr>
        <w:rPr>
          <w:rFonts w:hint="eastAsia" w:ascii="仿宋" w:hAnsi="仿宋" w:eastAsia="仿宋" w:cs="仿宋"/>
          <w:color w:val="auto"/>
          <w:highlight w:val="none"/>
          <w:lang w:val="zh-CN"/>
        </w:rPr>
      </w:pPr>
      <w:r>
        <w:rPr>
          <w:rFonts w:hint="eastAsia" w:ascii="仿宋" w:hAnsi="仿宋" w:eastAsia="仿宋" w:cs="仿宋"/>
          <w:color w:val="auto"/>
          <w:szCs w:val="22"/>
          <w:highlight w:val="none"/>
          <w:lang w:val="zh-CN"/>
        </w:rPr>
        <w:t>5、</w:t>
      </w:r>
      <w:r>
        <w:rPr>
          <w:rFonts w:hint="eastAsia" w:ascii="仿宋" w:hAnsi="仿宋" w:eastAsia="仿宋" w:cs="仿宋"/>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highlight w:val="none"/>
        </w:rPr>
        <w:sectPr>
          <w:pgSz w:w="16838" w:h="11906" w:orient="landscape"/>
          <w:pgMar w:top="1800" w:right="1440" w:bottom="1700" w:left="1440" w:header="851" w:footer="992" w:gutter="0"/>
          <w:cols w:space="425" w:num="1"/>
          <w:docGrid w:type="lines" w:linePitch="326" w:charSpace="0"/>
        </w:sectPr>
      </w:pPr>
    </w:p>
    <w:p>
      <w:pPr>
        <w:pStyle w:val="4"/>
        <w:ind w:left="480"/>
        <w:rPr>
          <w:rFonts w:hint="eastAsia" w:ascii="仿宋" w:hAnsi="仿宋" w:eastAsia="仿宋" w:cs="仿宋"/>
          <w:color w:val="auto"/>
          <w:highlight w:val="none"/>
        </w:rPr>
      </w:pPr>
      <w:r>
        <w:rPr>
          <w:rFonts w:hint="eastAsia" w:ascii="仿宋" w:hAnsi="仿宋" w:eastAsia="仿宋" w:cs="仿宋"/>
          <w:color w:val="auto"/>
          <w:kern w:val="2"/>
          <w:highlight w:val="none"/>
        </w:rPr>
        <w:t>二、</w:t>
      </w:r>
      <w:r>
        <w:rPr>
          <w:rFonts w:hint="eastAsia" w:ascii="仿宋" w:hAnsi="仿宋" w:eastAsia="仿宋" w:cs="仿宋"/>
          <w:color w:val="auto"/>
          <w:highlight w:val="none"/>
        </w:rPr>
        <w:t>中小企业声明函</w:t>
      </w:r>
    </w:p>
    <w:p>
      <w:pPr>
        <w:spacing w:line="360" w:lineRule="auto"/>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4"/>
        <w:ind w:left="480"/>
        <w:rPr>
          <w:rFonts w:hint="eastAsia" w:ascii="仿宋" w:hAnsi="仿宋" w:eastAsia="仿宋" w:cs="仿宋"/>
          <w:color w:val="auto"/>
          <w:highlight w:val="none"/>
        </w:rPr>
      </w:pPr>
      <w:r>
        <w:rPr>
          <w:rFonts w:hint="eastAsia" w:ascii="仿宋" w:hAnsi="仿宋" w:eastAsia="仿宋" w:cs="仿宋"/>
          <w:color w:val="auto"/>
          <w:highlight w:val="none"/>
        </w:rPr>
        <w:t>政府采购支持中小企业信用融资相关事项通知</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中国银保监会浙江监管局、杭州市地方金融监督管理局、杭州市经济和信息化局制定《杭州市政府采购支持中小企业信用融资管理办法》。相关事项通知如下：</w:t>
      </w:r>
    </w:p>
    <w:p>
      <w:pPr>
        <w:rPr>
          <w:rFonts w:hint="eastAsia" w:ascii="仿宋" w:hAnsi="仿宋" w:eastAsia="仿宋" w:cs="仿宋"/>
          <w:b/>
          <w:color w:val="auto"/>
          <w:highlight w:val="none"/>
        </w:rPr>
      </w:pPr>
      <w:r>
        <w:rPr>
          <w:rFonts w:hint="eastAsia" w:ascii="仿宋" w:hAnsi="仿宋" w:eastAsia="仿宋" w:cs="仿宋"/>
          <w:b/>
          <w:color w:val="auto"/>
          <w:highlight w:val="none"/>
        </w:rPr>
        <w:t>一、适用对象</w:t>
      </w:r>
    </w:p>
    <w:p>
      <w:pPr>
        <w:rPr>
          <w:rFonts w:hint="eastAsia" w:ascii="仿宋" w:hAnsi="仿宋" w:eastAsia="仿宋" w:cs="仿宋"/>
          <w:color w:val="auto"/>
          <w:highlight w:val="none"/>
        </w:rPr>
      </w:pPr>
      <w:r>
        <w:rPr>
          <w:rFonts w:hint="eastAsia" w:ascii="仿宋" w:hAnsi="仿宋" w:eastAsia="仿宋" w:cs="仿宋"/>
          <w:color w:val="auto"/>
          <w:highlight w:val="none"/>
        </w:rPr>
        <w:t>凡已在浙江政府采购网上注册入库，并取得杭州市政府采购合同的中小企业供应商（以下简称“供应商”），均可申请政府采购信用融资。</w:t>
      </w:r>
    </w:p>
    <w:p>
      <w:pPr>
        <w:rPr>
          <w:rFonts w:hint="eastAsia" w:ascii="仿宋" w:hAnsi="仿宋" w:eastAsia="仿宋" w:cs="仿宋"/>
          <w:b/>
          <w:color w:val="auto"/>
          <w:highlight w:val="none"/>
        </w:rPr>
      </w:pPr>
      <w:r>
        <w:rPr>
          <w:rFonts w:hint="eastAsia" w:ascii="仿宋" w:hAnsi="仿宋" w:eastAsia="仿宋" w:cs="仿宋"/>
          <w:b/>
          <w:color w:val="auto"/>
          <w:highlight w:val="none"/>
        </w:rPr>
        <w:t>二、相关信息获取方式</w:t>
      </w:r>
    </w:p>
    <w:p>
      <w:pPr>
        <w:rPr>
          <w:rFonts w:hint="eastAsia" w:ascii="仿宋" w:hAnsi="仿宋" w:eastAsia="仿宋" w:cs="仿宋"/>
          <w:color w:val="auto"/>
          <w:highlight w:val="none"/>
        </w:rPr>
      </w:pPr>
      <w:r>
        <w:rPr>
          <w:rFonts w:hint="eastAsia" w:ascii="仿宋" w:hAnsi="仿宋" w:eastAsia="仿宋" w:cs="仿宋"/>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hint="eastAsia" w:ascii="仿宋" w:hAnsi="仿宋" w:eastAsia="仿宋" w:cs="仿宋"/>
          <w:b/>
          <w:color w:val="auto"/>
          <w:highlight w:val="none"/>
        </w:rPr>
      </w:pPr>
      <w:r>
        <w:rPr>
          <w:rFonts w:hint="eastAsia" w:ascii="仿宋" w:hAnsi="仿宋" w:eastAsia="仿宋" w:cs="仿宋"/>
          <w:b/>
          <w:color w:val="auto"/>
          <w:highlight w:val="none"/>
        </w:rPr>
        <w:t>三、　政府采购信用融资操作流程：</w:t>
      </w:r>
    </w:p>
    <w:p>
      <w:pPr>
        <w:rPr>
          <w:rFonts w:hint="eastAsia" w:ascii="仿宋" w:hAnsi="仿宋" w:eastAsia="仿宋" w:cs="仿宋"/>
          <w:color w:val="auto"/>
          <w:highlight w:val="none"/>
        </w:rPr>
      </w:pPr>
      <w:r>
        <w:rPr>
          <w:rFonts w:hint="eastAsia" w:ascii="仿宋" w:hAnsi="仿宋" w:eastAsia="仿宋" w:cs="仿宋"/>
          <w:color w:val="auto"/>
          <w:highlight w:val="none"/>
        </w:rPr>
        <w:t>（一）线上融资模式：</w:t>
      </w:r>
    </w:p>
    <w:p>
      <w:pPr>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1.供应商根据合作银行提供的方案，自行选择金融产品，并办理开户等手续；</w:t>
      </w:r>
    </w:p>
    <w:p>
      <w:pPr>
        <w:rPr>
          <w:rFonts w:hint="eastAsia" w:ascii="仿宋" w:hAnsi="仿宋" w:eastAsia="仿宋" w:cs="仿宋"/>
          <w:color w:val="auto"/>
          <w:highlight w:val="none"/>
        </w:rPr>
      </w:pPr>
      <w:r>
        <w:rPr>
          <w:rFonts w:hint="eastAsia" w:ascii="仿宋" w:hAnsi="仿宋" w:eastAsia="仿宋" w:cs="仿宋"/>
          <w:color w:val="auto"/>
          <w:highlight w:val="none"/>
        </w:rPr>
        <w:t>　　2.供应商中标后，可通过杭州市政府采购网或“浙里办”测算授信额度；</w:t>
      </w:r>
    </w:p>
    <w:p>
      <w:pPr>
        <w:rPr>
          <w:rFonts w:hint="eastAsia" w:ascii="仿宋" w:hAnsi="仿宋" w:eastAsia="仿宋" w:cs="仿宋"/>
          <w:color w:val="auto"/>
          <w:highlight w:val="none"/>
        </w:rPr>
      </w:pPr>
      <w:r>
        <w:rPr>
          <w:rFonts w:hint="eastAsia" w:ascii="仿宋" w:hAnsi="仿宋" w:eastAsia="仿宋" w:cs="仿宋"/>
          <w:color w:val="auto"/>
          <w:highlight w:val="none"/>
        </w:rPr>
        <w:t>　　3.采购合同签订后，供应商在杭州市政府采购网或“浙里办”向合作银行发出融资申请；</w:t>
      </w:r>
    </w:p>
    <w:p>
      <w:pPr>
        <w:rPr>
          <w:rFonts w:hint="eastAsia" w:ascii="仿宋" w:hAnsi="仿宋" w:eastAsia="仿宋" w:cs="仿宋"/>
          <w:color w:val="auto"/>
          <w:highlight w:val="none"/>
        </w:rPr>
      </w:pPr>
      <w:r>
        <w:rPr>
          <w:rFonts w:hint="eastAsia" w:ascii="仿宋" w:hAnsi="仿宋" w:eastAsia="仿宋" w:cs="仿宋"/>
          <w:color w:val="auto"/>
          <w:highlight w:val="none"/>
        </w:rPr>
        <w:t>　　4.审批通过后，在线办理放贷手续。</w:t>
      </w:r>
    </w:p>
    <w:p>
      <w:pPr>
        <w:rPr>
          <w:rFonts w:hint="eastAsia" w:ascii="仿宋" w:hAnsi="仿宋" w:eastAsia="仿宋" w:cs="仿宋"/>
          <w:color w:val="auto"/>
          <w:highlight w:val="none"/>
        </w:rPr>
      </w:pPr>
      <w:r>
        <w:rPr>
          <w:rFonts w:hint="eastAsia" w:ascii="仿宋" w:hAnsi="仿宋" w:eastAsia="仿宋" w:cs="仿宋"/>
          <w:color w:val="auto"/>
          <w:highlight w:val="none"/>
        </w:rPr>
        <w:t>　　（二）线下融资模式：</w:t>
      </w:r>
    </w:p>
    <w:p>
      <w:pPr>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1.供应商根据合作银行提供的方案，自行选择金融产品，向合作银行提出信用资格预审，并办理开户等手续；</w:t>
      </w:r>
    </w:p>
    <w:p>
      <w:pPr>
        <w:rPr>
          <w:rFonts w:hint="eastAsia" w:ascii="仿宋" w:hAnsi="仿宋" w:eastAsia="仿宋" w:cs="仿宋"/>
          <w:color w:val="auto"/>
          <w:highlight w:val="none"/>
        </w:rPr>
      </w:pPr>
      <w:r>
        <w:rPr>
          <w:rFonts w:hint="eastAsia" w:ascii="仿宋" w:hAnsi="仿宋" w:eastAsia="仿宋" w:cs="仿宋"/>
          <w:color w:val="auto"/>
          <w:highlight w:val="none"/>
        </w:rPr>
        <w:t>　　2.采购合同签订后，供应商在杭州市政府采购网或“浙里办”向合作银行发出融资申请；</w:t>
      </w:r>
    </w:p>
    <w:p>
      <w:pPr>
        <w:rPr>
          <w:rFonts w:hint="eastAsia" w:ascii="仿宋" w:hAnsi="仿宋" w:eastAsia="仿宋" w:cs="仿宋"/>
          <w:color w:val="auto"/>
          <w:highlight w:val="none"/>
        </w:rPr>
      </w:pPr>
      <w:r>
        <w:rPr>
          <w:rFonts w:hint="eastAsia" w:ascii="仿宋" w:hAnsi="仿宋" w:eastAsia="仿宋" w:cs="仿宋"/>
          <w:color w:val="auto"/>
          <w:highlight w:val="none"/>
        </w:rPr>
        <w:t>　　3.合作银行在信用融资模块受理申请后，供应商提供审批材料。合作银行应对申请信用融资的供应商及备案的政府采购合同信息进行核对和审查；</w:t>
      </w:r>
    </w:p>
    <w:p>
      <w:pPr>
        <w:rPr>
          <w:rFonts w:hint="eastAsia" w:ascii="仿宋" w:hAnsi="仿宋" w:eastAsia="仿宋" w:cs="仿宋"/>
          <w:color w:val="auto"/>
          <w:highlight w:val="none"/>
        </w:rPr>
      </w:pPr>
      <w:r>
        <w:rPr>
          <w:rFonts w:hint="eastAsia" w:ascii="仿宋" w:hAnsi="仿宋" w:eastAsia="仿宋" w:cs="仿宋"/>
          <w:color w:val="auto"/>
          <w:highlight w:val="none"/>
        </w:rPr>
        <w:t>　　4.审批通过后，合作银行应按照合作备忘录中约定的审批放款期限和优惠利率及时予以放款。</w:t>
      </w:r>
    </w:p>
    <w:p>
      <w:pPr>
        <w:rPr>
          <w:rFonts w:hint="eastAsia" w:ascii="仿宋" w:hAnsi="仿宋" w:eastAsia="仿宋" w:cs="仿宋"/>
          <w:b/>
          <w:bCs/>
          <w:color w:val="auto"/>
          <w:highlight w:val="none"/>
        </w:rPr>
      </w:pPr>
      <w:r>
        <w:rPr>
          <w:rFonts w:hint="eastAsia" w:ascii="仿宋" w:hAnsi="仿宋" w:eastAsia="仿宋" w:cs="仿宋"/>
          <w:color w:val="auto"/>
          <w:highlight w:val="none"/>
        </w:rPr>
        <w:t>（三）杭州e融平台申请融资</w:t>
      </w:r>
    </w:p>
    <w:p>
      <w:pPr>
        <w:rPr>
          <w:rFonts w:hint="eastAsia" w:ascii="仿宋" w:hAnsi="仿宋" w:eastAsia="仿宋" w:cs="仿宋"/>
          <w:b/>
          <w:bCs/>
          <w:color w:val="auto"/>
          <w:highlight w:val="none"/>
        </w:rPr>
      </w:pPr>
      <w:r>
        <w:rPr>
          <w:rFonts w:hint="eastAsia" w:ascii="仿宋" w:hAnsi="仿宋" w:eastAsia="仿宋" w:cs="仿宋"/>
          <w:color w:val="auto"/>
          <w:highlight w:val="none"/>
        </w:rPr>
        <w:t>供应商通过杭州e融平台政采贷专区，自行选择金融产品，按规定手续办理贷款流程。</w:t>
      </w:r>
    </w:p>
    <w:p>
      <w:pPr>
        <w:rPr>
          <w:rFonts w:hint="eastAsia" w:ascii="仿宋" w:hAnsi="仿宋" w:eastAsia="仿宋" w:cs="仿宋"/>
          <w:b/>
          <w:color w:val="auto"/>
          <w:highlight w:val="none"/>
        </w:rPr>
      </w:pPr>
      <w:r>
        <w:rPr>
          <w:rFonts w:hint="eastAsia" w:ascii="仿宋" w:hAnsi="仿宋" w:eastAsia="仿宋" w:cs="仿宋"/>
          <w:b/>
          <w:color w:val="auto"/>
          <w:highlight w:val="none"/>
        </w:rPr>
        <w:t>四、注意事项</w:t>
      </w:r>
    </w:p>
    <w:p>
      <w:pPr>
        <w:rPr>
          <w:rFonts w:hint="eastAsia" w:ascii="仿宋" w:hAnsi="仿宋" w:eastAsia="仿宋" w:cs="仿宋"/>
          <w:color w:val="auto"/>
          <w:highlight w:val="none"/>
        </w:rPr>
      </w:pPr>
      <w:r>
        <w:rPr>
          <w:rFonts w:hint="eastAsia" w:ascii="仿宋" w:hAnsi="仿宋" w:eastAsia="仿宋" w:cs="仿宋"/>
          <w:color w:val="auto"/>
          <w:highlight w:val="none"/>
        </w:rPr>
        <w:t>1、对拟用于信用融资的政府采购合同，供应商在签订合同时应当在合同中注明融资银行名称及账号，作为在该银行的唯一收款账号。</w:t>
      </w:r>
    </w:p>
    <w:p>
      <w:pPr>
        <w:rPr>
          <w:rFonts w:hint="eastAsia" w:ascii="仿宋" w:hAnsi="仿宋" w:eastAsia="仿宋" w:cs="仿宋"/>
          <w:color w:val="auto"/>
          <w:highlight w:val="none"/>
        </w:rPr>
      </w:pPr>
      <w:r>
        <w:rPr>
          <w:rFonts w:hint="eastAsia" w:ascii="仿宋" w:hAnsi="仿宋" w:eastAsia="仿宋" w:cs="仿宋"/>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highlight w:val="none"/>
        </w:rPr>
      </w:pPr>
    </w:p>
    <w:p>
      <w:pPr>
        <w:spacing w:line="360" w:lineRule="auto"/>
        <w:ind w:firstLine="120" w:firstLineChars="50"/>
        <w:rPr>
          <w:rFonts w:hint="eastAsia" w:ascii="仿宋" w:hAnsi="仿宋" w:eastAsia="仿宋" w:cs="仿宋"/>
          <w:b/>
          <w:color w:val="auto"/>
          <w:highlight w:val="none"/>
        </w:rPr>
      </w:pPr>
    </w:p>
    <w:p>
      <w:pPr>
        <w:spacing w:line="360" w:lineRule="auto"/>
        <w:ind w:firstLine="482" w:firstLineChars="200"/>
        <w:rPr>
          <w:rFonts w:hint="eastAsia" w:ascii="仿宋" w:hAnsi="仿宋" w:eastAsia="仿宋" w:cs="仿宋"/>
          <w:b/>
          <w:color w:val="auto"/>
          <w:highlight w:val="none"/>
        </w:rPr>
      </w:pPr>
    </w:p>
    <w:p>
      <w:pPr>
        <w:pStyle w:val="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bookmarkStart w:id="524" w:name="_Toc465665161"/>
      <w:r>
        <w:rPr>
          <w:rFonts w:hint="eastAsia" w:ascii="仿宋" w:hAnsi="仿宋" w:eastAsia="仿宋" w:cs="仿宋"/>
          <w:color w:val="auto"/>
          <w:highlight w:val="none"/>
        </w:rPr>
        <w:t>附件</w:t>
      </w:r>
      <w:bookmarkEnd w:id="524"/>
    </w:p>
    <w:p>
      <w:pPr>
        <w:pStyle w:val="4"/>
        <w:ind w:left="480"/>
        <w:jc w:val="left"/>
        <w:rPr>
          <w:rFonts w:hint="eastAsia" w:ascii="仿宋" w:hAnsi="仿宋" w:eastAsia="仿宋" w:cs="仿宋"/>
          <w:color w:val="auto"/>
          <w:highlight w:val="none"/>
        </w:rPr>
      </w:pPr>
      <w:r>
        <w:rPr>
          <w:rFonts w:hint="eastAsia" w:ascii="仿宋" w:hAnsi="仿宋" w:eastAsia="仿宋" w:cs="仿宋"/>
          <w:color w:val="auto"/>
          <w:highlight w:val="none"/>
        </w:rPr>
        <w:t>附件1：残疾人福利性单位声明函</w:t>
      </w:r>
    </w:p>
    <w:p>
      <w:pPr>
        <w:spacing w:line="360" w:lineRule="auto"/>
        <w:jc w:val="center"/>
        <w:rPr>
          <w:rFonts w:hint="eastAsia" w:ascii="仿宋" w:hAnsi="仿宋" w:eastAsia="仿宋" w:cs="仿宋"/>
          <w:b/>
          <w:color w:val="auto"/>
          <w:spacing w:val="6"/>
          <w:sz w:val="32"/>
          <w:szCs w:val="32"/>
          <w:highlight w:val="none"/>
        </w:rPr>
      </w:pPr>
      <w:bookmarkStart w:id="525" w:name="OLE_LINK13"/>
      <w:bookmarkStart w:id="526" w:name="OLE_LINK14"/>
      <w:r>
        <w:rPr>
          <w:rFonts w:hint="eastAsia" w:ascii="仿宋" w:hAnsi="仿宋" w:eastAsia="仿宋" w:cs="仿宋"/>
          <w:b/>
          <w:color w:val="auto"/>
          <w:spacing w:val="6"/>
          <w:sz w:val="32"/>
          <w:szCs w:val="32"/>
          <w:highlight w:val="none"/>
        </w:rPr>
        <w:t>残疾人福利性单位声明函</w:t>
      </w:r>
    </w:p>
    <w:bookmarkEnd w:id="525"/>
    <w:bookmarkEnd w:id="526"/>
    <w:p>
      <w:pPr>
        <w:spacing w:line="360" w:lineRule="auto"/>
        <w:rPr>
          <w:rFonts w:hint="eastAsia" w:ascii="仿宋" w:hAnsi="仿宋" w:eastAsia="仿宋" w:cs="仿宋"/>
          <w:b/>
          <w:color w:val="auto"/>
          <w:spacing w:val="6"/>
          <w:sz w:val="30"/>
          <w:szCs w:val="30"/>
          <w:highlight w:val="none"/>
        </w:rPr>
      </w:pPr>
    </w:p>
    <w:p>
      <w:pPr>
        <w:pStyle w:val="61"/>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pStyle w:val="61"/>
        <w:rPr>
          <w:rFonts w:hint="eastAsia" w:ascii="仿宋" w:hAnsi="仿宋" w:eastAsia="仿宋" w:cs="仿宋"/>
          <w:color w:val="auto"/>
          <w:highlight w:val="none"/>
        </w:rPr>
      </w:pPr>
    </w:p>
    <w:p>
      <w:pPr>
        <w:pStyle w:val="61"/>
        <w:rPr>
          <w:rFonts w:hint="eastAsia" w:ascii="仿宋" w:hAnsi="仿宋" w:eastAsia="仿宋" w:cs="仿宋"/>
          <w:color w:val="auto"/>
          <w:highlight w:val="none"/>
        </w:rPr>
      </w:pPr>
    </w:p>
    <w:p>
      <w:pPr>
        <w:pStyle w:val="61"/>
        <w:jc w:val="right"/>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pStyle w:val="61"/>
        <w:jc w:val="right"/>
        <w:rPr>
          <w:rFonts w:hint="eastAsia" w:ascii="仿宋" w:hAnsi="仿宋" w:eastAsia="仿宋" w:cs="仿宋"/>
          <w:color w:val="auto"/>
          <w:highlight w:val="none"/>
        </w:rPr>
      </w:pPr>
      <w:r>
        <w:rPr>
          <w:rFonts w:hint="eastAsia" w:ascii="仿宋" w:hAnsi="仿宋" w:eastAsia="仿宋" w:cs="仿宋"/>
          <w:color w:val="auto"/>
          <w:highlight w:val="none"/>
        </w:rPr>
        <w:t>日  期：</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jc w:val="left"/>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pStyle w:val="4"/>
        <w:ind w:left="480"/>
        <w:jc w:val="left"/>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pPr>
        <w:spacing w:line="360" w:lineRule="auto"/>
        <w:jc w:val="center"/>
        <w:rPr>
          <w:rFonts w:hint="eastAsia" w:ascii="仿宋" w:hAnsi="仿宋" w:eastAsia="仿宋" w:cs="仿宋"/>
          <w:b/>
          <w:color w:val="auto"/>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tabs>
          <w:tab w:val="left" w:pos="6510"/>
        </w:tabs>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tabs>
          <w:tab w:val="left" w:pos="6510"/>
        </w:tabs>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pPr>
        <w:spacing w:line="360" w:lineRule="auto"/>
        <w:ind w:firstLine="480" w:firstLineChars="200"/>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spacing w:line="360" w:lineRule="auto"/>
        <w:rPr>
          <w:rFonts w:hint="eastAsia" w:ascii="仿宋" w:hAnsi="仿宋" w:eastAsia="仿宋" w:cs="仿宋"/>
          <w:b/>
          <w:color w:val="auto"/>
          <w:highlight w:val="none"/>
        </w:rPr>
      </w:pPr>
    </w:p>
    <w:p>
      <w:pPr>
        <w:spacing w:line="360" w:lineRule="auto"/>
        <w:rPr>
          <w:rFonts w:hint="eastAsia" w:ascii="仿宋" w:hAnsi="仿宋" w:eastAsia="仿宋" w:cs="仿宋"/>
          <w:b/>
          <w:color w:val="auto"/>
          <w:highlight w:val="none"/>
        </w:rPr>
      </w:pP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4"/>
        <w:ind w:left="480"/>
        <w:jc w:val="left"/>
        <w:rPr>
          <w:rFonts w:hint="eastAsia" w:ascii="仿宋" w:hAnsi="仿宋" w:eastAsia="仿宋" w:cs="仿宋"/>
          <w:color w:val="auto"/>
          <w:highlight w:val="none"/>
        </w:rPr>
      </w:pPr>
      <w:r>
        <w:rPr>
          <w:rFonts w:hint="eastAsia" w:ascii="仿宋" w:hAnsi="仿宋" w:eastAsia="仿宋" w:cs="仿宋"/>
          <w:color w:val="auto"/>
          <w:spacing w:val="6"/>
          <w:highlight w:val="none"/>
        </w:rPr>
        <w:t>附件4：</w:t>
      </w:r>
      <w:r>
        <w:rPr>
          <w:rFonts w:hint="eastAsia" w:ascii="仿宋" w:hAnsi="仿宋" w:eastAsia="仿宋" w:cs="仿宋"/>
          <w:color w:val="auto"/>
          <w:highlight w:val="none"/>
        </w:rPr>
        <w:t>业务专用章使用说明函</w:t>
      </w:r>
    </w:p>
    <w:p>
      <w:pPr>
        <w:spacing w:line="276" w:lineRule="auto"/>
        <w:jc w:val="center"/>
        <w:rPr>
          <w:rFonts w:hint="eastAsia" w:ascii="仿宋" w:hAnsi="仿宋" w:eastAsia="仿宋" w:cs="仿宋"/>
          <w:b/>
          <w:smallCaps/>
          <w:color w:val="auto"/>
          <w:spacing w:val="6"/>
          <w:sz w:val="36"/>
          <w:szCs w:val="28"/>
          <w:highlight w:val="none"/>
        </w:rPr>
      </w:pPr>
      <w:r>
        <w:rPr>
          <w:rFonts w:hint="eastAsia" w:ascii="仿宋" w:hAnsi="仿宋" w:eastAsia="仿宋" w:cs="仿宋"/>
          <w:b/>
          <w:color w:val="auto"/>
          <w:sz w:val="32"/>
          <w:highlight w:val="none"/>
        </w:rPr>
        <w:t>业务专用章使用说明函</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（采购人）、（采购代理机构）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rPr>
        <w:t>(投标人全称)是中华人民共和国依法登记注册的合法企业，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你方组织的（项目名称）项目【招标编号：（采购编号）】</w:t>
      </w:r>
      <w:r>
        <w:rPr>
          <w:rFonts w:hint="eastAsia" w:ascii="仿宋" w:hAnsi="仿宋" w:eastAsia="仿宋" w:cs="仿宋"/>
          <w:bCs/>
          <w:color w:val="auto"/>
          <w:highlight w:val="none"/>
        </w:rPr>
        <w:t>投标活动中作如下说明：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pPr>
        <w:spacing w:line="360" w:lineRule="auto"/>
        <w:ind w:firstLine="494"/>
        <w:rPr>
          <w:rFonts w:hint="eastAsia" w:ascii="仿宋" w:hAnsi="仿宋" w:eastAsia="仿宋" w:cs="仿宋"/>
          <w:color w:val="auto"/>
          <w:highlight w:val="none"/>
        </w:rPr>
      </w:pPr>
    </w:p>
    <w:p>
      <w:pPr>
        <w:spacing w:line="360" w:lineRule="auto"/>
        <w:ind w:firstLine="494"/>
        <w:rPr>
          <w:rFonts w:hint="eastAsia" w:ascii="仿宋" w:hAnsi="仿宋" w:eastAsia="仿宋" w:cs="仿宋"/>
          <w:color w:val="auto"/>
          <w:highlight w:val="none"/>
        </w:rPr>
      </w:pPr>
    </w:p>
    <w:p>
      <w:pPr>
        <w:spacing w:line="360" w:lineRule="auto"/>
        <w:ind w:firstLine="494"/>
        <w:rPr>
          <w:rFonts w:hint="eastAsia" w:ascii="仿宋" w:hAnsi="仿宋" w:eastAsia="仿宋" w:cs="仿宋"/>
          <w:color w:val="auto"/>
          <w:highlight w:val="none"/>
        </w:rPr>
      </w:pPr>
    </w:p>
    <w:p>
      <w:pPr>
        <w:spacing w:line="360" w:lineRule="auto"/>
        <w:ind w:firstLine="494"/>
        <w:rPr>
          <w:rFonts w:hint="eastAsia" w:ascii="仿宋" w:hAnsi="仿宋" w:eastAsia="仿宋" w:cs="仿宋"/>
          <w:color w:val="auto"/>
          <w:highlight w:val="none"/>
        </w:rPr>
      </w:pPr>
    </w:p>
    <w:p>
      <w:pPr>
        <w:spacing w:line="360" w:lineRule="auto"/>
        <w:ind w:right="480"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pPr>
        <w:ind w:right="1440" w:firstLine="494"/>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rPr>
          <w:rFonts w:hint="eastAsia" w:ascii="仿宋" w:hAnsi="仿宋" w:eastAsia="仿宋" w:cs="仿宋"/>
          <w:color w:val="auto"/>
          <w:highlight w:val="none"/>
        </w:rPr>
      </w:pPr>
      <w:r>
        <w:rPr>
          <w:rFonts w:hint="eastAsia" w:ascii="仿宋" w:hAnsi="仿宋" w:eastAsia="仿宋" w:cs="仿宋"/>
          <w:b/>
          <w:bCs/>
          <w:color w:val="auto"/>
          <w:highlight w:val="none"/>
        </w:rPr>
        <w:t>附：</w:t>
      </w:r>
    </w:p>
    <w:p>
      <w:pPr>
        <w:spacing w:line="360" w:lineRule="auto"/>
        <w:rPr>
          <w:rFonts w:hint="eastAsia" w:ascii="仿宋" w:hAnsi="仿宋" w:eastAsia="仿宋" w:cs="仿宋"/>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yCw/ti8CAAB/BAAADgAAAGRycy9lMm9Eb2MueG1srVTB btswDL0P2D8Iui+O3SRdjTpFkSDDgG4r1u0DFFmOhUmiRilxsq8fLbtd2u3Qw3wwRJN6eu+R8vXN 0Rp2UBg0uIrnkylnykmotdtV/Pu3zbv3nIUoXC0MOFXxkwr8Zvn2zXXnS1VAC6ZWyAjEhbLzFW9j 9GWWBdkqK8IEvHKUbACtiBTiLqtRdIRuTVZMp4usA6w9glQh0Nf1kOQjIr4GEJpGS7UGubfKxQEV lRGRJIVW+8CXiW3TKBm/NE1QkZmKk9KY3nQIrbf9O1tei3KHwrdajhTEayi80GSFdnToE9RaRMH2 qP+CsloiBGjiRILNBiHJEVKRT19489AKr5IWsjr4J9PD/4OVnw/3yHRd8QvOnLDU8K9kmnA7o1h+ 2fvT+VBS2YO/x15h8HcgfwTmYNVSmbpFhK5VoiZWeV+fPdvQB4G2sm33CWqCF/sIyapjg7YHJBPY MXXk9NQRdYxM0sficjqbLeacScoVxfxikc/TGaJ83O4xxA8KLOsXFUdin+DF4S7Eno4oH0sSfTC6 3mhjUoC77cogOwgaj016RvRwXmYc6yp+NS/mCflZLpxDTNPzLwirI90aoy3JOC8ybjSs92jwOh63 x9H2LdQnsg5hmFu6tbRoAX9x1tHMVjz83AtUnJmPjuy/ymezfshTMJtfFhTgeWZ7nhFOElTFI2fD chWHi7H3qHctnZQnuQ5uqWWNTmb27RxYjbxpLpPH4x3qB/88TlV//hvL3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ILD+2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Si97gy8CAAB/BAAADgAAAGRycy9lMm9Eb2MueG1srVTB btswDL0P2D8Iui+OvSRdjTpF0SLDgG4t1u0DFFmOhUmiRilxuq8fLbuZ2+3Qw3wwRJN6eu+R8sXl 0Rp2UBg0uIrnszlnykmotdtV/Pu3zbsPnIUoXC0MOFXxRxX45frtm4vOl6qAFkytkBGIC2XnK97G 6MssC7JVVoQZeOUo2QBaESnEXVaj6AjdmqyYz1dZB1h7BKlCoK83Q5KPiPgaQGgaLdUNyL1VLg6o qIyIJCm02ge+TmybRsl41zRBRWYqTkpjetMhtN7272x9IcodCt9qOVIQr6HwQpMV2tGhJ6gbEQXb o/4LymqJEKCJMwk2G4QkR0hFPn/hzUMrvEpayOrgT6aH/wcrvxzukem64gvOnLDU8K9kmnA7o1i+ 6v3pfCip7MHfY68w+FuQPwJzcN1SmbpChK5VoiZWeV+fPdvQB4G2sm33GWqCF/sIyapjg7YHJBPY MXXk8dQRdYxM0sditTg7X1KzJOWKYvl+lS/TGaJ82u4xxI8KLOsXFUdin+DF4TbEno4on0oSfTC6 3mhjUoC77bVBdhA0Hpv0jOhhWmYc6yp+viyWCflZLkwh5un5F4TVkW6N0ZZkTIuMGw3rPRq8jsft cbR9C/UjWYcwzC3dWlq0gL8462hmKx5+7gUqzswnR/af54tFP+QpWCzPCgpwmtlOM8JJgqp45GxY XsfhYuw96l1LJ+VJroMralmjk5l9OwdWI2+ay+TxeIf6wZ/GqerPf2P9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KL3uD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highlight w:val="none"/>
        </w:rPr>
        <w:t>投标单位法定名称章（印模）                投标单位“XX专用章”（印模）</w:t>
      </w:r>
    </w:p>
    <w:p>
      <w:pPr>
        <w:spacing w:line="276" w:lineRule="auto"/>
        <w:rPr>
          <w:rFonts w:hint="eastAsia" w:ascii="仿宋" w:hAnsi="仿宋" w:eastAsia="仿宋" w:cs="仿宋"/>
          <w:b/>
          <w:color w:val="auto"/>
          <w:spacing w:val="6"/>
          <w:sz w:val="32"/>
          <w:szCs w:val="32"/>
          <w:highlight w:val="none"/>
        </w:rPr>
      </w:pPr>
    </w:p>
    <w:p>
      <w:pPr>
        <w:spacing w:line="276" w:lineRule="auto"/>
        <w:rPr>
          <w:rFonts w:hint="eastAsia" w:ascii="仿宋" w:hAnsi="仿宋" w:eastAsia="仿宋" w:cs="仿宋"/>
          <w:b/>
          <w:smallCaps/>
          <w:color w:val="auto"/>
          <w:spacing w:val="6"/>
          <w:sz w:val="28"/>
          <w:szCs w:val="28"/>
          <w:highlight w:val="none"/>
        </w:rPr>
      </w:pPr>
    </w:p>
    <w:p>
      <w:pPr>
        <w:spacing w:line="276" w:lineRule="auto"/>
        <w:rPr>
          <w:rFonts w:hint="eastAsia" w:ascii="仿宋" w:hAnsi="仿宋" w:eastAsia="仿宋" w:cs="仿宋"/>
          <w:b/>
          <w:smallCaps/>
          <w:color w:val="auto"/>
          <w:spacing w:val="6"/>
          <w:sz w:val="28"/>
          <w:szCs w:val="28"/>
          <w:highlight w:val="none"/>
        </w:rPr>
      </w:pPr>
      <w:r>
        <w:rPr>
          <w:rFonts w:hint="eastAsia" w:ascii="仿宋" w:hAnsi="仿宋" w:eastAsia="仿宋" w:cs="仿宋"/>
          <w:color w:val="auto"/>
          <w:spacing w:val="6"/>
          <w:highlight w:val="none"/>
        </w:rPr>
        <w:br w:type="page"/>
      </w:r>
    </w:p>
    <w:p>
      <w:pPr>
        <w:pStyle w:val="4"/>
        <w:ind w:left="480"/>
        <w:rPr>
          <w:rFonts w:hint="eastAsia" w:ascii="仿宋" w:hAnsi="仿宋" w:eastAsia="仿宋" w:cs="仿宋"/>
          <w:bCs/>
          <w:color w:val="auto"/>
          <w:highlight w:val="none"/>
        </w:rPr>
      </w:pPr>
      <w:r>
        <w:rPr>
          <w:rFonts w:hint="eastAsia" w:ascii="仿宋" w:hAnsi="仿宋" w:eastAsia="仿宋" w:cs="仿宋"/>
          <w:color w:val="auto"/>
          <w:spacing w:val="6"/>
          <w:highlight w:val="none"/>
        </w:rPr>
        <w:t>附件5：</w:t>
      </w:r>
      <w:r>
        <w:rPr>
          <w:rFonts w:hint="eastAsia" w:ascii="仿宋" w:hAnsi="仿宋" w:eastAsia="仿宋" w:cs="仿宋"/>
          <w:color w:val="auto"/>
          <w:highlight w:val="none"/>
        </w:rPr>
        <w:t>中小企业声明函</w:t>
      </w:r>
    </w:p>
    <w:p>
      <w:pPr>
        <w:spacing w:line="360" w:lineRule="auto"/>
        <w:jc w:val="center"/>
        <w:rPr>
          <w:rFonts w:hint="eastAsia" w:ascii="仿宋" w:hAnsi="仿宋" w:eastAsia="仿宋" w:cs="仿宋"/>
          <w:color w:val="auto"/>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（单位名称） </w:t>
      </w:r>
      <w:r>
        <w:rPr>
          <w:rFonts w:hint="eastAsia" w:ascii="仿宋" w:hAnsi="仿宋" w:eastAsia="仿宋" w:cs="仿宋"/>
          <w:color w:val="auto"/>
          <w:highlight w:val="none"/>
        </w:rPr>
        <w:t xml:space="preserve">的 </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 ，属于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w:t>
      </w:r>
      <w:r>
        <w:rPr>
          <w:rFonts w:hint="eastAsia" w:ascii="仿宋" w:hAnsi="仿宋" w:eastAsia="仿宋" w:cs="仿宋"/>
          <w:color w:val="auto"/>
          <w:highlight w:val="none"/>
        </w:rPr>
        <w:t xml:space="preserve"> ；</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 ，属于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w:t>
      </w:r>
      <w:r>
        <w:rPr>
          <w:rFonts w:hint="eastAsia" w:ascii="仿宋" w:hAnsi="仿宋" w:eastAsia="仿宋" w:cs="仿宋"/>
          <w:color w:val="auto"/>
          <w:highlight w:val="none"/>
        </w:rPr>
        <w:t xml:space="preserve"> ；</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（单位名称）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spacing w:line="360" w:lineRule="auto"/>
        <w:ind w:right="1120" w:firstLine="4680" w:firstLineChars="1950"/>
        <w:rPr>
          <w:rFonts w:hint="eastAsia" w:ascii="仿宋" w:hAnsi="仿宋" w:eastAsia="仿宋" w:cs="仿宋"/>
          <w:color w:val="auto"/>
          <w:highlight w:val="none"/>
        </w:rPr>
      </w:pPr>
      <w:r>
        <w:rPr>
          <w:rFonts w:hint="eastAsia" w:ascii="仿宋" w:hAnsi="仿宋" w:eastAsia="仿宋" w:cs="仿宋"/>
          <w:color w:val="auto"/>
          <w:highlight w:val="none"/>
        </w:rPr>
        <w:t>日 期：</w:t>
      </w:r>
    </w:p>
    <w:p>
      <w:pPr>
        <w:spacing w:line="360" w:lineRule="auto"/>
        <w:ind w:firstLine="354" w:firstLineChars="147"/>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highlight w:val="none"/>
        </w:rPr>
      </w:pPr>
    </w:p>
    <w:p>
      <w:pPr>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 xml:space="preserve">   注：</w:t>
      </w:r>
    </w:p>
    <w:p>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ind w:left="480"/>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附件6样品（演示）授权委托书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90" w:leftChars="121" w:firstLine="48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90" w:leftChars="121"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spacing w:line="360" w:lineRule="auto"/>
        <w:ind w:right="420"/>
        <w:rPr>
          <w:rFonts w:hint="eastAsia" w:ascii="仿宋" w:hAnsi="仿宋" w:eastAsia="仿宋" w:cs="仿宋"/>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w:t>
    </w:r>
    <w:r>
      <w:rPr>
        <w:rFonts w:hint="eastAsia"/>
      </w:rPr>
      <w:t xml:space="preserve">             </w:t>
    </w:r>
    <w: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NDdmYjgwOGVhMGY3ZDY4Njc3NjEzNTI4YWRmMDgifQ=="/>
  </w:docVars>
  <w:rsids>
    <w:rsidRoot w:val="004A31C0"/>
    <w:rsid w:val="00040E44"/>
    <w:rsid w:val="000506FE"/>
    <w:rsid w:val="00052F13"/>
    <w:rsid w:val="00062A5D"/>
    <w:rsid w:val="00083EEE"/>
    <w:rsid w:val="000A014A"/>
    <w:rsid w:val="000C67BA"/>
    <w:rsid w:val="000D12B1"/>
    <w:rsid w:val="000E75F8"/>
    <w:rsid w:val="00106784"/>
    <w:rsid w:val="001375DB"/>
    <w:rsid w:val="001448FA"/>
    <w:rsid w:val="001478DA"/>
    <w:rsid w:val="00166516"/>
    <w:rsid w:val="00173428"/>
    <w:rsid w:val="001A3CF6"/>
    <w:rsid w:val="00240685"/>
    <w:rsid w:val="0024401D"/>
    <w:rsid w:val="002534A7"/>
    <w:rsid w:val="00285222"/>
    <w:rsid w:val="002E02E0"/>
    <w:rsid w:val="003169BC"/>
    <w:rsid w:val="003421BE"/>
    <w:rsid w:val="0035778E"/>
    <w:rsid w:val="00380ED1"/>
    <w:rsid w:val="00381B1D"/>
    <w:rsid w:val="003A3435"/>
    <w:rsid w:val="003E2487"/>
    <w:rsid w:val="004105E2"/>
    <w:rsid w:val="00424619"/>
    <w:rsid w:val="00424A1D"/>
    <w:rsid w:val="0042509B"/>
    <w:rsid w:val="00462F9D"/>
    <w:rsid w:val="004A31C0"/>
    <w:rsid w:val="00501CA3"/>
    <w:rsid w:val="00527D6E"/>
    <w:rsid w:val="005574FC"/>
    <w:rsid w:val="00581054"/>
    <w:rsid w:val="005A325A"/>
    <w:rsid w:val="005A3BF2"/>
    <w:rsid w:val="0060320D"/>
    <w:rsid w:val="00636E41"/>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A5E26"/>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555C7"/>
    <w:rsid w:val="00C87572"/>
    <w:rsid w:val="00CA5372"/>
    <w:rsid w:val="00CB3DBC"/>
    <w:rsid w:val="00CF35F3"/>
    <w:rsid w:val="00D03E3B"/>
    <w:rsid w:val="00D056CF"/>
    <w:rsid w:val="00D3147A"/>
    <w:rsid w:val="00D73271"/>
    <w:rsid w:val="00D901E0"/>
    <w:rsid w:val="00DB52AF"/>
    <w:rsid w:val="00DE7F9D"/>
    <w:rsid w:val="00E01C27"/>
    <w:rsid w:val="00E0322B"/>
    <w:rsid w:val="00E20696"/>
    <w:rsid w:val="00E33867"/>
    <w:rsid w:val="00E428C8"/>
    <w:rsid w:val="00E81776"/>
    <w:rsid w:val="00E93AFC"/>
    <w:rsid w:val="00E94AF3"/>
    <w:rsid w:val="00ED389E"/>
    <w:rsid w:val="00EE2D23"/>
    <w:rsid w:val="00F577A9"/>
    <w:rsid w:val="00F61C2A"/>
    <w:rsid w:val="00F66F6C"/>
    <w:rsid w:val="00F82240"/>
    <w:rsid w:val="00F872C5"/>
    <w:rsid w:val="00F906B9"/>
    <w:rsid w:val="00FD5896"/>
    <w:rsid w:val="013A5802"/>
    <w:rsid w:val="01512B4A"/>
    <w:rsid w:val="01A21DD4"/>
    <w:rsid w:val="01BE73F0"/>
    <w:rsid w:val="01F95AAC"/>
    <w:rsid w:val="02243A5B"/>
    <w:rsid w:val="027009FF"/>
    <w:rsid w:val="02711021"/>
    <w:rsid w:val="02BE618E"/>
    <w:rsid w:val="030732A7"/>
    <w:rsid w:val="034045F9"/>
    <w:rsid w:val="036C5AA6"/>
    <w:rsid w:val="03A74EB6"/>
    <w:rsid w:val="03A83D63"/>
    <w:rsid w:val="03CC3F79"/>
    <w:rsid w:val="04671EF4"/>
    <w:rsid w:val="058F000B"/>
    <w:rsid w:val="06025546"/>
    <w:rsid w:val="063A1B80"/>
    <w:rsid w:val="06416BB8"/>
    <w:rsid w:val="06B255BD"/>
    <w:rsid w:val="079528D4"/>
    <w:rsid w:val="07A31864"/>
    <w:rsid w:val="07A56FBB"/>
    <w:rsid w:val="07F91461"/>
    <w:rsid w:val="085A06D5"/>
    <w:rsid w:val="088F1D7F"/>
    <w:rsid w:val="08B068A8"/>
    <w:rsid w:val="08B66FA6"/>
    <w:rsid w:val="08C6504E"/>
    <w:rsid w:val="09A04374"/>
    <w:rsid w:val="09DB5391"/>
    <w:rsid w:val="0A2E2D1E"/>
    <w:rsid w:val="0A616A02"/>
    <w:rsid w:val="0A7F2A8E"/>
    <w:rsid w:val="0AD66682"/>
    <w:rsid w:val="0ADC0E3A"/>
    <w:rsid w:val="0B1B1342"/>
    <w:rsid w:val="0B275F39"/>
    <w:rsid w:val="0B457F68"/>
    <w:rsid w:val="0B6357C4"/>
    <w:rsid w:val="0B833433"/>
    <w:rsid w:val="0BD55995"/>
    <w:rsid w:val="0BDA0A7A"/>
    <w:rsid w:val="0BFC7E59"/>
    <w:rsid w:val="0C63115C"/>
    <w:rsid w:val="0D287C1C"/>
    <w:rsid w:val="0D564CD7"/>
    <w:rsid w:val="0D981488"/>
    <w:rsid w:val="0E0F0027"/>
    <w:rsid w:val="0E4C44E8"/>
    <w:rsid w:val="0F40649D"/>
    <w:rsid w:val="0F795E47"/>
    <w:rsid w:val="0FFB5CCA"/>
    <w:rsid w:val="10262972"/>
    <w:rsid w:val="108C64EF"/>
    <w:rsid w:val="10A1053B"/>
    <w:rsid w:val="11291AAB"/>
    <w:rsid w:val="11ED547F"/>
    <w:rsid w:val="12191278"/>
    <w:rsid w:val="123075E3"/>
    <w:rsid w:val="128C61B2"/>
    <w:rsid w:val="12900376"/>
    <w:rsid w:val="12D360DE"/>
    <w:rsid w:val="133E1AB6"/>
    <w:rsid w:val="13461314"/>
    <w:rsid w:val="13550F10"/>
    <w:rsid w:val="137748F5"/>
    <w:rsid w:val="13794251"/>
    <w:rsid w:val="14217A06"/>
    <w:rsid w:val="142C16FF"/>
    <w:rsid w:val="14565758"/>
    <w:rsid w:val="14C54B84"/>
    <w:rsid w:val="14D904AD"/>
    <w:rsid w:val="14FA290F"/>
    <w:rsid w:val="150B380E"/>
    <w:rsid w:val="15AA0149"/>
    <w:rsid w:val="16594892"/>
    <w:rsid w:val="166A7E03"/>
    <w:rsid w:val="1698690E"/>
    <w:rsid w:val="17996410"/>
    <w:rsid w:val="17DB4333"/>
    <w:rsid w:val="18140019"/>
    <w:rsid w:val="183B4F91"/>
    <w:rsid w:val="18A60DE5"/>
    <w:rsid w:val="18A62F66"/>
    <w:rsid w:val="1A065AD9"/>
    <w:rsid w:val="1A15617C"/>
    <w:rsid w:val="1A69083B"/>
    <w:rsid w:val="1BDE3487"/>
    <w:rsid w:val="1BEF5A72"/>
    <w:rsid w:val="1C260609"/>
    <w:rsid w:val="1C3919B9"/>
    <w:rsid w:val="1C6E39C8"/>
    <w:rsid w:val="1CDF4FAA"/>
    <w:rsid w:val="1CF11FEE"/>
    <w:rsid w:val="1D5A74D6"/>
    <w:rsid w:val="1DA8489F"/>
    <w:rsid w:val="1DB976EA"/>
    <w:rsid w:val="1DF84A18"/>
    <w:rsid w:val="1E171E3D"/>
    <w:rsid w:val="1E311FEF"/>
    <w:rsid w:val="1E6C571B"/>
    <w:rsid w:val="1EA0460B"/>
    <w:rsid w:val="1EBE6F18"/>
    <w:rsid w:val="1F2632FC"/>
    <w:rsid w:val="1F37532D"/>
    <w:rsid w:val="1FB2093B"/>
    <w:rsid w:val="1FE30A3F"/>
    <w:rsid w:val="20041E9C"/>
    <w:rsid w:val="2039216E"/>
    <w:rsid w:val="20487EBA"/>
    <w:rsid w:val="207922E0"/>
    <w:rsid w:val="20B57074"/>
    <w:rsid w:val="20EA0B6C"/>
    <w:rsid w:val="21043875"/>
    <w:rsid w:val="211F0CC3"/>
    <w:rsid w:val="21702950"/>
    <w:rsid w:val="219D6597"/>
    <w:rsid w:val="21D152C3"/>
    <w:rsid w:val="21D70261"/>
    <w:rsid w:val="22544771"/>
    <w:rsid w:val="22603DF1"/>
    <w:rsid w:val="22812EA5"/>
    <w:rsid w:val="2293105D"/>
    <w:rsid w:val="22E646A2"/>
    <w:rsid w:val="24703C37"/>
    <w:rsid w:val="248407E9"/>
    <w:rsid w:val="24843761"/>
    <w:rsid w:val="24885842"/>
    <w:rsid w:val="249C1594"/>
    <w:rsid w:val="24A44391"/>
    <w:rsid w:val="24DB694C"/>
    <w:rsid w:val="25AB7A3A"/>
    <w:rsid w:val="25FE400E"/>
    <w:rsid w:val="263C2EB2"/>
    <w:rsid w:val="270122E4"/>
    <w:rsid w:val="27353601"/>
    <w:rsid w:val="275E2C5D"/>
    <w:rsid w:val="276650C2"/>
    <w:rsid w:val="27AC35F6"/>
    <w:rsid w:val="27DA2A2F"/>
    <w:rsid w:val="2832107C"/>
    <w:rsid w:val="289933D0"/>
    <w:rsid w:val="289D48BA"/>
    <w:rsid w:val="29B30BC5"/>
    <w:rsid w:val="2A181417"/>
    <w:rsid w:val="2AAD2AEF"/>
    <w:rsid w:val="2AD96DF8"/>
    <w:rsid w:val="2AE67B3B"/>
    <w:rsid w:val="2B001347"/>
    <w:rsid w:val="2B1E2685"/>
    <w:rsid w:val="2B345DDC"/>
    <w:rsid w:val="2BAC1452"/>
    <w:rsid w:val="2C071B82"/>
    <w:rsid w:val="2C4069E5"/>
    <w:rsid w:val="2CA17633"/>
    <w:rsid w:val="2CA93F28"/>
    <w:rsid w:val="2CED7D36"/>
    <w:rsid w:val="2D8B1F7F"/>
    <w:rsid w:val="2DA84860"/>
    <w:rsid w:val="2DB2017D"/>
    <w:rsid w:val="2DCD0E7D"/>
    <w:rsid w:val="2DE42D00"/>
    <w:rsid w:val="2DFB2564"/>
    <w:rsid w:val="2E294B06"/>
    <w:rsid w:val="2E5B4FD2"/>
    <w:rsid w:val="2F7F26AB"/>
    <w:rsid w:val="2FF27AF2"/>
    <w:rsid w:val="30FB54A7"/>
    <w:rsid w:val="31866D56"/>
    <w:rsid w:val="31C1604B"/>
    <w:rsid w:val="31F92D57"/>
    <w:rsid w:val="3207249C"/>
    <w:rsid w:val="32171FB4"/>
    <w:rsid w:val="32654C69"/>
    <w:rsid w:val="328F5F4B"/>
    <w:rsid w:val="32B11CAB"/>
    <w:rsid w:val="32DE0E04"/>
    <w:rsid w:val="330761BA"/>
    <w:rsid w:val="3315449A"/>
    <w:rsid w:val="337413A2"/>
    <w:rsid w:val="337B7EBC"/>
    <w:rsid w:val="33C46DBF"/>
    <w:rsid w:val="33D168C5"/>
    <w:rsid w:val="343B709D"/>
    <w:rsid w:val="344D7BE2"/>
    <w:rsid w:val="34967B08"/>
    <w:rsid w:val="34C71495"/>
    <w:rsid w:val="352041F6"/>
    <w:rsid w:val="35650039"/>
    <w:rsid w:val="35F03FBB"/>
    <w:rsid w:val="360E628A"/>
    <w:rsid w:val="361F593C"/>
    <w:rsid w:val="3651579A"/>
    <w:rsid w:val="36600931"/>
    <w:rsid w:val="36720EF3"/>
    <w:rsid w:val="368A75AA"/>
    <w:rsid w:val="368D6BE6"/>
    <w:rsid w:val="36E55A02"/>
    <w:rsid w:val="370C4814"/>
    <w:rsid w:val="3755432F"/>
    <w:rsid w:val="37A77068"/>
    <w:rsid w:val="37BF507A"/>
    <w:rsid w:val="38210BCD"/>
    <w:rsid w:val="386F4F43"/>
    <w:rsid w:val="38D05234"/>
    <w:rsid w:val="392006BF"/>
    <w:rsid w:val="3A0879DA"/>
    <w:rsid w:val="3A351B95"/>
    <w:rsid w:val="3A453773"/>
    <w:rsid w:val="3A4F43FD"/>
    <w:rsid w:val="3A813C3F"/>
    <w:rsid w:val="3AB43338"/>
    <w:rsid w:val="3B204037"/>
    <w:rsid w:val="3B6C4DFB"/>
    <w:rsid w:val="3B836DE6"/>
    <w:rsid w:val="3B877BE0"/>
    <w:rsid w:val="3B955FAC"/>
    <w:rsid w:val="3C502A8F"/>
    <w:rsid w:val="3C663C5F"/>
    <w:rsid w:val="3D071AB7"/>
    <w:rsid w:val="3D2B12DF"/>
    <w:rsid w:val="3DCC354F"/>
    <w:rsid w:val="3DF20BF3"/>
    <w:rsid w:val="3E9C5D65"/>
    <w:rsid w:val="3EA854F1"/>
    <w:rsid w:val="3EB83C2C"/>
    <w:rsid w:val="3EF07211"/>
    <w:rsid w:val="3F1B30E3"/>
    <w:rsid w:val="3F60528B"/>
    <w:rsid w:val="3FE135AA"/>
    <w:rsid w:val="40463E1D"/>
    <w:rsid w:val="40531008"/>
    <w:rsid w:val="40A8042E"/>
    <w:rsid w:val="40AC1D08"/>
    <w:rsid w:val="40C52AF8"/>
    <w:rsid w:val="40CB3562"/>
    <w:rsid w:val="40D82ED1"/>
    <w:rsid w:val="4123796F"/>
    <w:rsid w:val="417911A4"/>
    <w:rsid w:val="41AF04B6"/>
    <w:rsid w:val="41BD374E"/>
    <w:rsid w:val="427C464E"/>
    <w:rsid w:val="428E2307"/>
    <w:rsid w:val="43AF5998"/>
    <w:rsid w:val="43B0415C"/>
    <w:rsid w:val="43FB6152"/>
    <w:rsid w:val="44191C02"/>
    <w:rsid w:val="44DE20FB"/>
    <w:rsid w:val="45704232"/>
    <w:rsid w:val="46362EF9"/>
    <w:rsid w:val="47182A70"/>
    <w:rsid w:val="472E3BD0"/>
    <w:rsid w:val="47662C5C"/>
    <w:rsid w:val="477C6AB3"/>
    <w:rsid w:val="48125B18"/>
    <w:rsid w:val="48212BE3"/>
    <w:rsid w:val="48353FC6"/>
    <w:rsid w:val="486926A5"/>
    <w:rsid w:val="48A60CBE"/>
    <w:rsid w:val="48BF53C4"/>
    <w:rsid w:val="48C5233D"/>
    <w:rsid w:val="49966F68"/>
    <w:rsid w:val="49B96323"/>
    <w:rsid w:val="49C2133F"/>
    <w:rsid w:val="4A705006"/>
    <w:rsid w:val="4AAF1929"/>
    <w:rsid w:val="4B1871B9"/>
    <w:rsid w:val="4B3C553D"/>
    <w:rsid w:val="4B405BDD"/>
    <w:rsid w:val="4BA034EF"/>
    <w:rsid w:val="4BE45A77"/>
    <w:rsid w:val="4BFF3610"/>
    <w:rsid w:val="4C075DB9"/>
    <w:rsid w:val="4C9600B7"/>
    <w:rsid w:val="4CC62D34"/>
    <w:rsid w:val="4D014B8B"/>
    <w:rsid w:val="4D094369"/>
    <w:rsid w:val="4D1C2ACF"/>
    <w:rsid w:val="4D324231"/>
    <w:rsid w:val="4D7B6B73"/>
    <w:rsid w:val="4DA44BEC"/>
    <w:rsid w:val="4DB637EA"/>
    <w:rsid w:val="4DCE5F5F"/>
    <w:rsid w:val="4DDD3069"/>
    <w:rsid w:val="4E05594A"/>
    <w:rsid w:val="4E0E03BA"/>
    <w:rsid w:val="4E375A78"/>
    <w:rsid w:val="4E3F39CB"/>
    <w:rsid w:val="4EB1309C"/>
    <w:rsid w:val="4ECF7A46"/>
    <w:rsid w:val="4F506DD9"/>
    <w:rsid w:val="4F773414"/>
    <w:rsid w:val="4F7C0605"/>
    <w:rsid w:val="4FA90414"/>
    <w:rsid w:val="4FDA4140"/>
    <w:rsid w:val="4FE52ABE"/>
    <w:rsid w:val="50520275"/>
    <w:rsid w:val="50640680"/>
    <w:rsid w:val="51167000"/>
    <w:rsid w:val="517B2107"/>
    <w:rsid w:val="518B2E7D"/>
    <w:rsid w:val="518E320C"/>
    <w:rsid w:val="51B44826"/>
    <w:rsid w:val="51CC22B7"/>
    <w:rsid w:val="52276E94"/>
    <w:rsid w:val="523C5E51"/>
    <w:rsid w:val="525C5A95"/>
    <w:rsid w:val="52951AB7"/>
    <w:rsid w:val="533D7BBA"/>
    <w:rsid w:val="5345477B"/>
    <w:rsid w:val="538A0A15"/>
    <w:rsid w:val="53A43ADB"/>
    <w:rsid w:val="54381527"/>
    <w:rsid w:val="54D834AD"/>
    <w:rsid w:val="55872321"/>
    <w:rsid w:val="55FE41C5"/>
    <w:rsid w:val="56116B96"/>
    <w:rsid w:val="56342FFF"/>
    <w:rsid w:val="566B7DFC"/>
    <w:rsid w:val="569951CB"/>
    <w:rsid w:val="56CD65B7"/>
    <w:rsid w:val="56D964DA"/>
    <w:rsid w:val="575B6BF3"/>
    <w:rsid w:val="576D57D9"/>
    <w:rsid w:val="5783121E"/>
    <w:rsid w:val="57CC69C5"/>
    <w:rsid w:val="57D60097"/>
    <w:rsid w:val="58074AD6"/>
    <w:rsid w:val="585357E4"/>
    <w:rsid w:val="58647451"/>
    <w:rsid w:val="58B12004"/>
    <w:rsid w:val="58F00CE5"/>
    <w:rsid w:val="58F016F9"/>
    <w:rsid w:val="591B523F"/>
    <w:rsid w:val="592130D8"/>
    <w:rsid w:val="59466C53"/>
    <w:rsid w:val="59581636"/>
    <w:rsid w:val="59C775EC"/>
    <w:rsid w:val="59DA0CAB"/>
    <w:rsid w:val="5A29513B"/>
    <w:rsid w:val="5A9759D0"/>
    <w:rsid w:val="5AAC7ED7"/>
    <w:rsid w:val="5AC5399A"/>
    <w:rsid w:val="5AF3704E"/>
    <w:rsid w:val="5B00729D"/>
    <w:rsid w:val="5B121AE4"/>
    <w:rsid w:val="5B29602D"/>
    <w:rsid w:val="5B4E4A53"/>
    <w:rsid w:val="5BB67268"/>
    <w:rsid w:val="5BDF6F6F"/>
    <w:rsid w:val="5C607BF2"/>
    <w:rsid w:val="5CA454C3"/>
    <w:rsid w:val="5D665DA9"/>
    <w:rsid w:val="5DF440DB"/>
    <w:rsid w:val="5E9A1E98"/>
    <w:rsid w:val="5EF73346"/>
    <w:rsid w:val="5F705D7A"/>
    <w:rsid w:val="5F903EA0"/>
    <w:rsid w:val="5FCA1DC6"/>
    <w:rsid w:val="60212941"/>
    <w:rsid w:val="60592246"/>
    <w:rsid w:val="605A0D32"/>
    <w:rsid w:val="60B03669"/>
    <w:rsid w:val="60D56C7E"/>
    <w:rsid w:val="61305B6D"/>
    <w:rsid w:val="616C0CF6"/>
    <w:rsid w:val="61765FF8"/>
    <w:rsid w:val="61A44EDB"/>
    <w:rsid w:val="623F0D34"/>
    <w:rsid w:val="62965D52"/>
    <w:rsid w:val="631A4EB2"/>
    <w:rsid w:val="639257BA"/>
    <w:rsid w:val="63A13A48"/>
    <w:rsid w:val="63D90182"/>
    <w:rsid w:val="63FE1B1D"/>
    <w:rsid w:val="641A417F"/>
    <w:rsid w:val="644347B1"/>
    <w:rsid w:val="64E317FD"/>
    <w:rsid w:val="64F953C5"/>
    <w:rsid w:val="650869CE"/>
    <w:rsid w:val="65521E24"/>
    <w:rsid w:val="655557B1"/>
    <w:rsid w:val="65561F35"/>
    <w:rsid w:val="65BB5F2B"/>
    <w:rsid w:val="665A413D"/>
    <w:rsid w:val="668D033A"/>
    <w:rsid w:val="67164742"/>
    <w:rsid w:val="675E5A94"/>
    <w:rsid w:val="67A3460F"/>
    <w:rsid w:val="681C1D4C"/>
    <w:rsid w:val="68543DD7"/>
    <w:rsid w:val="68681035"/>
    <w:rsid w:val="6881195A"/>
    <w:rsid w:val="697D4817"/>
    <w:rsid w:val="69AF5F84"/>
    <w:rsid w:val="69C863D3"/>
    <w:rsid w:val="69DF24A4"/>
    <w:rsid w:val="6A0D1463"/>
    <w:rsid w:val="6A5A5154"/>
    <w:rsid w:val="6A9829B5"/>
    <w:rsid w:val="6A9A6A2B"/>
    <w:rsid w:val="6AAA722A"/>
    <w:rsid w:val="6B6709FE"/>
    <w:rsid w:val="6BE762E1"/>
    <w:rsid w:val="6C27368F"/>
    <w:rsid w:val="6C5775A1"/>
    <w:rsid w:val="6C5924BE"/>
    <w:rsid w:val="6C6717A4"/>
    <w:rsid w:val="6CE42384"/>
    <w:rsid w:val="6E201054"/>
    <w:rsid w:val="6E300FEA"/>
    <w:rsid w:val="6E492F1A"/>
    <w:rsid w:val="6E497E6F"/>
    <w:rsid w:val="6E5416F9"/>
    <w:rsid w:val="6EC03D63"/>
    <w:rsid w:val="6EDF3F97"/>
    <w:rsid w:val="6EE15EDA"/>
    <w:rsid w:val="6EEF16F5"/>
    <w:rsid w:val="6F0B363C"/>
    <w:rsid w:val="6F957568"/>
    <w:rsid w:val="6FD22E87"/>
    <w:rsid w:val="709F5073"/>
    <w:rsid w:val="712103F4"/>
    <w:rsid w:val="71341ADF"/>
    <w:rsid w:val="713F5F7A"/>
    <w:rsid w:val="718D5813"/>
    <w:rsid w:val="718F158B"/>
    <w:rsid w:val="726C63CE"/>
    <w:rsid w:val="72BB756B"/>
    <w:rsid w:val="73AB55C0"/>
    <w:rsid w:val="74812B40"/>
    <w:rsid w:val="74D01C2F"/>
    <w:rsid w:val="750956FD"/>
    <w:rsid w:val="752B73D5"/>
    <w:rsid w:val="75562F94"/>
    <w:rsid w:val="755830E8"/>
    <w:rsid w:val="75802C86"/>
    <w:rsid w:val="758807CB"/>
    <w:rsid w:val="7592668B"/>
    <w:rsid w:val="75C17839"/>
    <w:rsid w:val="75DE5781"/>
    <w:rsid w:val="76306D8B"/>
    <w:rsid w:val="76A746CE"/>
    <w:rsid w:val="770252B3"/>
    <w:rsid w:val="770B4DD1"/>
    <w:rsid w:val="7748150A"/>
    <w:rsid w:val="77531109"/>
    <w:rsid w:val="777934E2"/>
    <w:rsid w:val="779C67B0"/>
    <w:rsid w:val="78636E21"/>
    <w:rsid w:val="78E444C2"/>
    <w:rsid w:val="78FC6256"/>
    <w:rsid w:val="78FE532A"/>
    <w:rsid w:val="791D38F5"/>
    <w:rsid w:val="79870059"/>
    <w:rsid w:val="799B469D"/>
    <w:rsid w:val="7A093216"/>
    <w:rsid w:val="7A3F5056"/>
    <w:rsid w:val="7AD16D99"/>
    <w:rsid w:val="7ADE7ED4"/>
    <w:rsid w:val="7B5A6675"/>
    <w:rsid w:val="7B6C46EB"/>
    <w:rsid w:val="7C191DCE"/>
    <w:rsid w:val="7C451AD3"/>
    <w:rsid w:val="7C7A4C0A"/>
    <w:rsid w:val="7CCE7B94"/>
    <w:rsid w:val="7CE9143B"/>
    <w:rsid w:val="7D611A8C"/>
    <w:rsid w:val="7DAE1315"/>
    <w:rsid w:val="7DBD640B"/>
    <w:rsid w:val="7DBF4391"/>
    <w:rsid w:val="7DE22C73"/>
    <w:rsid w:val="7E321310"/>
    <w:rsid w:val="7EB7498C"/>
    <w:rsid w:val="7ED02C32"/>
    <w:rsid w:val="7F174EBD"/>
    <w:rsid w:val="7F30558E"/>
    <w:rsid w:val="7F5F0B43"/>
    <w:rsid w:val="7F655026"/>
    <w:rsid w:val="7F8B1B25"/>
    <w:rsid w:val="7FA91A6A"/>
    <w:rsid w:val="7FBBB67A"/>
    <w:rsid w:val="7FC51A48"/>
    <w:rsid w:val="F4FDD5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6"/>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7"/>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8"/>
    <w:unhideWhenUsed/>
    <w:qFormat/>
    <w:uiPriority w:val="9"/>
    <w:pPr>
      <w:outlineLvl w:val="2"/>
    </w:pPr>
    <w:rPr>
      <w:b/>
    </w:rPr>
  </w:style>
  <w:style w:type="paragraph" w:styleId="6">
    <w:name w:val="heading 4"/>
    <w:basedOn w:val="5"/>
    <w:next w:val="1"/>
    <w:link w:val="39"/>
    <w:unhideWhenUsed/>
    <w:qFormat/>
    <w:uiPriority w:val="9"/>
    <w:pPr>
      <w:spacing w:after="0" w:line="271" w:lineRule="auto"/>
      <w:outlineLvl w:val="3"/>
    </w:pPr>
    <w:rPr>
      <w:bCs/>
      <w:spacing w:val="5"/>
    </w:rPr>
  </w:style>
  <w:style w:type="paragraph" w:styleId="7">
    <w:name w:val="heading 5"/>
    <w:basedOn w:val="1"/>
    <w:next w:val="1"/>
    <w:link w:val="40"/>
    <w:unhideWhenUsed/>
    <w:qFormat/>
    <w:uiPriority w:val="9"/>
    <w:pPr>
      <w:spacing w:after="0" w:line="271" w:lineRule="auto"/>
      <w:outlineLvl w:val="4"/>
    </w:pPr>
    <w:rPr>
      <w:i/>
      <w:iCs/>
    </w:rPr>
  </w:style>
  <w:style w:type="paragraph" w:styleId="8">
    <w:name w:val="heading 6"/>
    <w:basedOn w:val="1"/>
    <w:next w:val="1"/>
    <w:link w:val="41"/>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42"/>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43"/>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4"/>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12">
    <w:name w:val="Normal Indent"/>
    <w:basedOn w:val="1"/>
    <w:link w:val="62"/>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Body Text Indent"/>
    <w:basedOn w:val="1"/>
    <w:next w:val="12"/>
    <w:link w:val="65"/>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5">
    <w:name w:val="Plain Text"/>
    <w:basedOn w:val="1"/>
    <w:link w:val="63"/>
    <w:qFormat/>
    <w:uiPriority w:val="0"/>
    <w:pPr>
      <w:widowControl w:val="0"/>
      <w:adjustRightInd w:val="0"/>
      <w:spacing w:after="0"/>
      <w:jc w:val="both"/>
    </w:pPr>
    <w:rPr>
      <w:rFonts w:ascii="宋体" w:hAnsi="Courier New" w:eastAsia="宋体" w:cs="Arial"/>
      <w:snapToGrid w:val="0"/>
      <w:kern w:val="2"/>
      <w:sz w:val="21"/>
      <w:szCs w:val="21"/>
    </w:rPr>
  </w:style>
  <w:style w:type="paragraph" w:styleId="16">
    <w:name w:val="Balloon Text"/>
    <w:basedOn w:val="1"/>
    <w:link w:val="77"/>
    <w:semiHidden/>
    <w:unhideWhenUsed/>
    <w:qFormat/>
    <w:uiPriority w:val="99"/>
    <w:pPr>
      <w:spacing w:after="0"/>
    </w:pPr>
    <w:rPr>
      <w:sz w:val="18"/>
      <w:szCs w:val="18"/>
    </w:rPr>
  </w:style>
  <w:style w:type="paragraph" w:styleId="17">
    <w:name w:val="footer"/>
    <w:basedOn w:val="1"/>
    <w:link w:val="35"/>
    <w:unhideWhenUsed/>
    <w:qFormat/>
    <w:uiPriority w:val="99"/>
    <w:pPr>
      <w:tabs>
        <w:tab w:val="center" w:pos="4153"/>
        <w:tab w:val="right" w:pos="8306"/>
      </w:tabs>
      <w:snapToGrid w:val="0"/>
    </w:pPr>
    <w:rPr>
      <w:sz w:val="18"/>
      <w:szCs w:val="18"/>
    </w:rPr>
  </w:style>
  <w:style w:type="paragraph" w:styleId="18">
    <w:name w:val="envelope return"/>
    <w:basedOn w:val="1"/>
    <w:semiHidden/>
    <w:unhideWhenUsed/>
    <w:qFormat/>
    <w:uiPriority w:val="99"/>
    <w:pPr>
      <w:snapToGrid w:val="0"/>
    </w:pPr>
    <w:rPr>
      <w:rFonts w:asciiTheme="majorHAnsi" w:hAnsiTheme="majorHAnsi" w:eastAsiaTheme="majorEastAsia" w:cstheme="majorBidi"/>
    </w:rPr>
  </w:style>
  <w:style w:type="paragraph" w:styleId="19">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6"/>
    <w:qFormat/>
    <w:uiPriority w:val="11"/>
    <w:rPr>
      <w:i/>
      <w:iCs/>
      <w:smallCaps/>
      <w:spacing w:val="10"/>
      <w:sz w:val="28"/>
      <w:szCs w:val="28"/>
    </w:rPr>
  </w:style>
  <w:style w:type="paragraph" w:styleId="21">
    <w:name w:val="toc 2"/>
    <w:basedOn w:val="1"/>
    <w:next w:val="1"/>
    <w:semiHidden/>
    <w:unhideWhenUsed/>
    <w:qFormat/>
    <w:uiPriority w:val="39"/>
    <w:pPr>
      <w:ind w:left="420" w:leftChars="200"/>
    </w:pPr>
  </w:style>
  <w:style w:type="paragraph" w:styleId="22">
    <w:name w:val="Body Text 2"/>
    <w:basedOn w:val="1"/>
    <w:qFormat/>
    <w:uiPriority w:val="0"/>
    <w:pPr>
      <w:spacing w:after="120" w:line="480" w:lineRule="auto"/>
    </w:pPr>
  </w:style>
  <w:style w:type="paragraph" w:styleId="23">
    <w:name w:val="Title"/>
    <w:basedOn w:val="1"/>
    <w:next w:val="1"/>
    <w:link w:val="45"/>
    <w:qFormat/>
    <w:uiPriority w:val="10"/>
    <w:pPr>
      <w:spacing w:after="300"/>
      <w:contextualSpacing/>
    </w:pPr>
    <w:rPr>
      <w:smallCaps/>
      <w:sz w:val="52"/>
      <w:szCs w:val="52"/>
    </w:rPr>
  </w:style>
  <w:style w:type="paragraph" w:styleId="24">
    <w:name w:val="Body Text First Indent 2"/>
    <w:basedOn w:val="14"/>
    <w:next w:val="1"/>
    <w:qFormat/>
    <w:uiPriority w:val="99"/>
    <w:pPr>
      <w:adjustRightInd/>
      <w:spacing w:after="120" w:line="240" w:lineRule="auto"/>
      <w:ind w:left="420" w:leftChars="200" w:firstLine="210"/>
    </w:pPr>
    <w:rPr>
      <w:sz w:val="21"/>
      <w:szCs w:val="21"/>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Emphasis"/>
    <w:qFormat/>
    <w:uiPriority w:val="20"/>
    <w:rPr>
      <w:b/>
      <w:bCs/>
      <w:i/>
      <w:iCs/>
      <w:spacing w:val="10"/>
    </w:rPr>
  </w:style>
  <w:style w:type="character" w:styleId="30">
    <w:name w:val="Hyperlink"/>
    <w:qFormat/>
    <w:uiPriority w:val="99"/>
    <w:rPr>
      <w:rFonts w:ascii="Arial" w:hAnsi="Arial" w:eastAsia="黑体" w:cs="Arial"/>
      <w:snapToGrid w:val="0"/>
      <w:color w:val="000000"/>
      <w:kern w:val="0"/>
      <w:sz w:val="18"/>
      <w:szCs w:val="18"/>
      <w:u w:val="none"/>
    </w:rPr>
  </w:style>
  <w:style w:type="character" w:styleId="31">
    <w:name w:val="annotation reference"/>
    <w:basedOn w:val="27"/>
    <w:semiHidden/>
    <w:qFormat/>
    <w:uiPriority w:val="99"/>
    <w:rPr>
      <w:sz w:val="21"/>
      <w:szCs w:val="21"/>
    </w:rPr>
  </w:style>
  <w:style w:type="paragraph" w:customStyle="1" w:styleId="32">
    <w:name w:val="_Style 2"/>
    <w:basedOn w:val="1"/>
    <w:qFormat/>
    <w:uiPriority w:val="0"/>
    <w:pPr>
      <w:ind w:firstLine="200" w:firstLineChars="200"/>
    </w:pPr>
    <w:rPr>
      <w:rFonts w:ascii="Calibri" w:hAnsi="Calibri"/>
      <w:sz w:val="28"/>
      <w:szCs w:val="22"/>
    </w:rPr>
  </w:style>
  <w:style w:type="paragraph" w:styleId="33">
    <w:name w:val="List Paragraph"/>
    <w:basedOn w:val="1"/>
    <w:qFormat/>
    <w:uiPriority w:val="34"/>
    <w:pPr>
      <w:ind w:left="720"/>
      <w:contextualSpacing/>
    </w:pPr>
  </w:style>
  <w:style w:type="character" w:customStyle="1" w:styleId="34">
    <w:name w:val="页眉 字符"/>
    <w:basedOn w:val="27"/>
    <w:link w:val="19"/>
    <w:qFormat/>
    <w:uiPriority w:val="99"/>
    <w:rPr>
      <w:sz w:val="18"/>
      <w:szCs w:val="18"/>
    </w:rPr>
  </w:style>
  <w:style w:type="character" w:customStyle="1" w:styleId="35">
    <w:name w:val="页脚 字符"/>
    <w:basedOn w:val="27"/>
    <w:link w:val="17"/>
    <w:qFormat/>
    <w:uiPriority w:val="99"/>
    <w:rPr>
      <w:sz w:val="18"/>
      <w:szCs w:val="18"/>
    </w:rPr>
  </w:style>
  <w:style w:type="character" w:customStyle="1" w:styleId="36">
    <w:name w:val="标题 1 字符"/>
    <w:basedOn w:val="27"/>
    <w:link w:val="3"/>
    <w:qFormat/>
    <w:uiPriority w:val="9"/>
    <w:rPr>
      <w:rFonts w:ascii="仿宋_GB2312" w:hAnsi="仿宋" w:eastAsia="仿宋_GB2312"/>
      <w:b/>
      <w:smallCaps/>
      <w:spacing w:val="5"/>
      <w:sz w:val="36"/>
      <w:szCs w:val="36"/>
    </w:rPr>
  </w:style>
  <w:style w:type="character" w:customStyle="1" w:styleId="37">
    <w:name w:val="标题 2 字符"/>
    <w:basedOn w:val="27"/>
    <w:link w:val="4"/>
    <w:qFormat/>
    <w:uiPriority w:val="9"/>
    <w:rPr>
      <w:rFonts w:ascii="仿宋" w:hAnsi="仿宋" w:eastAsia="仿宋"/>
      <w:b/>
      <w:smallCaps/>
      <w:sz w:val="28"/>
      <w:szCs w:val="28"/>
    </w:rPr>
  </w:style>
  <w:style w:type="character" w:customStyle="1" w:styleId="38">
    <w:name w:val="标题 3 字符"/>
    <w:basedOn w:val="27"/>
    <w:link w:val="5"/>
    <w:qFormat/>
    <w:uiPriority w:val="9"/>
    <w:rPr>
      <w:rFonts w:ascii="仿宋" w:hAnsi="仿宋" w:eastAsia="仿宋"/>
      <w:b/>
      <w:sz w:val="24"/>
      <w:szCs w:val="24"/>
    </w:rPr>
  </w:style>
  <w:style w:type="character" w:customStyle="1" w:styleId="39">
    <w:name w:val="标题 4 字符"/>
    <w:basedOn w:val="27"/>
    <w:link w:val="6"/>
    <w:qFormat/>
    <w:uiPriority w:val="9"/>
    <w:rPr>
      <w:b/>
      <w:bCs/>
      <w:spacing w:val="5"/>
      <w:sz w:val="24"/>
      <w:szCs w:val="24"/>
    </w:rPr>
  </w:style>
  <w:style w:type="character" w:customStyle="1" w:styleId="40">
    <w:name w:val="标题 5 字符"/>
    <w:basedOn w:val="27"/>
    <w:link w:val="7"/>
    <w:qFormat/>
    <w:uiPriority w:val="9"/>
    <w:rPr>
      <w:i/>
      <w:iCs/>
      <w:sz w:val="24"/>
      <w:szCs w:val="24"/>
    </w:rPr>
  </w:style>
  <w:style w:type="character" w:customStyle="1" w:styleId="41">
    <w:name w:val="标题 6 字符"/>
    <w:basedOn w:val="27"/>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2">
    <w:name w:val="标题 7 字符"/>
    <w:basedOn w:val="27"/>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3">
    <w:name w:val="标题 8 字符"/>
    <w:basedOn w:val="27"/>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4">
    <w:name w:val="标题 9 字符"/>
    <w:basedOn w:val="27"/>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5">
    <w:name w:val="标题 字符"/>
    <w:basedOn w:val="27"/>
    <w:link w:val="23"/>
    <w:qFormat/>
    <w:uiPriority w:val="10"/>
    <w:rPr>
      <w:smallCaps/>
      <w:sz w:val="52"/>
      <w:szCs w:val="52"/>
    </w:rPr>
  </w:style>
  <w:style w:type="character" w:customStyle="1" w:styleId="46">
    <w:name w:val="副标题 字符"/>
    <w:basedOn w:val="27"/>
    <w:link w:val="20"/>
    <w:qFormat/>
    <w:uiPriority w:val="11"/>
    <w:rPr>
      <w:i/>
      <w:iCs/>
      <w:smallCaps/>
      <w:spacing w:val="10"/>
      <w:sz w:val="28"/>
      <w:szCs w:val="28"/>
    </w:rPr>
  </w:style>
  <w:style w:type="paragraph" w:styleId="47">
    <w:name w:val="No Spacing"/>
    <w:basedOn w:val="1"/>
    <w:link w:val="58"/>
    <w:qFormat/>
    <w:uiPriority w:val="1"/>
    <w:pPr>
      <w:spacing w:after="0"/>
    </w:pPr>
  </w:style>
  <w:style w:type="paragraph" w:styleId="48">
    <w:name w:val="Quote"/>
    <w:basedOn w:val="1"/>
    <w:next w:val="1"/>
    <w:link w:val="49"/>
    <w:qFormat/>
    <w:uiPriority w:val="29"/>
    <w:rPr>
      <w:i/>
      <w:iCs/>
    </w:rPr>
  </w:style>
  <w:style w:type="character" w:customStyle="1" w:styleId="49">
    <w:name w:val="引用 字符"/>
    <w:basedOn w:val="27"/>
    <w:link w:val="48"/>
    <w:qFormat/>
    <w:uiPriority w:val="29"/>
    <w:rPr>
      <w:i/>
      <w:iCs/>
    </w:rPr>
  </w:style>
  <w:style w:type="paragraph" w:styleId="50">
    <w:name w:val="Intense Quote"/>
    <w:basedOn w:val="1"/>
    <w:next w:val="1"/>
    <w:link w:val="51"/>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1">
    <w:name w:val="明显引用 字符"/>
    <w:basedOn w:val="27"/>
    <w:link w:val="50"/>
    <w:qFormat/>
    <w:uiPriority w:val="30"/>
    <w:rPr>
      <w:i/>
      <w:iCs/>
    </w:rPr>
  </w:style>
  <w:style w:type="character" w:customStyle="1" w:styleId="52">
    <w:name w:val="不明显强调1"/>
    <w:qFormat/>
    <w:uiPriority w:val="19"/>
    <w:rPr>
      <w:i/>
      <w:iCs/>
    </w:rPr>
  </w:style>
  <w:style w:type="character" w:customStyle="1" w:styleId="53">
    <w:name w:val="明显强调1"/>
    <w:qFormat/>
    <w:uiPriority w:val="21"/>
    <w:rPr>
      <w:b/>
      <w:bCs/>
      <w:i/>
      <w:iCs/>
    </w:rPr>
  </w:style>
  <w:style w:type="character" w:customStyle="1" w:styleId="54">
    <w:name w:val="不明显参考1"/>
    <w:basedOn w:val="27"/>
    <w:qFormat/>
    <w:uiPriority w:val="31"/>
    <w:rPr>
      <w:smallCaps/>
    </w:rPr>
  </w:style>
  <w:style w:type="character" w:customStyle="1" w:styleId="55">
    <w:name w:val="明显参考1"/>
    <w:qFormat/>
    <w:uiPriority w:val="32"/>
    <w:rPr>
      <w:b/>
      <w:bCs/>
      <w:smallCaps/>
    </w:rPr>
  </w:style>
  <w:style w:type="character" w:customStyle="1" w:styleId="56">
    <w:name w:val="书籍标题1"/>
    <w:basedOn w:val="27"/>
    <w:qFormat/>
    <w:uiPriority w:val="33"/>
    <w:rPr>
      <w:i/>
      <w:iCs/>
      <w:smallCaps/>
      <w:spacing w:val="5"/>
    </w:rPr>
  </w:style>
  <w:style w:type="paragraph" w:customStyle="1" w:styleId="57">
    <w:name w:val="TOC 标题1"/>
    <w:basedOn w:val="3"/>
    <w:next w:val="1"/>
    <w:semiHidden/>
    <w:unhideWhenUsed/>
    <w:qFormat/>
    <w:uiPriority w:val="39"/>
    <w:pPr>
      <w:outlineLvl w:val="9"/>
    </w:pPr>
    <w:rPr>
      <w:lang w:bidi="en-US"/>
    </w:rPr>
  </w:style>
  <w:style w:type="character" w:customStyle="1" w:styleId="58">
    <w:name w:val="无间隔 字符"/>
    <w:basedOn w:val="27"/>
    <w:link w:val="47"/>
    <w:qFormat/>
    <w:uiPriority w:val="1"/>
  </w:style>
  <w:style w:type="paragraph" w:customStyle="1" w:styleId="59">
    <w:name w:val="Personal Name"/>
    <w:basedOn w:val="23"/>
    <w:qFormat/>
    <w:uiPriority w:val="0"/>
    <w:rPr>
      <w:b/>
      <w:caps/>
      <w:color w:val="000000"/>
      <w:sz w:val="28"/>
      <w:szCs w:val="28"/>
    </w:rPr>
  </w:style>
  <w:style w:type="character" w:customStyle="1" w:styleId="60">
    <w:name w:val="正文2 Char Char"/>
    <w:link w:val="61"/>
    <w:qFormat/>
    <w:uiPriority w:val="0"/>
    <w:rPr>
      <w:rFonts w:ascii="仿宋" w:hAnsi="仿宋" w:eastAsia="仿宋"/>
      <w:sz w:val="24"/>
      <w:szCs w:val="24"/>
    </w:rPr>
  </w:style>
  <w:style w:type="paragraph" w:customStyle="1" w:styleId="61">
    <w:name w:val="正文2"/>
    <w:basedOn w:val="1"/>
    <w:link w:val="60"/>
    <w:qFormat/>
    <w:uiPriority w:val="0"/>
    <w:pPr>
      <w:spacing w:line="360" w:lineRule="auto"/>
    </w:pPr>
  </w:style>
  <w:style w:type="character" w:customStyle="1" w:styleId="62">
    <w:name w:val="正文缩进 字符"/>
    <w:link w:val="12"/>
    <w:qFormat/>
    <w:uiPriority w:val="0"/>
    <w:rPr>
      <w:rFonts w:ascii="宋体" w:hAnsi="Times New Roman" w:eastAsia="宋体" w:cs="Times New Roman"/>
      <w:snapToGrid w:val="0"/>
      <w:color w:val="000000"/>
      <w:kern w:val="28"/>
      <w:sz w:val="28"/>
      <w:szCs w:val="20"/>
    </w:rPr>
  </w:style>
  <w:style w:type="character" w:customStyle="1" w:styleId="63">
    <w:name w:val="纯文本 字符"/>
    <w:basedOn w:val="27"/>
    <w:link w:val="15"/>
    <w:qFormat/>
    <w:uiPriority w:val="0"/>
    <w:rPr>
      <w:rFonts w:ascii="宋体" w:hAnsi="Courier New" w:eastAsia="宋体" w:cs="Arial"/>
      <w:snapToGrid w:val="0"/>
      <w:kern w:val="2"/>
      <w:sz w:val="21"/>
      <w:szCs w:val="21"/>
    </w:rPr>
  </w:style>
  <w:style w:type="character" w:customStyle="1" w:styleId="64">
    <w:name w:val="正文文本缩进 Char"/>
    <w:basedOn w:val="27"/>
    <w:semiHidden/>
    <w:qFormat/>
    <w:uiPriority w:val="99"/>
    <w:rPr>
      <w:rFonts w:ascii="仿宋" w:hAnsi="仿宋" w:eastAsia="仿宋"/>
      <w:sz w:val="24"/>
      <w:szCs w:val="24"/>
    </w:rPr>
  </w:style>
  <w:style w:type="character" w:customStyle="1" w:styleId="65">
    <w:name w:val="正文文本缩进 字符"/>
    <w:link w:val="14"/>
    <w:qFormat/>
    <w:uiPriority w:val="0"/>
    <w:rPr>
      <w:rFonts w:ascii="宋体" w:hAnsi="宋体" w:eastAsia="宋体" w:cs="Times New Roman"/>
      <w:kern w:val="2"/>
      <w:sz w:val="24"/>
      <w:szCs w:val="24"/>
    </w:rPr>
  </w:style>
  <w:style w:type="character" w:customStyle="1" w:styleId="66">
    <w:name w:val="标题 Char2"/>
    <w:qFormat/>
    <w:uiPriority w:val="10"/>
    <w:rPr>
      <w:b/>
      <w:sz w:val="24"/>
      <w:lang w:val="en-GB"/>
    </w:rPr>
  </w:style>
  <w:style w:type="character" w:customStyle="1" w:styleId="67">
    <w:name w:val="纯文本 Char1"/>
    <w:link w:val="68"/>
    <w:qFormat/>
    <w:uiPriority w:val="0"/>
    <w:rPr>
      <w:rFonts w:ascii="宋体" w:hAnsi="Courier New"/>
    </w:rPr>
  </w:style>
  <w:style w:type="paragraph" w:customStyle="1" w:styleId="68">
    <w:name w:val="纯文本1"/>
    <w:basedOn w:val="1"/>
    <w:link w:val="67"/>
    <w:qFormat/>
    <w:uiPriority w:val="0"/>
    <w:pPr>
      <w:widowControl w:val="0"/>
      <w:spacing w:after="0"/>
      <w:jc w:val="both"/>
    </w:pPr>
    <w:rPr>
      <w:rFonts w:ascii="宋体" w:hAnsi="Courier New" w:eastAsiaTheme="majorEastAsia"/>
      <w:sz w:val="22"/>
      <w:szCs w:val="22"/>
    </w:rPr>
  </w:style>
  <w:style w:type="character" w:customStyle="1" w:styleId="69">
    <w:name w:val="页脚 Char2"/>
    <w:qFormat/>
    <w:locked/>
    <w:uiPriority w:val="99"/>
    <w:rPr>
      <w:kern w:val="2"/>
      <w:sz w:val="18"/>
      <w:szCs w:val="18"/>
    </w:rPr>
  </w:style>
  <w:style w:type="character" w:customStyle="1" w:styleId="70">
    <w:name w:val="页眉 Char2"/>
    <w:qFormat/>
    <w:uiPriority w:val="99"/>
    <w:rPr>
      <w:kern w:val="2"/>
      <w:sz w:val="18"/>
      <w:szCs w:val="18"/>
    </w:rPr>
  </w:style>
  <w:style w:type="paragraph" w:customStyle="1" w:styleId="71">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2">
    <w:name w:val="正文缩进1"/>
    <w:basedOn w:val="1"/>
    <w:next w:val="14"/>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3">
    <w:name w:val="text-tag"/>
    <w:basedOn w:val="1"/>
    <w:semiHidden/>
    <w:qFormat/>
    <w:uiPriority w:val="99"/>
    <w:pPr>
      <w:spacing w:before="100" w:beforeAutospacing="1" w:after="100" w:afterAutospacing="1"/>
    </w:pPr>
    <w:rPr>
      <w:rFonts w:ascii="宋体" w:hAnsi="宋体" w:eastAsia="宋体" w:cs="宋体"/>
    </w:rPr>
  </w:style>
  <w:style w:type="character" w:customStyle="1" w:styleId="74">
    <w:name w:val="纯文本 Char_0"/>
    <w:link w:val="75"/>
    <w:qFormat/>
    <w:uiPriority w:val="0"/>
    <w:rPr>
      <w:rFonts w:ascii="宋体" w:hAnsi="Courier New"/>
      <w:kern w:val="2"/>
      <w:sz w:val="21"/>
      <w:szCs w:val="21"/>
    </w:rPr>
  </w:style>
  <w:style w:type="paragraph" w:customStyle="1" w:styleId="75">
    <w:name w:val="纯文本_0_0"/>
    <w:basedOn w:val="1"/>
    <w:link w:val="74"/>
    <w:qFormat/>
    <w:uiPriority w:val="0"/>
    <w:pPr>
      <w:widowControl w:val="0"/>
      <w:spacing w:after="0"/>
      <w:jc w:val="both"/>
    </w:pPr>
    <w:rPr>
      <w:rFonts w:ascii="宋体" w:hAnsi="Courier New" w:eastAsiaTheme="majorEastAsia"/>
      <w:kern w:val="2"/>
      <w:sz w:val="21"/>
      <w:szCs w:val="21"/>
    </w:rPr>
  </w:style>
  <w:style w:type="paragraph" w:customStyle="1" w:styleId="76">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7">
    <w:name w:val="批注框文本 字符"/>
    <w:basedOn w:val="27"/>
    <w:link w:val="16"/>
    <w:semiHidden/>
    <w:qFormat/>
    <w:uiPriority w:val="99"/>
    <w:rPr>
      <w:rFonts w:ascii="仿宋" w:hAnsi="仿宋" w:eastAsia="仿宋"/>
      <w:sz w:val="18"/>
      <w:szCs w:val="18"/>
    </w:rPr>
  </w:style>
  <w:style w:type="paragraph" w:customStyle="1" w:styleId="78">
    <w:name w:val="Revision"/>
    <w:hidden/>
    <w:semiHidden/>
    <w:qFormat/>
    <w:uiPriority w:val="99"/>
    <w:rPr>
      <w:rFonts w:ascii="仿宋" w:hAnsi="仿宋" w:eastAsia="仿宋" w:cstheme="majorBidi"/>
      <w:sz w:val="24"/>
      <w:szCs w:val="24"/>
      <w:lang w:val="en-US" w:eastAsia="zh-CN" w:bidi="ar-SA"/>
    </w:rPr>
  </w:style>
  <w:style w:type="paragraph" w:customStyle="1" w:styleId="79">
    <w:name w:val="表格"/>
    <w:basedOn w:val="1"/>
    <w:qFormat/>
    <w:uiPriority w:val="99"/>
    <w:pPr>
      <w:snapToGrid w:val="0"/>
      <w:ind w:firstLine="42" w:firstLineChars="21"/>
    </w:pPr>
    <w:rPr>
      <w:rFonts w:ascii="宋体" w:hAnsi="宋体" w:cs="宋体"/>
      <w:kern w:val="0"/>
      <w:sz w:val="20"/>
      <w:szCs w:val="20"/>
    </w:rPr>
  </w:style>
  <w:style w:type="paragraph" w:customStyle="1" w:styleId="80">
    <w:name w:val="正文 + 小四"/>
    <w:basedOn w:val="1"/>
    <w:qFormat/>
    <w:uiPriority w:val="0"/>
    <w:pPr>
      <w:jc w:val="center"/>
    </w:pPr>
  </w:style>
  <w:style w:type="paragraph" w:customStyle="1" w:styleId="81">
    <w:name w:val="列出段落2"/>
    <w:basedOn w:val="1"/>
    <w:qFormat/>
    <w:uiPriority w:val="34"/>
    <w:pPr>
      <w:adjustRightInd/>
      <w:ind w:firstLine="420" w:firstLineChars="200"/>
    </w:pPr>
    <w:rPr>
      <w:rFonts w:ascii="宋体" w:hAnsi="宋体" w:cs="黑体"/>
      <w:szCs w:val="22"/>
    </w:rPr>
  </w:style>
  <w:style w:type="table" w:customStyle="1" w:styleId="8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37786</Words>
  <Characters>39942</Characters>
  <Lines>449</Lines>
  <Paragraphs>126</Paragraphs>
  <TotalTime>36</TotalTime>
  <ScaleCrop>false</ScaleCrop>
  <LinksUpToDate>false</LinksUpToDate>
  <CharactersWithSpaces>45589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2022-06-10T15:30:00Z</dcterms:created>
  <dc:creator>admin</dc:creator>
  <cp:lastModifiedBy>北极熊不吃鱼</cp:lastModifiedBy>
  <cp:lastPrinted>2022-08-25T08:32:00Z</cp:lastPrinted>
  <dcterms:modified xsi:type="dcterms:W3CDTF">2022-12-20T08:12:06Z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BF1668DE8AD6414395B0B6692B913676</vt:lpwstr>
  </property>
  <property fmtid="{D5CDD505-2E9C-101B-9397-08002B2CF9AE}" pid="4" name="woTemplateTypoMode" linkTarget="0">
    <vt:lpwstr>web</vt:lpwstr>
  </property>
  <property fmtid="{D5CDD505-2E9C-101B-9397-08002B2CF9AE}" pid="5" name="woTemplate" linkTarget="0">
    <vt:i4>1</vt:i4>
  </property>
</Properties>
</file>