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center"/>
        <w:rPr>
          <w:rFonts w:hint="eastAsia" w:ascii="仿宋" w:hAnsi="仿宋" w:eastAsia="仿宋" w:cs="仿宋"/>
          <w:color w:val="auto"/>
          <w:sz w:val="36"/>
          <w:highlight w:val="none"/>
        </w:rPr>
      </w:pPr>
    </w:p>
    <w:p>
      <w:pPr>
        <w:pStyle w:val="13"/>
        <w:snapToGrid w:val="0"/>
        <w:spacing w:after="0" w:line="312" w:lineRule="auto"/>
        <w:ind w:firstLine="883"/>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杭州市萧山区市政绿化养护保障中心</w:t>
      </w:r>
    </w:p>
    <w:p>
      <w:pPr>
        <w:pStyle w:val="13"/>
        <w:snapToGrid w:val="0"/>
        <w:spacing w:after="0" w:line="312" w:lineRule="auto"/>
        <w:ind w:firstLine="883"/>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能源托管项目</w:t>
      </w:r>
    </w:p>
    <w:p>
      <w:pPr>
        <w:pStyle w:val="13"/>
        <w:snapToGrid w:val="0"/>
        <w:spacing w:after="0" w:line="312" w:lineRule="auto"/>
        <w:ind w:firstLine="883"/>
        <w:jc w:val="center"/>
        <w:rPr>
          <w:rFonts w:hint="eastAsia" w:ascii="仿宋" w:hAnsi="仿宋" w:eastAsia="仿宋" w:cs="仿宋"/>
          <w:b/>
          <w:bCs/>
          <w:color w:val="auto"/>
          <w:sz w:val="44"/>
          <w:szCs w:val="44"/>
          <w:highlight w:val="none"/>
        </w:rPr>
      </w:pPr>
    </w:p>
    <w:p>
      <w:pPr>
        <w:pStyle w:val="13"/>
        <w:snapToGrid w:val="0"/>
        <w:spacing w:after="0" w:line="312" w:lineRule="auto"/>
        <w:ind w:firstLine="883"/>
        <w:jc w:val="center"/>
        <w:rPr>
          <w:rFonts w:hint="eastAsia" w:ascii="仿宋" w:hAnsi="仿宋" w:eastAsia="仿宋" w:cs="仿宋"/>
          <w:b/>
          <w:color w:val="auto"/>
          <w:sz w:val="44"/>
          <w:szCs w:val="44"/>
          <w:highlight w:val="none"/>
        </w:rPr>
      </w:pPr>
    </w:p>
    <w:p>
      <w:pPr>
        <w:snapToGrid w:val="0"/>
        <w:spacing w:line="192" w:lineRule="auto"/>
        <w:jc w:val="center"/>
        <w:rPr>
          <w:rFonts w:hint="eastAsia" w:ascii="仿宋" w:hAnsi="仿宋" w:eastAsia="仿宋" w:cs="仿宋"/>
          <w:b/>
          <w:color w:val="auto"/>
          <w:sz w:val="84"/>
          <w:szCs w:val="84"/>
          <w:highlight w:val="none"/>
        </w:rPr>
      </w:pPr>
      <w:r>
        <w:rPr>
          <w:rFonts w:hint="eastAsia" w:ascii="仿宋" w:hAnsi="仿宋" w:eastAsia="仿宋" w:cs="仿宋"/>
          <w:b/>
          <w:color w:val="auto"/>
          <w:sz w:val="84"/>
          <w:szCs w:val="84"/>
          <w:highlight w:val="none"/>
        </w:rPr>
        <w:t>招 标 文 件</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（电子招投标）</w:t>
      </w:r>
    </w:p>
    <w:p>
      <w:pPr>
        <w:rPr>
          <w:rFonts w:hint="eastAsia" w:ascii="仿宋" w:hAnsi="仿宋" w:eastAsia="仿宋" w:cs="仿宋"/>
          <w:color w:val="auto"/>
          <w:sz w:val="36"/>
          <w:highlight w:val="none"/>
        </w:rPr>
      </w:pPr>
    </w:p>
    <w:p>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编号: XZCGDL2022-GK-ZCY011</w:t>
      </w:r>
    </w:p>
    <w:p>
      <w:pPr>
        <w:rPr>
          <w:rFonts w:hint="eastAsia" w:ascii="仿宋" w:hAnsi="仿宋" w:eastAsia="仿宋" w:cs="仿宋"/>
          <w:color w:val="auto"/>
          <w:highlight w:val="none"/>
        </w:rPr>
      </w:pPr>
    </w:p>
    <w:p>
      <w:pPr>
        <w:pStyle w:val="2"/>
        <w:rPr>
          <w:rFonts w:hint="eastAsia"/>
        </w:rPr>
      </w:pPr>
    </w:p>
    <w:p>
      <w:pPr>
        <w:jc w:val="center"/>
        <w:rPr>
          <w:rFonts w:hint="eastAsia" w:ascii="仿宋" w:hAnsi="仿宋" w:eastAsia="仿宋" w:cs="仿宋"/>
          <w:color w:val="auto"/>
          <w:highlight w:val="none"/>
        </w:rPr>
      </w:pPr>
    </w:p>
    <w:p>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杭州市萧山区市政绿化养护保障中心</w:t>
      </w:r>
    </w:p>
    <w:p>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浙江华域高宇项目管理有限公司</w:t>
      </w:r>
    </w:p>
    <w:p>
      <w:pPr>
        <w:jc w:val="center"/>
        <w:rPr>
          <w:rFonts w:hint="eastAsia" w:ascii="仿宋" w:hAnsi="仿宋" w:eastAsia="仿宋" w:cs="仿宋"/>
          <w:color w:val="auto"/>
          <w:sz w:val="36"/>
          <w:highlight w:val="none"/>
        </w:rPr>
      </w:pPr>
      <w:r>
        <w:rPr>
          <w:rFonts w:hint="eastAsia" w:ascii="仿宋" w:hAnsi="仿宋" w:eastAsia="仿宋" w:cs="仿宋"/>
          <w:color w:val="auto"/>
          <w:sz w:val="36"/>
          <w:highlight w:val="none"/>
        </w:rPr>
        <w:t>2022年</w:t>
      </w:r>
      <w:r>
        <w:rPr>
          <w:rFonts w:hint="eastAsia" w:cs="仿宋"/>
          <w:color w:val="auto"/>
          <w:sz w:val="36"/>
          <w:highlight w:val="none"/>
          <w:lang w:val="en-US" w:eastAsia="zh-CN"/>
        </w:rPr>
        <w:t>10</w:t>
      </w:r>
      <w:r>
        <w:rPr>
          <w:rFonts w:hint="eastAsia" w:ascii="仿宋" w:hAnsi="仿宋" w:eastAsia="仿宋" w:cs="仿宋"/>
          <w:color w:val="auto"/>
          <w:sz w:val="36"/>
          <w:highlight w:val="none"/>
        </w:rPr>
        <w:t>月</w:t>
      </w:r>
      <w:r>
        <w:rPr>
          <w:rFonts w:hint="eastAsia" w:cs="仿宋"/>
          <w:color w:val="auto"/>
          <w:sz w:val="36"/>
          <w:highlight w:val="none"/>
          <w:lang w:val="en-US" w:eastAsia="zh-CN"/>
        </w:rPr>
        <w:t>28</w:t>
      </w:r>
      <w:r>
        <w:rPr>
          <w:rFonts w:hint="eastAsia" w:ascii="仿宋" w:hAnsi="仿宋" w:eastAsia="仿宋" w:cs="仿宋"/>
          <w:color w:val="auto"/>
          <w:sz w:val="36"/>
          <w:highlight w:val="none"/>
        </w:rPr>
        <w:t>日</w:t>
      </w:r>
    </w:p>
    <w:p>
      <w:pPr>
        <w:jc w:val="center"/>
        <w:rPr>
          <w:rFonts w:hint="eastAsia" w:ascii="仿宋" w:hAnsi="仿宋" w:eastAsia="仿宋" w:cs="仿宋"/>
          <w:color w:val="auto"/>
          <w:highlight w:val="none"/>
        </w:rPr>
      </w:pPr>
      <w:r>
        <w:rPr>
          <w:rFonts w:hint="eastAsia" w:ascii="仿宋" w:hAnsi="仿宋" w:eastAsia="仿宋" w:cs="仿宋"/>
          <w:color w:val="auto"/>
          <w:highlight w:val="none"/>
        </w:rPr>
        <w:t>本招标文件为2022年</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日稿，请各位投标人详细阅读各项条款</w:t>
      </w:r>
    </w:p>
    <w:p>
      <w:pPr>
        <w:pStyle w:val="14"/>
        <w:tabs>
          <w:tab w:val="left" w:pos="480"/>
        </w:tabs>
        <w:snapToGrid w:val="0"/>
        <w:spacing w:line="500" w:lineRule="exact"/>
        <w:ind w:left="560" w:firstLine="643"/>
        <w:jc w:val="center"/>
        <w:rPr>
          <w:rFonts w:hint="eastAsia" w:ascii="仿宋" w:hAnsi="仿宋" w:eastAsia="仿宋" w:cs="仿宋"/>
          <w:b/>
          <w:color w:val="auto"/>
          <w:sz w:val="28"/>
          <w:szCs w:val="28"/>
          <w:highlight w:val="none"/>
        </w:rPr>
      </w:pPr>
    </w:p>
    <w:p>
      <w:pPr>
        <w:spacing w:line="276" w:lineRule="auto"/>
        <w:rPr>
          <w:rFonts w:hint="eastAsia" w:ascii="仿宋" w:hAnsi="仿宋" w:eastAsia="仿宋" w:cs="仿宋"/>
          <w:b/>
          <w:smallCaps/>
          <w:color w:val="auto"/>
          <w:spacing w:val="5"/>
          <w:sz w:val="36"/>
          <w:szCs w:val="36"/>
          <w:highlight w:val="none"/>
        </w:rPr>
        <w:sectPr>
          <w:headerReference r:id="rId4" w:type="default"/>
          <w:footerReference r:id="rId5" w:type="default"/>
          <w:pgSz w:w="11906" w:h="16838"/>
          <w:pgMar w:top="1440" w:right="1700" w:bottom="1440" w:left="1800" w:header="851" w:footer="992" w:gutter="0"/>
          <w:cols w:space="425" w:num="1"/>
          <w:docGrid w:type="lines" w:linePitch="312" w:charSpace="0"/>
        </w:sectPr>
      </w:pPr>
    </w:p>
    <w:p>
      <w:pPr>
        <w:pStyle w:val="2"/>
        <w:rPr>
          <w:rFonts w:hint="eastAsia" w:ascii="仿宋" w:hAnsi="仿宋" w:eastAsia="仿宋" w:cs="仿宋"/>
          <w:color w:val="auto"/>
          <w:highlight w:val="none"/>
        </w:rPr>
      </w:pPr>
    </w:p>
    <w:p>
      <w:pPr>
        <w:pStyle w:val="3"/>
        <w:rPr>
          <w:rFonts w:hint="eastAsia" w:ascii="仿宋" w:hAnsi="仿宋" w:eastAsia="仿宋" w:cs="仿宋"/>
          <w:color w:val="auto"/>
          <w:highlight w:val="none"/>
        </w:rPr>
      </w:pPr>
      <w:r>
        <w:rPr>
          <w:rFonts w:hint="eastAsia" w:ascii="仿宋" w:hAnsi="仿宋" w:eastAsia="仿宋" w:cs="仿宋"/>
          <w:color w:val="auto"/>
          <w:highlight w:val="none"/>
        </w:rPr>
        <w:t>目  录</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第一部分      招标公告</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第二部分      投标人须知</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第三部分      采购需求</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第四部分      评标办法</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第五部分      拟签订的合同文本</w:t>
      </w:r>
    </w:p>
    <w:p>
      <w:pPr>
        <w:rPr>
          <w:rFonts w:hint="eastAsia" w:ascii="仿宋" w:hAnsi="仿宋" w:eastAsia="仿宋" w:cs="仿宋"/>
          <w:color w:val="auto"/>
          <w:sz w:val="32"/>
          <w:highlight w:val="none"/>
        </w:rPr>
      </w:pPr>
      <w:r>
        <w:rPr>
          <w:rFonts w:hint="eastAsia" w:ascii="仿宋" w:hAnsi="仿宋" w:eastAsia="仿宋" w:cs="仿宋"/>
          <w:color w:val="auto"/>
          <w:sz w:val="32"/>
          <w:highlight w:val="none"/>
        </w:rPr>
        <w:t>第六部分      应提交的有关格式范例</w:t>
      </w:r>
    </w:p>
    <w:p>
      <w:pPr>
        <w:spacing w:line="276" w:lineRule="auto"/>
        <w:rPr>
          <w:rFonts w:hint="eastAsia" w:ascii="仿宋" w:hAnsi="仿宋" w:eastAsia="仿宋" w:cs="仿宋"/>
          <w:color w:val="auto"/>
          <w:sz w:val="32"/>
          <w:highlight w:val="none"/>
        </w:rPr>
      </w:pPr>
    </w:p>
    <w:p>
      <w:pPr>
        <w:pStyle w:val="3"/>
        <w:spacing w:line="288" w:lineRule="auto"/>
        <w:rPr>
          <w:rFonts w:hint="eastAsia" w:ascii="仿宋" w:hAnsi="仿宋" w:eastAsia="仿宋" w:cs="仿宋"/>
          <w:color w:val="auto"/>
          <w:highlight w:val="none"/>
        </w:rPr>
        <w:sectPr>
          <w:footerReference r:id="rId6" w:type="default"/>
          <w:pgSz w:w="11906" w:h="16838"/>
          <w:pgMar w:top="1440" w:right="1700" w:bottom="1440" w:left="1800" w:header="851" w:footer="992" w:gutter="0"/>
          <w:cols w:space="425" w:num="1"/>
          <w:docGrid w:type="lines" w:linePitch="312" w:charSpace="0"/>
        </w:sectPr>
      </w:pPr>
    </w:p>
    <w:p>
      <w:pPr>
        <w:pStyle w:val="3"/>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第一部分 招标公告</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522" w:type="dxa"/>
          </w:tcPr>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项目概况</w:t>
            </w:r>
          </w:p>
          <w:p>
            <w:pPr>
              <w:pStyle w:val="13"/>
              <w:snapToGrid w:val="0"/>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u w:val="single"/>
              </w:rPr>
              <w:t>（杭州市萧山区市政绿化养护保障中心能源托管项目）</w:t>
            </w:r>
            <w:r>
              <w:rPr>
                <w:rFonts w:hint="eastAsia" w:ascii="仿宋" w:hAnsi="仿宋" w:eastAsia="仿宋" w:cs="仿宋"/>
                <w:color w:val="auto"/>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"https://www.zcygov.cn/）获取（下载）招标文件，并于2021年" </w:instrText>
            </w:r>
            <w:r>
              <w:rPr>
                <w:rFonts w:hint="eastAsia" w:ascii="仿宋" w:hAnsi="仿宋" w:eastAsia="仿宋" w:cs="仿宋"/>
                <w:color w:val="auto"/>
                <w:highlight w:val="none"/>
              </w:rPr>
              <w:fldChar w:fldCharType="separate"/>
            </w:r>
            <w:r>
              <w:rPr>
                <w:rStyle w:val="29"/>
                <w:rFonts w:hint="eastAsia" w:ascii="仿宋" w:hAnsi="仿宋" w:eastAsia="仿宋" w:cs="仿宋"/>
                <w:color w:val="auto"/>
                <w:kern w:val="2"/>
                <w:highlight w:val="none"/>
              </w:rPr>
              <w:t>https://www.zcygov.cn/）获取（下载）招标文件，并于</w:t>
            </w:r>
            <w:r>
              <w:rPr>
                <w:rFonts w:hint="eastAsia" w:ascii="仿宋" w:hAnsi="仿宋" w:eastAsia="仿宋" w:cs="仿宋"/>
                <w:color w:val="auto"/>
                <w:highlight w:val="none"/>
                <w:u w:val="single"/>
              </w:rPr>
              <w:t>202</w:t>
            </w:r>
            <w:r>
              <w:rPr>
                <w:rFonts w:hint="eastAsia" w:cs="仿宋"/>
                <w:color w:val="auto"/>
                <w:highlight w:val="none"/>
                <w:u w:val="single"/>
                <w:lang w:val="en-US" w:eastAsia="zh-CN"/>
              </w:rPr>
              <w:t>2</w:t>
            </w:r>
            <w:r>
              <w:rPr>
                <w:rFonts w:hint="eastAsia" w:ascii="仿宋" w:hAnsi="仿宋" w:eastAsia="仿宋" w:cs="仿宋"/>
                <w:color w:val="auto"/>
                <w:highlight w:val="none"/>
                <w:u w:val="single"/>
              </w:rPr>
              <w:t>年</w:t>
            </w:r>
            <w:r>
              <w:rPr>
                <w:rFonts w:hint="eastAsia" w:cs="仿宋"/>
                <w:color w:val="auto"/>
                <w:highlight w:val="none"/>
                <w:u w:val="single"/>
                <w:lang w:val="en-US" w:eastAsia="zh-CN"/>
              </w:rPr>
              <w:t>11</w:t>
            </w:r>
            <w:r>
              <w:rPr>
                <w:rFonts w:hint="eastAsia" w:ascii="仿宋" w:hAnsi="仿宋" w:eastAsia="仿宋" w:cs="仿宋"/>
                <w:color w:val="auto"/>
                <w:highlight w:val="none"/>
                <w:u w:val="single"/>
              </w:rPr>
              <w:t>月</w:t>
            </w:r>
            <w:r>
              <w:rPr>
                <w:rFonts w:hint="eastAsia" w:cs="仿宋"/>
                <w:color w:val="auto"/>
                <w:highlight w:val="none"/>
                <w:u w:val="single"/>
                <w:lang w:val="en-US" w:eastAsia="zh-CN"/>
              </w:rPr>
              <w:t>21</w:t>
            </w:r>
            <w:r>
              <w:rPr>
                <w:rFonts w:hint="eastAsia" w:ascii="仿宋" w:hAnsi="仿宋" w:eastAsia="仿宋" w:cs="仿宋"/>
                <w:color w:val="auto"/>
                <w:highlight w:val="none"/>
                <w:u w:val="single"/>
              </w:rPr>
              <w:t>日</w:t>
            </w:r>
            <w:r>
              <w:rPr>
                <w:rFonts w:hint="eastAsia" w:cs="仿宋"/>
                <w:color w:val="auto"/>
                <w:highlight w:val="none"/>
                <w:u w:val="single"/>
                <w:lang w:val="en-US" w:eastAsia="zh-CN"/>
              </w:rPr>
              <w:t>09</w:t>
            </w:r>
            <w:r>
              <w:rPr>
                <w:rFonts w:hint="eastAsia" w:ascii="仿宋" w:hAnsi="仿宋" w:eastAsia="仿宋" w:cs="仿宋"/>
                <w:color w:val="auto"/>
                <w:highlight w:val="none"/>
                <w:u w:val="single"/>
              </w:rPr>
              <w:t>点</w:t>
            </w:r>
            <w:r>
              <w:rPr>
                <w:rFonts w:hint="eastAsia" w:cs="仿宋"/>
                <w:color w:val="auto"/>
                <w:highlight w:val="none"/>
                <w:u w:val="single"/>
                <w:lang w:val="en-US" w:eastAsia="zh-CN"/>
              </w:rPr>
              <w:t>00</w:t>
            </w:r>
            <w:r>
              <w:rPr>
                <w:rFonts w:hint="eastAsia" w:ascii="仿宋" w:hAnsi="仿宋" w:eastAsia="仿宋" w:cs="仿宋"/>
                <w:color w:val="auto"/>
                <w:highlight w:val="none"/>
                <w:u w:val="single"/>
              </w:rPr>
              <w:t>分</w:t>
            </w:r>
            <w:r>
              <w:rPr>
                <w:rFonts w:hint="eastAsia" w:ascii="仿宋" w:hAnsi="仿宋" w:eastAsia="仿宋" w:cs="仿宋"/>
                <w:bCs/>
                <w:color w:val="auto"/>
                <w:highlight w:val="none"/>
                <w:u w:val="single"/>
              </w:rPr>
              <w:t>00秒</w:t>
            </w:r>
            <w:r>
              <w:rPr>
                <w:rFonts w:hint="eastAsia" w:ascii="仿宋" w:hAnsi="仿宋" w:eastAsia="仿宋" w:cs="仿宋"/>
                <w:bCs/>
                <w:color w:val="auto"/>
                <w:highlight w:val="none"/>
                <w:u w:val="single"/>
              </w:rPr>
              <w:fldChar w:fldCharType="end"/>
            </w:r>
            <w:r>
              <w:rPr>
                <w:rFonts w:hint="eastAsia" w:ascii="仿宋" w:hAnsi="仿宋" w:eastAsia="仿宋" w:cs="仿宋"/>
                <w:bCs/>
                <w:color w:val="auto"/>
                <w:highlight w:val="none"/>
              </w:rPr>
              <w:t>（北京时间）前</w:t>
            </w:r>
            <w:r>
              <w:rPr>
                <w:rFonts w:hint="eastAsia" w:ascii="仿宋" w:hAnsi="仿宋" w:eastAsia="仿宋" w:cs="仿宋"/>
                <w:color w:val="auto"/>
                <w:highlight w:val="none"/>
              </w:rPr>
              <w:t>递交（上传）投标文件。</w:t>
            </w:r>
          </w:p>
          <w:p>
            <w:pPr>
              <w:spacing w:after="0" w:line="288" w:lineRule="auto"/>
              <w:rPr>
                <w:rFonts w:hint="eastAsia" w:ascii="仿宋" w:hAnsi="仿宋" w:eastAsia="仿宋" w:cs="仿宋"/>
                <w:color w:val="auto"/>
                <w:highlight w:val="none"/>
              </w:rPr>
            </w:pPr>
          </w:p>
        </w:tc>
      </w:tr>
    </w:tbl>
    <w:p>
      <w:pPr>
        <w:spacing w:after="0" w:line="288" w:lineRule="auto"/>
        <w:rPr>
          <w:rFonts w:hint="eastAsia" w:ascii="仿宋" w:hAnsi="仿宋" w:eastAsia="仿宋" w:cs="仿宋"/>
          <w:b/>
          <w:color w:val="auto"/>
          <w:highlight w:val="none"/>
        </w:rPr>
      </w:pPr>
      <w:r>
        <w:rPr>
          <w:rFonts w:hint="eastAsia" w:ascii="仿宋" w:hAnsi="仿宋" w:eastAsia="仿宋" w:cs="仿宋"/>
          <w:b/>
          <w:color w:val="auto"/>
          <w:highlight w:val="none"/>
        </w:rPr>
        <w:t xml:space="preserve">一、项目基本情况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项目编号：XZCGDL2022-GK-ZCY011</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项目名称：杭州市萧山区市政绿化养护保障中心能源托管项目</w:t>
      </w:r>
    </w:p>
    <w:p>
      <w:pPr>
        <w:spacing w:after="0" w:line="288" w:lineRule="auto"/>
        <w:rPr>
          <w:rFonts w:hint="default" w:cs="仿宋"/>
          <w:color w:val="auto"/>
          <w:highlight w:val="none"/>
          <w:lang w:val="en-US" w:eastAsia="zh-CN"/>
        </w:rPr>
      </w:pPr>
      <w:r>
        <w:rPr>
          <w:rFonts w:hint="eastAsia" w:ascii="仿宋" w:hAnsi="仿宋" w:eastAsia="仿宋" w:cs="仿宋"/>
          <w:color w:val="auto"/>
          <w:highlight w:val="none"/>
        </w:rPr>
        <w:t>预算金额（元）：</w:t>
      </w:r>
      <w:r>
        <w:rPr>
          <w:rFonts w:hint="eastAsia" w:cs="仿宋"/>
          <w:color w:val="auto"/>
          <w:highlight w:val="none"/>
          <w:lang w:val="en-US" w:eastAsia="zh-CN"/>
        </w:rPr>
        <w:t>309000000.00</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最高限价（元）：</w:t>
      </w:r>
      <w:r>
        <w:rPr>
          <w:rFonts w:hint="eastAsia" w:cs="仿宋"/>
          <w:color w:val="auto"/>
          <w:highlight w:val="none"/>
          <w:lang w:val="en-US" w:eastAsia="zh-CN"/>
        </w:rPr>
        <w:t>309000000.00</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采购需求：（杭州市萧山区市政绿化养护保障中心能源托管项目）主要内容： 对杭州市萧山区市政绿化养护保障中心养管范围内所有</w:t>
      </w:r>
      <w:r>
        <w:rPr>
          <w:rFonts w:hint="eastAsia" w:ascii="仿宋" w:hAnsi="仿宋" w:eastAsia="仿宋" w:cs="仿宋"/>
          <w:color w:val="auto"/>
          <w:highlight w:val="none"/>
          <w:lang w:val="en-US" w:eastAsia="zh-CN"/>
        </w:rPr>
        <w:t>用能</w:t>
      </w:r>
      <w:r>
        <w:rPr>
          <w:rFonts w:hint="eastAsia" w:ascii="仿宋" w:hAnsi="仿宋" w:eastAsia="仿宋" w:cs="仿宋"/>
          <w:color w:val="auto"/>
          <w:highlight w:val="none"/>
        </w:rPr>
        <w:t>设施的能耗及维护进行托管服务。详见招标文件第三部分采购需求。</w:t>
      </w:r>
    </w:p>
    <w:p>
      <w:pPr>
        <w:spacing w:after="0" w:line="288"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合同履约期限：</w:t>
      </w:r>
      <w:r>
        <w:rPr>
          <w:rFonts w:hint="eastAsia" w:ascii="仿宋" w:hAnsi="仿宋" w:eastAsia="仿宋" w:cs="仿宋"/>
          <w:color w:val="auto"/>
          <w:highlight w:val="none"/>
          <w:u w:val="single"/>
          <w:lang w:val="en-US" w:eastAsia="zh-CN"/>
        </w:rPr>
        <w:t>详见招标文件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本项目接受联合体投标：（√）是；（ ）否 。</w:t>
      </w:r>
    </w:p>
    <w:p>
      <w:pPr>
        <w:spacing w:after="0" w:line="288" w:lineRule="auto"/>
        <w:rPr>
          <w:rFonts w:hint="eastAsia" w:ascii="仿宋" w:hAnsi="仿宋" w:eastAsia="仿宋" w:cs="仿宋"/>
          <w:color w:val="auto"/>
          <w:highlight w:val="none"/>
        </w:rPr>
      </w:pPr>
      <w:r>
        <w:rPr>
          <w:rFonts w:hint="eastAsia" w:ascii="仿宋" w:hAnsi="仿宋" w:eastAsia="仿宋" w:cs="仿宋"/>
          <w:b/>
          <w:color w:val="auto"/>
          <w:highlight w:val="none"/>
        </w:rPr>
        <w:t>二、申请人的资格要求</w:t>
      </w:r>
      <w:r>
        <w:rPr>
          <w:rFonts w:hint="eastAsia" w:ascii="仿宋" w:hAnsi="仿宋" w:eastAsia="仿宋" w:cs="仿宋"/>
          <w:color w:val="auto"/>
          <w:highlight w:val="none"/>
        </w:rPr>
        <w:t>：</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2.落实政府采购政策需满足的资格要求：</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）无；</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（√）专门面向中小企业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）货物全部由符合政策要求的中小企业制造，提供中小企业声明函；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）货物全部由符合政策要求的小微企业制造，提供中小企业声明函；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）服务全部由符合政策要求的中小企业承接，提供中小企业声明函；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）服务全部由符合政策要求的小微企业承接，提供中小企业声明函；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）要求以联合体形式参加，提供联合协议和中小企业声明函，联合协议中中小企业合同金额应当达到  %，小微企业合同金额应当达到 %;如果供应商本身提供所有标的均由中小企业制造、承建或承接，视同符合了资格条件，无需再与其他中小企业组成联合体参加政府采购活动，无需提供联合协议；</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）要求合同分包，提供分包意向协议和中小企业声明函，分包意向协议中中小企业合同金额应当达到  % ，小微企业合同金额应当达到 % ;如果供应商本身提供所有标的均由中小企业制造、承建或承接，视同符合了资格条件，无需再向中小企业分包，无需提供分包意向协议；</w:t>
      </w:r>
    </w:p>
    <w:p>
      <w:pPr>
        <w:spacing w:after="0" w:line="288"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3.本项目的特定资格要求：</w:t>
      </w:r>
      <w:r>
        <w:rPr>
          <w:rFonts w:hint="eastAsia" w:ascii="仿宋" w:hAnsi="仿宋" w:eastAsia="仿宋" w:cs="仿宋"/>
          <w:color w:val="auto"/>
          <w:highlight w:val="none"/>
          <w:lang w:val="en-US" w:eastAsia="zh-CN"/>
        </w:rPr>
        <w:t>无</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after="0" w:line="288" w:lineRule="auto"/>
        <w:rPr>
          <w:rFonts w:hint="eastAsia" w:ascii="仿宋" w:hAnsi="仿宋" w:eastAsia="仿宋" w:cs="仿宋"/>
          <w:b/>
          <w:color w:val="auto"/>
          <w:highlight w:val="none"/>
        </w:rPr>
      </w:pPr>
      <w:r>
        <w:rPr>
          <w:rFonts w:hint="eastAsia" w:ascii="仿宋" w:hAnsi="仿宋" w:eastAsia="仿宋" w:cs="仿宋"/>
          <w:b/>
          <w:color w:val="auto"/>
          <w:highlight w:val="none"/>
        </w:rPr>
        <w:t xml:space="preserve">三、获取招标文件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时间：/至2022年11月</w:t>
      </w:r>
      <w:r>
        <w:rPr>
          <w:rFonts w:hint="eastAsia" w:cs="仿宋"/>
          <w:color w:val="auto"/>
          <w:highlight w:val="none"/>
          <w:lang w:val="en-US" w:eastAsia="zh-CN"/>
        </w:rPr>
        <w:t>21</w:t>
      </w:r>
      <w:r>
        <w:rPr>
          <w:rFonts w:hint="eastAsia" w:ascii="仿宋" w:hAnsi="仿宋" w:eastAsia="仿宋" w:cs="仿宋"/>
          <w:color w:val="auto"/>
          <w:highlight w:val="none"/>
        </w:rPr>
        <w:t>日，每天上午00:00至12:00 ，下午12:00至23:59（北京时间，线上获取法定节假日均可，线下获取文件法定节假日除外）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地点（网址）：政采云平台（https://www.zcygov.cn/）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方式：供应商登录政采云平台https://www.zcygov.cn/在线申请获取采购文件（进入“项目采购”应用，在获取采购文件菜单中选择项目，申请获取采购文件）。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售价（元）：0 </w:t>
      </w:r>
      <w:r>
        <w:rPr>
          <w:rFonts w:hint="eastAsia" w:ascii="仿宋" w:hAnsi="仿宋" w:eastAsia="仿宋" w:cs="仿宋"/>
          <w:color w:val="auto"/>
          <w:highlight w:val="none"/>
        </w:rPr>
        <w:tab/>
      </w:r>
    </w:p>
    <w:p>
      <w:pPr>
        <w:spacing w:after="0" w:line="288" w:lineRule="auto"/>
        <w:rPr>
          <w:rFonts w:hint="eastAsia" w:ascii="仿宋" w:hAnsi="仿宋" w:eastAsia="仿宋" w:cs="仿宋"/>
          <w:b/>
          <w:color w:val="auto"/>
          <w:highlight w:val="none"/>
        </w:rPr>
      </w:pPr>
      <w:r>
        <w:rPr>
          <w:rFonts w:hint="eastAsia" w:ascii="仿宋" w:hAnsi="仿宋" w:eastAsia="仿宋" w:cs="仿宋"/>
          <w:b/>
          <w:color w:val="auto"/>
          <w:highlight w:val="none"/>
        </w:rPr>
        <w:t>四、提交投标文件截止时间、开标时间和地点</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提交投标文件截止时间： 202</w:t>
      </w:r>
      <w:r>
        <w:rPr>
          <w:rFonts w:hint="eastAsia" w:cs="仿宋"/>
          <w:color w:val="auto"/>
          <w:highlight w:val="none"/>
          <w:lang w:val="en-US" w:eastAsia="zh-CN"/>
        </w:rPr>
        <w:t>2</w:t>
      </w:r>
      <w:r>
        <w:rPr>
          <w:rFonts w:hint="eastAsia" w:ascii="仿宋" w:hAnsi="仿宋" w:eastAsia="仿宋" w:cs="仿宋"/>
          <w:color w:val="auto"/>
          <w:highlight w:val="none"/>
        </w:rPr>
        <w:t>年</w:t>
      </w:r>
      <w:r>
        <w:rPr>
          <w:rFonts w:hint="eastAsia" w:cs="仿宋"/>
          <w:color w:val="auto"/>
          <w:highlight w:val="none"/>
          <w:lang w:val="en-US" w:eastAsia="zh-CN"/>
        </w:rPr>
        <w:t>11</w:t>
      </w:r>
      <w:r>
        <w:rPr>
          <w:rFonts w:hint="eastAsia" w:ascii="仿宋" w:hAnsi="仿宋" w:eastAsia="仿宋" w:cs="仿宋"/>
          <w:color w:val="auto"/>
          <w:highlight w:val="none"/>
        </w:rPr>
        <w:t>月</w:t>
      </w:r>
      <w:r>
        <w:rPr>
          <w:rFonts w:hint="eastAsia" w:cs="仿宋"/>
          <w:color w:val="auto"/>
          <w:highlight w:val="none"/>
          <w:lang w:val="en-US" w:eastAsia="zh-CN"/>
        </w:rPr>
        <w:t>21</w:t>
      </w:r>
      <w:r>
        <w:rPr>
          <w:rFonts w:hint="eastAsia" w:ascii="仿宋" w:hAnsi="仿宋" w:eastAsia="仿宋" w:cs="仿宋"/>
          <w:color w:val="auto"/>
          <w:highlight w:val="none"/>
        </w:rPr>
        <w:t>日</w:t>
      </w:r>
      <w:r>
        <w:rPr>
          <w:rFonts w:hint="eastAsia" w:cs="仿宋"/>
          <w:color w:val="auto"/>
          <w:highlight w:val="none"/>
          <w:lang w:val="en-US" w:eastAsia="zh-CN"/>
        </w:rPr>
        <w:t>09</w:t>
      </w:r>
      <w:r>
        <w:rPr>
          <w:rFonts w:hint="eastAsia" w:ascii="仿宋" w:hAnsi="仿宋" w:eastAsia="仿宋" w:cs="仿宋"/>
          <w:color w:val="auto"/>
          <w:highlight w:val="none"/>
        </w:rPr>
        <w:t>点</w:t>
      </w:r>
      <w:r>
        <w:rPr>
          <w:rFonts w:hint="eastAsia" w:cs="仿宋"/>
          <w:color w:val="auto"/>
          <w:highlight w:val="none"/>
          <w:lang w:val="en-US" w:eastAsia="zh-CN"/>
        </w:rPr>
        <w:t>00</w:t>
      </w:r>
      <w:r>
        <w:rPr>
          <w:rFonts w:hint="eastAsia" w:ascii="仿宋" w:hAnsi="仿宋" w:eastAsia="仿宋" w:cs="仿宋"/>
          <w:color w:val="auto"/>
          <w:highlight w:val="none"/>
        </w:rPr>
        <w:t>分 （北京时间）</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投标地点（网址）：政采云平台（https://www.zcygov.cn/）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开标时间：202</w:t>
      </w:r>
      <w:r>
        <w:rPr>
          <w:rFonts w:hint="eastAsia" w:cs="仿宋"/>
          <w:color w:val="auto"/>
          <w:highlight w:val="none"/>
          <w:lang w:val="en-US" w:eastAsia="zh-CN"/>
        </w:rPr>
        <w:t>2</w:t>
      </w:r>
      <w:r>
        <w:rPr>
          <w:rFonts w:hint="eastAsia" w:ascii="仿宋" w:hAnsi="仿宋" w:eastAsia="仿宋" w:cs="仿宋"/>
          <w:color w:val="auto"/>
          <w:highlight w:val="none"/>
        </w:rPr>
        <w:t>年</w:t>
      </w:r>
      <w:r>
        <w:rPr>
          <w:rFonts w:hint="eastAsia" w:cs="仿宋"/>
          <w:color w:val="auto"/>
          <w:highlight w:val="none"/>
          <w:lang w:val="en-US" w:eastAsia="zh-CN"/>
        </w:rPr>
        <w:t>11</w:t>
      </w:r>
      <w:r>
        <w:rPr>
          <w:rFonts w:hint="eastAsia" w:ascii="仿宋" w:hAnsi="仿宋" w:eastAsia="仿宋" w:cs="仿宋"/>
          <w:color w:val="auto"/>
          <w:highlight w:val="none"/>
        </w:rPr>
        <w:t>月</w:t>
      </w:r>
      <w:r>
        <w:rPr>
          <w:rFonts w:hint="eastAsia" w:cs="仿宋"/>
          <w:color w:val="auto"/>
          <w:highlight w:val="none"/>
          <w:lang w:val="en-US" w:eastAsia="zh-CN"/>
        </w:rPr>
        <w:t>21</w:t>
      </w:r>
      <w:r>
        <w:rPr>
          <w:rFonts w:hint="eastAsia" w:ascii="仿宋" w:hAnsi="仿宋" w:eastAsia="仿宋" w:cs="仿宋"/>
          <w:color w:val="auto"/>
          <w:highlight w:val="none"/>
        </w:rPr>
        <w:t>日</w:t>
      </w:r>
      <w:r>
        <w:rPr>
          <w:rFonts w:hint="eastAsia" w:cs="仿宋"/>
          <w:color w:val="auto"/>
          <w:highlight w:val="none"/>
          <w:lang w:val="en-US" w:eastAsia="zh-CN"/>
        </w:rPr>
        <w:t>09</w:t>
      </w:r>
      <w:r>
        <w:rPr>
          <w:rFonts w:hint="eastAsia" w:ascii="仿宋" w:hAnsi="仿宋" w:eastAsia="仿宋" w:cs="仿宋"/>
          <w:color w:val="auto"/>
          <w:highlight w:val="none"/>
        </w:rPr>
        <w:t>点</w:t>
      </w:r>
      <w:r>
        <w:rPr>
          <w:rFonts w:hint="eastAsia" w:cs="仿宋"/>
          <w:color w:val="auto"/>
          <w:highlight w:val="none"/>
          <w:lang w:val="en-US" w:eastAsia="zh-CN"/>
        </w:rPr>
        <w:t>00</w:t>
      </w:r>
      <w:r>
        <w:rPr>
          <w:rFonts w:hint="eastAsia" w:ascii="仿宋" w:hAnsi="仿宋" w:eastAsia="仿宋" w:cs="仿宋"/>
          <w:color w:val="auto"/>
          <w:highlight w:val="none"/>
        </w:rPr>
        <w:t xml:space="preserve">分 </w:t>
      </w:r>
    </w:p>
    <w:p>
      <w:pPr>
        <w:spacing w:after="0" w:line="288"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开标地点（网址）：政采云平台（https://www.zcygov.cn/）。</w:t>
      </w:r>
    </w:p>
    <w:p>
      <w:pPr>
        <w:spacing w:after="0" w:line="288" w:lineRule="auto"/>
        <w:rPr>
          <w:rFonts w:hint="eastAsia" w:ascii="仿宋" w:hAnsi="仿宋" w:eastAsia="仿宋" w:cs="仿宋"/>
          <w:b/>
          <w:color w:val="auto"/>
          <w:highlight w:val="none"/>
        </w:rPr>
      </w:pPr>
      <w:r>
        <w:rPr>
          <w:rFonts w:hint="eastAsia" w:ascii="仿宋" w:hAnsi="仿宋" w:eastAsia="仿宋" w:cs="仿宋"/>
          <w:b/>
          <w:color w:val="auto"/>
          <w:highlight w:val="none"/>
        </w:rPr>
        <w:t xml:space="preserve">五、公告期限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自本公告发布之日起5个工作日。</w:t>
      </w:r>
    </w:p>
    <w:p>
      <w:pPr>
        <w:spacing w:after="0" w:line="288" w:lineRule="auto"/>
        <w:rPr>
          <w:rFonts w:hint="eastAsia" w:ascii="仿宋" w:hAnsi="仿宋" w:eastAsia="仿宋" w:cs="仿宋"/>
          <w:b/>
          <w:color w:val="auto"/>
          <w:highlight w:val="none"/>
        </w:rPr>
      </w:pPr>
      <w:r>
        <w:rPr>
          <w:rFonts w:hint="eastAsia" w:ascii="仿宋" w:hAnsi="仿宋" w:eastAsia="仿宋" w:cs="仿宋"/>
          <w:b/>
          <w:color w:val="auto"/>
          <w:highlight w:val="none"/>
        </w:rPr>
        <w:t>六、其他补充事宜</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其他事项：（1）需要落实的政府采购政策：包括节约资源、保护环境、支持创新、促进中小企业发展等。详见招标文件的第二部分总则。（2）电子招投标的说明：①电子招投标：本项目以数据电文形式，依托“政府采购云平（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w:t>
      </w:r>
    </w:p>
    <w:p>
      <w:pPr>
        <w:spacing w:after="0" w:line="288" w:lineRule="auto"/>
        <w:rPr>
          <w:rFonts w:hint="eastAsia" w:ascii="仿宋" w:hAnsi="仿宋" w:eastAsia="仿宋" w:cs="仿宋"/>
          <w:b/>
          <w:color w:val="auto"/>
          <w:highlight w:val="none"/>
        </w:rPr>
      </w:pPr>
      <w:r>
        <w:rPr>
          <w:rFonts w:hint="eastAsia" w:ascii="仿宋" w:hAnsi="仿宋" w:eastAsia="仿宋" w:cs="仿宋"/>
          <w:b/>
          <w:color w:val="auto"/>
          <w:highlight w:val="none"/>
        </w:rPr>
        <w:t>七、对本次采购提出询问、质疑、投诉，请按以下方式联系</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1.采购人信息</w:t>
      </w:r>
    </w:p>
    <w:p>
      <w:pPr>
        <w:spacing w:after="0" w:line="288" w:lineRule="auto"/>
        <w:rPr>
          <w:rFonts w:hint="eastAsia" w:ascii="仿宋" w:hAnsi="仿宋" w:eastAsia="仿宋" w:cs="仿宋"/>
          <w:color w:val="auto"/>
          <w:highlight w:val="none"/>
        </w:rPr>
      </w:pPr>
      <w:bookmarkStart w:id="0" w:name="_Toc28359009"/>
      <w:bookmarkStart w:id="1" w:name="_Toc28359086"/>
      <w:r>
        <w:rPr>
          <w:rFonts w:hint="eastAsia" w:ascii="仿宋" w:hAnsi="仿宋" w:eastAsia="仿宋" w:cs="仿宋"/>
          <w:color w:val="auto"/>
          <w:highlight w:val="none"/>
        </w:rPr>
        <w:t>名 称：杭州市萧山区市政绿化养护保障中心</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地址：萧山区萧然南路630号</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传真：/</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项目联系人（询问）：陈新旭</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项目联系方式（询问）：0571-82427450   619241413@qq.com（邮箱）</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质疑联系人：李东</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质疑联系方式： 0571-82695089</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2.采购代理机构信息</w:t>
      </w:r>
      <w:bookmarkEnd w:id="0"/>
      <w:bookmarkEnd w:id="1"/>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名 称：浙江华域高宇项目管理有限公司</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地址：萧山区北干街道金城路560号心意广场2幢1101室</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传真：0571-22866657</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项目联系人（询问）：陈超</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项目联系方式（询问）：0571-22816663/13738195695</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质疑联系人：高天宇</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质疑联系方式：0571-22816663</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3.同级政府采购监督管理部门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名    称：萧山区财政局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地    址：萧山区人民路318号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传   真：0571-82756122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联系人 ：汤先生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监督投诉电话：0571-82756122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若对项目采购电子交易系统操作有疑问，可登录政采云（https://www.zcygov.cn/），点击右侧咨询小采，获取采小蜜智能服务管家帮助，或拨打政采云服务热线400-881-7190获取热线服务帮助。</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CA问题联系电话（人工）：汇信CA 400-888-4636；天谷CA 400-087-8198。</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第二部分 投标人须知</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前附表</w:t>
      </w:r>
    </w:p>
    <w:tbl>
      <w:tblPr>
        <w:tblStyle w:val="25"/>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432"/>
        <w:gridCol w:w="6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82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事项</w:t>
            </w:r>
          </w:p>
        </w:tc>
        <w:tc>
          <w:tcPr>
            <w:tcW w:w="3867"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本项目特别规定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项目属性与核心产品</w:t>
            </w:r>
          </w:p>
        </w:tc>
        <w:tc>
          <w:tcPr>
            <w:tcW w:w="3867" w:type="pct"/>
            <w:vAlign w:val="center"/>
          </w:tcPr>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   )A货物类，单一产品或核心产品为：</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w:t>
            </w:r>
            <w:r>
              <w:rPr>
                <w:rFonts w:hint="eastAsia" w:ascii="仿宋" w:hAnsi="仿宋" w:eastAsia="仿宋" w:cs="仿宋"/>
                <w:color w:val="auto"/>
                <w:highlight w:val="none"/>
              </w:rPr>
              <w:t>√</w:t>
            </w:r>
            <w:r>
              <w:rPr>
                <w:rFonts w:hint="eastAsia" w:ascii="仿宋" w:hAnsi="仿宋" w:eastAsia="仿宋" w:cs="仿宋"/>
                <w:color w:val="auto"/>
                <w:sz w:val="22"/>
                <w:highlight w:val="none"/>
              </w:rPr>
              <w:t xml:space="preserve"> )B服务类。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采购标的对应的中小企业划分标准所属行业</w:t>
            </w:r>
          </w:p>
        </w:tc>
        <w:tc>
          <w:tcPr>
            <w:tcW w:w="3867" w:type="pct"/>
            <w:vAlign w:val="center"/>
          </w:tcPr>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（1）标的：杭州市萧山区市政绿化养护保障中心能源托管项目 ，属于</w:t>
            </w:r>
            <w:r>
              <w:rPr>
                <w:rFonts w:hint="eastAsia" w:ascii="仿宋" w:hAnsi="仿宋" w:eastAsia="仿宋" w:cs="仿宋"/>
                <w:color w:val="auto"/>
                <w:sz w:val="22"/>
                <w:highlight w:val="none"/>
                <w:lang w:val="en-US" w:eastAsia="zh-CN"/>
              </w:rPr>
              <w:t>其他未列明</w:t>
            </w:r>
            <w:r>
              <w:rPr>
                <w:rFonts w:hint="eastAsia" w:ascii="仿宋" w:hAnsi="仿宋" w:eastAsia="仿宋" w:cs="仿宋"/>
                <w:color w:val="auto"/>
                <w:sz w:val="22"/>
                <w:highlight w:val="none"/>
              </w:rPr>
              <w:t>行业；……</w:t>
            </w:r>
          </w:p>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行业划分标准：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《关于印发中小企业划型标准规定的通知》工信部联企业〔2011〕300号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是否允许采购进口产品</w:t>
            </w:r>
          </w:p>
        </w:tc>
        <w:tc>
          <w:tcPr>
            <w:tcW w:w="3867" w:type="pct"/>
            <w:vAlign w:val="center"/>
          </w:tcPr>
          <w:p>
            <w:pPr>
              <w:spacing w:after="0" w:line="288" w:lineRule="auto"/>
              <w:rPr>
                <w:rFonts w:hint="eastAsia" w:ascii="仿宋" w:hAnsi="仿宋" w:eastAsia="仿宋" w:cs="仿宋"/>
                <w:color w:val="auto"/>
                <w:sz w:val="22"/>
                <w:szCs w:val="32"/>
                <w:highlight w:val="none"/>
              </w:rPr>
            </w:pPr>
            <w:r>
              <w:rPr>
                <w:rFonts w:hint="eastAsia" w:ascii="仿宋" w:hAnsi="仿宋" w:eastAsia="仿宋" w:cs="仿宋"/>
                <w:color w:val="auto"/>
                <w:sz w:val="22"/>
                <w:highlight w:val="none"/>
              </w:rPr>
              <w:t>(</w:t>
            </w:r>
            <w:r>
              <w:rPr>
                <w:rFonts w:hint="eastAsia" w:ascii="仿宋" w:hAnsi="仿宋" w:eastAsia="仿宋" w:cs="仿宋"/>
                <w:color w:val="auto"/>
                <w:highlight w:val="none"/>
              </w:rPr>
              <w:t>√</w:t>
            </w:r>
            <w:r>
              <w:rPr>
                <w:rFonts w:hint="eastAsia" w:ascii="仿宋" w:hAnsi="仿宋" w:eastAsia="仿宋" w:cs="仿宋"/>
                <w:color w:val="auto"/>
                <w:sz w:val="22"/>
                <w:highlight w:val="none"/>
              </w:rPr>
              <w:t>)</w:t>
            </w:r>
            <w:r>
              <w:rPr>
                <w:rFonts w:hint="eastAsia" w:ascii="仿宋" w:hAnsi="仿宋" w:eastAsia="仿宋" w:cs="仿宋"/>
                <w:color w:val="auto"/>
                <w:sz w:val="22"/>
                <w:szCs w:val="32"/>
                <w:highlight w:val="none"/>
              </w:rPr>
              <w:t>本项目不允许采购进口产品。</w:t>
            </w:r>
          </w:p>
          <w:p>
            <w:pPr>
              <w:spacing w:after="0" w:line="288" w:lineRule="auto"/>
              <w:rPr>
                <w:rFonts w:hint="eastAsia" w:ascii="仿宋" w:hAnsi="仿宋" w:eastAsia="仿宋" w:cs="仿宋"/>
                <w:color w:val="auto"/>
                <w:sz w:val="22"/>
                <w:szCs w:val="32"/>
                <w:highlight w:val="none"/>
              </w:rPr>
            </w:pPr>
            <w:r>
              <w:rPr>
                <w:rFonts w:hint="eastAsia" w:ascii="仿宋" w:hAnsi="仿宋" w:eastAsia="仿宋" w:cs="仿宋"/>
                <w:color w:val="auto"/>
                <w:sz w:val="22"/>
                <w:highlight w:val="none"/>
              </w:rPr>
              <w:t>(   )</w:t>
            </w:r>
            <w:r>
              <w:rPr>
                <w:rFonts w:hint="eastAsia" w:ascii="仿宋" w:hAnsi="仿宋" w:eastAsia="仿宋" w:cs="仿宋"/>
                <w:color w:val="auto"/>
                <w:sz w:val="22"/>
                <w:szCs w:val="32"/>
                <w:highlight w:val="none"/>
              </w:rPr>
              <w:t>可以就    采购进口产品。</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进口产品是指通过中国海关保关验放进入中国境内且产自境关外的产品。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821" w:type="pct"/>
            <w:vAlign w:val="center"/>
          </w:tcPr>
          <w:p>
            <w:pPr>
              <w:spacing w:after="0" w:line="288" w:lineRule="auto"/>
              <w:jc w:val="left"/>
              <w:rPr>
                <w:rFonts w:hint="eastAsia" w:ascii="仿宋" w:hAnsi="仿宋" w:eastAsia="仿宋" w:cs="仿宋"/>
                <w:b/>
                <w:color w:val="auto"/>
                <w:sz w:val="22"/>
                <w:highlight w:val="none"/>
              </w:rPr>
            </w:pPr>
            <w:r>
              <w:rPr>
                <w:rFonts w:hint="eastAsia" w:ascii="仿宋" w:hAnsi="仿宋" w:eastAsia="仿宋" w:cs="仿宋"/>
                <w:b/>
                <w:color w:val="auto"/>
                <w:sz w:val="22"/>
                <w:highlight w:val="none"/>
              </w:rPr>
              <w:t>联合体和</w:t>
            </w:r>
          </w:p>
          <w:p>
            <w:pPr>
              <w:spacing w:after="0" w:line="288" w:lineRule="auto"/>
              <w:jc w:val="left"/>
              <w:rPr>
                <w:rFonts w:hint="eastAsia" w:ascii="仿宋" w:hAnsi="仿宋" w:eastAsia="仿宋" w:cs="仿宋"/>
                <w:color w:val="auto"/>
                <w:highlight w:val="none"/>
              </w:rPr>
            </w:pPr>
            <w:r>
              <w:rPr>
                <w:rFonts w:hint="eastAsia" w:ascii="仿宋" w:hAnsi="仿宋" w:eastAsia="仿宋" w:cs="仿宋"/>
                <w:b/>
                <w:color w:val="auto"/>
                <w:sz w:val="22"/>
                <w:highlight w:val="none"/>
              </w:rPr>
              <w:t>分包</w:t>
            </w:r>
          </w:p>
        </w:tc>
        <w:tc>
          <w:tcPr>
            <w:tcW w:w="3867" w:type="pct"/>
            <w:vAlign w:val="center"/>
          </w:tcPr>
          <w:p>
            <w:pPr>
              <w:snapToGrid w:val="0"/>
              <w:spacing w:after="0" w:line="288"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w:t>
            </w:r>
            <w:r>
              <w:rPr>
                <w:rFonts w:hint="eastAsia" w:ascii="仿宋" w:hAnsi="仿宋" w:eastAsia="仿宋" w:cs="仿宋"/>
                <w:color w:val="auto"/>
                <w:sz w:val="22"/>
                <w:highlight w:val="none"/>
              </w:rPr>
              <w:t>A同意将非主体、非关键性的</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工作分包。</w:t>
            </w:r>
          </w:p>
          <w:p>
            <w:pPr>
              <w:spacing w:after="0" w:line="288"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 xml:space="preserve">（ </w:t>
            </w:r>
            <w:r>
              <w:rPr>
                <w:rFonts w:hint="eastAsia" w:ascii="仿宋" w:hAnsi="仿宋" w:eastAsia="仿宋" w:cs="仿宋"/>
                <w:b/>
                <w:color w:val="auto"/>
                <w:sz w:val="22"/>
                <w:highlight w:val="none"/>
                <w:lang w:val="en-US" w:eastAsia="zh-CN"/>
              </w:rPr>
              <w:t xml:space="preserve"> </w:t>
            </w:r>
            <w:r>
              <w:rPr>
                <w:rFonts w:hint="eastAsia" w:ascii="仿宋" w:hAnsi="仿宋" w:eastAsia="仿宋" w:cs="仿宋"/>
                <w:b/>
                <w:color w:val="auto"/>
                <w:sz w:val="22"/>
                <w:highlight w:val="none"/>
              </w:rPr>
              <w:t>）</w:t>
            </w:r>
            <w:r>
              <w:rPr>
                <w:rFonts w:hint="eastAsia" w:ascii="仿宋" w:hAnsi="仿宋" w:eastAsia="仿宋" w:cs="仿宋"/>
                <w:color w:val="auto"/>
                <w:sz w:val="22"/>
                <w:highlight w:val="none"/>
              </w:rPr>
              <w:t>B不同意分包。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开标前答疑会或现场考察</w:t>
            </w:r>
          </w:p>
        </w:tc>
        <w:tc>
          <w:tcPr>
            <w:tcW w:w="3867" w:type="pct"/>
            <w:vAlign w:val="center"/>
          </w:tcPr>
          <w:p>
            <w:pPr>
              <w:spacing w:after="0" w:line="288"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w:t>
            </w:r>
            <w:r>
              <w:rPr>
                <w:rFonts w:hint="eastAsia" w:ascii="仿宋" w:hAnsi="仿宋" w:eastAsia="仿宋" w:cs="仿宋"/>
                <w:color w:val="auto"/>
                <w:sz w:val="22"/>
                <w:highlight w:val="none"/>
              </w:rPr>
              <w:t>A不组织。</w:t>
            </w:r>
          </w:p>
          <w:p>
            <w:pPr>
              <w:spacing w:after="0" w:line="288" w:lineRule="auto"/>
              <w:rPr>
                <w:rFonts w:hint="eastAsia" w:ascii="仿宋" w:hAnsi="仿宋" w:eastAsia="仿宋" w:cs="仿宋"/>
                <w:color w:val="auto"/>
                <w:sz w:val="22"/>
                <w:highlight w:val="none"/>
              </w:rPr>
            </w:pPr>
            <w:r>
              <w:rPr>
                <w:rFonts w:hint="eastAsia" w:ascii="仿宋" w:hAnsi="仿宋" w:eastAsia="仿宋" w:cs="仿宋"/>
                <w:b/>
                <w:color w:val="auto"/>
                <w:sz w:val="22"/>
                <w:highlight w:val="none"/>
              </w:rPr>
              <w:t>（  ）</w:t>
            </w:r>
            <w:r>
              <w:rPr>
                <w:rFonts w:hint="eastAsia" w:ascii="仿宋" w:hAnsi="仿宋" w:eastAsia="仿宋" w:cs="仿宋"/>
                <w:color w:val="auto"/>
                <w:sz w:val="22"/>
                <w:highlight w:val="none"/>
              </w:rPr>
              <w:t>B组织，时间：</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,地点：</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联系人：</w:t>
            </w:r>
            <w:r>
              <w:rPr>
                <w:rFonts w:hint="eastAsia" w:ascii="仿宋" w:hAnsi="仿宋" w:eastAsia="仿宋" w:cs="仿宋"/>
                <w:color w:val="auto"/>
                <w:sz w:val="22"/>
                <w:highlight w:val="none"/>
                <w:u w:val="single"/>
              </w:rPr>
              <w:t xml:space="preserve">      </w:t>
            </w:r>
            <w:r>
              <w:rPr>
                <w:rFonts w:hint="eastAsia" w:ascii="仿宋" w:hAnsi="仿宋" w:eastAsia="仿宋" w:cs="仿宋"/>
                <w:color w:val="auto"/>
                <w:sz w:val="22"/>
                <w:highlight w:val="none"/>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6</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样品提供</w:t>
            </w:r>
          </w:p>
        </w:tc>
        <w:tc>
          <w:tcPr>
            <w:tcW w:w="3867"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Cs/>
                <w:color w:val="auto"/>
                <w:sz w:val="22"/>
                <w:highlight w:val="none"/>
              </w:rPr>
              <w:t>（√）A不要求提供。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7</w:t>
            </w:r>
          </w:p>
        </w:tc>
        <w:tc>
          <w:tcPr>
            <w:tcW w:w="821" w:type="pct"/>
            <w:vAlign w:val="center"/>
          </w:tcPr>
          <w:p>
            <w:pPr>
              <w:spacing w:after="0" w:line="288" w:lineRule="auto"/>
              <w:jc w:val="left"/>
              <w:rPr>
                <w:rFonts w:hint="eastAsia" w:ascii="仿宋" w:hAnsi="仿宋" w:eastAsia="仿宋" w:cs="仿宋"/>
                <w:b/>
                <w:color w:val="auto"/>
                <w:sz w:val="22"/>
                <w:highlight w:val="none"/>
              </w:rPr>
            </w:pPr>
            <w:r>
              <w:rPr>
                <w:rFonts w:hint="eastAsia" w:ascii="仿宋" w:hAnsi="仿宋" w:eastAsia="仿宋" w:cs="仿宋"/>
                <w:b/>
                <w:color w:val="auto"/>
                <w:sz w:val="22"/>
                <w:highlight w:val="none"/>
              </w:rPr>
              <w:t>方案讲解</w:t>
            </w:r>
          </w:p>
          <w:p>
            <w:pPr>
              <w:spacing w:after="0" w:line="288" w:lineRule="auto"/>
              <w:jc w:val="left"/>
              <w:rPr>
                <w:rFonts w:hint="eastAsia" w:ascii="仿宋" w:hAnsi="仿宋" w:eastAsia="仿宋" w:cs="仿宋"/>
                <w:color w:val="auto"/>
                <w:highlight w:val="none"/>
              </w:rPr>
            </w:pPr>
            <w:r>
              <w:rPr>
                <w:rFonts w:hint="eastAsia" w:ascii="仿宋" w:hAnsi="仿宋" w:eastAsia="仿宋" w:cs="仿宋"/>
                <w:b/>
                <w:color w:val="auto"/>
                <w:sz w:val="22"/>
                <w:highlight w:val="none"/>
              </w:rPr>
              <w:t>演示</w:t>
            </w:r>
          </w:p>
        </w:tc>
        <w:tc>
          <w:tcPr>
            <w:tcW w:w="3867" w:type="pct"/>
            <w:vAlign w:val="center"/>
          </w:tcPr>
          <w:p>
            <w:pPr>
              <w:spacing w:after="0" w:line="288" w:lineRule="auto"/>
              <w:rPr>
                <w:rFonts w:hint="eastAsia" w:ascii="仿宋" w:hAnsi="仿宋" w:eastAsia="仿宋" w:cs="仿宋"/>
                <w:bCs/>
                <w:color w:val="auto"/>
                <w:sz w:val="22"/>
                <w:highlight w:val="none"/>
              </w:rPr>
            </w:pPr>
            <w:r>
              <w:rPr>
                <w:rFonts w:hint="eastAsia" w:ascii="仿宋" w:hAnsi="仿宋" w:eastAsia="仿宋" w:cs="仿宋"/>
                <w:b/>
                <w:color w:val="auto"/>
                <w:sz w:val="22"/>
                <w:highlight w:val="none"/>
              </w:rPr>
              <w:t>（√）</w:t>
            </w:r>
            <w:r>
              <w:rPr>
                <w:rFonts w:hint="eastAsia" w:ascii="仿宋" w:hAnsi="仿宋" w:eastAsia="仿宋" w:cs="仿宋"/>
                <w:bCs/>
                <w:color w:val="auto"/>
                <w:sz w:val="22"/>
                <w:highlight w:val="none"/>
              </w:rPr>
              <w:t>A不要求。</w:t>
            </w:r>
          </w:p>
          <w:p>
            <w:pPr>
              <w:spacing w:after="0" w:line="288" w:lineRule="auto"/>
              <w:rPr>
                <w:rFonts w:hint="eastAsia" w:ascii="仿宋" w:hAnsi="仿宋" w:eastAsia="仿宋" w:cs="仿宋"/>
                <w:color w:val="auto"/>
                <w:highlight w:val="none"/>
                <w:lang w:eastAsia="zh-CN"/>
              </w:rPr>
            </w:pPr>
            <w:r>
              <w:rPr>
                <w:rFonts w:hint="eastAsia" w:ascii="仿宋" w:hAnsi="仿宋" w:eastAsia="仿宋" w:cs="仿宋"/>
                <w:bCs/>
                <w:color w:val="auto"/>
                <w:sz w:val="22"/>
                <w:highlight w:val="none"/>
              </w:rPr>
              <w:t>（</w:t>
            </w:r>
            <w:r>
              <w:rPr>
                <w:rFonts w:hint="eastAsia" w:ascii="仿宋" w:hAnsi="仿宋" w:eastAsia="仿宋" w:cs="仿宋"/>
                <w:bCs/>
                <w:color w:val="auto"/>
                <w:sz w:val="22"/>
                <w:highlight w:val="none"/>
                <w:lang w:val="en-US" w:eastAsia="zh-CN"/>
              </w:rPr>
              <w:t xml:space="preserve">  </w:t>
            </w:r>
            <w:r>
              <w:rPr>
                <w:rFonts w:hint="eastAsia" w:ascii="仿宋" w:hAnsi="仿宋" w:eastAsia="仿宋" w:cs="仿宋"/>
                <w:bCs/>
                <w:color w:val="auto"/>
                <w:sz w:val="22"/>
                <w:highlight w:val="none"/>
              </w:rPr>
              <w:t>）B要求演示，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8</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投标人应当提供的资格、资信证明文件</w:t>
            </w:r>
          </w:p>
        </w:tc>
        <w:tc>
          <w:tcPr>
            <w:tcW w:w="3867" w:type="pct"/>
            <w:vAlign w:val="center"/>
          </w:tcPr>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（1）资格证明文件：见招标文件第二部分11.1。</w:t>
            </w:r>
          </w:p>
          <w:p>
            <w:pPr>
              <w:spacing w:after="0" w:line="288" w:lineRule="auto"/>
              <w:rPr>
                <w:rFonts w:hint="eastAsia" w:ascii="仿宋" w:hAnsi="仿宋" w:eastAsia="仿宋" w:cs="仿宋"/>
                <w:color w:val="auto"/>
                <w:sz w:val="22"/>
                <w:highlight w:val="none"/>
                <w:lang w:val="zh-CN"/>
              </w:rPr>
            </w:pPr>
            <w:r>
              <w:rPr>
                <w:rFonts w:hint="eastAsia" w:ascii="仿宋" w:hAnsi="仿宋" w:eastAsia="仿宋" w:cs="仿宋"/>
                <w:color w:val="auto"/>
                <w:sz w:val="22"/>
                <w:highlight w:val="none"/>
                <w:lang w:val="zh-CN"/>
              </w:rPr>
              <w:t>投标人未提供有效的资格证明文件的，视为投标人不具备招标文件中规定的资格要求，投标无效。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（2）资信证明文件：根据招标文件第四部分评标</w:t>
            </w:r>
            <w:r>
              <w:rPr>
                <w:rFonts w:hint="eastAsia" w:ascii="仿宋" w:hAnsi="仿宋" w:eastAsia="仿宋" w:cs="仿宋"/>
                <w:color w:val="auto"/>
                <w:sz w:val="22"/>
                <w:highlight w:val="none"/>
                <w:lang w:val="en-US" w:eastAsia="zh-CN"/>
              </w:rPr>
              <w:t>办法</w:t>
            </w:r>
            <w:r>
              <w:rPr>
                <w:rFonts w:hint="eastAsia" w:ascii="仿宋" w:hAnsi="仿宋" w:eastAsia="仿宋" w:cs="仿宋"/>
                <w:color w:val="auto"/>
                <w:sz w:val="22"/>
                <w:highlight w:val="none"/>
              </w:rPr>
              <w:t>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9</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报价要求</w:t>
            </w:r>
          </w:p>
        </w:tc>
        <w:tc>
          <w:tcPr>
            <w:tcW w:w="3867" w:type="pct"/>
            <w:vAlign w:val="center"/>
          </w:tcPr>
          <w:p>
            <w:pPr>
              <w:spacing w:after="0" w:line="288" w:lineRule="auto"/>
              <w:ind w:firstLine="440" w:firstLineChars="200"/>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有关本项目实施所需的所有费用（含税费）均计入报价。</w:t>
            </w:r>
            <w:r>
              <w:rPr>
                <w:rFonts w:hint="eastAsia" w:ascii="仿宋" w:hAnsi="仿宋" w:eastAsia="仿宋" w:cs="仿宋"/>
                <w:bCs/>
                <w:color w:val="auto"/>
                <w:sz w:val="22"/>
                <w:highlight w:val="none"/>
              </w:rPr>
              <w:t>开标一览表（报价表）是报价的唯一载体</w:t>
            </w:r>
            <w:r>
              <w:rPr>
                <w:rFonts w:hint="eastAsia" w:ascii="仿宋" w:hAnsi="仿宋" w:eastAsia="仿宋" w:cs="仿宋"/>
                <w:bCs/>
                <w:color w:val="auto"/>
                <w:sz w:val="22"/>
                <w:highlight w:val="none"/>
                <w:lang w:val="zh-CN"/>
              </w:rPr>
              <w:t>。投标文件中价格全部采用人民币报价。招标文件未列明，而投标人认为必需的费用也需列入报价。提醒：验收时检测费用由采购人承担，不包含在投标总价中。</w:t>
            </w:r>
          </w:p>
          <w:p>
            <w:pPr>
              <w:spacing w:after="0" w:line="288" w:lineRule="auto"/>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投标报价出现下列情形的，投标无效：</w:t>
            </w:r>
          </w:p>
          <w:p>
            <w:pPr>
              <w:spacing w:after="0" w:line="288" w:lineRule="auto"/>
              <w:ind w:firstLine="440" w:firstLineChars="200"/>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投标文件出现不是唯一的、有选择性投标报价的；</w:t>
            </w:r>
          </w:p>
          <w:p>
            <w:pPr>
              <w:spacing w:after="0" w:line="288" w:lineRule="auto"/>
              <w:ind w:firstLine="440" w:firstLineChars="200"/>
              <w:rPr>
                <w:rFonts w:hint="eastAsia" w:ascii="仿宋" w:hAnsi="仿宋" w:eastAsia="仿宋" w:cs="仿宋"/>
                <w:bCs/>
                <w:color w:val="auto"/>
                <w:sz w:val="22"/>
                <w:highlight w:val="none"/>
                <w:lang w:val="zh-CN"/>
              </w:rPr>
            </w:pPr>
            <w:r>
              <w:rPr>
                <w:rFonts w:hint="eastAsia" w:ascii="仿宋" w:hAnsi="仿宋" w:eastAsia="仿宋" w:cs="仿宋"/>
                <w:bCs/>
                <w:color w:val="auto"/>
                <w:sz w:val="22"/>
                <w:highlight w:val="none"/>
                <w:lang w:val="zh-CN"/>
              </w:rPr>
              <w:t>投标报价超过招标文件中规定的预算金额或者最高限价的;</w:t>
            </w:r>
          </w:p>
          <w:p>
            <w:pPr>
              <w:spacing w:after="0" w:line="288" w:lineRule="auto"/>
              <w:ind w:firstLine="440" w:firstLineChars="200"/>
              <w:rPr>
                <w:rFonts w:hint="eastAsia" w:ascii="仿宋" w:hAnsi="仿宋" w:eastAsia="仿宋" w:cs="仿宋"/>
                <w:bCs/>
                <w:color w:val="auto"/>
                <w:sz w:val="22"/>
                <w:highlight w:val="none"/>
              </w:rPr>
            </w:pPr>
            <w:r>
              <w:rPr>
                <w:rFonts w:hint="eastAsia" w:ascii="仿宋" w:hAnsi="仿宋" w:eastAsia="仿宋" w:cs="仿宋"/>
                <w:bCs/>
                <w:color w:val="auto"/>
                <w:sz w:val="22"/>
                <w:highlight w:val="none"/>
              </w:rPr>
              <w:t>报价明显低于其他通过符合性审查投标人的报价，有可能影响产品质量或者不能诚信履约的，未能按要求提供书面说明或者提交相关证明材料证明其报价合理性的;</w:t>
            </w:r>
          </w:p>
          <w:p>
            <w:pPr>
              <w:spacing w:after="0" w:line="288" w:lineRule="auto"/>
              <w:ind w:firstLine="440" w:firstLineChars="200"/>
              <w:rPr>
                <w:rFonts w:hint="eastAsia" w:ascii="仿宋" w:hAnsi="仿宋" w:eastAsia="仿宋" w:cs="仿宋"/>
                <w:color w:val="auto"/>
                <w:highlight w:val="none"/>
              </w:rPr>
            </w:pPr>
            <w:r>
              <w:rPr>
                <w:rFonts w:hint="eastAsia" w:ascii="仿宋" w:hAnsi="仿宋" w:eastAsia="仿宋" w:cs="仿宋"/>
                <w:bCs/>
                <w:color w:val="auto"/>
                <w:sz w:val="22"/>
                <w:highlight w:val="none"/>
              </w:rPr>
              <w:t>投标人对根据修正原则修正后的报价不确认的。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0</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中小企业信用融资</w:t>
            </w:r>
          </w:p>
        </w:tc>
        <w:tc>
          <w:tcPr>
            <w:tcW w:w="3867" w:type="pct"/>
            <w:vAlign w:val="center"/>
          </w:tcPr>
          <w:p>
            <w:pPr>
              <w:snapToGrid w:val="0"/>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本项目支持《杭州市萧山区政府采购支持中小企业信用融资暂行办法》。</w:t>
            </w:r>
          </w:p>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有融资需求的中标供应商可参照相关规定及银行方案凭政府采购合同向相关合作银行提出信用融资（贷款）申请。详见</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"http://www.xiaoshan.gov.cn/art/2018/12/20/art_1229293109_1559514.html" </w:instrText>
            </w:r>
            <w:r>
              <w:rPr>
                <w:rFonts w:hint="eastAsia" w:ascii="仿宋" w:hAnsi="仿宋" w:eastAsia="仿宋" w:cs="仿宋"/>
                <w:color w:val="auto"/>
                <w:highlight w:val="none"/>
              </w:rPr>
              <w:fldChar w:fldCharType="separate"/>
            </w:r>
            <w:r>
              <w:rPr>
                <w:rStyle w:val="29"/>
                <w:rFonts w:hint="eastAsia" w:ascii="仿宋" w:hAnsi="仿宋" w:eastAsia="仿宋" w:cs="仿宋"/>
                <w:snapToGrid/>
                <w:color w:val="auto"/>
                <w:sz w:val="22"/>
                <w:szCs w:val="24"/>
                <w:highlight w:val="none"/>
              </w:rPr>
              <w:t>http://www.xiaoshan.gov.cn/art/2018/12/20/art_1229293109_1559514.html</w:t>
            </w:r>
            <w:r>
              <w:rPr>
                <w:rStyle w:val="29"/>
                <w:rFonts w:hint="eastAsia" w:ascii="仿宋" w:hAnsi="仿宋" w:eastAsia="仿宋" w:cs="仿宋"/>
                <w:snapToGrid/>
                <w:color w:val="auto"/>
                <w:sz w:val="22"/>
                <w:szCs w:val="24"/>
                <w:highlight w:val="none"/>
              </w:rPr>
              <w:fldChar w:fldCharType="end"/>
            </w:r>
          </w:p>
          <w:p>
            <w:pPr>
              <w:spacing w:after="0" w:line="288" w:lineRule="auto"/>
              <w:rPr>
                <w:rFonts w:hint="eastAsia" w:ascii="仿宋" w:hAnsi="仿宋" w:eastAsia="仿宋" w:cs="仿宋"/>
                <w:color w:val="auto"/>
                <w:highlight w:val="none"/>
              </w:rPr>
            </w:pPr>
            <w:r>
              <w:rPr>
                <w:rFonts w:hint="eastAsia" w:ascii="仿宋" w:hAnsi="仿宋" w:eastAsia="仿宋" w:cs="仿宋"/>
                <w:snapToGrid w:val="0"/>
                <w:color w:val="auto"/>
                <w:kern w:val="28"/>
                <w:sz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1</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备份投标文件</w:t>
            </w:r>
          </w:p>
        </w:tc>
        <w:tc>
          <w:tcPr>
            <w:tcW w:w="3867"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color w:val="auto"/>
                <w:kern w:val="28"/>
                <w:sz w:val="22"/>
                <w:szCs w:val="24"/>
                <w:highlight w:val="none"/>
              </w:rPr>
              <w:t>备份文件是否收取：不收取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2</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采购机构代理费用</w:t>
            </w:r>
          </w:p>
        </w:tc>
        <w:tc>
          <w:tcPr>
            <w:tcW w:w="3867" w:type="pct"/>
            <w:vAlign w:val="center"/>
          </w:tcPr>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采购机构代理费用由中标人支付。</w:t>
            </w:r>
          </w:p>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招标代理费按计价格〔2002〕1980号文件收费标准</w:t>
            </w:r>
            <w:r>
              <w:rPr>
                <w:rFonts w:hint="eastAsia" w:cs="仿宋"/>
                <w:color w:val="auto"/>
                <w:sz w:val="22"/>
                <w:highlight w:val="none"/>
                <w:lang w:val="en-US" w:eastAsia="zh-CN"/>
              </w:rPr>
              <w:t>下浮44%</w:t>
            </w:r>
            <w:r>
              <w:rPr>
                <w:rFonts w:hint="eastAsia" w:ascii="仿宋" w:hAnsi="仿宋" w:eastAsia="仿宋" w:cs="仿宋"/>
                <w:color w:val="auto"/>
                <w:sz w:val="22"/>
                <w:highlight w:val="none"/>
              </w:rPr>
              <w:t>收取。</w:t>
            </w:r>
          </w:p>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缴纳账号：33001617092053005082 </w:t>
            </w:r>
          </w:p>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 xml:space="preserve">开户银行：萧山建行时代广场支行 </w:t>
            </w:r>
          </w:p>
          <w:p>
            <w:pPr>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帐户名称：浙江华域高宇项目管理有限公司</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 xml:space="preserve">银行帐号：33001617092053005082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3</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履约保证金</w:t>
            </w:r>
          </w:p>
        </w:tc>
        <w:tc>
          <w:tcPr>
            <w:tcW w:w="3867" w:type="pct"/>
            <w:vAlign w:val="center"/>
          </w:tcPr>
          <w:p>
            <w:pPr>
              <w:spacing w:after="0" w:line="288" w:lineRule="auto"/>
              <w:rPr>
                <w:rFonts w:hint="default" w:ascii="仿宋" w:hAnsi="仿宋" w:eastAsia="仿宋" w:cs="仿宋"/>
                <w:color w:val="auto"/>
                <w:highlight w:val="none"/>
                <w:lang w:val="en-US" w:eastAsia="zh-CN"/>
              </w:rPr>
            </w:pPr>
            <w:r>
              <w:rPr>
                <w:rFonts w:hint="eastAsia" w:ascii="仿宋" w:hAnsi="仿宋" w:eastAsia="仿宋" w:cs="仿宋"/>
                <w:color w:val="auto"/>
                <w:sz w:val="22"/>
                <w:highlight w:val="none"/>
              </w:rPr>
              <w:t>履约保证金：</w:t>
            </w:r>
            <w:r>
              <w:rPr>
                <w:rFonts w:hint="eastAsia" w:cs="仿宋"/>
                <w:color w:val="auto"/>
                <w:kern w:val="28"/>
                <w:sz w:val="22"/>
                <w:szCs w:val="24"/>
                <w:highlight w:val="none"/>
                <w:lang w:val="en-US" w:eastAsia="zh-CN"/>
              </w:rPr>
              <w:t>千分之三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4</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资格审查和信用信息审查</w:t>
            </w:r>
          </w:p>
        </w:tc>
        <w:tc>
          <w:tcPr>
            <w:tcW w:w="3867"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本项目由采购人进行资格文件及信用信息查询。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5</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质疑接收人及答复</w:t>
            </w:r>
          </w:p>
        </w:tc>
        <w:tc>
          <w:tcPr>
            <w:tcW w:w="3867" w:type="pct"/>
            <w:vAlign w:val="center"/>
          </w:tcPr>
          <w:p>
            <w:pPr>
              <w:snapToGrid w:val="0"/>
              <w:spacing w:after="0" w:line="288" w:lineRule="auto"/>
              <w:rPr>
                <w:rFonts w:hint="eastAsia" w:ascii="仿宋" w:hAnsi="仿宋" w:eastAsia="仿宋" w:cs="仿宋"/>
                <w:color w:val="auto"/>
                <w:sz w:val="22"/>
                <w:highlight w:val="none"/>
                <w:u w:val="single"/>
              </w:rPr>
            </w:pPr>
            <w:r>
              <w:rPr>
                <w:rFonts w:hint="eastAsia" w:ascii="仿宋" w:hAnsi="仿宋" w:eastAsia="仿宋" w:cs="仿宋"/>
                <w:color w:val="auto"/>
                <w:sz w:val="22"/>
                <w:highlight w:val="none"/>
              </w:rPr>
              <w:t>采购人、采购机构质疑接收人、联系方式：详见公告</w:t>
            </w:r>
          </w:p>
          <w:p>
            <w:pPr>
              <w:snapToGrid w:val="0"/>
              <w:spacing w:after="0" w:line="288" w:lineRule="auto"/>
              <w:rPr>
                <w:rFonts w:hint="eastAsia" w:ascii="仿宋" w:hAnsi="仿宋" w:eastAsia="仿宋" w:cs="仿宋"/>
                <w:b/>
                <w:color w:val="auto"/>
                <w:sz w:val="22"/>
                <w:highlight w:val="none"/>
              </w:rPr>
            </w:pPr>
            <w:r>
              <w:rPr>
                <w:rFonts w:hint="eastAsia" w:ascii="仿宋" w:hAnsi="仿宋" w:eastAsia="仿宋" w:cs="仿宋"/>
                <w:b/>
                <w:color w:val="auto"/>
                <w:sz w:val="22"/>
                <w:highlight w:val="none"/>
              </w:rPr>
              <w:t>线上提交质疑方式：政采云线上质疑路径：项目采购-询问质疑投诉-质疑列表。请使用ca签章在每一页质疑文件中加盖电子公章，上传完整附件。</w:t>
            </w:r>
          </w:p>
          <w:p>
            <w:pPr>
              <w:snapToGrid w:val="0"/>
              <w:spacing w:after="0" w:line="288" w:lineRule="auto"/>
              <w:rPr>
                <w:rFonts w:hint="eastAsia" w:ascii="仿宋" w:hAnsi="仿宋" w:eastAsia="仿宋" w:cs="仿宋"/>
                <w:color w:val="auto"/>
                <w:sz w:val="22"/>
                <w:highlight w:val="none"/>
              </w:rPr>
            </w:pPr>
            <w:r>
              <w:rPr>
                <w:rFonts w:hint="eastAsia" w:ascii="仿宋" w:hAnsi="仿宋" w:eastAsia="仿宋" w:cs="仿宋"/>
                <w:color w:val="auto"/>
                <w:sz w:val="22"/>
                <w:highlight w:val="none"/>
              </w:rPr>
              <w:t>本项目涉及资格条件、采购需求、评分办法及采购过程中有关现场考察或开标前答疑会等事项由采购人进行答复。</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sz w:val="22"/>
                <w:highlight w:val="none"/>
              </w:rPr>
              <w:t>涉及流程规范性、组织程序等相关事项，由采购机构进行答复。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311" w:type="pct"/>
            <w:vAlign w:val="center"/>
          </w:tcPr>
          <w:p>
            <w:pPr>
              <w:spacing w:after="0" w:line="288"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6</w:t>
            </w:r>
          </w:p>
        </w:tc>
        <w:tc>
          <w:tcPr>
            <w:tcW w:w="821" w:type="pct"/>
            <w:vAlign w:val="center"/>
          </w:tcPr>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特别说明</w:t>
            </w:r>
          </w:p>
        </w:tc>
        <w:tc>
          <w:tcPr>
            <w:tcW w:w="3867" w:type="pct"/>
            <w:vAlign w:val="center"/>
          </w:tcPr>
          <w:p>
            <w:pPr>
              <w:spacing w:after="0" w:line="288" w:lineRule="auto"/>
              <w:rPr>
                <w:rFonts w:hint="eastAsia" w:ascii="仿宋" w:hAnsi="仿宋" w:eastAsia="仿宋" w:cs="仿宋"/>
                <w:b/>
                <w:color w:val="auto"/>
                <w:sz w:val="22"/>
                <w:highlight w:val="none"/>
              </w:rPr>
            </w:pPr>
            <w:r>
              <w:rPr>
                <w:rFonts w:hint="eastAsia" w:ascii="仿宋" w:hAnsi="仿宋" w:eastAsia="仿宋" w:cs="仿宋"/>
                <w:b/>
                <w:color w:val="auto"/>
                <w:sz w:val="22"/>
                <w:highlight w:val="none"/>
              </w:rPr>
              <w:t>严格执行预算限价，项目如涉及办公用房装修、通用办公设备家具的不得超限额标准。</w:t>
            </w:r>
          </w:p>
          <w:p>
            <w:pPr>
              <w:spacing w:after="0" w:line="288" w:lineRule="auto"/>
              <w:rPr>
                <w:rFonts w:hint="eastAsia" w:ascii="仿宋" w:hAnsi="仿宋" w:eastAsia="仿宋" w:cs="仿宋"/>
                <w:color w:val="auto"/>
                <w:highlight w:val="none"/>
              </w:rPr>
            </w:pPr>
            <w:r>
              <w:rPr>
                <w:rFonts w:hint="eastAsia" w:ascii="仿宋" w:hAnsi="仿宋" w:eastAsia="仿宋" w:cs="仿宋"/>
                <w:b/>
                <w:color w:val="auto"/>
                <w:sz w:val="22"/>
                <w:highlight w:val="none"/>
              </w:rPr>
              <w:t>本项目通用总则条款与前附表等专用特别规定有冲突之处，以专用条款（特别规定）为准</w:t>
            </w:r>
          </w:p>
        </w:tc>
      </w:tr>
    </w:tbl>
    <w:p>
      <w:pPr>
        <w:spacing w:after="0" w:line="288" w:lineRule="auto"/>
        <w:rPr>
          <w:rFonts w:hint="eastAsia" w:ascii="仿宋" w:hAnsi="仿宋" w:eastAsia="仿宋" w:cs="仿宋"/>
          <w:color w:val="auto"/>
          <w:highlight w:val="none"/>
        </w:rPr>
      </w:pP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一、总则</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 适用范围</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本招标文件适用于该项目的招标、投标、开标、资格审查及信用信息查询、评标、定标、合同、验收等行为（法律、法规另有规定的，从其规定）。</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2.定义</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2.1 “采购人”系指招标公告中载明的本项目的采购人。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2.2 “采购机构”系指招标公告中载明的本项目的采购机构。</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2.3 “投标人”系指是指响应招标、参加投标竞争的法人、其他组织或者自然人。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2.4 “负责人”系指法人企业的法定负责人，或其他组织为法律、行政法规规定代表单位行使职权的主要负责人，或自然人本人。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电子签名”系指数据电文中以电子形式所含、所附用于识别签名人身份并表明签名人认可其中内容的数据，投标人电子签名指投标人电子公章；“公章”系指单位法定名称章。因特殊原因需要使用冠以法定名称的业务专用章的，投标时须提供《业务专用章使用说明函》（附件4）。</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2.6“电子交易平台”是指本项目政府采购活动所依托的政府采购云平台（https://www.zcygov.cn/）。</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2.7 “▲” 系指实质性要求条款，“（√）” 系指适用本项目的要求，“（  ）”系指不适用本项目的要求。</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 采购项目需要落实的政府采购政策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3.2 支持绿色发展</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 xml:space="preserve"> 修缮、装修类项目采购建材的，采购人应将绿色建筑和绿色建材性能、指标等作为实质性条件纳入招标文件和合同。</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3.2.</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3.3支持中小企业发展</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符合中小企业划分标准的个体工商户，在政府采购活动中视同中小企业。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3.3.2在政府采购活动中，投标人提供的货物、工程或者服务符合下列情形的，享受中小企业扶持政策：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3.3.2.1在货物采购项目中，货物由中小企业制造，即货物由中小企业生产且使用该中小企业商号或者注册商标；</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3.3.2.2在工程采购项目中，工程由中小企业承建，即工程施工单位为中小企业；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3.3.2.3在服务采购项目中，服务由中小企业承接，即提供服务的人员为中小企业依照《中华人民共和国劳动合同法》</w:t>
      </w:r>
      <w:r>
        <w:rPr>
          <w:rFonts w:hint="eastAsia" w:ascii="仿宋" w:hAnsi="仿宋" w:eastAsia="仿宋" w:cs="仿宋"/>
          <w:color w:val="auto"/>
          <w:highlight w:val="none"/>
          <w:lang w:val="en-US" w:eastAsia="zh-CN"/>
        </w:rPr>
        <w:t>签</w:t>
      </w:r>
      <w:r>
        <w:rPr>
          <w:rFonts w:hint="eastAsia" w:ascii="仿宋" w:hAnsi="仿宋" w:eastAsia="仿宋" w:cs="仿宋"/>
          <w:color w:val="auto"/>
          <w:highlight w:val="none"/>
        </w:rPr>
        <w:t>订劳动合同的从业人员。</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在货物采购项目中，投标人提供的货物既有中小企业制造货物，也有大型企业制造货物的，不享受中小企业扶持政策。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以联合体形式参加政府采购活动，联合体各方均为中小企业的，联合体视同中小企业。其中，联合体各方均为小微企业的，联合体视同小微企业。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3.3.3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3.3.4符合《关于促进残疾人就业政府采购政策的通知》（财库〔2017〕141号）规定的条件并提供《残疾人福利性单位声明函》（附件1）的残疾人福利性单位视同小型、微型企业；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3.3.7中小企业享受扶持政策获得政府采购合同的，小微企业不得将合同分包给大中型企业，中型企业不得将合同分包给大型企业。</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3.4支持创新发展</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3.4.1 采购人优先采购被认定为首台套产品和“制造精品”的自主创新产品。</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 </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 询问、质疑、投诉</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4.1供应商询问</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4.2供应商质疑</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4.2.1提出质疑的供应商应当是参与所质疑项目采购活动的供应商。潜在供应商已依法获取其可质疑的招标文件的，可以对该文件提出质疑。</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4.2.2供应商认为招标文件、采购过程和中标结果使自己的权益受到损害的，可以在知道或者应知其权益受到损害之日起七个工作日内，以书面形式向采购人或者采购机构提出质疑，否则，采购人或者采购机构不予受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4.2.2.1对招标文件提出质疑的，质疑期限为供应商获得招标文件之日或者招标文件公告期限届满之日起计算。</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4.2.2.2对采购过程提出质疑的，质疑期限为各采购程序环节结束之日起计算。对同一采购程序环节的质疑，供应商须一次性提出。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4.2.2.3对采购结果提出质疑的，质疑期限自采购结果公告期限届满之日起计算。</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4.2.3供应商提出质疑应当提交质疑函和必要的证明材料。质疑函应当包括下列内容：</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4.2.3.1供应商的姓名或者名称、地址、邮编、联系人及联系电话；</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4.2.3.2质疑项目的名称、编号；</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4.2.3.3具体、明确的质疑事项和与质疑事项相关的请求；</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4.2.3.4事实依据；</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4.2.3.5必要的法律依据；</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4.2.3.6提出质疑的日期。</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质疑函范本及制作说明详见附件2。</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4.2.4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机构在质疑回复后5个工作日内，在浙江政府采购网的“其他公告”栏目公开质疑答复，答复内容应当完整。质疑函作为附件上传。</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4.2.5询问或者质疑事项可能影响采购结果的，采购人应当暂停签订合同，已经签订合同的，应当中止履行合同。</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4.3供应商投诉</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4.3.1质疑供应商对采购人、采购机构的答复不满意或者采购人、采购机构未在规定的时间内作出答复的，可以在答复期满后十五个工作日内向同级政府采购监督管理部门提出投诉。</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4.3.2供应商投诉的事项不得超出已质疑事项的范围，基于质疑答复内容提出的投诉事项除外。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4.3.3供应商投诉应当有明确的请求和必要的证明材料。</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4.3.4 以联合体形式参加政府采购活动的，其投诉应当由组成联合体的所有供应商共同提出。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投诉书范本及制作说明详见附件3。</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二、招标文件的构成、澄清、修改</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5．招标文件的构成</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 招标文件包括下列文件及附件：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5.1.1招标公告；</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5.1.2投标人须知；</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5.1.3采购需求；</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5.1.4评标办法；</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5.1.5拟签订的合同文本；</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5.1.6应提交的有关格式范例。</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5.2与本项目有关的澄清或者修改的内容为招标文件的组成部分。</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6. 招标文件的澄清、修改</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6.1已获取招标文件的潜在投标人，若有问题需要澄清，应于投标截止时间前，以书面形式向采购机构提出。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4"/>
        <w:spacing w:line="288" w:lineRule="auto"/>
        <w:rPr>
          <w:rFonts w:hint="eastAsia" w:ascii="仿宋" w:hAnsi="仿宋" w:eastAsia="仿宋" w:cs="仿宋"/>
          <w:color w:val="auto"/>
          <w:highlight w:val="none"/>
        </w:rPr>
      </w:pP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三、投标</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7. 招标文件的获取</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详见招标公告中获取招标文件的时间期限、地点、方式及招标文件售价。</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8.开标前答疑会或现场考察</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采购人组织潜在投标人现场考察或者召开开标前答疑会的，潜在投标人按第二部分投标人须知前附表的规定参加现场考察或者开标前答疑会。</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9.投标保证金</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本项目不需缴纳投标保证金。</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10. 投标文件的语言</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投标文件及投标人与采购有关的来往通知、函件和文件均应使用中文。</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 投标文件的组成</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11.1资格文件：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11.1.1符合参加政府采购活动应当具备的一般条件的承诺函；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11.1.2落实政府采购政策需满足的资格要求；</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11.1.3本项目的特定资格要求。</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  商务技术文件：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11.2.1投标函；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11.2.2授权委托书或法定代表人（单位负责人、自然人本人）身份证明；</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11.2.3联合协议；</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11.2.4分包意向协议；</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11.2.5符合性审查资料；</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11.2.6评标标准相应的商务技术资料；</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商务技术偏离表；</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政府采购供应商廉洁自律承诺书；</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11.2.</w:t>
      </w:r>
      <w:r>
        <w:rPr>
          <w:rFonts w:hint="eastAsia" w:ascii="仿宋" w:hAnsi="仿宋" w:eastAsia="仿宋" w:cs="仿宋"/>
          <w:color w:val="auto"/>
          <w:highlight w:val="none"/>
          <w:lang w:val="en-US" w:eastAsia="zh-CN"/>
        </w:rPr>
        <w:t>9投标</w:t>
      </w:r>
      <w:r>
        <w:rPr>
          <w:rFonts w:hint="eastAsia" w:ascii="仿宋" w:hAnsi="仿宋" w:eastAsia="仿宋" w:cs="仿宋"/>
          <w:color w:val="auto"/>
          <w:highlight w:val="none"/>
        </w:rPr>
        <w:t>承诺书；</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11.3报价文件：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11.3.1开标一览表（报价表）；</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11.3.2中小企业声明函。</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投标文件含有采购人不能接受的附加条件的，投标无效；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投标人提供虚假材料投标的，投标无效。</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12. 投标文件的编制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12.2投标人进行电子投标应安装客户端软件—“政采云电子交易客户端”，并按照招标文件和电子交易平台的要求编制并加密投标文件。投标人未按规定加密的投标文件，电子交易平台将拒收并提示。</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12.3使用“政采云电子交易客户端”需要提前申领CA数字证书，申领流程请自行前往“浙江政府采购网-下载专区-电子交易客户端-CA驱动和申领流程”进行查阅。</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13.投标文件的签署、盖章</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13.1投标文件按照招标文件第六部分格式要求进行签署、盖章。▲投标人的投标文件未按照招标文件要求签署、盖章的，其投标无效。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13.3招标文件对投标文件签署、盖章的要求适用于电子签名。</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14. 投标文件的提交、补充、修改、撤回</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14.2电子交易平台收到投标文件，将妥善保存并即时向供应商发出确认回执通知。在投标截止时间前，除供应商补充、修改或者撤回投标文件外，任何单位和个人不得解密或提取投标文件。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14.3采购人、采购机构可以视情况延长投标文件提交的截止时间。在上述情况下，采购机构与投标人以前在投标截止期方面的全部权利、责任和义务，将适用于延长至新的投标截止期。</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15.备份投标文件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15.1投标人在电子交易平台传输递交投标文件后，还可以在投标截止时间前直接提交或者以邮政快递方式递交备份投标文件1份，但采购人、采购机构不强制或变相强制投标人提交备份投标文件。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15.2备份投标文件须在“政采云投标客户端”制作生成，并储存在DVD光盘中。备份投标文件应当密封包装并在包装上加盖公章并注明投标项目名称，投标人名称(联合体投标的，包装物封面需注明联合体投标，并注明联合体成员各方的名称和联合协议中约定的牵头人的名称)。不符合上述制作、存储、密封规定的备份投标文件将被视为无效或者被拒绝接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15.3直接提交备份投标文件的，投标人应于投标截止时间前在招标公告中载明的开标地点将备份投标文件提交给采购机构，采购机构将拒绝接受逾期送达的备份投标文件。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15.5投标人仅提交备份投标文件，未在电子交易平台传输递交投标文件的，投标无效。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16.投标文件的无效处理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有招标文件第四部分4.2规定的情形之一的，投标无效：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17.投标有效期</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17.1投标有效期为从提交投标文件的截止之日起90天。▲投标人的投标文件中承诺的投标有效期少于招标文件中载明的投标有效期的，投标无效。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17.3在原定投标有效期满之前，如果出现特殊情况，采购机构可以以书面形式通知投标人延长投标有效期。投标人同意延长的，不得要求或被允许修改其投标文件，投标人拒绝延长的，其投标无效。</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四、开标、资格审查与信用信息查询</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18.开标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18.1采购机构按照招标文件规定的时间通过电子交易平台组织开标，所有投标人均应当准时在线参加。投标人不足3家的，不得开标。</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18.2开标时，电子交易平台按开标时间自动提取所有投标文件。采购机构依托电子交易平台发起开始解密指令，投标人按照平台提示和招标文件的规定在半小时内完成在线解密。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18.3投标文件未按时解密，投标人提供了备份投标文件的，以备份投标文件作为依据，否则视为投标文件撤回。投标文件已按时解密的，备份投标文件自动失效。</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19、资格审查</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19.1开标后，采购人或采购机构将依法对投标人的资格进行审查。</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19.2采购人或采购机构依据法律法规和招标文件的规定，对投标人的基本资格条件、特定资格条件进行审查。</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19.3投标人未按照招标文件要求提供与基本资格条件、特定资格条件相应的有效资格证明材料的，视为投标人不具备招标文件中规定的资格要求，其投标无效。</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19.4对未通过资格审查的投标人，采购人或采购机构告知其未通过的原因。</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19.5合格投标人不足3家的，不再评标。</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20、信用信息查询</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20.1信用信息查询渠道及截止时间：采购机构将通过“信用中国”网站(www.creditchina.gov.cn)、中国政府采购网(www.ccgp.gov.cn)渠道查询投标人投标截止时间当天的信用记录。</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20.2信用信息查询记录和证据留存的具体方式：现场查询的投标人的信用记录、查询结果经确认后将与采购文件一起存档。</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20.3信用信息的使用规则：经查询列入失信被执行人名单、重大税收违法案件当事人名单（税收违法黑名单）、政府采购严重违法失信行为记录名单的投标人将被拒绝参与政府采购活动。</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五、评标</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21. 评标</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详见招标文件第四部分评标办法。</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六、定 标</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22. 确定中标供应商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采购人将自收到评审报告之日起5个工作日内通过电子交易平台在评审报告推荐的中标候选人中按顺序确定中标供应商。</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23. 中标通知与中标结果公告</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23.1自中标人确定之日起2个工作日内，采购机构通过电子交易平台向中标人发出中标通知书，同时编制发布采购结果公告。采购机构也可以以纸质形式进行中标通知。</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23.2中标结果公告内容包括采购人及其委托的采购机构的名称、地址、联系方式，项目名称和项目编号，中标人名称、地址和中标金额，主要中标标的的名称、规格型号、数量、单价、服务要求，开标记录、未中标情况说明、中标公告期限以及评审专家名单、评分汇总及明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23.3公告期限为1个工作日。</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七、合同授予</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24. 合同主要条款详见第五部分拟签订的合同文本。</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 合同的签订</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25.1 采购人与中标人应当通过电子交易平台在中标通知书发出之日起三十日内，按照招标文件确定的事项签订政府采购合同，并在合同签订之日起2个工作日内依法发布合同公告。</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25.2中标人按规定的日期、时间、地点，由法定代表人或其授权代表与采购人代表签订合同。如中标人为联合体的，由联合体成员各方法定代表人或其授权代表与采购人代表签订合同。</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25.3如签订合同并生效后，供应商无故拒绝或延期，除按照合同条款处理外，列入不良行为记录一次，并给予通报。</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25.5采购合同由采购人与中标供应商根据招标文件、投标文件等内容通过政府采购电子交易平台在线签订，自动备案。</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26. 履约保证金</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政府采购货物和服务项目中，采购单位可根据杭州市政府采购网公布的供应商履约评价情况减免履约保证金。供应商履约验收评价总分为100分的，采购单位应当免收履约保证金；</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spacing w:after="0" w:line="288" w:lineRule="auto"/>
        <w:rPr>
          <w:rFonts w:hint="eastAsia" w:ascii="仿宋" w:hAnsi="仿宋" w:eastAsia="仿宋" w:cs="仿宋"/>
          <w:color w:val="auto"/>
          <w:highlight w:val="none"/>
        </w:rPr>
      </w:pPr>
    </w:p>
    <w:p>
      <w:pPr>
        <w:spacing w:after="0" w:line="288" w:lineRule="auto"/>
        <w:rPr>
          <w:rFonts w:hint="eastAsia" w:ascii="仿宋" w:hAnsi="仿宋" w:eastAsia="仿宋" w:cs="仿宋"/>
          <w:b/>
          <w:smallCaps/>
          <w:color w:val="auto"/>
          <w:sz w:val="28"/>
          <w:szCs w:val="28"/>
          <w:highlight w:val="none"/>
        </w:rPr>
      </w:pPr>
      <w:r>
        <w:rPr>
          <w:rFonts w:hint="eastAsia" w:ascii="仿宋" w:hAnsi="仿宋" w:eastAsia="仿宋" w:cs="仿宋"/>
          <w:color w:val="auto"/>
          <w:highlight w:val="none"/>
        </w:rPr>
        <w:br w:type="page"/>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八、电子交易活动的中止</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27. 电子交易活动的中止。</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采购过程中出现以下情形，导致电子交易平台无法正常运行，或者无法保证电子交易的公平、公正和安全时，采购机构可中止电子交易活动：</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27.1电子交易平台发生故障而无法登录访问的；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27.2电子交易平台应用或数据库出现错误，不能进行正常操作的；</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27.3电子交易平台发现严重安全漏洞，有潜在泄密危险的；</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27.4病毒发作导致不能进行正常操作的； </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27.5其他无法保证电子交易的公平、公正和安全的情况。</w:t>
      </w:r>
    </w:p>
    <w:p>
      <w:pPr>
        <w:numPr>
          <w:ilvl w:val="0"/>
          <w:numId w:val="1"/>
        </w:numPr>
        <w:spacing w:after="0" w:line="288" w:lineRule="auto"/>
        <w:rPr>
          <w:rFonts w:hint="eastAsia" w:ascii="仿宋" w:hAnsi="仿宋" w:eastAsia="仿宋" w:cs="仿宋"/>
          <w:b/>
          <w:color w:val="auto"/>
          <w:sz w:val="24"/>
          <w:szCs w:val="24"/>
          <w:highlight w:val="none"/>
          <w:lang w:val="en-US" w:eastAsia="zh-CN" w:bidi="ar-SA"/>
        </w:rPr>
      </w:pPr>
      <w:r>
        <w:rPr>
          <w:rFonts w:hint="eastAsia" w:ascii="仿宋" w:hAnsi="仿宋" w:eastAsia="仿宋" w:cs="仿宋"/>
          <w:b/>
          <w:color w:val="auto"/>
          <w:sz w:val="24"/>
          <w:szCs w:val="24"/>
          <w:highlight w:val="none"/>
          <w:lang w:val="en-US" w:eastAsia="zh-CN" w:bidi="ar-SA"/>
        </w:rPr>
        <w:t>出现以上情形，不影响采购公平、公正性的，采购组织机构可以待上述情形消除后继续组织电子交易活动，也可以决定某些环节以纸质形式进行；影响或可能影响采购公平、公正性的，应当重新采购。</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九、验收</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29.验收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29.1采购人应当组织对供应商履约的验收。验收采用采购人自行组织验收和专门机构验收两种形式，具体按照萧政办发[2014]217号文件执行。验收方成员应当在验收书上签字，并承担相应的法律责任。使用区级财政性资金采购且单项合同金额在20万元（含）以上的或使用镇（街道平台）财政性资金采购且合同金额在50万元（含）以上的货物类政府采购项目的验收，按萧市监【2015】127号、萧市监【2019】16号等相关文件执行（如项目发布之时已有新文件，按照最新文件执行）。存在隐蔽工程的项目，采购单位及供应商应在货物到货并将实施安装前，申请进行初验收。</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联系电话: 0571-83587785/0571-82816012  联系地址: 萧山区通惠北路2-1号302室</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29.2采购人组织对供应商履约的验收。除29.1情形外，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第三部分   采购需求</w:t>
      </w:r>
    </w:p>
    <w:p>
      <w:pPr>
        <w:snapToGrid w:val="0"/>
        <w:spacing w:after="0" w:line="288" w:lineRule="auto"/>
        <w:jc w:val="center"/>
        <w:rPr>
          <w:rStyle w:val="51"/>
          <w:rFonts w:hint="eastAsia" w:ascii="仿宋" w:hAnsi="仿宋" w:eastAsia="仿宋" w:cs="仿宋"/>
          <w:i w:val="0"/>
          <w:iCs w:val="0"/>
          <w:color w:val="auto"/>
          <w:highlight w:val="none"/>
        </w:rPr>
      </w:pPr>
      <w:r>
        <w:rPr>
          <w:rStyle w:val="51"/>
          <w:rFonts w:hint="eastAsia" w:ascii="仿宋" w:hAnsi="仿宋" w:eastAsia="仿宋" w:cs="仿宋"/>
          <w:i w:val="0"/>
          <w:iCs w:val="0"/>
          <w:color w:val="auto"/>
          <w:highlight w:val="none"/>
        </w:rPr>
        <w:t>属于实质性要求条款的，请用符号“▲”标明，否则属于非实质性要求。</w:t>
      </w:r>
    </w:p>
    <w:p>
      <w:pPr>
        <w:snapToGrid w:val="0"/>
        <w:spacing w:after="0" w:line="288" w:lineRule="auto"/>
        <w:jc w:val="center"/>
        <w:rPr>
          <w:rStyle w:val="51"/>
          <w:rFonts w:hint="eastAsia" w:ascii="仿宋" w:hAnsi="仿宋" w:eastAsia="仿宋" w:cs="仿宋"/>
          <w:i w:val="0"/>
          <w:iCs w:val="0"/>
          <w:color w:val="auto"/>
          <w:highlight w:val="none"/>
        </w:rPr>
      </w:pPr>
    </w:p>
    <w:p>
      <w:pPr>
        <w:pStyle w:val="4"/>
        <w:numPr>
          <w:ilvl w:val="0"/>
          <w:numId w:val="2"/>
        </w:numPr>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招标一览表</w:t>
      </w:r>
    </w:p>
    <w:p>
      <w:pPr>
        <w:pStyle w:val="6"/>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标项一：</w:t>
      </w:r>
    </w:p>
    <w:tbl>
      <w:tblPr>
        <w:tblStyle w:val="24"/>
        <w:tblpPr w:leftFromText="180" w:rightFromText="180" w:vertAnchor="text" w:horzAnchor="page" w:tblpX="1940" w:tblpY="66"/>
        <w:tblOverlap w:val="never"/>
        <w:tblW w:w="8511" w:type="dxa"/>
        <w:jc w:val="center"/>
        <w:tblLayout w:type="fixed"/>
        <w:tblCellMar>
          <w:top w:w="0" w:type="dxa"/>
          <w:left w:w="0" w:type="dxa"/>
          <w:bottom w:w="0" w:type="dxa"/>
          <w:right w:w="0" w:type="dxa"/>
        </w:tblCellMar>
      </w:tblPr>
      <w:tblGrid>
        <w:gridCol w:w="1251"/>
        <w:gridCol w:w="2910"/>
        <w:gridCol w:w="1860"/>
        <w:gridCol w:w="715"/>
        <w:gridCol w:w="825"/>
        <w:gridCol w:w="950"/>
      </w:tblGrid>
      <w:tr>
        <w:tblPrEx>
          <w:tblCellMar>
            <w:top w:w="0" w:type="dxa"/>
            <w:left w:w="0" w:type="dxa"/>
            <w:bottom w:w="0" w:type="dxa"/>
            <w:right w:w="0" w:type="dxa"/>
          </w:tblCellMar>
        </w:tblPrEx>
        <w:trPr>
          <w:cantSplit/>
          <w:trHeight w:val="663" w:hRule="atLeast"/>
          <w:jc w:val="center"/>
        </w:trPr>
        <w:tc>
          <w:tcPr>
            <w:tcW w:w="125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 xml:space="preserve"> 标项</w:t>
            </w:r>
          </w:p>
        </w:tc>
        <w:tc>
          <w:tcPr>
            <w:tcW w:w="29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名称</w:t>
            </w:r>
          </w:p>
        </w:tc>
        <w:tc>
          <w:tcPr>
            <w:tcW w:w="186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规格型号与参数</w:t>
            </w:r>
          </w:p>
        </w:tc>
        <w:tc>
          <w:tcPr>
            <w:tcW w:w="71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单位</w:t>
            </w:r>
          </w:p>
        </w:tc>
        <w:tc>
          <w:tcPr>
            <w:tcW w:w="82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数量</w:t>
            </w:r>
          </w:p>
        </w:tc>
        <w:tc>
          <w:tcPr>
            <w:tcW w:w="950" w:type="dxa"/>
            <w:tcBorders>
              <w:top w:val="single" w:color="auto" w:sz="4" w:space="0"/>
              <w:left w:val="nil"/>
              <w:bottom w:val="single" w:color="auto" w:sz="4" w:space="0"/>
              <w:right w:val="single" w:color="auto" w:sz="4" w:space="0"/>
            </w:tcBorders>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备注</w:t>
            </w:r>
          </w:p>
        </w:tc>
      </w:tr>
      <w:tr>
        <w:tblPrEx>
          <w:tblCellMar>
            <w:top w:w="0" w:type="dxa"/>
            <w:left w:w="0" w:type="dxa"/>
            <w:bottom w:w="0" w:type="dxa"/>
            <w:right w:w="0" w:type="dxa"/>
          </w:tblCellMar>
        </w:tblPrEx>
        <w:trPr>
          <w:cantSplit/>
          <w:trHeight w:val="927" w:hRule="atLeast"/>
          <w:jc w:val="center"/>
        </w:trPr>
        <w:tc>
          <w:tcPr>
            <w:tcW w:w="125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1</w:t>
            </w:r>
          </w:p>
        </w:tc>
        <w:tc>
          <w:tcPr>
            <w:tcW w:w="291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color w:val="auto"/>
                <w:highlight w:val="none"/>
              </w:rPr>
              <w:t>杭州市萧山区市政绿化养护保障中心能源托管项目</w:t>
            </w:r>
          </w:p>
        </w:tc>
        <w:tc>
          <w:tcPr>
            <w:tcW w:w="186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详见招标需求</w:t>
            </w:r>
          </w:p>
        </w:tc>
        <w:tc>
          <w:tcPr>
            <w:tcW w:w="71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lang w:val="en-US" w:eastAsia="zh-CN"/>
              </w:rPr>
            </w:pPr>
            <w:r>
              <w:rPr>
                <w:rFonts w:hint="eastAsia" w:ascii="仿宋" w:hAnsi="仿宋" w:eastAsia="仿宋" w:cs="仿宋"/>
                <w:bCs/>
                <w:color w:val="auto"/>
                <w:highlight w:val="none"/>
                <w:lang w:val="en-US" w:eastAsia="zh-CN"/>
              </w:rPr>
              <w:t>项</w:t>
            </w:r>
          </w:p>
        </w:tc>
        <w:tc>
          <w:tcPr>
            <w:tcW w:w="82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spacing w:after="0" w:line="288" w:lineRule="auto"/>
              <w:jc w:val="center"/>
              <w:rPr>
                <w:rFonts w:hint="eastAsia" w:ascii="仿宋" w:hAnsi="仿宋" w:eastAsia="仿宋" w:cs="仿宋"/>
                <w:bCs/>
                <w:color w:val="auto"/>
                <w:highlight w:val="none"/>
              </w:rPr>
            </w:pPr>
            <w:r>
              <w:rPr>
                <w:rFonts w:hint="eastAsia" w:ascii="仿宋" w:hAnsi="仿宋" w:eastAsia="仿宋" w:cs="仿宋"/>
                <w:bCs/>
                <w:color w:val="auto"/>
                <w:highlight w:val="none"/>
              </w:rPr>
              <w:t>1</w:t>
            </w:r>
          </w:p>
        </w:tc>
        <w:tc>
          <w:tcPr>
            <w:tcW w:w="950" w:type="dxa"/>
            <w:tcBorders>
              <w:top w:val="single" w:color="auto" w:sz="4" w:space="0"/>
              <w:left w:val="nil"/>
              <w:bottom w:val="single" w:color="auto" w:sz="4" w:space="0"/>
              <w:right w:val="single" w:color="auto" w:sz="4" w:space="0"/>
            </w:tcBorders>
            <w:vAlign w:val="center"/>
          </w:tcPr>
          <w:p>
            <w:pPr>
              <w:spacing w:after="0" w:line="288" w:lineRule="auto"/>
              <w:jc w:val="center"/>
              <w:rPr>
                <w:rFonts w:hint="eastAsia" w:ascii="仿宋" w:hAnsi="仿宋" w:eastAsia="仿宋" w:cs="仿宋"/>
                <w:bCs/>
                <w:color w:val="auto"/>
                <w:highlight w:val="none"/>
              </w:rPr>
            </w:pPr>
          </w:p>
        </w:tc>
      </w:tr>
    </w:tbl>
    <w:p>
      <w:pPr>
        <w:numPr>
          <w:ilvl w:val="-1"/>
          <w:numId w:val="0"/>
        </w:numPr>
        <w:spacing w:after="0" w:line="288" w:lineRule="auto"/>
        <w:ind w:left="0"/>
        <w:jc w:val="both"/>
        <w:rPr>
          <w:rFonts w:hint="eastAsia" w:ascii="仿宋" w:hAnsi="仿宋" w:eastAsia="仿宋" w:cs="仿宋"/>
          <w:color w:val="auto"/>
          <w:highlight w:val="none"/>
        </w:rPr>
      </w:pPr>
    </w:p>
    <w:p>
      <w:pPr>
        <w:numPr>
          <w:ilvl w:val="0"/>
          <w:numId w:val="3"/>
        </w:numPr>
        <w:spacing w:after="0" w:line="288" w:lineRule="auto"/>
        <w:jc w:val="center"/>
        <w:rPr>
          <w:rFonts w:hint="eastAsia" w:ascii="仿宋" w:hAnsi="仿宋" w:eastAsia="仿宋" w:cs="仿宋"/>
          <w:color w:val="auto"/>
          <w:highlight w:val="none"/>
        </w:rPr>
      </w:pPr>
      <w:r>
        <w:rPr>
          <w:rFonts w:hint="eastAsia" w:ascii="仿宋" w:hAnsi="仿宋" w:eastAsia="仿宋" w:cs="仿宋"/>
          <w:b/>
          <w:color w:val="auto"/>
          <w:highlight w:val="none"/>
        </w:rPr>
        <w:t>招标需求</w:t>
      </w:r>
    </w:p>
    <w:p>
      <w:pPr>
        <w:spacing w:after="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一</w:t>
      </w:r>
      <w:r>
        <w:rPr>
          <w:rFonts w:hint="eastAsia" w:cs="仿宋"/>
          <w:b/>
          <w:bCs/>
          <w:color w:val="auto"/>
          <w:sz w:val="24"/>
          <w:szCs w:val="24"/>
          <w:highlight w:val="none"/>
          <w:lang w:val="en-US" w:eastAsia="zh-CN"/>
        </w:rPr>
        <w:t>、</w:t>
      </w:r>
      <w:r>
        <w:rPr>
          <w:rFonts w:hint="eastAsia" w:ascii="仿宋" w:hAnsi="仿宋" w:eastAsia="仿宋" w:cs="仿宋"/>
          <w:b/>
          <w:bCs/>
          <w:color w:val="auto"/>
          <w:sz w:val="24"/>
          <w:szCs w:val="24"/>
          <w:highlight w:val="none"/>
        </w:rPr>
        <w:t>项目概况</w:t>
      </w:r>
    </w:p>
    <w:p>
      <w:pPr>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浙江省机关事务管理局（浙机事发〔2021〕5号）文件精神及</w:t>
      </w:r>
      <w:r>
        <w:rPr>
          <w:rFonts w:hint="eastAsia" w:ascii="仿宋" w:hAnsi="仿宋" w:eastAsia="仿宋" w:cs="仿宋"/>
          <w:color w:val="auto"/>
          <w:sz w:val="24"/>
          <w:szCs w:val="24"/>
          <w:highlight w:val="none"/>
        </w:rPr>
        <w:t>萧山区人民政府专题会议纪要</w:t>
      </w:r>
      <w:bookmarkStart w:id="2" w:name="_Hlk113353450"/>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萧政纪〔2022〕90号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对区综合行政执法局下属事业单位</w:t>
      </w:r>
      <w:r>
        <w:rPr>
          <w:rFonts w:hint="eastAsia" w:ascii="仿宋" w:hAnsi="仿宋" w:eastAsia="仿宋" w:cs="仿宋"/>
          <w:color w:val="auto"/>
          <w:highlight w:val="none"/>
        </w:rPr>
        <w:t>杭州市萧山区市政绿化养护保障中心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以下简称区市政绿化中心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养管范围</w:t>
      </w:r>
      <w:bookmarkEnd w:id="2"/>
      <w:r>
        <w:rPr>
          <w:rFonts w:hint="eastAsia" w:ascii="仿宋" w:hAnsi="仿宋" w:eastAsia="仿宋" w:cs="仿宋"/>
          <w:color w:val="auto"/>
          <w:sz w:val="24"/>
          <w:szCs w:val="24"/>
          <w:highlight w:val="none"/>
        </w:rPr>
        <w:t>实行能源托管服务，对区</w:t>
      </w:r>
      <w:r>
        <w:rPr>
          <w:rFonts w:hint="eastAsia" w:ascii="仿宋" w:hAnsi="仿宋" w:eastAsia="仿宋" w:cs="仿宋"/>
          <w:color w:val="auto"/>
          <w:sz w:val="24"/>
          <w:szCs w:val="24"/>
          <w:highlight w:val="none"/>
          <w:lang w:val="en-US" w:eastAsia="zh-CN"/>
        </w:rPr>
        <w:t>市政</w:t>
      </w:r>
      <w:r>
        <w:rPr>
          <w:rFonts w:hint="eastAsia" w:ascii="仿宋" w:hAnsi="仿宋" w:eastAsia="仿宋" w:cs="仿宋"/>
          <w:color w:val="auto"/>
          <w:sz w:val="24"/>
          <w:szCs w:val="24"/>
          <w:highlight w:val="none"/>
        </w:rPr>
        <w:t>绿化中心</w:t>
      </w:r>
      <w:r>
        <w:rPr>
          <w:rFonts w:hint="eastAsia" w:cs="仿宋"/>
          <w:color w:val="auto"/>
          <w:sz w:val="24"/>
          <w:szCs w:val="24"/>
          <w:highlight w:val="none"/>
          <w:lang w:val="en-US" w:eastAsia="zh-CN"/>
        </w:rPr>
        <w:t>建立</w:t>
      </w:r>
      <w:r>
        <w:rPr>
          <w:rFonts w:hint="eastAsia" w:ascii="仿宋" w:hAnsi="仿宋" w:eastAsia="仿宋" w:cs="仿宋"/>
          <w:color w:val="auto"/>
          <w:sz w:val="24"/>
          <w:szCs w:val="24"/>
          <w:highlight w:val="none"/>
        </w:rPr>
        <w:t>有效的节能管理监测体系，解决节能设备更新缓慢、节能技术不系统、节能效果不能完全释放、节能管理难度大、节能管理人员不专业等问题，积极响应中央节能减排号召，进而实现《浙江省公共机构节约能源资源“十四五”规划》中提出的要求和目标。</w:t>
      </w:r>
    </w:p>
    <w:p>
      <w:pPr>
        <w:spacing w:after="0" w:line="288" w:lineRule="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二</w:t>
      </w:r>
      <w:r>
        <w:rPr>
          <w:rFonts w:hint="eastAsia" w:cs="仿宋"/>
          <w:b/>
          <w:bCs/>
          <w:color w:val="auto"/>
          <w:sz w:val="24"/>
          <w:szCs w:val="24"/>
          <w:highlight w:val="none"/>
          <w:lang w:val="en-US" w:eastAsia="zh-CN"/>
        </w:rPr>
        <w:t>、</w:t>
      </w:r>
      <w:r>
        <w:rPr>
          <w:rFonts w:hint="eastAsia" w:ascii="仿宋" w:hAnsi="仿宋" w:eastAsia="仿宋" w:cs="仿宋"/>
          <w:b/>
          <w:bCs/>
          <w:color w:val="auto"/>
          <w:sz w:val="24"/>
          <w:szCs w:val="24"/>
          <w:highlight w:val="none"/>
        </w:rPr>
        <w:t>项目需求</w:t>
      </w:r>
    </w:p>
    <w:p>
      <w:pPr>
        <w:spacing w:after="0" w:line="288" w:lineRule="auto"/>
        <w:ind w:firstLine="480"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color w:val="auto"/>
          <w:sz w:val="24"/>
          <w:szCs w:val="24"/>
          <w:highlight w:val="none"/>
        </w:rPr>
        <w:t>对区综合行政执法局下属事业单位区市政绿化中心养管范围内</w:t>
      </w:r>
      <w:r>
        <w:rPr>
          <w:rFonts w:hint="eastAsia" w:ascii="仿宋" w:hAnsi="仿宋" w:eastAsia="仿宋" w:cs="仿宋"/>
          <w:color w:val="auto"/>
          <w:sz w:val="24"/>
          <w:szCs w:val="24"/>
          <w:highlight w:val="none"/>
          <w:lang w:val="en-US" w:eastAsia="zh-CN"/>
        </w:rPr>
        <w:t>用能</w:t>
      </w:r>
      <w:r>
        <w:rPr>
          <w:rFonts w:hint="eastAsia" w:ascii="仿宋" w:hAnsi="仿宋" w:eastAsia="仿宋" w:cs="仿宋"/>
          <w:color w:val="auto"/>
          <w:sz w:val="24"/>
          <w:szCs w:val="24"/>
          <w:highlight w:val="none"/>
        </w:rPr>
        <w:t>设施的用能管理、节能改造及维护实行托管</w:t>
      </w:r>
      <w:r>
        <w:rPr>
          <w:rFonts w:hint="eastAsia" w:ascii="仿宋" w:hAnsi="仿宋" w:eastAsia="仿宋" w:cs="仿宋"/>
          <w:color w:val="auto"/>
          <w:sz w:val="24"/>
          <w:szCs w:val="24"/>
          <w:highlight w:val="none"/>
          <w:lang w:eastAsia="zh-CN"/>
        </w:rPr>
        <w:t>。</w:t>
      </w:r>
    </w:p>
    <w:p>
      <w:pPr>
        <w:snapToGrid w:val="0"/>
        <w:spacing w:after="0" w:line="288" w:lineRule="auto"/>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改造内容：</w:t>
      </w:r>
    </w:p>
    <w:p>
      <w:pPr>
        <w:numPr>
          <w:ilvl w:val="0"/>
          <w:numId w:val="4"/>
        </w:numPr>
        <w:snapToGrid w:val="0"/>
        <w:spacing w:after="0" w:line="288"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单个单位路灯配电箱加装智能控制终端控制器，约</w:t>
      </w:r>
      <w:r>
        <w:rPr>
          <w:rFonts w:hint="eastAsia" w:cs="仿宋"/>
          <w:color w:val="auto"/>
          <w:sz w:val="24"/>
          <w:szCs w:val="24"/>
          <w:highlight w:val="none"/>
          <w:lang w:val="en-US" w:eastAsia="zh-CN"/>
        </w:rPr>
        <w:t>110</w:t>
      </w:r>
      <w:r>
        <w:rPr>
          <w:rFonts w:hint="eastAsia" w:ascii="仿宋" w:hAnsi="仿宋" w:eastAsia="仿宋" w:cs="仿宋"/>
          <w:color w:val="auto"/>
          <w:sz w:val="24"/>
          <w:szCs w:val="24"/>
          <w:highlight w:val="none"/>
          <w:lang w:val="en-US" w:eastAsia="zh-CN"/>
        </w:rPr>
        <w:t>台</w:t>
      </w:r>
      <w:r>
        <w:rPr>
          <w:rFonts w:hint="eastAsia" w:cs="仿宋"/>
          <w:color w:val="auto"/>
          <w:sz w:val="24"/>
          <w:szCs w:val="24"/>
          <w:highlight w:val="none"/>
          <w:lang w:val="en-US" w:eastAsia="zh-CN"/>
        </w:rPr>
        <w:t>，具体数量以实际为准，</w:t>
      </w:r>
      <w:r>
        <w:rPr>
          <w:rFonts w:hint="eastAsia" w:ascii="宋体" w:hAnsi="宋体" w:cs="宋体"/>
          <w:color w:val="auto"/>
          <w:sz w:val="24"/>
          <w:highlight w:val="none"/>
          <w:lang w:val="en-US" w:eastAsia="zh-CN"/>
        </w:rPr>
        <w:t>合同生效</w:t>
      </w:r>
      <w:r>
        <w:rPr>
          <w:rFonts w:hint="eastAsia" w:ascii="宋体" w:hAnsi="宋体" w:cs="宋体"/>
          <w:color w:val="auto"/>
          <w:sz w:val="24"/>
          <w:highlight w:val="none"/>
        </w:rPr>
        <w:t>后</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个月内完成</w:t>
      </w:r>
      <w:r>
        <w:rPr>
          <w:rFonts w:hint="eastAsia" w:ascii="仿宋" w:hAnsi="仿宋" w:eastAsia="仿宋" w:cs="仿宋"/>
          <w:color w:val="auto"/>
          <w:sz w:val="24"/>
          <w:szCs w:val="24"/>
          <w:highlight w:val="none"/>
          <w:lang w:val="en-US" w:eastAsia="zh-CN"/>
        </w:rPr>
        <w:t>。</w:t>
      </w:r>
    </w:p>
    <w:p>
      <w:pPr>
        <w:numPr>
          <w:ilvl w:val="0"/>
          <w:numId w:val="4"/>
        </w:numPr>
        <w:snapToGrid w:val="0"/>
        <w:spacing w:after="0" w:line="288" w:lineRule="auto"/>
        <w:ind w:firstLine="480" w:firstLineChars="2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原有</w:t>
      </w:r>
      <w:r>
        <w:rPr>
          <w:rFonts w:hint="eastAsia" w:ascii="仿宋" w:hAnsi="仿宋" w:eastAsia="仿宋" w:cs="仿宋"/>
          <w:color w:val="auto"/>
          <w:sz w:val="24"/>
          <w:szCs w:val="24"/>
          <w:highlight w:val="none"/>
          <w:lang w:val="en-US" w:eastAsia="zh-CN"/>
        </w:rPr>
        <w:t>养护范围内</w:t>
      </w:r>
      <w:r>
        <w:rPr>
          <w:rFonts w:hint="eastAsia" w:ascii="仿宋" w:hAnsi="仿宋" w:eastAsia="仿宋" w:cs="仿宋"/>
          <w:color w:val="auto"/>
          <w:sz w:val="24"/>
          <w:szCs w:val="24"/>
          <w:highlight w:val="none"/>
        </w:rPr>
        <w:t>路灯</w:t>
      </w:r>
      <w:r>
        <w:rPr>
          <w:rFonts w:hint="eastAsia" w:ascii="仿宋" w:hAnsi="仿宋" w:eastAsia="仿宋" w:cs="仿宋"/>
          <w:color w:val="auto"/>
          <w:sz w:val="24"/>
          <w:szCs w:val="24"/>
          <w:highlight w:val="none"/>
          <w:lang w:val="en-US" w:eastAsia="zh-CN"/>
        </w:rPr>
        <w:t>(约4</w:t>
      </w:r>
      <w:r>
        <w:rPr>
          <w:rFonts w:hint="eastAsia" w:cs="仿宋"/>
          <w:color w:val="auto"/>
          <w:sz w:val="24"/>
          <w:szCs w:val="24"/>
          <w:highlight w:val="none"/>
          <w:lang w:val="en-US" w:eastAsia="zh-CN"/>
        </w:rPr>
        <w:t>.5</w:t>
      </w:r>
      <w:r>
        <w:rPr>
          <w:rFonts w:hint="eastAsia" w:ascii="仿宋" w:hAnsi="仿宋" w:eastAsia="仿宋" w:cs="仿宋"/>
          <w:color w:val="auto"/>
          <w:sz w:val="24"/>
          <w:szCs w:val="24"/>
          <w:highlight w:val="none"/>
          <w:lang w:val="en-US" w:eastAsia="zh-CN"/>
        </w:rPr>
        <w:t>万盏)</w:t>
      </w:r>
      <w:r>
        <w:rPr>
          <w:rFonts w:hint="eastAsia" w:ascii="仿宋" w:hAnsi="仿宋" w:eastAsia="仿宋" w:cs="仿宋"/>
          <w:color w:val="auto"/>
          <w:sz w:val="24"/>
          <w:szCs w:val="24"/>
          <w:highlight w:val="none"/>
        </w:rPr>
        <w:t>增加单灯控制器</w:t>
      </w:r>
      <w:r>
        <w:rPr>
          <w:rFonts w:hint="eastAsia" w:cs="仿宋"/>
          <w:color w:val="auto"/>
          <w:sz w:val="24"/>
          <w:szCs w:val="24"/>
          <w:highlight w:val="none"/>
          <w:lang w:eastAsia="zh-CN"/>
        </w:rPr>
        <w:t>（</w:t>
      </w:r>
      <w:r>
        <w:rPr>
          <w:rFonts w:hint="eastAsia" w:cs="仿宋"/>
          <w:color w:val="auto"/>
          <w:sz w:val="24"/>
          <w:szCs w:val="24"/>
          <w:highlight w:val="none"/>
          <w:lang w:val="en-US" w:eastAsia="zh-CN"/>
        </w:rPr>
        <w:t>考虑熔断器相应更换</w:t>
      </w:r>
      <w:r>
        <w:rPr>
          <w:rFonts w:hint="eastAsia" w:cs="仿宋"/>
          <w:color w:val="auto"/>
          <w:sz w:val="24"/>
          <w:szCs w:val="24"/>
          <w:highlight w:val="none"/>
          <w:lang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其中约6000</w:t>
      </w:r>
      <w:r>
        <w:rPr>
          <w:rFonts w:hint="eastAsia" w:ascii="仿宋" w:hAnsi="仿宋" w:eastAsia="仿宋" w:cs="仿宋"/>
          <w:color w:val="auto"/>
          <w:sz w:val="24"/>
          <w:szCs w:val="24"/>
          <w:highlight w:val="none"/>
        </w:rPr>
        <w:t>盏钠灯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金卤灯</w:t>
      </w:r>
      <w:r>
        <w:rPr>
          <w:rFonts w:hint="eastAsia" w:ascii="仿宋" w:hAnsi="仿宋" w:eastAsia="仿宋" w:cs="仿宋"/>
          <w:color w:val="auto"/>
          <w:sz w:val="24"/>
          <w:szCs w:val="24"/>
          <w:highlight w:val="none"/>
          <w:lang w:val="en-US" w:eastAsia="zh-CN"/>
        </w:rPr>
        <w:t>按现行道路照明规范要求进行更换</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其他设施可延伸能源节能管理的进行计划节能改造（如部分节能灯、霓虹灯的改造）。上述单灯控制器均需接入相关智慧平台系统，并完成对接</w:t>
      </w:r>
      <w:r>
        <w:rPr>
          <w:rFonts w:hint="eastAsia" w:cs="仿宋"/>
          <w:color w:val="auto"/>
          <w:sz w:val="24"/>
          <w:szCs w:val="24"/>
          <w:highlight w:val="none"/>
          <w:lang w:val="en-US" w:eastAsia="zh-CN"/>
        </w:rPr>
        <w:t>，具体数量以实际为准，</w:t>
      </w:r>
      <w:r>
        <w:rPr>
          <w:rFonts w:hint="eastAsia" w:ascii="宋体" w:hAnsi="宋体" w:cs="宋体"/>
          <w:color w:val="auto"/>
          <w:sz w:val="24"/>
          <w:highlight w:val="none"/>
          <w:lang w:val="en-US" w:eastAsia="zh-CN"/>
        </w:rPr>
        <w:t>合同生效</w:t>
      </w:r>
      <w:r>
        <w:rPr>
          <w:rFonts w:hint="eastAsia" w:ascii="宋体" w:hAnsi="宋体" w:cs="宋体"/>
          <w:color w:val="auto"/>
          <w:sz w:val="24"/>
          <w:highlight w:val="none"/>
        </w:rPr>
        <w:t>后</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个月内完成</w:t>
      </w:r>
      <w:r>
        <w:rPr>
          <w:rFonts w:hint="eastAsia" w:ascii="仿宋" w:hAnsi="仿宋" w:eastAsia="仿宋" w:cs="仿宋"/>
          <w:color w:val="auto"/>
          <w:sz w:val="24"/>
          <w:szCs w:val="24"/>
          <w:highlight w:val="none"/>
          <w:lang w:val="en-US" w:eastAsia="zh-CN"/>
        </w:rPr>
        <w:t>。</w:t>
      </w:r>
    </w:p>
    <w:p>
      <w:pPr>
        <w:numPr>
          <w:ilvl w:val="0"/>
          <w:numId w:val="4"/>
        </w:numPr>
        <w:snapToGrid w:val="0"/>
        <w:spacing w:after="0" w:line="288" w:lineRule="auto"/>
        <w:ind w:leftChars="0" w:firstLine="480" w:firstLineChars="20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试点</w:t>
      </w:r>
      <w:r>
        <w:rPr>
          <w:rFonts w:hint="eastAsia" w:ascii="仿宋" w:hAnsi="仿宋" w:eastAsia="仿宋" w:cs="仿宋"/>
          <w:color w:val="auto"/>
          <w:sz w:val="24"/>
          <w:szCs w:val="24"/>
          <w:highlight w:val="none"/>
        </w:rPr>
        <w:t>在新城隧道出入口加装光伏及储能系统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并按采购人要求进行相关后</w:t>
      </w:r>
    </w:p>
    <w:p>
      <w:pPr>
        <w:numPr>
          <w:ilvl w:val="-1"/>
          <w:numId w:val="0"/>
        </w:numPr>
        <w:snapToGrid w:val="0"/>
        <w:spacing w:after="0" w:line="288" w:lineRule="auto"/>
        <w:ind w:leftChars="0"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期延伸工作</w:t>
      </w:r>
      <w:r>
        <w:rPr>
          <w:rFonts w:hint="eastAsia" w:cs="仿宋"/>
          <w:color w:val="auto"/>
          <w:sz w:val="24"/>
          <w:szCs w:val="24"/>
          <w:highlight w:val="none"/>
          <w:lang w:val="en-US" w:eastAsia="zh-CN"/>
        </w:rPr>
        <w:t>，</w:t>
      </w:r>
      <w:r>
        <w:rPr>
          <w:rFonts w:hint="eastAsia" w:ascii="宋体" w:hAnsi="宋体" w:cs="宋体"/>
          <w:color w:val="auto"/>
          <w:sz w:val="24"/>
          <w:highlight w:val="none"/>
          <w:lang w:val="en-US" w:eastAsia="zh-CN"/>
        </w:rPr>
        <w:t>合同生效</w:t>
      </w:r>
      <w:r>
        <w:rPr>
          <w:rFonts w:hint="eastAsia" w:ascii="宋体" w:hAnsi="宋体" w:cs="宋体"/>
          <w:color w:val="auto"/>
          <w:sz w:val="24"/>
          <w:highlight w:val="none"/>
        </w:rPr>
        <w:t>后</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个月内完成</w:t>
      </w:r>
      <w:r>
        <w:rPr>
          <w:rFonts w:hint="eastAsia" w:ascii="仿宋" w:hAnsi="仿宋" w:eastAsia="仿宋" w:cs="仿宋"/>
          <w:color w:val="auto"/>
          <w:sz w:val="24"/>
          <w:szCs w:val="24"/>
          <w:highlight w:val="none"/>
        </w:rPr>
        <w:t>。</w:t>
      </w:r>
    </w:p>
    <w:p>
      <w:pPr>
        <w:pStyle w:val="2"/>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4、对涉及改造路灯及相关控制器、系统进行日常维护。</w:t>
      </w:r>
    </w:p>
    <w:p>
      <w:pPr>
        <w:pStyle w:val="2"/>
        <w:rPr>
          <w:rFonts w:hint="eastAsia"/>
          <w:color w:val="auto"/>
          <w:highlight w:val="none"/>
        </w:rPr>
      </w:pPr>
    </w:p>
    <w:p>
      <w:pPr>
        <w:numPr>
          <w:ilvl w:val="-1"/>
          <w:numId w:val="0"/>
        </w:numPr>
        <w:snapToGrid w:val="0"/>
        <w:spacing w:after="0" w:line="288" w:lineRule="auto"/>
        <w:ind w:leftChars="200" w:firstLine="0" w:firstLineChars="0"/>
        <w:jc w:val="both"/>
        <w:rPr>
          <w:rFonts w:hint="eastAsia"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5、</w:t>
      </w:r>
      <w:r>
        <w:rPr>
          <w:rFonts w:hint="eastAsia" w:ascii="仿宋" w:hAnsi="仿宋" w:eastAsia="仿宋" w:cs="仿宋"/>
          <w:color w:val="auto"/>
          <w:sz w:val="24"/>
          <w:szCs w:val="24"/>
          <w:highlight w:val="none"/>
          <w:lang w:val="en-US" w:eastAsia="zh-CN"/>
        </w:rPr>
        <w:t>区市政绿化中心新增</w:t>
      </w:r>
      <w:r>
        <w:rPr>
          <w:rFonts w:hint="eastAsia" w:cs="仿宋"/>
          <w:color w:val="auto"/>
          <w:sz w:val="24"/>
          <w:szCs w:val="24"/>
          <w:highlight w:val="none"/>
          <w:lang w:val="en-US" w:eastAsia="zh-CN"/>
        </w:rPr>
        <w:t>（减）</w:t>
      </w:r>
      <w:r>
        <w:rPr>
          <w:rFonts w:hint="eastAsia" w:ascii="仿宋" w:hAnsi="仿宋" w:eastAsia="仿宋" w:cs="仿宋"/>
          <w:color w:val="auto"/>
          <w:sz w:val="24"/>
          <w:szCs w:val="24"/>
          <w:highlight w:val="none"/>
          <w:lang w:val="en-US" w:eastAsia="zh-CN"/>
        </w:rPr>
        <w:t>用能设施功率增</w:t>
      </w:r>
      <w:r>
        <w:rPr>
          <w:rFonts w:hint="eastAsia" w:cs="仿宋"/>
          <w:color w:val="auto"/>
          <w:sz w:val="24"/>
          <w:szCs w:val="24"/>
          <w:highlight w:val="none"/>
          <w:lang w:val="en-US" w:eastAsia="zh-CN"/>
        </w:rPr>
        <w:t>（减）</w:t>
      </w:r>
      <w:r>
        <w:rPr>
          <w:rFonts w:hint="eastAsia" w:ascii="仿宋" w:hAnsi="仿宋" w:eastAsia="仿宋" w:cs="仿宋"/>
          <w:color w:val="auto"/>
          <w:sz w:val="24"/>
          <w:szCs w:val="24"/>
          <w:highlight w:val="none"/>
          <w:lang w:val="en-US" w:eastAsia="zh-CN"/>
        </w:rPr>
        <w:t>量部分</w:t>
      </w:r>
      <w:r>
        <w:rPr>
          <w:rFonts w:hint="eastAsia" w:cs="仿宋"/>
          <w:color w:val="auto"/>
          <w:sz w:val="24"/>
          <w:szCs w:val="24"/>
          <w:highlight w:val="none"/>
          <w:lang w:val="en-US" w:eastAsia="zh-CN"/>
        </w:rPr>
        <w:t>在财政政策允许范围内</w:t>
      </w:r>
      <w:r>
        <w:rPr>
          <w:rFonts w:hint="eastAsia" w:ascii="仿宋" w:hAnsi="仿宋" w:eastAsia="仿宋" w:cs="仿宋"/>
          <w:color w:val="auto"/>
          <w:sz w:val="24"/>
          <w:szCs w:val="24"/>
          <w:highlight w:val="none"/>
          <w:lang w:val="en-US" w:eastAsia="zh-CN"/>
        </w:rPr>
        <w:t>列入本合同托管范围内。</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6、</w:t>
      </w:r>
      <w:r>
        <w:rPr>
          <w:rFonts w:hint="eastAsia" w:ascii="仿宋" w:hAnsi="仿宋" w:eastAsia="仿宋" w:cs="仿宋"/>
          <w:color w:val="auto"/>
          <w:sz w:val="24"/>
          <w:szCs w:val="24"/>
          <w:highlight w:val="none"/>
          <w:lang w:val="en-US" w:eastAsia="zh-CN"/>
        </w:rPr>
        <w:t>托管服务开始后，新增（减）的用能设备产生的能耗</w:t>
      </w:r>
      <w:r>
        <w:rPr>
          <w:rFonts w:hint="eastAsia" w:cs="仿宋"/>
          <w:color w:val="auto"/>
          <w:sz w:val="24"/>
          <w:szCs w:val="24"/>
          <w:highlight w:val="none"/>
          <w:lang w:val="en-US" w:eastAsia="zh-CN"/>
        </w:rPr>
        <w:t>的费用</w:t>
      </w:r>
      <w:r>
        <w:rPr>
          <w:rFonts w:hint="eastAsia" w:ascii="仿宋" w:hAnsi="仿宋" w:eastAsia="仿宋" w:cs="仿宋"/>
          <w:color w:val="auto"/>
          <w:sz w:val="24"/>
          <w:szCs w:val="24"/>
          <w:highlight w:val="none"/>
          <w:lang w:val="en-US" w:eastAsia="zh-CN"/>
        </w:rPr>
        <w:t>，按本次投标总价折算下浮率计算。</w:t>
      </w:r>
    </w:p>
    <w:p>
      <w:pPr>
        <w:numPr>
          <w:ilvl w:val="-1"/>
          <w:numId w:val="0"/>
        </w:numPr>
        <w:snapToGrid w:val="0"/>
        <w:spacing w:after="0" w:line="288" w:lineRule="auto"/>
        <w:ind w:leftChars="0" w:firstLine="0" w:firstLineChars="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具体托管范围详见附件7。</w:t>
      </w:r>
    </w:p>
    <w:p>
      <w:pPr>
        <w:spacing w:after="0" w:line="288"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三</w:t>
      </w:r>
      <w:r>
        <w:rPr>
          <w:rFonts w:hint="eastAsia" w:cs="仿宋"/>
          <w:b/>
          <w:bCs/>
          <w:color w:val="auto"/>
          <w:sz w:val="24"/>
          <w:szCs w:val="24"/>
          <w:highlight w:val="none"/>
          <w:lang w:val="en-US" w:eastAsia="zh-CN"/>
        </w:rPr>
        <w:t>、</w:t>
      </w:r>
      <w:r>
        <w:rPr>
          <w:rFonts w:hint="eastAsia" w:ascii="仿宋" w:hAnsi="仿宋" w:eastAsia="仿宋" w:cs="仿宋"/>
          <w:b/>
          <w:bCs/>
          <w:color w:val="auto"/>
          <w:sz w:val="24"/>
          <w:szCs w:val="24"/>
          <w:highlight w:val="none"/>
        </w:rPr>
        <w:t>服务内容：</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1.</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val="zh-CN" w:eastAsia="zh-CN"/>
        </w:rPr>
        <w:t>应当按照项目方案文件规定的技术标准和要求按时完成本项目节能设备的改造升级或更新，托管后的能源费用由</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val="zh-CN" w:eastAsia="zh-CN"/>
        </w:rPr>
        <w:t>代缴，并负责</w:t>
      </w:r>
      <w:r>
        <w:rPr>
          <w:rFonts w:hint="eastAsia" w:cs="仿宋"/>
          <w:color w:val="auto"/>
          <w:sz w:val="24"/>
          <w:szCs w:val="24"/>
          <w:highlight w:val="none"/>
          <w:lang w:val="zh-CN" w:eastAsia="zh-CN"/>
        </w:rPr>
        <w:t>对改造过的灯具进行</w:t>
      </w:r>
      <w:r>
        <w:rPr>
          <w:rFonts w:hint="eastAsia" w:ascii="仿宋" w:hAnsi="仿宋" w:eastAsia="仿宋" w:cs="仿宋"/>
          <w:color w:val="auto"/>
          <w:sz w:val="24"/>
          <w:szCs w:val="24"/>
          <w:highlight w:val="none"/>
          <w:lang w:val="zh-CN" w:eastAsia="zh-CN"/>
        </w:rPr>
        <w:t>维护。</w:t>
      </w:r>
      <w:r>
        <w:rPr>
          <w:rFonts w:hint="eastAsia" w:ascii="仿宋" w:hAnsi="仿宋" w:eastAsia="仿宋" w:cs="仿宋"/>
          <w:color w:val="auto"/>
          <w:sz w:val="24"/>
          <w:szCs w:val="24"/>
          <w:highlight w:val="none"/>
          <w:lang w:val="en-US" w:eastAsia="zh-CN"/>
        </w:rPr>
        <w:t>中标人所有安装的智控设备需接入甲方原有路灯系统平台。</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2．</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val="zh-CN" w:eastAsia="zh-CN"/>
        </w:rPr>
        <w:t>应当依照相关规定，对甲方指派的管理人员进行适当的培训，以使其能承担相应的工作要求。</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3．</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val="zh-CN" w:eastAsia="zh-CN"/>
        </w:rPr>
        <w:t>安装和调试相关设备、设施应符合国家、行业有关施工管理法律法规和与项目相对应的技术标准规范要求，以及甲方合理的特有的施工、管理要求。</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4．</w:t>
      </w:r>
      <w:r>
        <w:rPr>
          <w:rFonts w:hint="eastAsia" w:ascii="仿宋" w:hAnsi="仿宋" w:eastAsia="仿宋" w:cs="仿宋"/>
          <w:color w:val="auto"/>
          <w:sz w:val="24"/>
          <w:szCs w:val="24"/>
          <w:highlight w:val="none"/>
          <w:lang w:val="en-US" w:eastAsia="zh-CN"/>
        </w:rPr>
        <w:t>改造范围内，</w:t>
      </w:r>
      <w:r>
        <w:rPr>
          <w:rFonts w:hint="eastAsia" w:ascii="仿宋" w:hAnsi="仿宋" w:eastAsia="仿宋" w:cs="仿宋"/>
          <w:color w:val="auto"/>
          <w:sz w:val="24"/>
          <w:szCs w:val="24"/>
          <w:highlight w:val="none"/>
          <w:lang w:val="zh-CN" w:eastAsia="zh-CN"/>
        </w:rPr>
        <w:t>在接到甲方或其他途径关于项目运行故障的通知之后，</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lang w:val="zh-CN" w:eastAsia="zh-CN"/>
        </w:rPr>
        <w:t>应根据相关规定和要求，及时响应并完成相关维修或设备更换。</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en-US" w:eastAsia="zh-CN"/>
        </w:rPr>
        <w:t>5．中标人在对</w:t>
      </w:r>
      <w:r>
        <w:rPr>
          <w:rFonts w:hint="eastAsia" w:cs="仿宋"/>
          <w:color w:val="auto"/>
          <w:highlight w:val="none"/>
          <w:lang w:eastAsia="zh-CN"/>
        </w:rPr>
        <w:t>中标方</w:t>
      </w:r>
      <w:r>
        <w:rPr>
          <w:rFonts w:hint="eastAsia" w:cs="仿宋"/>
          <w:color w:val="auto"/>
          <w:highlight w:val="none"/>
        </w:rPr>
        <w:t>改造</w:t>
      </w:r>
      <w:r>
        <w:rPr>
          <w:rFonts w:hint="eastAsia" w:cs="仿宋"/>
          <w:color w:val="auto"/>
          <w:highlight w:val="none"/>
          <w:lang w:eastAsia="zh-CN"/>
        </w:rPr>
        <w:t>过</w:t>
      </w:r>
      <w:r>
        <w:rPr>
          <w:rFonts w:hint="eastAsia" w:cs="仿宋"/>
          <w:color w:val="auto"/>
          <w:highlight w:val="none"/>
        </w:rPr>
        <w:t>的</w:t>
      </w:r>
      <w:r>
        <w:rPr>
          <w:rFonts w:hint="eastAsia" w:cs="仿宋"/>
          <w:color w:val="auto"/>
          <w:highlight w:val="none"/>
          <w:lang w:eastAsia="zh-CN"/>
        </w:rPr>
        <w:t>用能设备</w:t>
      </w:r>
      <w:r>
        <w:rPr>
          <w:rFonts w:hint="eastAsia" w:ascii="仿宋" w:hAnsi="仿宋" w:eastAsia="仿宋" w:cs="仿宋"/>
          <w:color w:val="auto"/>
          <w:sz w:val="24"/>
          <w:szCs w:val="24"/>
          <w:highlight w:val="none"/>
          <w:lang w:val="en-US" w:eastAsia="zh-CN"/>
        </w:rPr>
        <w:t>进行维护，按《城市道路照明设计标准》进行管理，确保灯具照明正常、照度达标，做好路灯巡检维修工作</w:t>
      </w:r>
      <w:r>
        <w:rPr>
          <w:rFonts w:hint="eastAsia" w:ascii="仿宋" w:hAnsi="仿宋" w:eastAsia="仿宋" w:cs="仿宋"/>
          <w:color w:val="auto"/>
          <w:sz w:val="24"/>
          <w:szCs w:val="24"/>
          <w:highlight w:val="none"/>
          <w:lang w:val="zh-CN" w:eastAsia="zh-CN"/>
        </w:rPr>
        <w:t>。</w:t>
      </w:r>
    </w:p>
    <w:p>
      <w:pPr>
        <w:spacing w:line="360" w:lineRule="auto"/>
        <w:ind w:firstLine="540"/>
        <w:jc w:val="left"/>
        <w:rPr>
          <w:rFonts w:hint="default"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四</w:t>
      </w:r>
      <w:r>
        <w:rPr>
          <w:rFonts w:hint="eastAsia" w:cs="仿宋"/>
          <w:b/>
          <w:bCs/>
          <w:color w:val="auto"/>
          <w:sz w:val="24"/>
          <w:szCs w:val="24"/>
          <w:highlight w:val="none"/>
          <w:lang w:val="en-US" w:eastAsia="zh-CN"/>
        </w:rPr>
        <w:t>、节能改造</w:t>
      </w:r>
    </w:p>
    <w:p>
      <w:pPr>
        <w:spacing w:line="360" w:lineRule="auto"/>
        <w:jc w:val="left"/>
        <w:rPr>
          <w:rFonts w:hint="eastAsia" w:ascii="宋体" w:hAnsi="宋体"/>
          <w:b/>
          <w:color w:val="auto"/>
          <w:sz w:val="24"/>
          <w:highlight w:val="none"/>
        </w:rPr>
      </w:pPr>
      <w:r>
        <w:rPr>
          <w:rFonts w:hint="eastAsia" w:cs="仿宋"/>
          <w:b/>
          <w:bCs/>
          <w:color w:val="auto"/>
          <w:sz w:val="24"/>
          <w:szCs w:val="24"/>
          <w:highlight w:val="none"/>
          <w:lang w:val="en-US" w:eastAsia="zh-CN"/>
        </w:rPr>
        <w:t>（一）</w:t>
      </w:r>
      <w:r>
        <w:rPr>
          <w:rFonts w:hint="eastAsia" w:ascii="宋体" w:hAnsi="宋体"/>
          <w:b/>
          <w:color w:val="auto"/>
          <w:sz w:val="24"/>
          <w:highlight w:val="none"/>
        </w:rPr>
        <w:t>设备技术和功能要求</w:t>
      </w:r>
    </w:p>
    <w:p>
      <w:pPr>
        <w:numPr>
          <w:ilvl w:val="-1"/>
          <w:numId w:val="0"/>
        </w:numPr>
        <w:snapToGrid w:val="0"/>
        <w:spacing w:after="0" w:line="288" w:lineRule="auto"/>
        <w:ind w:leftChars="0" w:firstLine="480" w:firstLineChars="200"/>
        <w:jc w:val="both"/>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采购人与中标人每年应自行组织对道路质量进行测试。其中，年平均照度与初始值相比每年光衰下降率不得超过3%，超过此值则由中标人对项目设施免费进行更换。年平均照度达不到初始值的70%，即光衰≥30%或低于国家道路照明标准，则该光源视为废品，必须立即更换。在此期间，采购人有权委托第三方检测单位检测，检测费由中标人支付。</w:t>
      </w:r>
    </w:p>
    <w:p>
      <w:pPr>
        <w:widowControl/>
        <w:adjustRightInd/>
        <w:snapToGrid/>
        <w:spacing w:after="0" w:line="288" w:lineRule="auto"/>
        <w:outlineLvl w:val="9"/>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cs="仿宋"/>
          <w:color w:val="auto"/>
          <w:sz w:val="24"/>
          <w:szCs w:val="24"/>
          <w:highlight w:val="none"/>
          <w:lang w:val="en-US" w:eastAsia="zh-CN"/>
        </w:rPr>
        <w:t>改造</w:t>
      </w:r>
      <w:r>
        <w:rPr>
          <w:rFonts w:hint="eastAsia" w:ascii="仿宋" w:hAnsi="仿宋" w:eastAsia="仿宋" w:cs="仿宋"/>
          <w:color w:val="auto"/>
          <w:highlight w:val="none"/>
        </w:rPr>
        <w:t>路灯灯具技术要求</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1.1灯具结构特点</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1.1.1灯具要求模块化设计，方便操作，灯体结构不能采用塑料。金属灯壳采用喷户外塑粉工艺或者为户外阳极氧化工艺作为防护；抗紫外线辐射，喷涂件表面色泽应均匀一致，涂膜光滑，厚度均匀，无流挂、堆积、露底、皱纹等影响外观的缺陷。</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bookmarkStart w:id="3" w:name="_Hlk113965375"/>
      <w:r>
        <w:rPr>
          <w:rFonts w:hint="eastAsia" w:ascii="仿宋" w:hAnsi="仿宋" w:eastAsia="仿宋" w:cs="仿宋"/>
          <w:color w:val="auto"/>
          <w:highlight w:val="none"/>
        </w:rPr>
        <w:t xml:space="preserve">1.1.2●模组为保持良好的可替换性，整体结构需满足《GB/T 35269-2017LED照明应用与接口要求非集成式模块的道路灯具》； </w:t>
      </w:r>
      <w:bookmarkEnd w:id="3"/>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1.1.3●模块采用透镜进行二次配光，透光率＞90%，对于同一模块提供不少于3种不同的配光选择。</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1.1.4●</w:t>
      </w:r>
      <w:r>
        <w:rPr>
          <w:rFonts w:hint="eastAsia" w:ascii="宋体" w:hAnsi="宋体" w:cs="宋体"/>
          <w:color w:val="auto"/>
          <w:sz w:val="22"/>
          <w:szCs w:val="22"/>
          <w:highlight w:val="none"/>
        </w:rPr>
        <w:t>合同期内光通维持率大于等于设定值光通量的</w:t>
      </w:r>
      <w:r>
        <w:rPr>
          <w:rFonts w:ascii="宋体" w:hAnsi="宋体" w:cs="宋体"/>
          <w:color w:val="auto"/>
          <w:sz w:val="22"/>
          <w:szCs w:val="22"/>
          <w:highlight w:val="none"/>
        </w:rPr>
        <w:t>70%</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lang w:eastAsia="zh-CN"/>
        </w:rPr>
      </w:pPr>
      <w:r>
        <w:rPr>
          <w:rFonts w:hint="eastAsia" w:ascii="仿宋" w:hAnsi="仿宋" w:eastAsia="仿宋" w:cs="仿宋"/>
          <w:color w:val="auto"/>
          <w:highlight w:val="none"/>
        </w:rPr>
        <w:t>1.1.5●灯具：光源芯片采用相当或不低于科锐、飞利浦、流明、欧司朗同等档次产品；</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1.1.6●外观专利：</w:t>
      </w:r>
      <w:r>
        <w:rPr>
          <w:rFonts w:hint="eastAsia" w:ascii="仿宋" w:hAnsi="仿宋" w:eastAsia="仿宋" w:cs="仿宋"/>
          <w:color w:val="auto"/>
          <w:highlight w:val="none"/>
          <w:lang w:val="en-US" w:eastAsia="zh-CN"/>
        </w:rPr>
        <w:t>路灯</w:t>
      </w:r>
      <w:r>
        <w:rPr>
          <w:rFonts w:hint="eastAsia" w:ascii="仿宋" w:hAnsi="仿宋" w:eastAsia="仿宋" w:cs="仿宋"/>
          <w:color w:val="auto"/>
          <w:highlight w:val="none"/>
        </w:rPr>
        <w:t>灯头具有自主知识产权或使用授权，确保日后无专利纠纷。</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1.1.7抗风措施：</w:t>
      </w:r>
      <w:r>
        <w:rPr>
          <w:rFonts w:hint="eastAsia" w:cs="仿宋"/>
          <w:color w:val="auto"/>
          <w:highlight w:val="none"/>
          <w:lang w:val="en-US" w:eastAsia="zh-CN"/>
        </w:rPr>
        <w:t>符合抗风要求</w:t>
      </w:r>
      <w:r>
        <w:rPr>
          <w:rFonts w:hint="eastAsia" w:ascii="仿宋" w:hAnsi="仿宋" w:eastAsia="仿宋" w:cs="仿宋"/>
          <w:color w:val="auto"/>
          <w:highlight w:val="none"/>
        </w:rPr>
        <w:t>。</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1.2基本性能</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1.2.1光源防护等级：整灯防水达到IP67</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1.2.2工作环境：温度：－40℃～＋45℃，湿度：小于95%</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1.2.3防触电保护等级：Ⅰ类</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1.2.4工作电压：AC176～277V</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1.2.5显色指数：Ra＞70</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1.2.6整灯光效：≥160 lm/W</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1.2.7整灯寿命：≥50000Hrs</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1.2.8色温：</w:t>
      </w:r>
      <w:r>
        <w:rPr>
          <w:rFonts w:hint="eastAsia" w:cs="仿宋"/>
          <w:color w:val="auto"/>
          <w:highlight w:val="none"/>
          <w:lang w:eastAsia="zh-CN"/>
        </w:rPr>
        <w:t>3</w:t>
      </w:r>
      <w:r>
        <w:rPr>
          <w:rFonts w:hint="eastAsia" w:cs="仿宋"/>
          <w:color w:val="auto"/>
          <w:highlight w:val="none"/>
          <w:lang w:val="en-US" w:eastAsia="zh-CN"/>
        </w:rPr>
        <w:t>000-4500</w:t>
      </w:r>
      <w:r>
        <w:rPr>
          <w:rFonts w:hint="eastAsia" w:ascii="仿宋" w:hAnsi="仿宋" w:eastAsia="仿宋" w:cs="仿宋"/>
          <w:color w:val="auto"/>
          <w:highlight w:val="none"/>
        </w:rPr>
        <w:t>K</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1.2.9安装方式：侧装式，灯头与灯杆接口以原有灯杆直径为准。</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1.3 其他技术要求</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1.3.</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道路照明指标在合同期内必须满足《城市道路照明设计标准》（CJJ45-2015）。</w:t>
      </w:r>
    </w:p>
    <w:p>
      <w:pPr>
        <w:widowControl w:val="0"/>
        <w:adjustRightInd w:val="0"/>
        <w:snapToGrid w:val="0"/>
        <w:spacing w:after="0" w:line="288" w:lineRule="auto"/>
        <w:ind w:firstLine="480" w:firstLineChars="200"/>
        <w:outlineLvl w:val="2"/>
        <w:rPr>
          <w:rFonts w:hint="eastAsia" w:ascii="仿宋" w:hAnsi="仿宋" w:eastAsia="仿宋" w:cs="仿宋"/>
          <w:color w:val="auto"/>
          <w:highlight w:val="none"/>
        </w:rPr>
      </w:pPr>
      <w:r>
        <w:rPr>
          <w:rFonts w:hint="eastAsia" w:ascii="仿宋" w:hAnsi="仿宋" w:eastAsia="仿宋" w:cs="仿宋"/>
          <w:color w:val="auto"/>
          <w:highlight w:val="none"/>
        </w:rPr>
        <w:t>1.3.</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路灯安装型式的选择 LED路灯灯具仰角采用可调式或固定式，应与原灯具安装方式相匹配。</w:t>
      </w:r>
    </w:p>
    <w:p>
      <w:pPr>
        <w:keepNext w:val="0"/>
        <w:keepLines w:val="0"/>
        <w:pageBreakBefore w:val="0"/>
        <w:kinsoku/>
        <w:wordWrap/>
        <w:overflowPunct/>
        <w:topLinePunct w:val="0"/>
        <w:autoSpaceDE/>
        <w:autoSpaceDN/>
        <w:bidi w:val="0"/>
        <w:adjustRightInd/>
        <w:snapToGrid/>
        <w:spacing w:after="0"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、智能控制技术要求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lang w:val="en-US" w:eastAsia="zh-CN"/>
        </w:rPr>
        <w:t>2</w:t>
      </w:r>
      <w:r>
        <w:rPr>
          <w:rFonts w:hint="eastAsia" w:ascii="仿宋" w:hAnsi="仿宋" w:eastAsia="仿宋" w:cs="仿宋"/>
          <w:color w:val="auto"/>
          <w:spacing w:val="0"/>
          <w:sz w:val="24"/>
          <w:szCs w:val="24"/>
          <w:highlight w:val="none"/>
        </w:rPr>
        <w:t>.1集中控制器</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2.1.1符合</w:t>
      </w:r>
      <w:r>
        <w:rPr>
          <w:rFonts w:hint="eastAsia" w:ascii="仿宋" w:hAnsi="仿宋" w:eastAsia="仿宋" w:cs="仿宋"/>
          <w:color w:val="auto"/>
          <w:sz w:val="24"/>
          <w:szCs w:val="24"/>
          <w:highlight w:val="none"/>
        </w:rPr>
        <w:t>照明用智能控制设备（集中控制器，独立式，Ⅱ类）；</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rPr>
        <w:t>GB7000.1-2015《灯具 第1部分：一般要求与试验》；</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rPr>
        <w:t>GB19510.12-2005《与灯用连用的杂类电子线路》；</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rPr>
        <w:t>IEC61347-1:2015灯的控制装置 第1部分：一般要求和安全要求；</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2.1.5符合</w:t>
      </w:r>
      <w:r>
        <w:rPr>
          <w:rFonts w:hint="eastAsia" w:ascii="仿宋" w:hAnsi="仿宋" w:eastAsia="仿宋" w:cs="仿宋"/>
          <w:color w:val="auto"/>
          <w:sz w:val="24"/>
          <w:szCs w:val="24"/>
          <w:highlight w:val="none"/>
        </w:rPr>
        <w:t>额定电压范围：</w:t>
      </w:r>
      <w:r>
        <w:rPr>
          <w:rFonts w:hint="eastAsia" w:ascii="仿宋" w:hAnsi="仿宋" w:eastAsia="仿宋" w:cs="仿宋"/>
          <w:color w:val="auto"/>
          <w:sz w:val="24"/>
          <w:szCs w:val="24"/>
          <w:highlight w:val="none"/>
          <w:lang w:val="en-US" w:eastAsia="zh-CN"/>
        </w:rPr>
        <w:t>96-480</w:t>
      </w:r>
      <w:r>
        <w:rPr>
          <w:rFonts w:hint="eastAsia" w:ascii="仿宋" w:hAnsi="仿宋" w:eastAsia="仿宋" w:cs="仿宋"/>
          <w:color w:val="auto"/>
          <w:sz w:val="24"/>
          <w:szCs w:val="24"/>
          <w:highlight w:val="none"/>
        </w:rPr>
        <w:t>VAC；</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2.1.6</w:t>
      </w:r>
      <w:r>
        <w:rPr>
          <w:rFonts w:hint="eastAsia" w:ascii="仿宋" w:hAnsi="仿宋" w:eastAsia="仿宋" w:cs="仿宋"/>
          <w:color w:val="auto"/>
          <w:sz w:val="24"/>
          <w:szCs w:val="24"/>
          <w:highlight w:val="none"/>
        </w:rPr>
        <w:t>频率：</w:t>
      </w:r>
      <w:r>
        <w:rPr>
          <w:rFonts w:hint="eastAsia" w:ascii="仿宋" w:hAnsi="仿宋" w:eastAsia="仿宋" w:cs="仿宋"/>
          <w:color w:val="auto"/>
          <w:sz w:val="24"/>
          <w:szCs w:val="24"/>
          <w:highlight w:val="none"/>
          <w:lang w:val="en-US" w:eastAsia="zh-CN"/>
        </w:rPr>
        <w:t>47-63</w:t>
      </w:r>
      <w:r>
        <w:rPr>
          <w:rFonts w:hint="eastAsia" w:ascii="仿宋" w:hAnsi="仿宋" w:eastAsia="仿宋" w:cs="仿宋"/>
          <w:color w:val="auto"/>
          <w:sz w:val="24"/>
          <w:szCs w:val="24"/>
          <w:highlight w:val="none"/>
        </w:rPr>
        <w:t>HZ；</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符合</w:t>
      </w:r>
      <w:r>
        <w:rPr>
          <w:rFonts w:hint="eastAsia" w:ascii="仿宋" w:hAnsi="仿宋" w:eastAsia="仿宋" w:cs="仿宋"/>
          <w:color w:val="auto"/>
          <w:sz w:val="24"/>
          <w:szCs w:val="24"/>
          <w:highlight w:val="none"/>
        </w:rPr>
        <w:t>额定功率＜5W；</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2.1.8供电方式为单相或三相供电</w:t>
      </w:r>
      <w:r>
        <w:rPr>
          <w:rFonts w:hint="eastAsia" w:ascii="仿宋" w:hAnsi="仿宋" w:eastAsia="仿宋" w:cs="仿宋"/>
          <w:color w:val="auto"/>
          <w:sz w:val="24"/>
          <w:szCs w:val="24"/>
          <w:highlight w:val="none"/>
        </w:rPr>
        <w:t>；</w:t>
      </w:r>
    </w:p>
    <w:p>
      <w:pPr>
        <w:pStyle w:val="13"/>
        <w:widowControl w:val="0"/>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.2单灯控制器</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2.2.1符合照明用智能控制设备（集中控制器，独立式，Ⅰ类）；</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2.2.2●符合GB7000.1-2015《灯具 第1部分：一般要求与试验》；</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2.2.3●符合GB19510.12-2005《与灯用连用的杂类电子线路》；</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left="480" w:leftChars="200" w:firstLine="0" w:firstLineChars="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2.2.4●符合IEC61347-1:2015灯的控制装置 第1部分：一般要求和安全要求；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left="480" w:leftChars="200" w:firstLine="0" w:firstLineChars="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2.2.5额定电压范围：96-305VAC；</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2.2.6频率：47-63Hz；</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2.2.7●符合额定功率＜2W；</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2.2.8具备远程开关功能，16A继电器输出；</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2.2.9同时具备PWM和0-10V调光输出接口；</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2.2.10具备电流，电压，功率，功率因素，电能远程读取功能；</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2.2.11具备当天电能累计远程读取；</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2.2.12具备高压气体放电灯具，LED灯故障检测功能，故障信息主动上报；</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2.2.13具备高压气体放电灯电源，补偿电容损坏检测功能；</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2.2.14具备设备自动归属功能；</w:t>
      </w:r>
    </w:p>
    <w:p>
      <w:pPr>
        <w:widowControl w:val="0"/>
        <w:spacing w:after="0" w:line="288"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.3智慧照明平台</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具有以下功能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 xml:space="preserve">  </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2.3.1●具备用户名和密码进行校验，可识别非法登陆，并给出提示。</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2.3.2●平台应支持2D/3D地图、卫星地图、百度地图等国内主流地图平台切换，切换地图模式，模式包括网页版地图、离线地图、海量地图模式，对地图进行拖动、漫游、缩放、测距。</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2.3.3系统告警类型包括但不限于意外亮灯，意外灭灯，灯具故障，电源故障，灯具欠压，灯具过压，灯具过流，柜门开启，控制柜进水，控制柜缺相，灯杆漏电，灯杆倾斜，节点丢失，温度异常，补偿电容故障，塑壳断路器故障，漏电保护器故障，交流接触器故障，线缆被盗等。</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2.3.4●系统向终端发送命令，反馈时间应不大于15秒；</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2.3.5●具备大于100万台控制柜，200万只灯杆，400万个光源信息存储量；集中控制器开关回路成功100次，可连续操作终端成功1000次；</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2.3.6●终端列表应可展示灯具列表，包括报警状态、灯具状态、UID、灯杆号、电参数、漏电压、电压采集时间、灯头状态更新时间等信息。</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2.3.7●系统可选择时控、光控、经纬度、时控+光控、经纬度+光控等控制方式。</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2.3.8●系统应能设置光照阈值。开关灯时间点按光照值、定时时间两种方式进行设置。</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2.3.9●具备对资产进行分类、分项、统计操作。</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2.3.10●系统应能配置工作日、双休日、节假日、临时定时等策略。</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2.3.11●具备对养护单位的管理模块进行查询、新增、删除、导出等操作。</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2.3.12具备统计亮灯率、设备数量、开灯时长，能根据开关箱历史计算出实时的亮灯率，并通过图形进行展示。</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2.3.13符合系统功能模块应具备用户中心、工程管理、市政设施监控、GIS地理信息系统、智能研判与应急控制、能耗监测、智慧灯杆管理、资产管理、隧道照明系统、太阳能智控管理、夜景亮化控制、大屏管理、移动客户端等；</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2.3.14软件性能：软件测试说明包括功能性、性能效率、兼容性、易用性、可靠性、信息安全性、维护性、可移植性；</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2.3.15系统应具备自动对时功能，时钟源可采用网络时钟源；</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2.3.16点击路灯，可显示终端同回路的隶属关系，显示该路灯隶属的线缆。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2.3.17项目锁定：在线项目异常登录时，锁定该用户，锁定后的用户不可以登录系统；</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2.3.18终端可支持脱机运行，支持远程升级，U盘本地升级；终端通信协议可支持4G、Ethernet、RS485、电力载波、433、Zigbee、Lora等多种通信方式；</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2.3.19●终端支持多种灯型：支持LED灯、白炽灯、高压钠灯、金卤灯、无极灯等多种灯型；</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2.3.20●系统应具有调节灯具色温和亮度的功能；</w:t>
      </w:r>
    </w:p>
    <w:p>
      <w:pPr>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2.3.21▲</w:t>
      </w:r>
      <w:r>
        <w:rPr>
          <w:rFonts w:hint="eastAsia" w:ascii="仿宋" w:hAnsi="仿宋" w:eastAsia="仿宋" w:cs="仿宋"/>
          <w:color w:val="auto"/>
          <w:highlight w:val="none"/>
          <w:lang w:val="en-US" w:eastAsia="zh-CN"/>
        </w:rPr>
        <w:t>中标人需承诺本项目改造后</w:t>
      </w:r>
      <w:r>
        <w:rPr>
          <w:rFonts w:hint="eastAsia" w:ascii="仿宋" w:hAnsi="仿宋" w:eastAsia="仿宋" w:cs="仿宋"/>
          <w:color w:val="auto"/>
          <w:highlight w:val="none"/>
          <w:lang w:val="en-US"/>
        </w:rPr>
        <w:t>路灯</w:t>
      </w:r>
      <w:r>
        <w:rPr>
          <w:rFonts w:hint="eastAsia" w:ascii="仿宋" w:hAnsi="仿宋" w:eastAsia="仿宋" w:cs="仿宋"/>
          <w:color w:val="auto"/>
          <w:highlight w:val="none"/>
          <w:lang w:val="en-US" w:eastAsia="zh-CN"/>
        </w:rPr>
        <w:t>智慧</w:t>
      </w:r>
      <w:r>
        <w:rPr>
          <w:rFonts w:hint="eastAsia" w:ascii="仿宋" w:hAnsi="仿宋" w:eastAsia="仿宋" w:cs="仿宋"/>
          <w:color w:val="auto"/>
          <w:highlight w:val="none"/>
          <w:lang w:val="en-US"/>
        </w:rPr>
        <w:t>系统与萧山区市政绿化养护保障中心智慧市政绿化管理路灯</w:t>
      </w:r>
      <w:r>
        <w:rPr>
          <w:rFonts w:hint="eastAsia" w:ascii="仿宋" w:hAnsi="仿宋" w:eastAsia="仿宋" w:cs="仿宋"/>
          <w:color w:val="auto"/>
          <w:highlight w:val="none"/>
          <w:lang w:val="en-US" w:eastAsia="zh-CN"/>
        </w:rPr>
        <w:t>智慧</w:t>
      </w:r>
      <w:r>
        <w:rPr>
          <w:rFonts w:hint="eastAsia" w:ascii="仿宋" w:hAnsi="仿宋" w:eastAsia="仿宋" w:cs="仿宋"/>
          <w:color w:val="auto"/>
          <w:highlight w:val="none"/>
          <w:lang w:val="en-US"/>
        </w:rPr>
        <w:t>系统平台相兼容运作并满足其它各项招标需求。</w:t>
      </w:r>
      <w:r>
        <w:rPr>
          <w:rFonts w:hint="eastAsia" w:ascii="仿宋" w:hAnsi="仿宋" w:eastAsia="仿宋" w:cs="仿宋"/>
          <w:color w:val="auto"/>
          <w:spacing w:val="0"/>
          <w:sz w:val="24"/>
          <w:szCs w:val="24"/>
          <w:highlight w:val="none"/>
          <w:lang w:val="en-US" w:eastAsia="zh-CN"/>
        </w:rPr>
        <w:t>（须在投标文件中提供书面承诺）；</w:t>
      </w:r>
    </w:p>
    <w:p>
      <w:pPr>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2.3.22软件中系统中应有年度数据汇总报告的生成功能，以便能以客观数据明确年度能耗及节能数据。</w:t>
      </w:r>
    </w:p>
    <w:p>
      <w:pPr>
        <w:keepNext w:val="0"/>
        <w:keepLines w:val="0"/>
        <w:pageBreakBefore w:val="0"/>
        <w:widowControl/>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光伏组件技术要求</w:t>
      </w:r>
    </w:p>
    <w:p>
      <w:pPr>
        <w:keepNext w:val="0"/>
        <w:keepLines w:val="0"/>
        <w:pageBreakBefore w:val="0"/>
        <w:widowControl/>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3.1</w:t>
      </w:r>
      <w:r>
        <w:rPr>
          <w:rFonts w:hint="eastAsia" w:ascii="仿宋" w:hAnsi="仿宋" w:eastAsia="仿宋" w:cs="仿宋"/>
          <w:b w:val="0"/>
          <w:bCs w:val="0"/>
          <w:color w:val="auto"/>
          <w:sz w:val="24"/>
          <w:szCs w:val="24"/>
          <w:highlight w:val="none"/>
        </w:rPr>
        <w:t>组件类型：光伏组件选用单晶硅光伏组件；</w:t>
      </w:r>
    </w:p>
    <w:p>
      <w:pPr>
        <w:keepNext w:val="0"/>
        <w:keepLines w:val="0"/>
        <w:pageBreakBefore w:val="0"/>
        <w:widowControl/>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3.2</w:t>
      </w:r>
      <w:r>
        <w:rPr>
          <w:rFonts w:hint="eastAsia" w:ascii="仿宋" w:hAnsi="仿宋" w:eastAsia="仿宋" w:cs="仿宋"/>
          <w:color w:val="auto"/>
          <w:spacing w:val="0"/>
          <w:sz w:val="24"/>
          <w:szCs w:val="24"/>
          <w:highlight w:val="none"/>
          <w:lang w:val="en-US" w:eastAsia="zh-CN"/>
        </w:rPr>
        <w:t>●</w:t>
      </w:r>
      <w:r>
        <w:rPr>
          <w:rFonts w:hint="eastAsia" w:ascii="仿宋" w:hAnsi="仿宋" w:eastAsia="仿宋" w:cs="仿宋"/>
          <w:b w:val="0"/>
          <w:bCs w:val="0"/>
          <w:color w:val="auto"/>
          <w:sz w:val="24"/>
          <w:szCs w:val="24"/>
          <w:highlight w:val="none"/>
        </w:rPr>
        <w:t>光伏组件通过CQC或金太阳、TUV相关认证</w:t>
      </w:r>
      <w:r>
        <w:rPr>
          <w:rFonts w:hint="eastAsia" w:ascii="仿宋" w:hAnsi="仿宋" w:eastAsia="仿宋" w:cs="仿宋"/>
          <w:b w:val="0"/>
          <w:bCs w:val="0"/>
          <w:color w:val="auto"/>
          <w:sz w:val="24"/>
          <w:szCs w:val="24"/>
          <w:highlight w:val="none"/>
          <w:lang w:eastAsia="zh-CN"/>
        </w:rPr>
        <w:t>；</w:t>
      </w:r>
    </w:p>
    <w:p>
      <w:pPr>
        <w:keepNext w:val="0"/>
        <w:keepLines w:val="0"/>
        <w:pageBreakBefore w:val="0"/>
        <w:widowControl/>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3.3</w:t>
      </w:r>
      <w:r>
        <w:rPr>
          <w:rFonts w:hint="eastAsia" w:ascii="仿宋" w:hAnsi="仿宋" w:eastAsia="仿宋" w:cs="仿宋"/>
          <w:b w:val="0"/>
          <w:bCs w:val="0"/>
          <w:color w:val="auto"/>
          <w:sz w:val="24"/>
          <w:szCs w:val="24"/>
          <w:highlight w:val="none"/>
        </w:rPr>
        <w:t>机械性能参数</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正面最大静载荷</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≥5400Pa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背</w:t>
      </w:r>
      <w:r>
        <w:rPr>
          <w:rFonts w:hint="eastAsia" w:ascii="仿宋" w:hAnsi="仿宋" w:eastAsia="仿宋" w:cs="仿宋"/>
          <w:b w:val="0"/>
          <w:bCs w:val="0"/>
          <w:color w:val="auto"/>
          <w:sz w:val="24"/>
          <w:szCs w:val="24"/>
          <w:highlight w:val="none"/>
        </w:rPr>
        <w:t>面最大静载荷</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400Pa</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钢化玻璃厚度</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≥3.2mm</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铝边框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≥3</w:t>
      </w: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mm</w:t>
      </w:r>
      <w:r>
        <w:rPr>
          <w:rFonts w:hint="eastAsia" w:ascii="仿宋" w:hAnsi="仿宋" w:eastAsia="仿宋" w:cs="仿宋"/>
          <w:b w:val="0"/>
          <w:bCs w:val="0"/>
          <w:color w:val="auto"/>
          <w:sz w:val="24"/>
          <w:szCs w:val="24"/>
          <w:highlight w:val="none"/>
          <w:lang w:eastAsia="zh-CN"/>
        </w:rPr>
        <w:t>；</w:t>
      </w:r>
    </w:p>
    <w:p>
      <w:pPr>
        <w:pStyle w:val="2"/>
        <w:ind w:firstLine="48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4"/>
          <w:szCs w:val="24"/>
          <w:highlight w:val="none"/>
          <w:lang w:val="en-US" w:eastAsia="zh-CN"/>
        </w:rPr>
        <w:t>3.4</w:t>
      </w:r>
      <w:r>
        <w:rPr>
          <w:rFonts w:hint="eastAsia" w:ascii="仿宋" w:hAnsi="仿宋" w:eastAsia="仿宋" w:cs="仿宋"/>
          <w:b w:val="0"/>
          <w:bCs w:val="0"/>
          <w:color w:val="auto"/>
          <w:sz w:val="24"/>
          <w:szCs w:val="24"/>
          <w:highlight w:val="none"/>
        </w:rPr>
        <w:t>寿命：光伏组件使用寿命不应低于25年。</w:t>
      </w:r>
    </w:p>
    <w:p>
      <w:pPr>
        <w:widowControl/>
        <w:adjustRightInd w:val="0"/>
        <w:snapToGrid w:val="0"/>
        <w:spacing w:after="0" w:line="288" w:lineRule="auto"/>
        <w:ind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3.5</w:t>
      </w:r>
      <w:r>
        <w:rPr>
          <w:rFonts w:hint="eastAsia" w:ascii="仿宋" w:hAnsi="仿宋" w:eastAsia="仿宋" w:cs="仿宋"/>
          <w:b w:val="0"/>
          <w:bCs w:val="0"/>
          <w:color w:val="auto"/>
          <w:sz w:val="24"/>
          <w:szCs w:val="24"/>
          <w:highlight w:val="none"/>
        </w:rPr>
        <w:t>组件尺寸误差：±0.5mm</w:t>
      </w:r>
      <w:r>
        <w:rPr>
          <w:rFonts w:hint="eastAsia" w:ascii="仿宋" w:hAnsi="仿宋" w:eastAsia="仿宋" w:cs="仿宋"/>
          <w:b w:val="0"/>
          <w:bCs w:val="0"/>
          <w:color w:val="auto"/>
          <w:sz w:val="24"/>
          <w:szCs w:val="24"/>
          <w:highlight w:val="none"/>
          <w:lang w:eastAsia="zh-CN"/>
        </w:rPr>
        <w:t>；</w:t>
      </w:r>
    </w:p>
    <w:p>
      <w:pPr>
        <w:widowControl w:val="0"/>
        <w:spacing w:line="288" w:lineRule="auto"/>
        <w:ind w:firstLine="480" w:firstLineChars="20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3.6</w:t>
      </w:r>
      <w:r>
        <w:rPr>
          <w:rFonts w:hint="eastAsia" w:ascii="仿宋" w:hAnsi="仿宋" w:eastAsia="仿宋" w:cs="仿宋"/>
          <w:b w:val="0"/>
          <w:bCs w:val="0"/>
          <w:color w:val="auto"/>
          <w:sz w:val="24"/>
          <w:szCs w:val="24"/>
          <w:highlight w:val="none"/>
        </w:rPr>
        <w:t>光伏组件应设有能方便地与安装支架可靠连接的连接螺栓孔。</w:t>
      </w:r>
    </w:p>
    <w:p>
      <w:pPr>
        <w:pStyle w:val="2"/>
        <w:numPr>
          <w:ilvl w:val="0"/>
          <w:numId w:val="0"/>
        </w:numPr>
        <w:ind w:firstLine="480" w:firstLineChars="200"/>
        <w:rPr>
          <w:rFonts w:hint="eastAsia" w:ascii="仿宋" w:hAnsi="仿宋" w:eastAsia="仿宋" w:cs="仿宋"/>
          <w:snapToGrid/>
          <w:color w:val="auto"/>
          <w:kern w:val="0"/>
          <w:sz w:val="24"/>
          <w:szCs w:val="24"/>
          <w:highlight w:val="none"/>
          <w:lang w:val="en-US" w:eastAsia="zh-CN"/>
        </w:rPr>
      </w:pPr>
    </w:p>
    <w:p>
      <w:pPr>
        <w:widowControl w:val="0"/>
        <w:spacing w:after="0" w:line="288" w:lineRule="auto"/>
        <w:outlineLvl w:val="0"/>
        <w:rPr>
          <w:rFonts w:hint="eastAsia" w:ascii="仿宋" w:hAnsi="仿宋" w:eastAsia="仿宋" w:cs="仿宋"/>
          <w:color w:val="auto"/>
          <w:sz w:val="24"/>
          <w:szCs w:val="24"/>
          <w:highlight w:val="none"/>
        </w:rPr>
      </w:pPr>
      <w:r>
        <w:rPr>
          <w:rFonts w:hint="eastAsia" w:cs="仿宋"/>
          <w:color w:val="auto"/>
          <w:sz w:val="24"/>
          <w:szCs w:val="24"/>
          <w:highlight w:val="none"/>
          <w:lang w:val="en-US" w:eastAsia="zh-CN"/>
        </w:rPr>
        <w:t>4</w:t>
      </w:r>
      <w:r>
        <w:rPr>
          <w:rFonts w:hint="eastAsia" w:ascii="仿宋" w:hAnsi="仿宋" w:eastAsia="仿宋" w:cs="仿宋"/>
          <w:color w:val="auto"/>
          <w:sz w:val="24"/>
          <w:szCs w:val="24"/>
          <w:highlight w:val="none"/>
        </w:rPr>
        <w:t>、城市道路照明标准值</w:t>
      </w:r>
    </w:p>
    <w:p>
      <w:pPr>
        <w:widowControl w:val="0"/>
        <w:spacing w:after="0" w:line="288"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表一、城市道路机动车交通道路的照明标准值</w:t>
      </w:r>
    </w:p>
    <w:tbl>
      <w:tblPr>
        <w:tblStyle w:val="24"/>
        <w:tblpPr w:leftFromText="180" w:rightFromText="180" w:vertAnchor="text" w:horzAnchor="page" w:tblpX="2212" w:tblpY="33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77"/>
        <w:gridCol w:w="872"/>
        <w:gridCol w:w="1247"/>
        <w:gridCol w:w="885"/>
        <w:gridCol w:w="1032"/>
        <w:gridCol w:w="1059"/>
        <w:gridCol w:w="711"/>
        <w:gridCol w:w="1055"/>
        <w:gridCol w:w="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trPr>
        <w:tc>
          <w:tcPr>
            <w:tcW w:w="477"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级别</w:t>
            </w:r>
          </w:p>
        </w:tc>
        <w:tc>
          <w:tcPr>
            <w:tcW w:w="872"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道路类型</w:t>
            </w:r>
          </w:p>
        </w:tc>
        <w:tc>
          <w:tcPr>
            <w:tcW w:w="3164" w:type="dxa"/>
            <w:gridSpan w:val="3"/>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路面亮度</w:t>
            </w:r>
          </w:p>
        </w:tc>
        <w:tc>
          <w:tcPr>
            <w:tcW w:w="1770" w:type="dxa"/>
            <w:gridSpan w:val="2"/>
            <w:tcBorders>
              <w:bottom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路面照度</w:t>
            </w:r>
          </w:p>
        </w:tc>
        <w:tc>
          <w:tcPr>
            <w:tcW w:w="1055" w:type="dxa"/>
            <w:vMerge w:val="restart"/>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阈值限制阈值</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增量(%)最大初始值</w:t>
            </w:r>
          </w:p>
        </w:tc>
        <w:tc>
          <w:tcPr>
            <w:tcW w:w="850"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环境比SR</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6" w:hRule="atLeast"/>
        </w:trPr>
        <w:tc>
          <w:tcPr>
            <w:tcW w:w="477" w:type="dxa"/>
            <w:vMerge w:val="continue"/>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872" w:type="dxa"/>
            <w:vMerge w:val="continue"/>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124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平均亮度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维持量（cd/m2）</w:t>
            </w:r>
          </w:p>
        </w:tc>
        <w:tc>
          <w:tcPr>
            <w:tcW w:w="885"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总均匀度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最小值</w:t>
            </w:r>
          </w:p>
        </w:tc>
        <w:tc>
          <w:tcPr>
            <w:tcW w:w="10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纵向均匀度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最小值</w:t>
            </w:r>
          </w:p>
        </w:tc>
        <w:tc>
          <w:tcPr>
            <w:tcW w:w="1059" w:type="dxa"/>
            <w:tcBorders>
              <w:top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平均照度(lx)</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维持值</w:t>
            </w:r>
          </w:p>
        </w:tc>
        <w:tc>
          <w:tcPr>
            <w:tcW w:w="711" w:type="dxa"/>
            <w:tcBorders>
              <w:top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均匀度最小值</w:t>
            </w:r>
          </w:p>
        </w:tc>
        <w:tc>
          <w:tcPr>
            <w:tcW w:w="1055" w:type="dxa"/>
            <w:vMerge w:val="continue"/>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850" w:type="dxa"/>
            <w:vMerge w:val="continue"/>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6" w:hRule="atLeast"/>
        </w:trPr>
        <w:tc>
          <w:tcPr>
            <w:tcW w:w="47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Ⅰ</w:t>
            </w:r>
          </w:p>
        </w:tc>
        <w:tc>
          <w:tcPr>
            <w:tcW w:w="872" w:type="dxa"/>
            <w:vAlign w:val="center"/>
          </w:tcPr>
          <w:p>
            <w:pPr>
              <w:widowControl w:val="0"/>
              <w:autoSpaceDE w:val="0"/>
              <w:autoSpaceDN w:val="0"/>
              <w:adjustRightInd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快速路、主干路</w:t>
            </w:r>
          </w:p>
        </w:tc>
        <w:tc>
          <w:tcPr>
            <w:tcW w:w="124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1.50/2.00</w:t>
            </w:r>
          </w:p>
        </w:tc>
        <w:tc>
          <w:tcPr>
            <w:tcW w:w="885"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10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0.7</w:t>
            </w:r>
          </w:p>
        </w:tc>
        <w:tc>
          <w:tcPr>
            <w:tcW w:w="1059"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20/30</w:t>
            </w:r>
          </w:p>
        </w:tc>
        <w:tc>
          <w:tcPr>
            <w:tcW w:w="711"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1055"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50"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47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Ⅱ</w:t>
            </w:r>
          </w:p>
        </w:tc>
        <w:tc>
          <w:tcPr>
            <w:tcW w:w="87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次干路</w:t>
            </w:r>
          </w:p>
        </w:tc>
        <w:tc>
          <w:tcPr>
            <w:tcW w:w="124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1.00/1.50</w:t>
            </w:r>
          </w:p>
        </w:tc>
        <w:tc>
          <w:tcPr>
            <w:tcW w:w="885"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10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w:t>
            </w:r>
          </w:p>
        </w:tc>
        <w:tc>
          <w:tcPr>
            <w:tcW w:w="1059"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15/20</w:t>
            </w:r>
          </w:p>
        </w:tc>
        <w:tc>
          <w:tcPr>
            <w:tcW w:w="711"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1055"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50"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trPr>
        <w:tc>
          <w:tcPr>
            <w:tcW w:w="47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Ⅲ</w:t>
            </w:r>
          </w:p>
        </w:tc>
        <w:tc>
          <w:tcPr>
            <w:tcW w:w="87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支路</w:t>
            </w:r>
          </w:p>
        </w:tc>
        <w:tc>
          <w:tcPr>
            <w:tcW w:w="124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0.50/0.75</w:t>
            </w:r>
          </w:p>
        </w:tc>
        <w:tc>
          <w:tcPr>
            <w:tcW w:w="885"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10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059"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8/10</w:t>
            </w:r>
          </w:p>
        </w:tc>
        <w:tc>
          <w:tcPr>
            <w:tcW w:w="711"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0.3</w:t>
            </w:r>
          </w:p>
        </w:tc>
        <w:tc>
          <w:tcPr>
            <w:tcW w:w="1055"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850"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bl>
    <w:p>
      <w:pPr>
        <w:widowControl w:val="0"/>
        <w:autoSpaceDE w:val="0"/>
        <w:autoSpaceDN w:val="0"/>
        <w:adjustRightInd w:val="0"/>
        <w:snapToGrid w:val="0"/>
        <w:spacing w:after="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注：a）上表适合于新建照明工程与改造照明工程。</w:t>
      </w:r>
    </w:p>
    <w:p>
      <w:pPr>
        <w:widowControl w:val="0"/>
        <w:autoSpaceDE w:val="0"/>
        <w:autoSpaceDN w:val="0"/>
        <w:adjustRightInd w:val="0"/>
        <w:snapToGrid w:val="0"/>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b）表中所列的平均照度仅适用于沥青路面，若系水泥混凝土路面，其平均照度值可相应降低约30%。</w:t>
      </w:r>
    </w:p>
    <w:p>
      <w:pPr>
        <w:widowControl w:val="0"/>
        <w:autoSpaceDE w:val="0"/>
        <w:autoSpaceDN w:val="0"/>
        <w:adjustRightInd w:val="0"/>
        <w:snapToGrid w:val="0"/>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c）表中各项数值仅适用于干燥路面。</w:t>
      </w:r>
    </w:p>
    <w:p>
      <w:pPr>
        <w:widowControl w:val="0"/>
        <w:autoSpaceDE w:val="0"/>
        <w:autoSpaceDN w:val="0"/>
        <w:adjustRightInd w:val="0"/>
        <w:snapToGrid w:val="0"/>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d）表中对每一级道路的平均亮度和照度给出了两档标准值，“/”的左侧为低档值，右侧为高档值。</w:t>
      </w:r>
    </w:p>
    <w:p>
      <w:pPr>
        <w:widowControl w:val="0"/>
        <w:spacing w:after="0" w:line="288"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表二、城市道路交会区照明标准值</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76"/>
        <w:gridCol w:w="1701"/>
        <w:gridCol w:w="1418"/>
        <w:gridCol w:w="2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交会区类型</w:t>
            </w:r>
          </w:p>
        </w:tc>
        <w:tc>
          <w:tcPr>
            <w:tcW w:w="1701"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路面平均照度(lx)维持值</w:t>
            </w:r>
          </w:p>
        </w:tc>
        <w:tc>
          <w:tcPr>
            <w:tcW w:w="1418"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照度均匀度</w:t>
            </w:r>
          </w:p>
        </w:tc>
        <w:tc>
          <w:tcPr>
            <w:tcW w:w="297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眩光限制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主干路与主干路交会</w:t>
            </w:r>
          </w:p>
        </w:tc>
        <w:tc>
          <w:tcPr>
            <w:tcW w:w="1701"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30/50</w:t>
            </w:r>
          </w:p>
        </w:tc>
        <w:tc>
          <w:tcPr>
            <w:tcW w:w="1418"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0.4</w:t>
            </w:r>
          </w:p>
        </w:tc>
        <w:tc>
          <w:tcPr>
            <w:tcW w:w="2977" w:type="dxa"/>
            <w:vMerge w:val="restart"/>
            <w:vAlign w:val="center"/>
          </w:tcPr>
          <w:p>
            <w:pPr>
              <w:widowControl w:val="0"/>
              <w:snapToGrid w:val="0"/>
              <w:spacing w:after="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在驾驶员观看灯具的方位角上，灯具在80°和90°高度角方向上的光强分别不得超过30cd/1000lm 和10cd/1000lm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主干路与次干路交会</w:t>
            </w:r>
          </w:p>
        </w:tc>
        <w:tc>
          <w:tcPr>
            <w:tcW w:w="1701" w:type="dxa"/>
            <w:vMerge w:val="continue"/>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1418"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c>
          <w:tcPr>
            <w:tcW w:w="2977"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主干路与支路交会</w:t>
            </w:r>
          </w:p>
        </w:tc>
        <w:tc>
          <w:tcPr>
            <w:tcW w:w="1701" w:type="dxa"/>
            <w:vMerge w:val="continue"/>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1418"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c>
          <w:tcPr>
            <w:tcW w:w="2977"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次干路与次干路交会</w:t>
            </w:r>
          </w:p>
        </w:tc>
        <w:tc>
          <w:tcPr>
            <w:tcW w:w="1701"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20/30</w:t>
            </w:r>
          </w:p>
        </w:tc>
        <w:tc>
          <w:tcPr>
            <w:tcW w:w="1418"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c>
          <w:tcPr>
            <w:tcW w:w="2977"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次干路与支路交会</w:t>
            </w:r>
          </w:p>
        </w:tc>
        <w:tc>
          <w:tcPr>
            <w:tcW w:w="1701" w:type="dxa"/>
            <w:vMerge w:val="continue"/>
            <w:vAlign w:val="center"/>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1418"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c>
          <w:tcPr>
            <w:tcW w:w="2977"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 w:hRule="atLeast"/>
        </w:trPr>
        <w:tc>
          <w:tcPr>
            <w:tcW w:w="2376" w:type="dxa"/>
            <w:tcBorders>
              <w:lef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支路与支路交会</w:t>
            </w:r>
          </w:p>
        </w:tc>
        <w:tc>
          <w:tcPr>
            <w:tcW w:w="1701"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15/20</w:t>
            </w:r>
          </w:p>
        </w:tc>
        <w:tc>
          <w:tcPr>
            <w:tcW w:w="1418"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c>
          <w:tcPr>
            <w:tcW w:w="2977" w:type="dxa"/>
            <w:vMerge w:val="continue"/>
          </w:tcPr>
          <w:p>
            <w:pPr>
              <w:widowControl w:val="0"/>
              <w:snapToGrid w:val="0"/>
              <w:spacing w:after="0" w:line="288" w:lineRule="auto"/>
              <w:rPr>
                <w:rFonts w:hint="eastAsia" w:ascii="仿宋" w:hAnsi="仿宋" w:eastAsia="仿宋" w:cs="仿宋"/>
                <w:color w:val="auto"/>
                <w:sz w:val="24"/>
                <w:szCs w:val="24"/>
                <w:highlight w:val="none"/>
              </w:rPr>
            </w:pPr>
          </w:p>
        </w:tc>
      </w:tr>
    </w:tbl>
    <w:p>
      <w:pPr>
        <w:widowControl w:val="0"/>
        <w:autoSpaceDE w:val="0"/>
        <w:autoSpaceDN w:val="0"/>
        <w:adjustRightInd w:val="0"/>
        <w:snapToGrid w:val="0"/>
        <w:spacing w:after="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注：a）灯具的高度角是在现场安装使用姿态下度量。</w:t>
      </w:r>
    </w:p>
    <w:p>
      <w:pPr>
        <w:widowControl w:val="0"/>
        <w:autoSpaceDE w:val="0"/>
        <w:autoSpaceDN w:val="0"/>
        <w:adjustRightInd w:val="0"/>
        <w:snapToGrid w:val="0"/>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b）表中对每一类道路交会区的路面平均照度分别给出了两档标准值，“/”的左侧为低档照度值，右侧为高档照度值。</w:t>
      </w:r>
    </w:p>
    <w:p>
      <w:pPr>
        <w:widowControl w:val="0"/>
        <w:autoSpaceDE w:val="0"/>
        <w:autoSpaceDN w:val="0"/>
        <w:adjustRightInd w:val="0"/>
        <w:snapToGrid w:val="0"/>
        <w:spacing w:after="0" w:line="288"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c）当各级道路选取低档照度值时，相应的交会区应选取本标准表中的低档照度值，反之则应选取高档照度值。</w:t>
      </w:r>
    </w:p>
    <w:p>
      <w:pPr>
        <w:widowControl w:val="0"/>
        <w:spacing w:after="0" w:line="288"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表三、非机动车道照明标准值</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8"/>
        <w:gridCol w:w="2875"/>
        <w:gridCol w:w="932"/>
        <w:gridCol w:w="992"/>
        <w:gridCol w:w="1276"/>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8" w:type="dxa"/>
            <w:tcBorders>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级别</w:t>
            </w:r>
          </w:p>
        </w:tc>
        <w:tc>
          <w:tcPr>
            <w:tcW w:w="2875" w:type="dxa"/>
            <w:tcBorders>
              <w:left w:val="single" w:color="auto" w:sz="4" w:space="0"/>
              <w:bottom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道路类型</w:t>
            </w:r>
          </w:p>
        </w:tc>
        <w:tc>
          <w:tcPr>
            <w:tcW w:w="9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路面平均照度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维持值（lx）</w:t>
            </w:r>
          </w:p>
        </w:tc>
        <w:tc>
          <w:tcPr>
            <w:tcW w:w="99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路面最小照度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维持值（lx）</w:t>
            </w:r>
          </w:p>
        </w:tc>
        <w:tc>
          <w:tcPr>
            <w:tcW w:w="1276"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最小垂直照度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维持值（lx）</w:t>
            </w:r>
          </w:p>
        </w:tc>
        <w:tc>
          <w:tcPr>
            <w:tcW w:w="141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最小半柱面照度</w:t>
            </w:r>
          </w:p>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维持值（lx）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8" w:type="dxa"/>
            <w:tcBorders>
              <w:bottom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5" w:type="dxa"/>
            <w:tcBorders>
              <w:top w:val="single" w:color="auto" w:sz="4" w:space="0"/>
              <w:left w:val="single" w:color="auto" w:sz="4" w:space="0"/>
              <w:bottom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商业步行街；城市中心或商业区行人流量高的道路；机动车与行人混合使用，与城市机动车道路连接的居住区出入道路</w:t>
            </w:r>
          </w:p>
        </w:tc>
        <w:tc>
          <w:tcPr>
            <w:tcW w:w="9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99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276"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41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8" w:type="dxa"/>
            <w:tcBorders>
              <w:top w:val="single" w:color="auto" w:sz="4" w:space="0"/>
              <w:bottom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5" w:type="dxa"/>
            <w:tcBorders>
              <w:top w:val="single" w:color="auto" w:sz="4" w:space="0"/>
              <w:left w:val="single" w:color="auto" w:sz="4" w:space="0"/>
              <w:bottom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夜间行人流量较高的道路</w:t>
            </w:r>
          </w:p>
        </w:tc>
        <w:tc>
          <w:tcPr>
            <w:tcW w:w="9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99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76"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41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8" w:type="dxa"/>
            <w:tcBorders>
              <w:top w:val="single" w:color="auto" w:sz="4" w:space="0"/>
              <w:bottom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875" w:type="dxa"/>
            <w:tcBorders>
              <w:top w:val="single" w:color="auto" w:sz="4" w:space="0"/>
              <w:left w:val="single" w:color="auto" w:sz="4" w:space="0"/>
              <w:bottom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夜间行人流量中等的道路</w:t>
            </w:r>
          </w:p>
        </w:tc>
        <w:tc>
          <w:tcPr>
            <w:tcW w:w="9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w:t>
            </w:r>
          </w:p>
        </w:tc>
        <w:tc>
          <w:tcPr>
            <w:tcW w:w="99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276"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141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8" w:type="dxa"/>
            <w:tcBorders>
              <w:top w:val="single" w:color="auto" w:sz="4" w:space="0"/>
              <w:bottom w:val="single" w:color="auto" w:sz="4" w:space="0"/>
              <w:right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875" w:type="dxa"/>
            <w:tcBorders>
              <w:top w:val="single" w:color="auto" w:sz="4" w:space="0"/>
              <w:left w:val="single" w:color="auto" w:sz="4" w:space="0"/>
              <w:bottom w:val="single" w:color="auto" w:sz="4" w:space="0"/>
            </w:tcBorders>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夜间行人流量较低的道路</w:t>
            </w:r>
          </w:p>
        </w:tc>
        <w:tc>
          <w:tcPr>
            <w:tcW w:w="93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992"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76"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417" w:type="dxa"/>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bl>
    <w:p>
      <w:pPr>
        <w:widowControl w:val="0"/>
        <w:spacing w:after="0" w:line="288"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注：最小垂直照度和半柱面照度的计算点或测量点均位于道路中心线上距路面1.5m高度处，最小垂直照度需计算或测量通过该点垂直于路轴的平面上两个方向上的最小照度。</w:t>
      </w:r>
    </w:p>
    <w:p>
      <w:pPr>
        <w:widowControl w:val="0"/>
        <w:spacing w:after="0" w:line="288" w:lineRule="auto"/>
        <w:outlineLvl w:val="0"/>
        <w:rPr>
          <w:rFonts w:hint="eastAsia" w:ascii="仿宋" w:hAnsi="仿宋" w:eastAsia="仿宋" w:cs="仿宋"/>
          <w:color w:val="auto"/>
          <w:sz w:val="24"/>
          <w:szCs w:val="24"/>
          <w:highlight w:val="none"/>
        </w:rPr>
      </w:pPr>
    </w:p>
    <w:p>
      <w:pPr>
        <w:widowControl w:val="0"/>
        <w:spacing w:after="0" w:line="288"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表四、非机动车道照明眩光限值</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0"/>
        <w:gridCol w:w="1559"/>
        <w:gridCol w:w="1559"/>
        <w:gridCol w:w="1559"/>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80" w:type="dxa"/>
            <w:vMerge w:val="restart"/>
            <w:vAlign w:val="center"/>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级别</w:t>
            </w:r>
          </w:p>
        </w:tc>
        <w:tc>
          <w:tcPr>
            <w:tcW w:w="6095" w:type="dxa"/>
            <w:gridSpan w:val="4"/>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最大光强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80" w:type="dxa"/>
            <w:vMerge w:val="continue"/>
          </w:tcPr>
          <w:p>
            <w:pPr>
              <w:widowControl w:val="0"/>
              <w:snapToGrid w:val="0"/>
              <w:spacing w:after="0" w:line="288" w:lineRule="auto"/>
              <w:jc w:val="center"/>
              <w:rPr>
                <w:rFonts w:hint="eastAsia" w:ascii="仿宋" w:hAnsi="仿宋" w:eastAsia="仿宋" w:cs="仿宋"/>
                <w:color w:val="auto"/>
                <w:sz w:val="24"/>
                <w:szCs w:val="24"/>
                <w:highlight w:val="none"/>
              </w:rPr>
            </w:pP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≥90°</w:t>
            </w:r>
          </w:p>
        </w:tc>
        <w:tc>
          <w:tcPr>
            <w:tcW w:w="1418"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80"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418"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80"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1418"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80"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1418"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580"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559"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1418" w:type="dxa"/>
          </w:tcPr>
          <w:p>
            <w:pPr>
              <w:widowControl w:val="0"/>
              <w:snapToGrid w:val="0"/>
              <w:spacing w:after="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bl>
    <w:p>
      <w:pPr>
        <w:spacing w:after="0" w:line="288" w:lineRule="auto"/>
        <w:ind w:firstLine="480" w:firstLineChars="200"/>
        <w:rPr>
          <w:rFonts w:hint="eastAsia" w:ascii="仿宋" w:hAnsi="仿宋" w:eastAsia="仿宋" w:cs="仿宋"/>
          <w:b/>
          <w:bCs/>
          <w:color w:val="auto"/>
          <w:sz w:val="24"/>
          <w:szCs w:val="24"/>
          <w:highlight w:val="none"/>
          <w:lang w:val="en-US" w:eastAsia="zh-CN"/>
        </w:rPr>
      </w:pPr>
      <w:r>
        <w:rPr>
          <w:rFonts w:hint="eastAsia" w:ascii="仿宋" w:hAnsi="仿宋" w:eastAsia="仿宋" w:cs="仿宋"/>
          <w:color w:val="auto"/>
          <w:sz w:val="24"/>
          <w:szCs w:val="24"/>
          <w:highlight w:val="none"/>
        </w:rPr>
        <w:t>注：表中给出的是灯具在安装就位后与其向下垂直轴形成的指定角度上任何方向上的发光强度。</w:t>
      </w:r>
    </w:p>
    <w:p>
      <w:pPr>
        <w:pStyle w:val="2"/>
        <w:rPr>
          <w:rFonts w:hint="eastAsia"/>
          <w:color w:val="auto"/>
          <w:highlight w:val="none"/>
        </w:rPr>
      </w:pPr>
    </w:p>
    <w:p>
      <w:pPr>
        <w:numPr>
          <w:ilvl w:val="0"/>
          <w:numId w:val="5"/>
        </w:numPr>
        <w:spacing w:line="360" w:lineRule="auto"/>
        <w:ind w:firstLine="540"/>
        <w:jc w:val="left"/>
        <w:rPr>
          <w:rFonts w:hint="eastAsia" w:ascii="宋体" w:hAnsi="宋体"/>
          <w:b/>
          <w:color w:val="auto"/>
          <w:sz w:val="24"/>
          <w:highlight w:val="none"/>
        </w:rPr>
      </w:pPr>
      <w:r>
        <w:rPr>
          <w:rFonts w:hint="eastAsia" w:ascii="宋体" w:hAnsi="宋体"/>
          <w:b/>
          <w:color w:val="auto"/>
          <w:sz w:val="24"/>
          <w:highlight w:val="none"/>
        </w:rPr>
        <w:t>更换</w:t>
      </w:r>
      <w:r>
        <w:rPr>
          <w:rFonts w:ascii="宋体" w:hAnsi="宋体"/>
          <w:b/>
          <w:color w:val="auto"/>
          <w:sz w:val="24"/>
          <w:highlight w:val="none"/>
        </w:rPr>
        <w:t>LED</w:t>
      </w:r>
      <w:r>
        <w:rPr>
          <w:rFonts w:hint="eastAsia" w:ascii="宋体" w:hAnsi="宋体"/>
          <w:b/>
          <w:color w:val="auto"/>
          <w:sz w:val="24"/>
          <w:highlight w:val="none"/>
        </w:rPr>
        <w:t>灯具的技术原则</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1、灯具应具有良好的整体强度和性能，适用全天候使用。改造后LED路灯的灯壳外罩的材质须与原路灯材质相近。</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2、灯具采用原位置一对一替换。灯具须经招标人认可。</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3、本项目使用的LED整灯灯具采用模组化设计，技术性能应符合《GBT35269-2017》标准。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4、改造后LED路灯的亮灯时间按路灯管理部门的相关规定执行。</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 xml:space="preserve">5、安全指标：达到表1-1中各项规定； </w:t>
      </w:r>
    </w:p>
    <w:p>
      <w:pPr>
        <w:spacing w:line="360" w:lineRule="exact"/>
        <w:jc w:val="center"/>
        <w:rPr>
          <w:rFonts w:ascii="仿宋_GB2312" w:hAnsi="仿宋_GB2312" w:eastAsia="仿宋_GB2312" w:cs="仿宋_GB2312"/>
          <w:b/>
          <w:color w:val="auto"/>
          <w:sz w:val="28"/>
          <w:highlight w:val="none"/>
          <w:shd w:val="clear" w:color="060000" w:fill="auto"/>
        </w:rPr>
      </w:pPr>
      <w:r>
        <w:rPr>
          <w:rFonts w:hint="eastAsia" w:ascii="宋体" w:hAnsi="宋体" w:cs="宋体"/>
          <w:b/>
          <w:color w:val="auto"/>
          <w:sz w:val="28"/>
          <w:highlight w:val="none"/>
          <w:shd w:val="clear" w:color="060000" w:fill="auto"/>
        </w:rPr>
        <w:t>表</w:t>
      </w:r>
      <w:r>
        <w:rPr>
          <w:rFonts w:ascii="仿宋_GB2312" w:hAnsi="仿宋_GB2312" w:eastAsia="仿宋_GB2312" w:cs="仿宋_GB2312"/>
          <w:b/>
          <w:color w:val="auto"/>
          <w:sz w:val="28"/>
          <w:highlight w:val="none"/>
          <w:shd w:val="clear" w:color="060000" w:fill="auto"/>
        </w:rPr>
        <w:t>1-1  LED</w:t>
      </w:r>
      <w:r>
        <w:rPr>
          <w:rFonts w:hint="eastAsia" w:ascii="宋体" w:hAnsi="宋体" w:cs="宋体"/>
          <w:b/>
          <w:color w:val="auto"/>
          <w:sz w:val="28"/>
          <w:highlight w:val="none"/>
          <w:shd w:val="clear" w:color="060000" w:fill="auto"/>
        </w:rPr>
        <w:t>道路照明产品安全指标要求</w:t>
      </w:r>
    </w:p>
    <w:tbl>
      <w:tblPr>
        <w:tblStyle w:val="24"/>
        <w:tblW w:w="9542" w:type="dxa"/>
        <w:tblInd w:w="0" w:type="dxa"/>
        <w:tblLayout w:type="fixed"/>
        <w:tblCellMar>
          <w:top w:w="0" w:type="dxa"/>
          <w:left w:w="108" w:type="dxa"/>
          <w:bottom w:w="0" w:type="dxa"/>
          <w:right w:w="108" w:type="dxa"/>
        </w:tblCellMar>
      </w:tblPr>
      <w:tblGrid>
        <w:gridCol w:w="816"/>
        <w:gridCol w:w="1761"/>
        <w:gridCol w:w="6965"/>
      </w:tblGrid>
      <w:tr>
        <w:tblPrEx>
          <w:tblCellMar>
            <w:top w:w="0" w:type="dxa"/>
            <w:left w:w="108" w:type="dxa"/>
            <w:bottom w:w="0" w:type="dxa"/>
            <w:right w:w="108" w:type="dxa"/>
          </w:tblCellMar>
        </w:tblPrEx>
        <w:tc>
          <w:tcPr>
            <w:tcW w:w="816"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jc w:val="center"/>
              <w:rPr>
                <w:rFonts w:ascii="宋体" w:cs="宋体"/>
                <w:b/>
                <w:color w:val="auto"/>
                <w:highlight w:val="none"/>
              </w:rPr>
            </w:pPr>
            <w:r>
              <w:rPr>
                <w:rFonts w:hint="eastAsia" w:ascii="宋体" w:hAnsi="宋体" w:cs="宋体"/>
                <w:b/>
                <w:color w:val="auto"/>
                <w:highlight w:val="none"/>
                <w:shd w:val="clear" w:color="050000" w:fill="auto"/>
              </w:rPr>
              <w:t>序号</w:t>
            </w:r>
          </w:p>
        </w:tc>
        <w:tc>
          <w:tcPr>
            <w:tcW w:w="1761"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jc w:val="center"/>
              <w:rPr>
                <w:rFonts w:ascii="宋体" w:cs="宋体"/>
                <w:b/>
                <w:color w:val="auto"/>
                <w:highlight w:val="none"/>
              </w:rPr>
            </w:pPr>
            <w:r>
              <w:rPr>
                <w:rFonts w:hint="eastAsia" w:ascii="宋体" w:hAnsi="宋体" w:cs="宋体"/>
                <w:b/>
                <w:color w:val="auto"/>
                <w:highlight w:val="none"/>
                <w:shd w:val="clear" w:color="050000" w:fill="auto"/>
              </w:rPr>
              <w:t>评定参数</w:t>
            </w:r>
          </w:p>
        </w:tc>
        <w:tc>
          <w:tcPr>
            <w:tcW w:w="6965"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jc w:val="center"/>
              <w:rPr>
                <w:rFonts w:ascii="宋体" w:cs="宋体"/>
                <w:b/>
                <w:color w:val="auto"/>
                <w:highlight w:val="none"/>
              </w:rPr>
            </w:pPr>
            <w:r>
              <w:rPr>
                <w:rFonts w:hint="eastAsia" w:ascii="宋体" w:hAnsi="宋体" w:cs="宋体"/>
                <w:b/>
                <w:color w:val="auto"/>
                <w:highlight w:val="none"/>
                <w:shd w:val="clear" w:color="050000" w:fill="auto"/>
              </w:rPr>
              <w:t>指标要求</w:t>
            </w:r>
          </w:p>
        </w:tc>
      </w:tr>
      <w:tr>
        <w:tblPrEx>
          <w:tblCellMar>
            <w:top w:w="0" w:type="dxa"/>
            <w:left w:w="108" w:type="dxa"/>
            <w:bottom w:w="0" w:type="dxa"/>
            <w:right w:w="108" w:type="dxa"/>
          </w:tblCellMar>
        </w:tblPrEx>
        <w:tc>
          <w:tcPr>
            <w:tcW w:w="816"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ascii="仿宋_GB2312" w:hAnsi="仿宋_GB2312" w:eastAsia="仿宋_GB2312" w:cs="仿宋_GB2312"/>
                <w:color w:val="auto"/>
                <w:highlight w:val="none"/>
                <w:shd w:val="clear" w:color="050000" w:fill="auto"/>
              </w:rPr>
              <w:t>1</w:t>
            </w:r>
          </w:p>
        </w:tc>
        <w:tc>
          <w:tcPr>
            <w:tcW w:w="1761"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rFonts w:ascii="宋体" w:cs="宋体"/>
                <w:color w:val="auto"/>
                <w:highlight w:val="none"/>
              </w:rPr>
            </w:pPr>
            <w:r>
              <w:rPr>
                <w:rFonts w:hint="eastAsia" w:ascii="宋体" w:hAnsi="宋体" w:cs="宋体"/>
                <w:color w:val="auto"/>
                <w:highlight w:val="none"/>
                <w:shd w:val="clear" w:color="050000" w:fill="auto"/>
              </w:rPr>
              <w:t>安全要求</w:t>
            </w:r>
          </w:p>
        </w:tc>
        <w:tc>
          <w:tcPr>
            <w:tcW w:w="6965"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hint="eastAsia"/>
                <w:color w:val="auto"/>
                <w:highlight w:val="none"/>
              </w:rPr>
              <w:t>采用</w:t>
            </w:r>
            <w:r>
              <w:rPr>
                <w:color w:val="auto"/>
                <w:highlight w:val="none"/>
              </w:rPr>
              <w:t>GB7000.</w:t>
            </w:r>
            <w:r>
              <w:rPr>
                <w:rFonts w:hint="eastAsia"/>
                <w:color w:val="auto"/>
                <w:highlight w:val="none"/>
                <w:lang w:val="en-US" w:eastAsia="zh-CN"/>
              </w:rPr>
              <w:t>1</w:t>
            </w:r>
            <w:r>
              <w:rPr>
                <w:color w:val="auto"/>
                <w:highlight w:val="none"/>
              </w:rPr>
              <w:t>-2</w:t>
            </w:r>
            <w:r>
              <w:rPr>
                <w:rFonts w:hint="eastAsia"/>
                <w:color w:val="auto"/>
                <w:highlight w:val="none"/>
                <w:lang w:val="en-US" w:eastAsia="zh-CN"/>
              </w:rPr>
              <w:t>015</w:t>
            </w:r>
            <w:r>
              <w:rPr>
                <w:rFonts w:hint="eastAsia"/>
                <w:color w:val="auto"/>
                <w:highlight w:val="none"/>
              </w:rPr>
              <w:t>以及</w:t>
            </w:r>
            <w:r>
              <w:rPr>
                <w:color w:val="auto"/>
                <w:highlight w:val="none"/>
              </w:rPr>
              <w:t>GB7000.</w:t>
            </w:r>
            <w:r>
              <w:rPr>
                <w:rFonts w:hint="eastAsia"/>
                <w:color w:val="auto"/>
                <w:highlight w:val="none"/>
                <w:lang w:val="en-US" w:eastAsia="zh-CN"/>
              </w:rPr>
              <w:t>203</w:t>
            </w:r>
            <w:r>
              <w:rPr>
                <w:color w:val="auto"/>
                <w:highlight w:val="none"/>
              </w:rPr>
              <w:t>-20</w:t>
            </w:r>
            <w:r>
              <w:rPr>
                <w:rFonts w:hint="eastAsia"/>
                <w:color w:val="auto"/>
                <w:highlight w:val="none"/>
                <w:lang w:val="en-US" w:eastAsia="zh-CN"/>
              </w:rPr>
              <w:t>13</w:t>
            </w:r>
            <w:r>
              <w:rPr>
                <w:rFonts w:hint="eastAsia"/>
                <w:color w:val="auto"/>
                <w:highlight w:val="none"/>
              </w:rPr>
              <w:t>《道路与街路照明灯具安全要求》规定条款。</w:t>
            </w:r>
          </w:p>
          <w:p>
            <w:pPr>
              <w:spacing w:line="360" w:lineRule="exact"/>
              <w:rPr>
                <w:color w:val="auto"/>
                <w:highlight w:val="none"/>
              </w:rPr>
            </w:pPr>
            <w:r>
              <w:rPr>
                <w:rFonts w:hint="eastAsia"/>
                <w:color w:val="auto"/>
                <w:highlight w:val="none"/>
              </w:rPr>
              <w:t>防尘、防固体异物和防水等级应为</w:t>
            </w:r>
            <w:r>
              <w:rPr>
                <w:color w:val="auto"/>
                <w:highlight w:val="none"/>
              </w:rPr>
              <w:t>IP65</w:t>
            </w:r>
            <w:r>
              <w:rPr>
                <w:rFonts w:hint="eastAsia"/>
                <w:color w:val="auto"/>
                <w:highlight w:val="none"/>
              </w:rPr>
              <w:t>或</w:t>
            </w:r>
            <w:r>
              <w:rPr>
                <w:color w:val="auto"/>
                <w:highlight w:val="none"/>
              </w:rPr>
              <w:t>IP66</w:t>
            </w:r>
            <w:r>
              <w:rPr>
                <w:rFonts w:hint="eastAsia"/>
                <w:color w:val="auto"/>
                <w:highlight w:val="none"/>
              </w:rPr>
              <w:t>；</w:t>
            </w:r>
          </w:p>
          <w:p>
            <w:pPr>
              <w:spacing w:line="360" w:lineRule="exact"/>
              <w:rPr>
                <w:rFonts w:hint="eastAsia"/>
                <w:color w:val="auto"/>
                <w:highlight w:val="none"/>
              </w:rPr>
            </w:pPr>
            <w:r>
              <w:rPr>
                <w:rFonts w:hint="eastAsia"/>
                <w:color w:val="auto"/>
                <w:highlight w:val="none"/>
              </w:rPr>
              <w:t>产品标记除满足</w:t>
            </w:r>
            <w:r>
              <w:rPr>
                <w:color w:val="auto"/>
                <w:highlight w:val="none"/>
              </w:rPr>
              <w:t>GB7000.5-2007</w:t>
            </w:r>
            <w:r>
              <w:rPr>
                <w:rFonts w:hint="eastAsia"/>
                <w:color w:val="auto"/>
                <w:highlight w:val="none"/>
              </w:rPr>
              <w:t>的条款规定外，尚应提供额定光通量额定相关色温等信息</w:t>
            </w:r>
          </w:p>
          <w:p>
            <w:pPr>
              <w:pStyle w:val="2"/>
              <w:rPr>
                <w:rFonts w:hint="default" w:eastAsia="宋体"/>
                <w:color w:val="auto"/>
                <w:highlight w:val="none"/>
                <w:lang w:val="en-US" w:eastAsia="zh-CN"/>
              </w:rPr>
            </w:pPr>
            <w:r>
              <w:rPr>
                <w:rFonts w:hint="eastAsia" w:ascii="仿宋" w:hAnsi="仿宋" w:eastAsia="仿宋" w:cstheme="majorBidi"/>
                <w:snapToGrid/>
                <w:color w:val="auto"/>
                <w:kern w:val="0"/>
                <w:sz w:val="24"/>
                <w:szCs w:val="24"/>
                <w:highlight w:val="none"/>
                <w:shd w:val="clear" w:color="auto" w:fill="auto"/>
                <w:lang w:val="en-US" w:eastAsia="zh-CN"/>
              </w:rPr>
              <w:t>做好路灯</w:t>
            </w:r>
            <w:r>
              <w:rPr>
                <w:rFonts w:hint="eastAsia" w:ascii="仿宋" w:hAnsi="仿宋" w:eastAsia="仿宋" w:cstheme="majorBidi"/>
                <w:snapToGrid/>
                <w:color w:val="auto"/>
                <w:kern w:val="0"/>
                <w:sz w:val="24"/>
                <w:szCs w:val="24"/>
                <w:highlight w:val="none"/>
                <w:shd w:val="clear"/>
                <w:lang w:val="en-US" w:eastAsia="zh-CN"/>
              </w:rPr>
              <w:t>灯头等各项接地安全工作</w:t>
            </w:r>
          </w:p>
        </w:tc>
      </w:tr>
      <w:tr>
        <w:tblPrEx>
          <w:tblCellMar>
            <w:top w:w="0" w:type="dxa"/>
            <w:left w:w="108" w:type="dxa"/>
            <w:bottom w:w="0" w:type="dxa"/>
            <w:right w:w="108" w:type="dxa"/>
          </w:tblCellMar>
        </w:tblPrEx>
        <w:tc>
          <w:tcPr>
            <w:tcW w:w="816"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ascii="仿宋_GB2312" w:hAnsi="仿宋_GB2312" w:eastAsia="仿宋_GB2312" w:cs="仿宋_GB2312"/>
                <w:color w:val="auto"/>
                <w:highlight w:val="none"/>
                <w:shd w:val="clear" w:color="050000" w:fill="auto"/>
              </w:rPr>
              <w:t xml:space="preserve">2 </w:t>
            </w:r>
          </w:p>
        </w:tc>
        <w:tc>
          <w:tcPr>
            <w:tcW w:w="1761"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hint="eastAsia" w:ascii="宋体" w:hAnsi="宋体" w:cs="宋体"/>
                <w:color w:val="auto"/>
                <w:highlight w:val="none"/>
                <w:shd w:val="clear" w:color="050000" w:fill="auto"/>
              </w:rPr>
              <w:t>骚扰电压</w:t>
            </w:r>
            <w:r>
              <w:rPr>
                <w:rFonts w:ascii="仿宋_GB2312" w:hAnsi="仿宋_GB2312" w:eastAsia="仿宋_GB2312" w:cs="仿宋_GB2312"/>
                <w:color w:val="auto"/>
                <w:highlight w:val="none"/>
                <w:shd w:val="clear" w:color="050000" w:fill="auto"/>
              </w:rPr>
              <w:t xml:space="preserve"> </w:t>
            </w:r>
          </w:p>
        </w:tc>
        <w:tc>
          <w:tcPr>
            <w:tcW w:w="6965"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rFonts w:ascii="仿宋" w:hAnsi="仿宋" w:eastAsia="仿宋" w:cstheme="majorBidi"/>
                <w:color w:val="auto"/>
                <w:sz w:val="24"/>
                <w:szCs w:val="24"/>
                <w:highlight w:val="none"/>
                <w:lang w:val="en-US" w:eastAsia="zh-CN" w:bidi="ar-SA"/>
              </w:rPr>
            </w:pPr>
            <w:r>
              <w:rPr>
                <w:rFonts w:hint="eastAsia" w:ascii="宋体" w:hAnsi="宋体" w:cs="宋体"/>
                <w:color w:val="auto"/>
                <w:highlight w:val="none"/>
                <w:shd w:val="clear" w:color="050000" w:fill="auto"/>
              </w:rPr>
              <w:t>符合</w:t>
            </w:r>
            <w:r>
              <w:rPr>
                <w:rFonts w:ascii="仿宋_GB2312" w:hAnsi="仿宋_GB2312" w:eastAsia="仿宋_GB2312" w:cs="仿宋_GB2312"/>
                <w:color w:val="auto"/>
                <w:highlight w:val="none"/>
                <w:shd w:val="clear" w:color="050000" w:fill="auto"/>
              </w:rPr>
              <w:t>GB17743-20</w:t>
            </w:r>
            <w:r>
              <w:rPr>
                <w:rFonts w:hint="eastAsia" w:ascii="仿宋_GB2312" w:hAnsi="仿宋_GB2312" w:eastAsia="仿宋_GB2312" w:cs="仿宋_GB2312"/>
                <w:color w:val="auto"/>
                <w:highlight w:val="none"/>
                <w:shd w:val="clear" w:color="050000" w:fill="auto"/>
                <w:lang w:val="en-US" w:eastAsia="zh-CN"/>
              </w:rPr>
              <w:t>17</w:t>
            </w:r>
            <w:r>
              <w:rPr>
                <w:rFonts w:hint="eastAsia" w:ascii="宋体" w:hAnsi="宋体" w:cs="宋体"/>
                <w:color w:val="auto"/>
                <w:highlight w:val="none"/>
                <w:shd w:val="clear" w:color="050000" w:fill="auto"/>
              </w:rPr>
              <w:t>的要求</w:t>
            </w:r>
            <w:r>
              <w:rPr>
                <w:rFonts w:ascii="仿宋_GB2312" w:hAnsi="仿宋_GB2312" w:eastAsia="仿宋_GB2312" w:cs="仿宋_GB2312"/>
                <w:color w:val="auto"/>
                <w:highlight w:val="none"/>
                <w:shd w:val="clear" w:color="050000" w:fill="auto"/>
              </w:rPr>
              <w:t xml:space="preserve"> </w:t>
            </w:r>
          </w:p>
        </w:tc>
      </w:tr>
      <w:tr>
        <w:tblPrEx>
          <w:tblCellMar>
            <w:top w:w="0" w:type="dxa"/>
            <w:left w:w="108" w:type="dxa"/>
            <w:bottom w:w="0" w:type="dxa"/>
            <w:right w:w="108" w:type="dxa"/>
          </w:tblCellMar>
        </w:tblPrEx>
        <w:tc>
          <w:tcPr>
            <w:tcW w:w="816"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ascii="仿宋_GB2312" w:hAnsi="仿宋_GB2312" w:eastAsia="仿宋_GB2312" w:cs="仿宋_GB2312"/>
                <w:color w:val="auto"/>
                <w:highlight w:val="none"/>
                <w:shd w:val="clear" w:color="050000" w:fill="auto"/>
              </w:rPr>
              <w:t xml:space="preserve">3 </w:t>
            </w:r>
          </w:p>
        </w:tc>
        <w:tc>
          <w:tcPr>
            <w:tcW w:w="1761"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hint="eastAsia" w:ascii="宋体" w:hAnsi="宋体" w:cs="宋体"/>
                <w:color w:val="auto"/>
                <w:highlight w:val="none"/>
                <w:shd w:val="clear" w:color="050000" w:fill="auto"/>
              </w:rPr>
              <w:t>谐波电流限值</w:t>
            </w:r>
            <w:r>
              <w:rPr>
                <w:rFonts w:ascii="仿宋_GB2312" w:hAnsi="仿宋_GB2312" w:eastAsia="仿宋_GB2312" w:cs="仿宋_GB2312"/>
                <w:color w:val="auto"/>
                <w:highlight w:val="none"/>
                <w:shd w:val="clear" w:color="050000" w:fill="auto"/>
              </w:rPr>
              <w:t xml:space="preserve"> </w:t>
            </w:r>
          </w:p>
        </w:tc>
        <w:tc>
          <w:tcPr>
            <w:tcW w:w="6965"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rFonts w:ascii="仿宋" w:hAnsi="仿宋" w:eastAsia="仿宋" w:cstheme="majorBidi"/>
                <w:color w:val="auto"/>
                <w:sz w:val="24"/>
                <w:szCs w:val="24"/>
                <w:highlight w:val="none"/>
                <w:lang w:val="en-US" w:eastAsia="zh-CN" w:bidi="ar-SA"/>
              </w:rPr>
            </w:pPr>
            <w:r>
              <w:rPr>
                <w:rFonts w:hint="eastAsia" w:ascii="宋体" w:hAnsi="宋体" w:cs="宋体"/>
                <w:color w:val="auto"/>
                <w:highlight w:val="none"/>
                <w:shd w:val="clear" w:color="050000" w:fill="auto"/>
              </w:rPr>
              <w:t>符合</w:t>
            </w:r>
            <w:r>
              <w:rPr>
                <w:rFonts w:ascii="仿宋_GB2312" w:hAnsi="仿宋_GB2312" w:eastAsia="仿宋_GB2312" w:cs="仿宋_GB2312"/>
                <w:color w:val="auto"/>
                <w:highlight w:val="none"/>
                <w:shd w:val="clear" w:color="050000" w:fill="auto"/>
              </w:rPr>
              <w:t>GB17625.1-20</w:t>
            </w:r>
            <w:r>
              <w:rPr>
                <w:rFonts w:hint="eastAsia" w:ascii="仿宋_GB2312" w:hAnsi="仿宋_GB2312" w:eastAsia="仿宋_GB2312" w:cs="仿宋_GB2312"/>
                <w:color w:val="auto"/>
                <w:highlight w:val="none"/>
                <w:shd w:val="clear" w:color="050000" w:fill="auto"/>
                <w:lang w:val="en-US" w:eastAsia="zh-CN"/>
              </w:rPr>
              <w:t>12</w:t>
            </w:r>
            <w:r>
              <w:rPr>
                <w:rFonts w:hint="eastAsia" w:ascii="宋体" w:hAnsi="宋体" w:cs="宋体"/>
                <w:color w:val="auto"/>
                <w:highlight w:val="none"/>
                <w:shd w:val="clear" w:color="050000" w:fill="auto"/>
              </w:rPr>
              <w:t>的要求</w:t>
            </w:r>
            <w:r>
              <w:rPr>
                <w:rFonts w:ascii="仿宋_GB2312" w:hAnsi="仿宋_GB2312" w:eastAsia="仿宋_GB2312" w:cs="仿宋_GB2312"/>
                <w:color w:val="auto"/>
                <w:highlight w:val="none"/>
                <w:shd w:val="clear" w:color="050000" w:fill="auto"/>
              </w:rPr>
              <w:t xml:space="preserve"> </w:t>
            </w:r>
          </w:p>
        </w:tc>
      </w:tr>
      <w:tr>
        <w:tblPrEx>
          <w:tblCellMar>
            <w:top w:w="0" w:type="dxa"/>
            <w:left w:w="108" w:type="dxa"/>
            <w:bottom w:w="0" w:type="dxa"/>
            <w:right w:w="108" w:type="dxa"/>
          </w:tblCellMar>
        </w:tblPrEx>
        <w:tc>
          <w:tcPr>
            <w:tcW w:w="816"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ascii="仿宋_GB2312" w:hAnsi="仿宋_GB2312" w:eastAsia="仿宋_GB2312" w:cs="仿宋_GB2312"/>
                <w:color w:val="auto"/>
                <w:highlight w:val="none"/>
                <w:shd w:val="clear" w:color="050000" w:fill="auto"/>
              </w:rPr>
              <w:t xml:space="preserve">4 </w:t>
            </w:r>
          </w:p>
        </w:tc>
        <w:tc>
          <w:tcPr>
            <w:tcW w:w="1761"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color w:val="auto"/>
                <w:highlight w:val="none"/>
              </w:rPr>
            </w:pPr>
            <w:r>
              <w:rPr>
                <w:rFonts w:hint="eastAsia" w:ascii="宋体" w:hAnsi="宋体" w:cs="宋体"/>
                <w:color w:val="auto"/>
                <w:highlight w:val="none"/>
                <w:shd w:val="clear" w:color="050000" w:fill="auto"/>
              </w:rPr>
              <w:t>浪涌试验</w:t>
            </w:r>
            <w:r>
              <w:rPr>
                <w:rFonts w:ascii="仿宋_GB2312" w:hAnsi="仿宋_GB2312" w:eastAsia="仿宋_GB2312" w:cs="仿宋_GB2312"/>
                <w:color w:val="auto"/>
                <w:highlight w:val="none"/>
                <w:shd w:val="clear" w:color="050000" w:fill="auto"/>
              </w:rPr>
              <w:t xml:space="preserve"> </w:t>
            </w:r>
          </w:p>
        </w:tc>
        <w:tc>
          <w:tcPr>
            <w:tcW w:w="6965" w:type="dxa"/>
            <w:tcBorders>
              <w:top w:val="single" w:color="000000" w:sz="8" w:space="0"/>
              <w:left w:val="single" w:color="000000" w:sz="8" w:space="0"/>
              <w:bottom w:val="single" w:color="000000" w:sz="8" w:space="0"/>
              <w:right w:val="single" w:color="000000" w:sz="8" w:space="0"/>
            </w:tcBorders>
            <w:shd w:val="clear" w:color="000000" w:fill="FFFFFF"/>
            <w:noWrap w:val="0"/>
            <w:tcMar>
              <w:left w:w="108" w:type="dxa"/>
              <w:right w:w="108" w:type="dxa"/>
            </w:tcMar>
            <w:vAlign w:val="center"/>
          </w:tcPr>
          <w:p>
            <w:pPr>
              <w:spacing w:line="360" w:lineRule="exact"/>
              <w:rPr>
                <w:rFonts w:ascii="仿宋" w:hAnsi="仿宋" w:eastAsia="仿宋" w:cstheme="majorBidi"/>
                <w:color w:val="auto"/>
                <w:sz w:val="24"/>
                <w:szCs w:val="24"/>
                <w:highlight w:val="none"/>
                <w:lang w:val="en-US" w:eastAsia="zh-CN" w:bidi="ar-SA"/>
              </w:rPr>
            </w:pPr>
            <w:r>
              <w:rPr>
                <w:rFonts w:hint="eastAsia" w:ascii="宋体" w:hAnsi="宋体" w:cs="宋体"/>
                <w:color w:val="auto"/>
                <w:highlight w:val="none"/>
                <w:shd w:val="clear" w:color="050000" w:fill="auto"/>
              </w:rPr>
              <w:t>符合</w:t>
            </w:r>
            <w:r>
              <w:rPr>
                <w:rFonts w:ascii="仿宋_GB2312" w:hAnsi="仿宋_GB2312" w:eastAsia="仿宋_GB2312" w:cs="仿宋_GB2312"/>
                <w:color w:val="auto"/>
                <w:highlight w:val="none"/>
                <w:shd w:val="clear" w:color="050000" w:fill="auto"/>
              </w:rPr>
              <w:t>GB18595-20</w:t>
            </w:r>
            <w:r>
              <w:rPr>
                <w:rFonts w:hint="eastAsia" w:ascii="仿宋_GB2312" w:hAnsi="仿宋_GB2312" w:eastAsia="仿宋_GB2312" w:cs="仿宋_GB2312"/>
                <w:color w:val="auto"/>
                <w:highlight w:val="none"/>
                <w:shd w:val="clear" w:color="050000" w:fill="auto"/>
                <w:lang w:val="en-US" w:eastAsia="zh-CN"/>
              </w:rPr>
              <w:t>14</w:t>
            </w:r>
            <w:r>
              <w:rPr>
                <w:rFonts w:hint="eastAsia" w:ascii="宋体" w:hAnsi="宋体" w:cs="宋体"/>
                <w:color w:val="auto"/>
                <w:highlight w:val="none"/>
                <w:shd w:val="clear" w:color="050000" w:fill="auto"/>
              </w:rPr>
              <w:t>的要求</w:t>
            </w:r>
            <w:r>
              <w:rPr>
                <w:rFonts w:ascii="仿宋_GB2312" w:hAnsi="仿宋_GB2312" w:eastAsia="仿宋_GB2312" w:cs="仿宋_GB2312"/>
                <w:color w:val="auto"/>
                <w:highlight w:val="none"/>
                <w:shd w:val="clear" w:color="050000" w:fill="auto"/>
              </w:rPr>
              <w:t xml:space="preserve"> </w:t>
            </w:r>
          </w:p>
        </w:tc>
      </w:tr>
    </w:tbl>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（三）节能改造实施要求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（1）中标人必须在实施节能改造前，对每行改造路段制订独立详细的改造计划。路段必须实地踏勘，绘制电脑模拟配光图，设定灯具功率，上报采购人批准。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由采购人指定省内国有的第三方监测机构（检测费用由中标人支付）对改造前后功率、照度等进行监测并出具报告，按有功功率进行监测，确保节能改造产品的照度，保证道路符合国家规范限定的主、次干道光照上限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（3）投标单位需委托具有城市及道路照明工程专业承包三级及以上资质的施工单位实施且需取得采购单位同意。</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（四）保证亮灯率的措施</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自项目投入使用开始，改造单位须备有足够的备品备件，并提供24小时的节能技术服务支持。</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（1）改造路段必须保证98%的亮灯率（非灯具、自然灾害等因素除外），采购人将进行每月不少于1次的考核（考核办法由招标人制定），考核不合格，以扣减节能款处理。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（2）改造单位需向采购人提供每个型号不少于10套的备用灯，确保突发情况下能及时进行处理。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3）路灯出现故障时，非线路原因导致的改造单位必须0.5小时响应，1小时到现场处理，2小时内修复，并答复采购人修复结果，所需的人员、机械设备、维修工具由中标人自行解决；经中标人现场确认不属责任范围的，中标人应立即通知采购人进行处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4）区域内“数字城管”派遣案卷、“网络问政”、“12345”等其他各类抄告投诉件的处置工作，中标人应在第一时间无偿对派遣案卷进行现场勘察，并根据案卷规定的时限及时做好案卷的处置以及反馈工作。如出现超时、多次派遣等扣分案卷，招标人可对中标人每次扣减养护费。累计出现扣分案卷，招标人有权加倍扣减养护费。</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5）养护期间除不可抗力的自然因素外，其他因人为因素、偷盗、撞车等原因导致的各类养护范围内的设施缺损，均由投标人及时跟换或维修，并承担相关费用，该费用由投标人自行考虑，该报价纳入投标总报价中。</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（五）节能改造后的养护要求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（1）采购人对改造后灯具不投入任何人员和养护费用，只负责监督、考核工作，并不定期对道路路灯的亮灯率、光衰、平均照度、光照均匀度等进行测评、考核。</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中标人负责改造范围内路灯光源的日常维护（含驱动电源、光源、灯罩等）。中标人在收到中标通知书后至合同签订之日期间，向采购人备案当地售后服务点的维修养护人员及14米及以上登高作业车等相关作业人员及车辆，并向采购人上报养护人员名单、上岗作业证、高空作业车等所需的人员机械，应急情况下采购人有权调用人员机械。</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3）针对暴雨、台风、大雪等突发性天气灾害，中标单位应随时配备有一定数量的施工机械和抢险人员，同时主要负责人需保证24小时通讯畅通，如中标单位未能按以上采购人要求，致应急抢险任务未能顺利完成或中途未能严格执行合同（出现不响应采购人要求等情况）的，招标人将视情节每次扣减节能费，造成严重后果的，招标人有权解除合同。</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（4）在养护过程中，对无法使用的灯具、光源、电器，更换时品牌、型号的选择应与原使用相同。对无法采购到的光源、电器，经采购人同意后可采用不低于同类光源、电器标准的其他品牌。</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5）中标人在确定中标后，应制定详细的日常巡检计划，确保及时发现所养护的路灯设施安全缺陷。要求每标段每天配备有专职巡检队伍，负责所养护设施的日常巡检和应急处置工作，中标人保养和维护原则上在夜间亮灯时段进行，如需白天亮灯维修，应经采购人同意后才能操作。</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（6）在合同期内，中标人应确保灯具整洁，确保亮灯率保持在98%以上；黑灯自熄灭起24h内修复，所需的人员、机械设备、维修工具均由中标人自行解决。</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（7）运营期内道路照明质量维持在《城市道路照明设计标准》（CJJ45-2015）之上，色温： 3000-4500K，超过此值，中标人应对项目设施免费提供进一步技改。</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8）因气象条件、自身瑕疵、产品寿命、电压波动（下称“正常原因”）造成设施损坏、损毁，由中标人承担费用；因交通事故或其他人为因素造成的项目设施损坏、损毁，采购人应协助中标人向肇事方索赔，发生逃逸或其他原因不能获得赔偿的，也由中标人承担。</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（10）采购人、中标人双方所属设施均应符合国家相关安全标准，各负其责，不得擅自开启、更改对方设施，如有违反，由此造成的责任、经济损失由违反方负责。</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（11）合同期间，在项目实施和运维过程中，因项目设施的质量瑕疵原因或未及时维护致使第三人人身、财产损害的，中标人应承担损害赔偿责任。</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12）当亮灯率低于98%时，中标人又未及时维护的，采购人有权委托第三方对驱动电源和光源进行维护（授权给中标人的LED路灯制造商须无条件向采购人提供更换所需光源及配件），维护所需费用从中标人的养护费中支付。</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（六）、节能改造验收标准与方法</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本项目按路段内容采取分路段验收和灯具抽检基础上的一次性工程整体验收方式。改造项目全部完成后，所有道路验收合格后由中标人提交项目竣工报告，采购人接到资料核实无误后七天内组织一次性工程整体验收，验收合格进入运营期。</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（2）改造后未达到要求的，中标人应及时进行整改。</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 xml:space="preserve">（3）施工安装按照《城市道路照明工程施工及验收规程》（CJJ 89-2012）对中标人施工部分进行验收，竣工验收时要求亮灯率达到100%。 </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（七）、节能改造到期后的产权移交</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 xml:space="preserve"> 合同期内节能服务单位投入的相关节能改造设施产权归节能服务单位所有，合同期满后，产权移交采购人所有。移交时，改造单位确保所有被改造灯具亮灯率100%，且照度不低于国家标准或高于改造前照度20%，对改造产品终身进行成本价维护和维修。</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节能服务单位投入的相关节能改造设施，服务期内如遇政府拆迁征迁、道路改造、道路产权移交等不可抗力要求拆除、搬迁或路灯产权移交的，中标人应无条件配合采购人，相关投入不做补偿，风险由服务单位自行承担。</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在合同实施过程中如果由于中标人设备安装的问题而导致原有设施需要改动的，中标人应按采购方要求进行，且所有费用由中标人承担。</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2" w:firstLineChars="200"/>
        <w:textAlignment w:val="auto"/>
        <w:rPr>
          <w:rFonts w:hint="eastAsia" w:ascii="仿宋" w:hAnsi="仿宋" w:eastAsia="仿宋" w:cs="仿宋"/>
          <w:b/>
          <w:bCs/>
          <w:color w:val="auto"/>
          <w:spacing w:val="0"/>
          <w:sz w:val="24"/>
          <w:szCs w:val="24"/>
          <w:highlight w:val="none"/>
          <w:lang w:val="en-US" w:eastAsia="zh-CN"/>
        </w:rPr>
      </w:pPr>
      <w:r>
        <w:rPr>
          <w:rFonts w:hint="eastAsia" w:ascii="仿宋" w:hAnsi="仿宋" w:eastAsia="仿宋" w:cs="仿宋"/>
          <w:b/>
          <w:bCs/>
          <w:color w:val="auto"/>
          <w:spacing w:val="0"/>
          <w:sz w:val="24"/>
          <w:szCs w:val="24"/>
          <w:highlight w:val="none"/>
          <w:lang w:val="en-US" w:eastAsia="zh-CN"/>
        </w:rPr>
        <w:t>（九）相关技术标准</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1、满足《城市道路照明设计标准》（CJJ45-2015）</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2、《城市道路照明施工及验收规程》（CJJ89-2012）要求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2、CJJ89-2012《城市道路照明工程施工及验收规程》；</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2、《最新路灯管理与路灯技能设计、施工、维护技术标准指导手册》</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3、《半导体照明产品技术要求》（2010版）</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4、《道路与街路照明灯具安全要求》GB7000.203-2013；</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5、电气照明和类似设备的无线电骚扰特性的限值和测量方法：符合GB17743-2017的要求；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6、电磁兼容限值谐波电流发射限值(设备每相输入电流镇≤16 A)：符合GB17625.1-2012的要求；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7、一般照明用设备电磁兼容抗扰度要求：符合GB18595-2014的要求；</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8、《灯具 第一部分：一般安全要求与试验》GB7000.1-2015；</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9、《一般照明用设备电磁兼容抗扰度要求》GB/T18595-2014；</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10、《道路和街路照明灯具性能要求》GB/T24827-2009；</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11、《道路照明用LED灯性能要求》GB/T24907-2010；</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12、《电能质量公用电网谐波》GB/T14549--93；</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13、其它国家、地方标准规范；</w:t>
      </w:r>
    </w:p>
    <w:p>
      <w:pPr>
        <w:pStyle w:val="78"/>
        <w:keepNext w:val="0"/>
        <w:keepLines w:val="0"/>
        <w:pageBreakBefore w:val="0"/>
        <w:widowControl w:val="0"/>
        <w:kinsoku/>
        <w:wordWrap/>
        <w:overflowPunct/>
        <w:topLinePunct w:val="0"/>
        <w:autoSpaceDE/>
        <w:autoSpaceDN/>
        <w:bidi w:val="0"/>
        <w:adjustRightInd/>
        <w:snapToGrid/>
        <w:spacing w:before="0" w:after="0" w:line="288" w:lineRule="auto"/>
        <w:ind w:firstLine="480" w:firstLineChars="200"/>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14、 采购人提出的要求及有关基础资料。</w:t>
      </w:r>
    </w:p>
    <w:p>
      <w:pPr>
        <w:pStyle w:val="14"/>
        <w:adjustRightInd w:val="0"/>
        <w:snapToGrid w:val="0"/>
        <w:spacing w:before="120" w:line="500" w:lineRule="exact"/>
        <w:ind w:firstLine="643"/>
        <w:rPr>
          <w:rFonts w:hint="eastAsia" w:ascii="仿宋" w:hAnsi="仿宋" w:eastAsia="仿宋" w:cs="仿宋"/>
          <w:snapToGrid/>
          <w:color w:val="auto"/>
          <w:kern w:val="0"/>
          <w:sz w:val="24"/>
          <w:szCs w:val="24"/>
          <w:highlight w:val="none"/>
          <w:lang w:val="en-US" w:eastAsia="zh-CN"/>
        </w:rPr>
      </w:pPr>
    </w:p>
    <w:p>
      <w:pPr>
        <w:keepNext w:val="0"/>
        <w:keepLines w:val="0"/>
        <w:pageBreakBefore w:val="0"/>
        <w:widowControl/>
        <w:kinsoku/>
        <w:wordWrap/>
        <w:overflowPunct/>
        <w:topLinePunct w:val="0"/>
        <w:bidi w:val="0"/>
        <w:spacing w:after="0" w:line="288" w:lineRule="auto"/>
        <w:ind w:firstLine="482" w:firstLineChars="200"/>
        <w:textAlignment w:val="auto"/>
        <w:rPr>
          <w:rFonts w:hint="eastAsia" w:ascii="仿宋" w:hAnsi="仿宋" w:eastAsia="仿宋" w:cs="仿宋"/>
          <w:b/>
          <w:bCs/>
          <w:color w:val="auto"/>
          <w:sz w:val="24"/>
          <w:szCs w:val="24"/>
          <w:highlight w:val="none"/>
          <w:lang w:val="en-US" w:eastAsia="zh-CN"/>
        </w:rPr>
      </w:pPr>
    </w:p>
    <w:p>
      <w:pPr>
        <w:keepNext w:val="0"/>
        <w:keepLines w:val="0"/>
        <w:pageBreakBefore w:val="0"/>
        <w:widowControl/>
        <w:numPr>
          <w:ilvl w:val="-1"/>
          <w:numId w:val="0"/>
        </w:numPr>
        <w:kinsoku/>
        <w:wordWrap/>
        <w:overflowPunct/>
        <w:topLinePunct w:val="0"/>
        <w:autoSpaceDE/>
        <w:autoSpaceDN/>
        <w:bidi w:val="0"/>
        <w:snapToGrid w:val="0"/>
        <w:spacing w:line="288" w:lineRule="auto"/>
        <w:ind w:firstLine="0" w:firstLineChars="0"/>
        <w:textAlignment w:val="auto"/>
        <w:rPr>
          <w:rFonts w:hint="eastAsia" w:ascii="仿宋" w:hAnsi="仿宋" w:eastAsia="仿宋" w:cs="仿宋"/>
          <w:b/>
          <w:bCs/>
          <w:snapToGrid/>
          <w:color w:val="auto"/>
          <w:spacing w:val="0"/>
          <w:kern w:val="0"/>
          <w:sz w:val="24"/>
          <w:szCs w:val="24"/>
          <w:highlight w:val="none"/>
          <w:lang w:eastAsia="zh-CN"/>
        </w:rPr>
      </w:pPr>
      <w:r>
        <w:rPr>
          <w:rFonts w:hint="eastAsia" w:cs="仿宋"/>
          <w:b/>
          <w:bCs/>
          <w:snapToGrid/>
          <w:color w:val="auto"/>
          <w:spacing w:val="0"/>
          <w:kern w:val="0"/>
          <w:sz w:val="24"/>
          <w:szCs w:val="24"/>
          <w:highlight w:val="none"/>
          <w:lang w:val="en-US" w:eastAsia="zh-CN"/>
        </w:rPr>
        <w:t>五、</w:t>
      </w:r>
      <w:r>
        <w:rPr>
          <w:rFonts w:hint="eastAsia" w:ascii="仿宋" w:hAnsi="仿宋" w:eastAsia="仿宋" w:cs="仿宋"/>
          <w:b/>
          <w:bCs/>
          <w:snapToGrid/>
          <w:color w:val="auto"/>
          <w:spacing w:val="0"/>
          <w:kern w:val="0"/>
          <w:sz w:val="24"/>
          <w:szCs w:val="24"/>
          <w:highlight w:val="none"/>
          <w:lang w:val="en-US" w:eastAsia="zh-CN"/>
        </w:rPr>
        <w:t>光源</w:t>
      </w:r>
      <w:r>
        <w:rPr>
          <w:rFonts w:hint="eastAsia" w:cs="仿宋"/>
          <w:b/>
          <w:bCs/>
          <w:snapToGrid/>
          <w:color w:val="auto"/>
          <w:spacing w:val="0"/>
          <w:kern w:val="0"/>
          <w:sz w:val="24"/>
          <w:szCs w:val="24"/>
          <w:highlight w:val="none"/>
          <w:lang w:val="en-US" w:eastAsia="zh-CN"/>
        </w:rPr>
        <w:t>日常</w:t>
      </w:r>
      <w:r>
        <w:rPr>
          <w:rFonts w:hint="eastAsia" w:ascii="仿宋" w:hAnsi="仿宋" w:eastAsia="仿宋" w:cs="仿宋"/>
          <w:b/>
          <w:bCs/>
          <w:snapToGrid/>
          <w:color w:val="auto"/>
          <w:spacing w:val="0"/>
          <w:kern w:val="0"/>
          <w:sz w:val="24"/>
          <w:szCs w:val="24"/>
          <w:highlight w:val="none"/>
          <w:lang w:val="en-US" w:eastAsia="zh-CN"/>
        </w:rPr>
        <w:t>养</w:t>
      </w:r>
      <w:r>
        <w:rPr>
          <w:rFonts w:hint="eastAsia" w:ascii="仿宋" w:hAnsi="仿宋" w:eastAsia="仿宋" w:cs="仿宋"/>
          <w:b/>
          <w:bCs/>
          <w:snapToGrid/>
          <w:color w:val="auto"/>
          <w:spacing w:val="0"/>
          <w:kern w:val="0"/>
          <w:sz w:val="24"/>
          <w:szCs w:val="24"/>
          <w:highlight w:val="none"/>
        </w:rPr>
        <w:t>护具体要求</w:t>
      </w:r>
      <w:r>
        <w:rPr>
          <w:rFonts w:hint="eastAsia" w:cs="仿宋"/>
          <w:b/>
          <w:bCs/>
          <w:snapToGrid/>
          <w:color w:val="auto"/>
          <w:spacing w:val="0"/>
          <w:kern w:val="0"/>
          <w:sz w:val="24"/>
          <w:szCs w:val="24"/>
          <w:highlight w:val="none"/>
          <w:lang w:eastAsia="zh-CN"/>
        </w:rPr>
        <w:t>（</w:t>
      </w:r>
      <w:r>
        <w:rPr>
          <w:rFonts w:hint="eastAsia" w:cs="仿宋"/>
          <w:b/>
          <w:bCs/>
          <w:snapToGrid/>
          <w:color w:val="auto"/>
          <w:spacing w:val="0"/>
          <w:kern w:val="0"/>
          <w:sz w:val="24"/>
          <w:szCs w:val="24"/>
          <w:highlight w:val="none"/>
          <w:lang w:val="en-US" w:eastAsia="zh-CN"/>
        </w:rPr>
        <w:t>针对中标人改造过的路灯</w:t>
      </w:r>
      <w:r>
        <w:rPr>
          <w:rFonts w:hint="eastAsia" w:cs="仿宋"/>
          <w:b/>
          <w:bCs/>
          <w:snapToGrid/>
          <w:color w:val="auto"/>
          <w:spacing w:val="0"/>
          <w:kern w:val="0"/>
          <w:sz w:val="24"/>
          <w:szCs w:val="24"/>
          <w:highlight w:val="none"/>
          <w:lang w:eastAsia="zh-CN"/>
        </w:rPr>
        <w:t>）</w:t>
      </w:r>
    </w:p>
    <w:p>
      <w:pPr>
        <w:pStyle w:val="15"/>
        <w:keepNext w:val="0"/>
        <w:keepLines w:val="0"/>
        <w:pageBreakBefore w:val="0"/>
        <w:widowControl w:val="0"/>
        <w:kinsoku/>
        <w:wordWrap/>
        <w:overflowPunct/>
        <w:topLinePunct w:val="0"/>
        <w:autoSpaceDE/>
        <w:autoSpaceDN/>
        <w:bidi w:val="0"/>
        <w:snapToGrid w:val="0"/>
        <w:spacing w:line="300" w:lineRule="auto"/>
        <w:ind w:firstLine="480" w:firstLineChars="200"/>
        <w:textAlignment w:val="auto"/>
        <w:rPr>
          <w:rFonts w:hint="eastAsia" w:ascii="仿宋" w:hAnsi="仿宋" w:eastAsia="仿宋" w:cs="仿宋"/>
          <w:b w:val="0"/>
          <w:bCs w:val="0"/>
          <w:snapToGrid/>
          <w:color w:val="auto"/>
          <w:spacing w:val="0"/>
          <w:kern w:val="0"/>
          <w:sz w:val="24"/>
          <w:szCs w:val="24"/>
          <w:highlight w:val="none"/>
        </w:rPr>
      </w:pPr>
      <w:r>
        <w:rPr>
          <w:rFonts w:hint="eastAsia" w:ascii="仿宋" w:hAnsi="仿宋" w:eastAsia="仿宋" w:cs="仿宋"/>
          <w:b w:val="0"/>
          <w:bCs w:val="0"/>
          <w:snapToGrid/>
          <w:color w:val="auto"/>
          <w:spacing w:val="0"/>
          <w:kern w:val="0"/>
          <w:sz w:val="24"/>
          <w:szCs w:val="24"/>
          <w:highlight w:val="none"/>
          <w:lang w:eastAsia="zh-CN"/>
        </w:rPr>
        <w:t>（</w:t>
      </w:r>
      <w:r>
        <w:rPr>
          <w:rFonts w:hint="eastAsia" w:ascii="仿宋" w:hAnsi="仿宋" w:eastAsia="仿宋" w:cs="仿宋"/>
          <w:b w:val="0"/>
          <w:bCs w:val="0"/>
          <w:snapToGrid/>
          <w:color w:val="auto"/>
          <w:spacing w:val="0"/>
          <w:kern w:val="0"/>
          <w:sz w:val="24"/>
          <w:szCs w:val="24"/>
          <w:highlight w:val="none"/>
          <w:lang w:val="en-US" w:eastAsia="zh-CN"/>
        </w:rPr>
        <w:t>一</w:t>
      </w:r>
      <w:r>
        <w:rPr>
          <w:rFonts w:hint="eastAsia" w:ascii="仿宋" w:hAnsi="仿宋" w:eastAsia="仿宋" w:cs="仿宋"/>
          <w:b w:val="0"/>
          <w:bCs w:val="0"/>
          <w:snapToGrid/>
          <w:color w:val="auto"/>
          <w:spacing w:val="0"/>
          <w:kern w:val="0"/>
          <w:sz w:val="24"/>
          <w:szCs w:val="24"/>
          <w:highlight w:val="none"/>
          <w:lang w:eastAsia="zh-CN"/>
        </w:rPr>
        <w:t>）</w:t>
      </w:r>
      <w:r>
        <w:rPr>
          <w:rFonts w:hint="eastAsia" w:ascii="仿宋" w:hAnsi="仿宋" w:eastAsia="仿宋" w:cs="仿宋"/>
          <w:b w:val="0"/>
          <w:bCs w:val="0"/>
          <w:snapToGrid/>
          <w:color w:val="auto"/>
          <w:spacing w:val="0"/>
          <w:kern w:val="0"/>
          <w:sz w:val="24"/>
          <w:szCs w:val="24"/>
          <w:highlight w:val="none"/>
        </w:rPr>
        <w:t>.工作内容</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巡查检测及清洗：对各类路灯设施（含路灯灯具、光源、电器、基础、线缆、路灯井、配电箱、变压器低压侧等，下同）进行日常巡查，对设施的运行情况及时记录，并每周提供周养护计划。对光源和灯外壳保洁，有关灯罩、设备表面半年清洗一次，或设施明显积尘的，及时清洗。承担能源管理的路灯除灯头以外的日常养护工作。在日常巡查中需及时发现各类安全隐患并采取相应措施，同时需根据要求做好各类安全专项隐患的排查工作，包括（但不限于）配电设施的接地检测、线路设施的漏电检测、三相平衡的检测及调整等工作。</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（2）养护维修：对各类路灯设施的日常维护、倾斜或损坏更换、应急处置及被盗修复（不包含电缆、变压器低压侧的更换）。</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（3）喷漆翻新：对箱体及其他影响观瞻的设备表面出现掉漆等现象的，及时补漆。</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4）各类日常检查期间提供完善的保障方案和实施24小时值班制度，并确保设施完好率、亮灯率、整洁率达到98%。如遇到台风、暴雨、降雪等灾害性天气，政府大型活动，外事活动、重大节假日等特殊情况的除需将提供完善的保障方案和实施24小时值班制度外还需将确保设施完好率、亮灯率、整洁率达到100%。</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需根据《城市道路照明设施管理规定》（中华人民共和国建设部令第104号）以及《萧山区道路照明设施养护月度考核评分细则》（附件1）等执行路灯配电养护、检查及验收；必须每季度进行安全隐患大排查并上交书面排查整改报告，检查的项目参照杭州检查的项目适当做调整，包括路灯接地电阻等。</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b w:val="0"/>
          <w:bCs w:val="0"/>
          <w:snapToGrid/>
          <w:color w:val="auto"/>
          <w:spacing w:val="0"/>
          <w:kern w:val="0"/>
          <w:sz w:val="24"/>
          <w:szCs w:val="24"/>
          <w:highlight w:val="none"/>
        </w:rPr>
      </w:pPr>
      <w:r>
        <w:rPr>
          <w:rFonts w:hint="eastAsia" w:ascii="仿宋" w:hAnsi="仿宋" w:eastAsia="仿宋" w:cs="仿宋"/>
          <w:b w:val="0"/>
          <w:bCs w:val="0"/>
          <w:snapToGrid/>
          <w:color w:val="auto"/>
          <w:spacing w:val="0"/>
          <w:kern w:val="0"/>
          <w:sz w:val="24"/>
          <w:szCs w:val="24"/>
          <w:highlight w:val="none"/>
          <w:lang w:eastAsia="zh-CN"/>
        </w:rPr>
        <w:t>（</w:t>
      </w:r>
      <w:r>
        <w:rPr>
          <w:rFonts w:hint="eastAsia" w:ascii="仿宋" w:hAnsi="仿宋" w:eastAsia="仿宋" w:cs="仿宋"/>
          <w:b w:val="0"/>
          <w:bCs w:val="0"/>
          <w:snapToGrid/>
          <w:color w:val="auto"/>
          <w:spacing w:val="0"/>
          <w:kern w:val="0"/>
          <w:sz w:val="24"/>
          <w:szCs w:val="24"/>
          <w:highlight w:val="none"/>
          <w:lang w:val="en-US" w:eastAsia="zh-CN"/>
        </w:rPr>
        <w:t>二</w:t>
      </w:r>
      <w:r>
        <w:rPr>
          <w:rFonts w:hint="eastAsia" w:ascii="仿宋" w:hAnsi="仿宋" w:eastAsia="仿宋" w:cs="仿宋"/>
          <w:b w:val="0"/>
          <w:bCs w:val="0"/>
          <w:snapToGrid/>
          <w:color w:val="auto"/>
          <w:spacing w:val="0"/>
          <w:kern w:val="0"/>
          <w:sz w:val="24"/>
          <w:szCs w:val="24"/>
          <w:highlight w:val="none"/>
          <w:lang w:eastAsia="zh-CN"/>
        </w:rPr>
        <w:t>）</w:t>
      </w:r>
      <w:r>
        <w:rPr>
          <w:rFonts w:hint="eastAsia" w:ascii="仿宋" w:hAnsi="仿宋" w:eastAsia="仿宋" w:cs="仿宋"/>
          <w:b w:val="0"/>
          <w:bCs w:val="0"/>
          <w:snapToGrid/>
          <w:color w:val="auto"/>
          <w:spacing w:val="0"/>
          <w:kern w:val="0"/>
          <w:sz w:val="24"/>
          <w:szCs w:val="24"/>
          <w:highlight w:val="none"/>
        </w:rPr>
        <w:t>养护要求</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（1）如</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在养护过程中未能按</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要求及时完成养护维修任务，出现质量、安全等事故的，将视情节轻重作出处罚，造成的损失由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承担；如</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中途未能严格执行合同（出现不响应</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要求等情况），造成严重后果的，</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有权解除合同，并将扣除全额履约保证金。</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（2）区域内“数字城管”，市、区长公开电话，110联动及其他各类举报、投诉、和意见等派遣案卷的处置工作，</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应在第一时间无偿对派遣案卷进行现场勘察，并根据案卷规定的时限及时做好案卷的处置以及反馈工作。如出现超时、多次派遣等扣分案卷，</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可对</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做出相应处罚。累计出现4次以上扣分案卷，</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有权解除合同。</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（3）针对暴雨、台风、大雪等突发性天气灾害，</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应随时配备有一定数量的施工机械和抢险人员，同时主要负责人需保证24小时通讯畅通，如</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未能按以上</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要求，致应急抢险任务未能顺利完成或中途未能严格执行合同（出现不响应</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要求等情况）的，造成严重后果的，</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有权解除合同，并扣除全额履约保证金。</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（4）</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u w:val="none"/>
        </w:rPr>
        <w:t>应制定详细的日常巡检计划</w:t>
      </w:r>
      <w:r>
        <w:rPr>
          <w:rFonts w:hint="eastAsia" w:ascii="仿宋" w:hAnsi="仿宋" w:eastAsia="仿宋" w:cs="仿宋"/>
          <w:snapToGrid/>
          <w:color w:val="auto"/>
          <w:spacing w:val="0"/>
          <w:kern w:val="0"/>
          <w:sz w:val="24"/>
          <w:szCs w:val="24"/>
          <w:highlight w:val="none"/>
        </w:rPr>
        <w:t>，</w:t>
      </w:r>
      <w:r>
        <w:rPr>
          <w:rFonts w:hint="eastAsia" w:ascii="仿宋" w:hAnsi="仿宋" w:eastAsia="仿宋" w:cs="仿宋"/>
          <w:snapToGrid/>
          <w:color w:val="auto"/>
          <w:spacing w:val="0"/>
          <w:kern w:val="0"/>
          <w:sz w:val="24"/>
          <w:szCs w:val="24"/>
          <w:highlight w:val="none"/>
          <w:lang w:val="en-US" w:eastAsia="zh-CN"/>
        </w:rPr>
        <w:t>并</w:t>
      </w:r>
      <w:r>
        <w:rPr>
          <w:rFonts w:hint="eastAsia" w:ascii="仿宋" w:hAnsi="仿宋" w:eastAsia="仿宋" w:cs="仿宋"/>
          <w:snapToGrid/>
          <w:color w:val="auto"/>
          <w:spacing w:val="0"/>
          <w:kern w:val="0"/>
          <w:sz w:val="24"/>
          <w:szCs w:val="24"/>
          <w:highlight w:val="none"/>
        </w:rPr>
        <w:t>经</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认可</w:t>
      </w:r>
      <w:r>
        <w:rPr>
          <w:rFonts w:hint="eastAsia" w:ascii="仿宋" w:hAnsi="仿宋" w:eastAsia="仿宋" w:cs="仿宋"/>
          <w:snapToGrid/>
          <w:color w:val="auto"/>
          <w:spacing w:val="0"/>
          <w:kern w:val="0"/>
          <w:sz w:val="24"/>
          <w:szCs w:val="24"/>
          <w:highlight w:val="none"/>
          <w:lang w:eastAsia="zh-CN"/>
        </w:rPr>
        <w:t>。</w:t>
      </w:r>
      <w:r>
        <w:rPr>
          <w:rFonts w:hint="eastAsia" w:ascii="仿宋" w:hAnsi="仿宋" w:eastAsia="仿宋" w:cs="仿宋"/>
          <w:snapToGrid/>
          <w:color w:val="auto"/>
          <w:spacing w:val="0"/>
          <w:kern w:val="0"/>
          <w:sz w:val="24"/>
          <w:szCs w:val="24"/>
          <w:highlight w:val="none"/>
        </w:rPr>
        <w:t>确保及时发现所养护各类路灯设施（含路灯灯具、光源、电器、基础、线缆、路灯井、配电箱、变压器等）的安全缺陷，</w:t>
      </w:r>
      <w:r>
        <w:rPr>
          <w:rFonts w:hint="eastAsia" w:ascii="仿宋" w:hAnsi="仿宋" w:eastAsia="仿宋" w:cs="仿宋"/>
          <w:snapToGrid/>
          <w:color w:val="auto"/>
          <w:spacing w:val="0"/>
          <w:kern w:val="0"/>
          <w:sz w:val="24"/>
          <w:szCs w:val="24"/>
          <w:highlight w:val="none"/>
          <w:lang w:val="en-US" w:eastAsia="zh-CN"/>
        </w:rPr>
        <w:t>避免</w:t>
      </w:r>
      <w:r>
        <w:rPr>
          <w:rFonts w:hint="eastAsia" w:ascii="仿宋" w:hAnsi="仿宋" w:eastAsia="仿宋" w:cs="仿宋"/>
          <w:snapToGrid/>
          <w:color w:val="auto"/>
          <w:spacing w:val="0"/>
          <w:kern w:val="0"/>
          <w:sz w:val="24"/>
          <w:szCs w:val="24"/>
          <w:highlight w:val="none"/>
        </w:rPr>
        <w:t>发生安全责任事故。若发生与此相关的安全事故和居民治安纠纷事件，涉及的一切法律和经济责任均由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承担，</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概不负责。要求每天配备专职巡检队伍，负责所养护设施的日常巡检和应急处置工作，如因</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养护管理巡检不及时、不到位或者养护管理缺陷等原因造成安全事故、损害或者对第三方人身、财产造成损害的，由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承担全部责任。</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（5）施工现场临时通水、通电由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自行解决，费用自理。</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（6）</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在</w:t>
      </w:r>
      <w:r>
        <w:rPr>
          <w:rFonts w:hint="eastAsia" w:ascii="仿宋" w:hAnsi="仿宋" w:eastAsia="仿宋" w:cs="仿宋"/>
          <w:snapToGrid/>
          <w:color w:val="auto"/>
          <w:spacing w:val="0"/>
          <w:kern w:val="0"/>
          <w:sz w:val="24"/>
          <w:szCs w:val="24"/>
          <w:highlight w:val="none"/>
          <w:lang w:val="en-US" w:eastAsia="zh-CN"/>
        </w:rPr>
        <w:t>合同履行</w:t>
      </w:r>
      <w:r>
        <w:rPr>
          <w:rFonts w:hint="eastAsia" w:ascii="仿宋" w:hAnsi="仿宋" w:eastAsia="仿宋" w:cs="仿宋"/>
          <w:snapToGrid/>
          <w:color w:val="auto"/>
          <w:spacing w:val="0"/>
          <w:kern w:val="0"/>
          <w:sz w:val="24"/>
          <w:szCs w:val="24"/>
          <w:highlight w:val="none"/>
        </w:rPr>
        <w:t>过程中，除城市道路照明设施的用电外，其它诸如广告、节日灯饰等非用于城市道路照明设施的用电，未经</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同意，不得擅自接驳线路，一经发现有擅自接驳线路现象，</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需承担相应损失，并扣减当月考核分。情节严重的，</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将终止合同，并全额扣除履约保证金。</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（7）在养护过程中，对无法使用的灯具、光源、电器，更换时品牌的选择应与原使用品牌相同。对无法采购到的光源、电器，经</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同意后可采用不低于同类光源、电器标准的其他品牌，相关费用由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自行承担。</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（8）因养护范围区域内的交通流量非常大，</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必须无偿做好施工期间同有关交通组织方案相关的工作，确保市民群众的正常生活与工作。文明施工程度必须符合相关规定及</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要求。</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（9）在</w:t>
      </w:r>
      <w:r>
        <w:rPr>
          <w:rFonts w:hint="eastAsia" w:ascii="仿宋" w:hAnsi="仿宋" w:eastAsia="仿宋" w:cs="仿宋"/>
          <w:snapToGrid/>
          <w:color w:val="auto"/>
          <w:spacing w:val="0"/>
          <w:kern w:val="0"/>
          <w:sz w:val="24"/>
          <w:szCs w:val="24"/>
          <w:highlight w:val="none"/>
          <w:lang w:val="en-US" w:eastAsia="zh-CN"/>
        </w:rPr>
        <w:t>合同履行</w:t>
      </w:r>
      <w:r>
        <w:rPr>
          <w:rFonts w:hint="eastAsia" w:ascii="仿宋" w:hAnsi="仿宋" w:eastAsia="仿宋" w:cs="仿宋"/>
          <w:snapToGrid/>
          <w:color w:val="auto"/>
          <w:spacing w:val="0"/>
          <w:kern w:val="0"/>
          <w:sz w:val="24"/>
          <w:szCs w:val="24"/>
          <w:highlight w:val="none"/>
        </w:rPr>
        <w:t>过程中，</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将视工程特点</w:t>
      </w:r>
      <w:r>
        <w:rPr>
          <w:rFonts w:hint="eastAsia" w:ascii="仿宋" w:hAnsi="仿宋" w:eastAsia="仿宋" w:cs="仿宋"/>
          <w:snapToGrid/>
          <w:color w:val="auto"/>
          <w:spacing w:val="0"/>
          <w:kern w:val="0"/>
          <w:sz w:val="24"/>
          <w:szCs w:val="24"/>
          <w:highlight w:val="none"/>
          <w:lang w:eastAsia="zh-CN"/>
        </w:rPr>
        <w:t>，</w:t>
      </w:r>
      <w:r>
        <w:rPr>
          <w:rFonts w:hint="eastAsia" w:ascii="仿宋" w:hAnsi="仿宋" w:eastAsia="仿宋" w:cs="仿宋"/>
          <w:snapToGrid/>
          <w:color w:val="auto"/>
          <w:spacing w:val="0"/>
          <w:kern w:val="0"/>
          <w:sz w:val="24"/>
          <w:szCs w:val="24"/>
          <w:highlight w:val="none"/>
        </w:rPr>
        <w:t>要求</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对一些工程的建筑材料、构配件进行检验试验，相关的检验试验费用由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承担。</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（10）</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必须无偿做好与其他管线单位的配合工作。</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（11）</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须编制详细的施工组织措施及养护方案，养护方案应包括合理的人员配备、规章制度、养护措施、安全文明施工措施及应急处理预案等相关内容，报</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签字、认可后方可施工。</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（12）</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应实施严格的各类安全防护措施，切实做好安民告示，设置必要的施工警戒标志，线杆保护措施，制定保障附近工厂正常经营活动和居民出行安全畅通的保证措施，做好电源电线安全保护措施，并对养管范围内的安全负责，接受</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现场代表对安全措施的监督。</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在养护期间，若发生与本工程相关的安全事故和居民治安纠纷事件，涉及的一切法律和经济责任均由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承担，</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概不负责。</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（13）在养护区域内，对于任何未经审批的施工（除日常正常养护工作外，如线路迁改、管道开挖等）以及各种人为损坏行为，</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应进行有效的制止并及时上报</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，巡查中未能及时发现的应由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及时更换或维修，并承担相关费用，该费用由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自行解决。</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（14）接收到的“数字城管单”数量作为考核依据，</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可做出相应处罚。</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w:t>
      </w:r>
      <w:r>
        <w:rPr>
          <w:rFonts w:hint="eastAsia" w:ascii="仿宋" w:hAnsi="仿宋" w:eastAsia="仿宋" w:cs="仿宋"/>
          <w:snapToGrid/>
          <w:color w:val="auto"/>
          <w:spacing w:val="0"/>
          <w:kern w:val="0"/>
          <w:sz w:val="24"/>
          <w:szCs w:val="24"/>
          <w:highlight w:val="none"/>
          <w:lang w:val="en-US" w:eastAsia="zh-CN"/>
        </w:rPr>
        <w:t>5</w:t>
      </w:r>
      <w:r>
        <w:rPr>
          <w:rFonts w:hint="eastAsia" w:ascii="仿宋" w:hAnsi="仿宋" w:eastAsia="仿宋" w:cs="仿宋"/>
          <w:snapToGrid/>
          <w:color w:val="auto"/>
          <w:spacing w:val="0"/>
          <w:kern w:val="0"/>
          <w:sz w:val="24"/>
          <w:szCs w:val="24"/>
          <w:highlight w:val="none"/>
        </w:rPr>
        <w:t>）</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需建立工作日志（含巡检记录、养护维修情况，文字、照片等形式），在微信群、QQ群向</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报告每日工作情况并由</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抽检，制作季度资料上交于</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养护科，年底以U盘、光盘等形式交由</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保管。</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w:t>
      </w:r>
      <w:r>
        <w:rPr>
          <w:rFonts w:hint="eastAsia" w:ascii="仿宋" w:hAnsi="仿宋" w:eastAsia="仿宋" w:cs="仿宋"/>
          <w:snapToGrid/>
          <w:color w:val="auto"/>
          <w:spacing w:val="0"/>
          <w:kern w:val="0"/>
          <w:sz w:val="24"/>
          <w:szCs w:val="24"/>
          <w:highlight w:val="none"/>
          <w:lang w:val="en-US" w:eastAsia="zh-CN"/>
        </w:rPr>
        <w:t>6</w:t>
      </w:r>
      <w:r>
        <w:rPr>
          <w:rFonts w:hint="eastAsia" w:ascii="仿宋" w:hAnsi="仿宋" w:eastAsia="仿宋" w:cs="仿宋"/>
          <w:snapToGrid/>
          <w:color w:val="auto"/>
          <w:spacing w:val="0"/>
          <w:kern w:val="0"/>
          <w:sz w:val="24"/>
          <w:szCs w:val="24"/>
          <w:highlight w:val="none"/>
        </w:rPr>
        <w:t>）其中对于部分路灯仍然处于质保期内的，出现问题时</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无需修理但必须及时在巡检过程中发现问题及时上报给</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w:t>
      </w:r>
    </w:p>
    <w:p>
      <w:pPr>
        <w:pStyle w:val="15"/>
        <w:widowControl w:val="0"/>
        <w:spacing w:line="300" w:lineRule="auto"/>
        <w:ind w:firstLine="480" w:firstLineChars="200"/>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rPr>
        <w:t>（1</w:t>
      </w:r>
      <w:r>
        <w:rPr>
          <w:rFonts w:hint="eastAsia" w:ascii="仿宋" w:hAnsi="仿宋" w:eastAsia="仿宋" w:cs="仿宋"/>
          <w:snapToGrid/>
          <w:color w:val="auto"/>
          <w:spacing w:val="0"/>
          <w:kern w:val="0"/>
          <w:sz w:val="24"/>
          <w:szCs w:val="24"/>
          <w:highlight w:val="none"/>
          <w:lang w:val="en-US" w:eastAsia="zh-CN"/>
        </w:rPr>
        <w:t>7</w:t>
      </w:r>
      <w:r>
        <w:rPr>
          <w:rFonts w:hint="eastAsia" w:ascii="仿宋" w:hAnsi="仿宋" w:eastAsia="仿宋" w:cs="仿宋"/>
          <w:snapToGrid/>
          <w:color w:val="auto"/>
          <w:spacing w:val="0"/>
          <w:kern w:val="0"/>
          <w:sz w:val="24"/>
          <w:szCs w:val="24"/>
          <w:highlight w:val="none"/>
        </w:rPr>
        <w:t>）在养护过程中出现以下问题：①群众投诉并经查实的；②职责范围内却由数字城管上报的；③上级领导巡检过程中发现的问题；④媒体报道的负面问题的</w:t>
      </w:r>
      <w:r>
        <w:rPr>
          <w:rFonts w:hint="eastAsia" w:ascii="仿宋" w:hAnsi="仿宋" w:eastAsia="仿宋" w:cs="仿宋"/>
          <w:snapToGrid/>
          <w:color w:val="auto"/>
          <w:spacing w:val="0"/>
          <w:kern w:val="0"/>
          <w:sz w:val="24"/>
          <w:szCs w:val="24"/>
          <w:highlight w:val="none"/>
          <w:lang w:eastAsia="zh-CN"/>
        </w:rPr>
        <w:t>；</w:t>
      </w:r>
      <w:r>
        <w:rPr>
          <w:rFonts w:hint="eastAsia" w:ascii="仿宋" w:hAnsi="仿宋" w:eastAsia="仿宋" w:cs="仿宋"/>
          <w:snapToGrid/>
          <w:color w:val="auto"/>
          <w:spacing w:val="0"/>
          <w:kern w:val="0"/>
          <w:sz w:val="24"/>
          <w:szCs w:val="24"/>
          <w:highlight w:val="none"/>
        </w:rPr>
        <w:t>视为</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日常巡检工作不合格，</w:t>
      </w:r>
      <w:r>
        <w:rPr>
          <w:rFonts w:hint="eastAsia" w:ascii="仿宋" w:hAnsi="仿宋" w:eastAsia="仿宋" w:cs="仿宋"/>
          <w:snapToGrid/>
          <w:color w:val="auto"/>
          <w:spacing w:val="0"/>
          <w:kern w:val="0"/>
          <w:sz w:val="24"/>
          <w:szCs w:val="24"/>
          <w:highlight w:val="none"/>
          <w:lang w:val="en-US" w:eastAsia="zh-CN"/>
        </w:rPr>
        <w:t>采购人</w:t>
      </w:r>
      <w:r>
        <w:rPr>
          <w:rFonts w:hint="eastAsia" w:ascii="仿宋" w:hAnsi="仿宋" w:eastAsia="仿宋" w:cs="仿宋"/>
          <w:snapToGrid/>
          <w:color w:val="auto"/>
          <w:spacing w:val="0"/>
          <w:kern w:val="0"/>
          <w:sz w:val="24"/>
          <w:szCs w:val="24"/>
          <w:highlight w:val="none"/>
        </w:rPr>
        <w:t>将做出相应处罚。</w:t>
      </w:r>
    </w:p>
    <w:p>
      <w:pPr>
        <w:ind w:firstLine="480" w:firstLineChars="200"/>
        <w:rPr>
          <w:rFonts w:hint="eastAsia" w:ascii="仿宋" w:hAnsi="仿宋" w:eastAsia="仿宋" w:cs="仿宋"/>
          <w:color w:val="auto"/>
          <w:spacing w:val="0"/>
          <w:sz w:val="24"/>
          <w:szCs w:val="24"/>
          <w:highlight w:val="none"/>
          <w:lang w:val="en-US" w:eastAsia="zh-CN"/>
        </w:rPr>
      </w:pPr>
      <w:r>
        <w:rPr>
          <w:rFonts w:hint="eastAsia" w:ascii="仿宋" w:hAnsi="仿宋" w:cs="仿宋"/>
          <w:color w:val="auto"/>
          <w:spacing w:val="0"/>
          <w:sz w:val="24"/>
          <w:szCs w:val="24"/>
          <w:highlight w:val="none"/>
          <w:lang w:eastAsia="zh-CN"/>
        </w:rPr>
        <w:t>（</w:t>
      </w:r>
      <w:r>
        <w:rPr>
          <w:rFonts w:hint="eastAsia" w:ascii="仿宋" w:hAnsi="仿宋" w:cs="仿宋"/>
          <w:color w:val="auto"/>
          <w:spacing w:val="0"/>
          <w:sz w:val="24"/>
          <w:szCs w:val="24"/>
          <w:highlight w:val="none"/>
          <w:lang w:val="en-US" w:eastAsia="zh-CN"/>
        </w:rPr>
        <w:t>18</w:t>
      </w:r>
      <w:r>
        <w:rPr>
          <w:rFonts w:hint="eastAsia" w:ascii="仿宋" w:hAnsi="仿宋" w:cs="仿宋"/>
          <w:color w:val="auto"/>
          <w:spacing w:val="0"/>
          <w:sz w:val="24"/>
          <w:szCs w:val="24"/>
          <w:highlight w:val="none"/>
          <w:lang w:eastAsia="zh-CN"/>
        </w:rPr>
        <w:t>）</w:t>
      </w:r>
      <w:r>
        <w:rPr>
          <w:rFonts w:hint="eastAsia" w:cs="仿宋"/>
          <w:color w:val="auto"/>
          <w:spacing w:val="0"/>
          <w:sz w:val="24"/>
          <w:szCs w:val="24"/>
          <w:highlight w:val="none"/>
          <w:lang w:val="en-US" w:eastAsia="zh-CN"/>
        </w:rPr>
        <w:t>中标人</w:t>
      </w:r>
      <w:r>
        <w:rPr>
          <w:rFonts w:hint="eastAsia" w:ascii="仿宋" w:hAnsi="仿宋" w:cs="仿宋"/>
          <w:color w:val="auto"/>
          <w:spacing w:val="0"/>
          <w:sz w:val="24"/>
          <w:szCs w:val="24"/>
          <w:highlight w:val="none"/>
          <w:lang w:val="en-US" w:eastAsia="zh-CN"/>
        </w:rPr>
        <w:t>应配备满足本项目养护要求机械设备，检查检测工具。</w:t>
      </w:r>
    </w:p>
    <w:p>
      <w:pPr>
        <w:rPr>
          <w:rFonts w:hint="eastAsia" w:ascii="仿宋" w:hAnsi="仿宋" w:eastAsia="仿宋" w:cs="仿宋"/>
          <w:color w:val="auto"/>
          <w:spacing w:val="0"/>
          <w:sz w:val="24"/>
          <w:szCs w:val="24"/>
          <w:highlight w:val="none"/>
        </w:rPr>
      </w:pPr>
      <w:r>
        <w:rPr>
          <w:rFonts w:hint="eastAsia" w:cs="仿宋"/>
          <w:b w:val="0"/>
          <w:bCs w:val="0"/>
          <w:color w:val="auto"/>
          <w:spacing w:val="0"/>
          <w:sz w:val="24"/>
          <w:szCs w:val="24"/>
          <w:highlight w:val="none"/>
          <w:lang w:val="en-US" w:eastAsia="zh-CN"/>
        </w:rPr>
        <w:t>（三）</w:t>
      </w:r>
      <w:r>
        <w:rPr>
          <w:rFonts w:hint="eastAsia" w:ascii="仿宋" w:hAnsi="仿宋" w:cs="仿宋"/>
          <w:b w:val="0"/>
          <w:bCs w:val="0"/>
          <w:color w:val="auto"/>
          <w:spacing w:val="0"/>
          <w:sz w:val="24"/>
          <w:szCs w:val="24"/>
          <w:highlight w:val="none"/>
          <w:lang w:val="en-US" w:eastAsia="zh-CN"/>
        </w:rPr>
        <w:t>其他要求</w:t>
      </w:r>
    </w:p>
    <w:p>
      <w:pPr>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color w:val="auto"/>
          <w:spacing w:val="0"/>
          <w:sz w:val="24"/>
          <w:szCs w:val="24"/>
          <w:highlight w:val="none"/>
        </w:rPr>
      </w:pPr>
      <w:r>
        <w:rPr>
          <w:rFonts w:hint="eastAsia" w:cs="仿宋"/>
          <w:color w:val="auto"/>
          <w:spacing w:val="0"/>
          <w:sz w:val="24"/>
          <w:szCs w:val="24"/>
          <w:highlight w:val="none"/>
          <w:lang w:eastAsia="zh-CN"/>
        </w:rPr>
        <w:t>（</w:t>
      </w:r>
      <w:r>
        <w:rPr>
          <w:rFonts w:hint="eastAsia" w:cs="仿宋"/>
          <w:color w:val="auto"/>
          <w:spacing w:val="0"/>
          <w:sz w:val="24"/>
          <w:szCs w:val="24"/>
          <w:highlight w:val="none"/>
          <w:lang w:val="en-US" w:eastAsia="zh-CN"/>
        </w:rPr>
        <w:t>1</w:t>
      </w:r>
      <w:r>
        <w:rPr>
          <w:rFonts w:hint="eastAsia" w:cs="仿宋"/>
          <w:color w:val="auto"/>
          <w:spacing w:val="0"/>
          <w:sz w:val="24"/>
          <w:szCs w:val="24"/>
          <w:highlight w:val="none"/>
          <w:lang w:eastAsia="zh-CN"/>
        </w:rPr>
        <w:t>）</w:t>
      </w:r>
      <w:r>
        <w:rPr>
          <w:rFonts w:hint="eastAsia" w:cs="仿宋"/>
          <w:color w:val="auto"/>
          <w:spacing w:val="0"/>
          <w:sz w:val="24"/>
          <w:szCs w:val="24"/>
          <w:highlight w:val="none"/>
          <w:lang w:val="en-US" w:eastAsia="zh-CN"/>
        </w:rPr>
        <w:t>中标人</w:t>
      </w:r>
      <w:r>
        <w:rPr>
          <w:rFonts w:hint="eastAsia" w:ascii="仿宋" w:hAnsi="仿宋" w:eastAsia="仿宋" w:cs="仿宋"/>
          <w:color w:val="auto"/>
          <w:spacing w:val="0"/>
          <w:sz w:val="24"/>
          <w:szCs w:val="24"/>
          <w:highlight w:val="none"/>
        </w:rPr>
        <w:t>应做好职责范围内的养护工作，并及时完成好</w:t>
      </w:r>
      <w:r>
        <w:rPr>
          <w:rFonts w:hint="eastAsia" w:cs="仿宋"/>
          <w:color w:val="auto"/>
          <w:spacing w:val="0"/>
          <w:sz w:val="24"/>
          <w:szCs w:val="24"/>
          <w:highlight w:val="none"/>
          <w:lang w:val="en-US" w:eastAsia="zh-CN"/>
        </w:rPr>
        <w:t>采购人</w:t>
      </w:r>
      <w:r>
        <w:rPr>
          <w:rFonts w:hint="eastAsia" w:ascii="仿宋" w:hAnsi="仿宋" w:eastAsia="仿宋" w:cs="仿宋"/>
          <w:color w:val="auto"/>
          <w:spacing w:val="0"/>
          <w:sz w:val="24"/>
          <w:szCs w:val="24"/>
          <w:highlight w:val="none"/>
        </w:rPr>
        <w:t>交办的其他工作。</w:t>
      </w:r>
    </w:p>
    <w:p>
      <w:pPr>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color w:val="auto"/>
          <w:spacing w:val="0"/>
          <w:sz w:val="24"/>
          <w:szCs w:val="24"/>
          <w:highlight w:val="none"/>
        </w:rPr>
      </w:pPr>
      <w:r>
        <w:rPr>
          <w:rFonts w:hint="eastAsia" w:cs="仿宋"/>
          <w:color w:val="auto"/>
          <w:spacing w:val="0"/>
          <w:sz w:val="24"/>
          <w:szCs w:val="24"/>
          <w:highlight w:val="none"/>
          <w:lang w:eastAsia="zh-CN"/>
        </w:rPr>
        <w:t>（</w:t>
      </w:r>
      <w:r>
        <w:rPr>
          <w:rFonts w:hint="eastAsia" w:cs="仿宋"/>
          <w:color w:val="auto"/>
          <w:spacing w:val="0"/>
          <w:sz w:val="24"/>
          <w:szCs w:val="24"/>
          <w:highlight w:val="none"/>
          <w:lang w:val="en-US" w:eastAsia="zh-CN"/>
        </w:rPr>
        <w:t>2</w:t>
      </w:r>
      <w:r>
        <w:rPr>
          <w:rFonts w:hint="eastAsia" w:cs="仿宋"/>
          <w:color w:val="auto"/>
          <w:spacing w:val="0"/>
          <w:sz w:val="24"/>
          <w:szCs w:val="24"/>
          <w:highlight w:val="none"/>
          <w:lang w:eastAsia="zh-CN"/>
        </w:rPr>
        <w:t>）</w:t>
      </w:r>
      <w:r>
        <w:rPr>
          <w:rFonts w:hint="eastAsia" w:cs="仿宋"/>
          <w:color w:val="auto"/>
          <w:spacing w:val="0"/>
          <w:sz w:val="24"/>
          <w:szCs w:val="24"/>
          <w:highlight w:val="none"/>
          <w:lang w:val="en-US" w:eastAsia="zh-CN"/>
        </w:rPr>
        <w:t>中标人</w:t>
      </w:r>
      <w:r>
        <w:rPr>
          <w:rFonts w:hint="eastAsia" w:ascii="仿宋" w:hAnsi="仿宋" w:eastAsia="仿宋" w:cs="仿宋"/>
          <w:color w:val="auto"/>
          <w:spacing w:val="0"/>
          <w:sz w:val="24"/>
          <w:szCs w:val="24"/>
          <w:highlight w:val="none"/>
        </w:rPr>
        <w:t>应协助</w:t>
      </w:r>
      <w:r>
        <w:rPr>
          <w:rFonts w:hint="eastAsia" w:cs="仿宋"/>
          <w:color w:val="auto"/>
          <w:spacing w:val="0"/>
          <w:sz w:val="24"/>
          <w:szCs w:val="24"/>
          <w:highlight w:val="none"/>
          <w:lang w:eastAsia="zh-CN"/>
        </w:rPr>
        <w:t>采购人</w:t>
      </w:r>
      <w:r>
        <w:rPr>
          <w:rFonts w:hint="eastAsia" w:ascii="仿宋" w:hAnsi="仿宋" w:eastAsia="仿宋" w:cs="仿宋"/>
          <w:color w:val="auto"/>
          <w:spacing w:val="0"/>
          <w:sz w:val="24"/>
          <w:szCs w:val="24"/>
          <w:highlight w:val="none"/>
        </w:rPr>
        <w:t>完成档案建设，资料收集、上报工作，协助</w:t>
      </w:r>
      <w:r>
        <w:rPr>
          <w:rFonts w:hint="eastAsia" w:cs="仿宋"/>
          <w:color w:val="auto"/>
          <w:spacing w:val="0"/>
          <w:sz w:val="24"/>
          <w:szCs w:val="24"/>
          <w:highlight w:val="none"/>
          <w:lang w:eastAsia="zh-CN"/>
        </w:rPr>
        <w:t>采购人</w:t>
      </w:r>
      <w:r>
        <w:rPr>
          <w:rFonts w:hint="eastAsia" w:ascii="仿宋" w:hAnsi="仿宋" w:eastAsia="仿宋" w:cs="仿宋"/>
          <w:color w:val="auto"/>
          <w:spacing w:val="0"/>
          <w:sz w:val="24"/>
          <w:szCs w:val="24"/>
          <w:highlight w:val="none"/>
        </w:rPr>
        <w:t>做好工程验收和移交工作。</w:t>
      </w:r>
      <w:r>
        <w:rPr>
          <w:rFonts w:hint="eastAsia" w:cs="仿宋"/>
          <w:color w:val="auto"/>
          <w:spacing w:val="0"/>
          <w:sz w:val="24"/>
          <w:szCs w:val="24"/>
          <w:highlight w:val="none"/>
          <w:lang w:val="en-US" w:eastAsia="zh-CN"/>
        </w:rPr>
        <w:t>中标人</w:t>
      </w:r>
      <w:r>
        <w:rPr>
          <w:rFonts w:hint="eastAsia" w:ascii="仿宋" w:hAnsi="仿宋" w:eastAsia="仿宋" w:cs="仿宋"/>
          <w:color w:val="auto"/>
          <w:spacing w:val="0"/>
          <w:sz w:val="24"/>
          <w:szCs w:val="24"/>
          <w:highlight w:val="none"/>
        </w:rPr>
        <w:t>应协助</w:t>
      </w:r>
      <w:r>
        <w:rPr>
          <w:rFonts w:hint="eastAsia" w:cs="仿宋"/>
          <w:color w:val="auto"/>
          <w:spacing w:val="0"/>
          <w:sz w:val="24"/>
          <w:szCs w:val="24"/>
          <w:highlight w:val="none"/>
          <w:lang w:eastAsia="zh-CN"/>
        </w:rPr>
        <w:t>采购人</w:t>
      </w:r>
      <w:r>
        <w:rPr>
          <w:rFonts w:hint="eastAsia" w:ascii="仿宋" w:hAnsi="仿宋" w:eastAsia="仿宋" w:cs="仿宋"/>
          <w:color w:val="auto"/>
          <w:spacing w:val="0"/>
          <w:sz w:val="24"/>
          <w:szCs w:val="24"/>
          <w:highlight w:val="none"/>
        </w:rPr>
        <w:t>做好养护工作所需的相关交通审批工作，并由丁方承担审批产生的相关费用。</w:t>
      </w:r>
    </w:p>
    <w:p>
      <w:pPr>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color w:val="auto"/>
          <w:spacing w:val="0"/>
          <w:sz w:val="24"/>
          <w:szCs w:val="24"/>
          <w:highlight w:val="none"/>
        </w:rPr>
      </w:pPr>
      <w:r>
        <w:rPr>
          <w:rFonts w:hint="eastAsia" w:cs="仿宋"/>
          <w:color w:val="auto"/>
          <w:spacing w:val="0"/>
          <w:sz w:val="24"/>
          <w:szCs w:val="24"/>
          <w:highlight w:val="none"/>
          <w:lang w:eastAsia="zh-CN"/>
        </w:rPr>
        <w:t>（</w:t>
      </w:r>
      <w:r>
        <w:rPr>
          <w:rFonts w:hint="eastAsia" w:cs="仿宋"/>
          <w:color w:val="auto"/>
          <w:spacing w:val="0"/>
          <w:sz w:val="24"/>
          <w:szCs w:val="24"/>
          <w:highlight w:val="none"/>
          <w:lang w:val="en-US" w:eastAsia="zh-CN"/>
        </w:rPr>
        <w:t>3</w:t>
      </w:r>
      <w:r>
        <w:rPr>
          <w:rFonts w:hint="eastAsia" w:cs="仿宋"/>
          <w:color w:val="auto"/>
          <w:spacing w:val="0"/>
          <w:sz w:val="24"/>
          <w:szCs w:val="24"/>
          <w:highlight w:val="none"/>
          <w:lang w:eastAsia="zh-CN"/>
        </w:rPr>
        <w:t>）</w:t>
      </w:r>
      <w:r>
        <w:rPr>
          <w:rFonts w:hint="eastAsia" w:cs="仿宋"/>
          <w:color w:val="auto"/>
          <w:spacing w:val="0"/>
          <w:sz w:val="24"/>
          <w:szCs w:val="24"/>
          <w:highlight w:val="none"/>
          <w:lang w:val="en-US" w:eastAsia="zh-CN"/>
        </w:rPr>
        <w:t>中标人</w:t>
      </w:r>
      <w:r>
        <w:rPr>
          <w:rFonts w:hint="eastAsia" w:ascii="仿宋" w:hAnsi="仿宋" w:eastAsia="仿宋" w:cs="仿宋"/>
          <w:color w:val="auto"/>
          <w:spacing w:val="0"/>
          <w:sz w:val="24"/>
          <w:szCs w:val="24"/>
          <w:highlight w:val="none"/>
        </w:rPr>
        <w:t>养护工作期间应做好质量、进度、成本、信息等方面工作的管控。</w:t>
      </w:r>
    </w:p>
    <w:p>
      <w:pPr>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color w:val="auto"/>
          <w:spacing w:val="0"/>
          <w:sz w:val="24"/>
          <w:szCs w:val="24"/>
          <w:highlight w:val="none"/>
        </w:rPr>
      </w:pPr>
      <w:r>
        <w:rPr>
          <w:rFonts w:hint="eastAsia" w:cs="仿宋"/>
          <w:bCs w:val="0"/>
          <w:color w:val="auto"/>
          <w:sz w:val="24"/>
          <w:szCs w:val="24"/>
          <w:highlight w:val="none"/>
          <w:lang w:val="en-US" w:eastAsia="zh-CN"/>
        </w:rPr>
        <w:t>（4）</w:t>
      </w:r>
      <w:r>
        <w:rPr>
          <w:rFonts w:hint="eastAsia" w:cs="仿宋"/>
          <w:color w:val="auto"/>
          <w:spacing w:val="0"/>
          <w:sz w:val="24"/>
          <w:szCs w:val="24"/>
          <w:highlight w:val="none"/>
          <w:lang w:val="en-US" w:eastAsia="zh-CN"/>
        </w:rPr>
        <w:t>中标人</w:t>
      </w:r>
      <w:r>
        <w:rPr>
          <w:rFonts w:hint="eastAsia" w:ascii="仿宋" w:hAnsi="仿宋" w:eastAsia="仿宋" w:cs="仿宋"/>
          <w:color w:val="auto"/>
          <w:spacing w:val="0"/>
          <w:sz w:val="24"/>
          <w:szCs w:val="24"/>
          <w:highlight w:val="none"/>
        </w:rPr>
        <w:t>认真贯彻落实有关安全施工的规章制度，严格遵守安全、文明施工的操作规程，完善相关措施等工作。</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b w:val="0"/>
          <w:bCs w:val="0"/>
          <w:snapToGrid/>
          <w:color w:val="auto"/>
          <w:spacing w:val="0"/>
          <w:kern w:val="0"/>
          <w:sz w:val="24"/>
          <w:szCs w:val="24"/>
          <w:highlight w:val="none"/>
        </w:rPr>
      </w:pPr>
      <w:r>
        <w:rPr>
          <w:rFonts w:hint="eastAsia" w:ascii="仿宋" w:hAnsi="仿宋" w:eastAsia="仿宋" w:cs="仿宋"/>
          <w:bCs w:val="0"/>
          <w:snapToGrid/>
          <w:color w:val="auto"/>
          <w:kern w:val="0"/>
          <w:sz w:val="24"/>
          <w:szCs w:val="24"/>
          <w:highlight w:val="none"/>
          <w:lang w:val="en-US" w:eastAsia="zh-CN"/>
        </w:rPr>
        <w:t>（5）</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实施时不得损坏周边公共设施、</w:t>
      </w:r>
      <w:r>
        <w:rPr>
          <w:rFonts w:hint="eastAsia" w:ascii="仿宋" w:hAnsi="仿宋" w:eastAsia="仿宋" w:cs="仿宋"/>
          <w:b w:val="0"/>
          <w:bCs w:val="0"/>
          <w:snapToGrid/>
          <w:color w:val="auto"/>
          <w:spacing w:val="0"/>
          <w:kern w:val="0"/>
          <w:sz w:val="24"/>
          <w:szCs w:val="24"/>
          <w:highlight w:val="none"/>
        </w:rPr>
        <w:t>周</w:t>
      </w:r>
      <w:r>
        <w:rPr>
          <w:rFonts w:hint="eastAsia" w:ascii="仿宋" w:hAnsi="仿宋" w:eastAsia="仿宋" w:cs="仿宋"/>
          <w:b w:val="0"/>
          <w:bCs w:val="0"/>
          <w:snapToGrid/>
          <w:color w:val="auto"/>
          <w:spacing w:val="0"/>
          <w:kern w:val="0"/>
          <w:sz w:val="24"/>
          <w:szCs w:val="24"/>
          <w:highlight w:val="none"/>
          <w:lang w:eastAsia="zh-CN"/>
        </w:rPr>
        <w:t>边</w:t>
      </w:r>
      <w:r>
        <w:rPr>
          <w:rFonts w:hint="eastAsia" w:ascii="仿宋" w:hAnsi="仿宋" w:eastAsia="仿宋" w:cs="仿宋"/>
          <w:b w:val="0"/>
          <w:bCs w:val="0"/>
          <w:snapToGrid/>
          <w:color w:val="auto"/>
          <w:spacing w:val="0"/>
          <w:kern w:val="0"/>
          <w:sz w:val="24"/>
          <w:szCs w:val="24"/>
          <w:highlight w:val="none"/>
        </w:rPr>
        <w:t>居民个人财物等。</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lang w:val="en-US" w:eastAsia="zh-CN"/>
        </w:rPr>
        <w:t>（6）工程实施开始到</w:t>
      </w:r>
      <w:r>
        <w:rPr>
          <w:rFonts w:hint="eastAsia" w:ascii="仿宋" w:hAnsi="仿宋" w:eastAsia="仿宋" w:cs="仿宋"/>
          <w:snapToGrid/>
          <w:color w:val="auto"/>
          <w:spacing w:val="0"/>
          <w:kern w:val="0"/>
          <w:sz w:val="24"/>
          <w:szCs w:val="24"/>
          <w:highlight w:val="none"/>
        </w:rPr>
        <w:t>工程竣工</w:t>
      </w:r>
      <w:r>
        <w:rPr>
          <w:rFonts w:hint="eastAsia" w:ascii="仿宋" w:hAnsi="仿宋" w:eastAsia="仿宋" w:cs="仿宋"/>
          <w:snapToGrid/>
          <w:color w:val="auto"/>
          <w:spacing w:val="0"/>
          <w:kern w:val="0"/>
          <w:sz w:val="24"/>
          <w:szCs w:val="24"/>
          <w:highlight w:val="none"/>
          <w:lang w:val="en-US" w:eastAsia="zh-CN"/>
        </w:rPr>
        <w:t>交</w:t>
      </w:r>
      <w:r>
        <w:rPr>
          <w:rFonts w:hint="eastAsia" w:ascii="仿宋" w:hAnsi="仿宋" w:eastAsia="仿宋" w:cs="仿宋"/>
          <w:snapToGrid/>
          <w:color w:val="auto"/>
          <w:spacing w:val="0"/>
          <w:kern w:val="0"/>
          <w:sz w:val="24"/>
          <w:szCs w:val="24"/>
          <w:highlight w:val="none"/>
        </w:rPr>
        <w:t>付期间内发生的与本工程有关的一切安全事故（该安全事故包括但不限于本工程或</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的工作人员施工期间导致第三人受到损害的事故）或居民治安纠纷，涉及的一切法律责任和经济责任均由</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自行承担，</w:t>
      </w:r>
      <w:r>
        <w:rPr>
          <w:rFonts w:hint="eastAsia" w:ascii="仿宋" w:hAnsi="仿宋" w:eastAsia="仿宋" w:cs="仿宋"/>
          <w:snapToGrid/>
          <w:color w:val="auto"/>
          <w:spacing w:val="0"/>
          <w:kern w:val="0"/>
          <w:sz w:val="24"/>
          <w:szCs w:val="24"/>
          <w:highlight w:val="none"/>
          <w:lang w:eastAsia="zh-CN"/>
        </w:rPr>
        <w:t>采购人</w:t>
      </w:r>
      <w:r>
        <w:rPr>
          <w:rFonts w:hint="eastAsia" w:ascii="仿宋" w:hAnsi="仿宋" w:eastAsia="仿宋" w:cs="仿宋"/>
          <w:snapToGrid/>
          <w:color w:val="auto"/>
          <w:spacing w:val="0"/>
          <w:kern w:val="0"/>
          <w:sz w:val="24"/>
          <w:szCs w:val="24"/>
          <w:highlight w:val="none"/>
        </w:rPr>
        <w:t>因此而受到损失的，有权向</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要求赔偿。</w:t>
      </w:r>
    </w:p>
    <w:p>
      <w:pPr>
        <w:pStyle w:val="15"/>
        <w:keepNext w:val="0"/>
        <w:keepLines w:val="0"/>
        <w:pageBreakBefore w:val="0"/>
        <w:widowControl w:val="0"/>
        <w:kinsoku/>
        <w:wordWrap/>
        <w:overflowPunct/>
        <w:topLinePunct w:val="0"/>
        <w:autoSpaceDE/>
        <w:autoSpaceDN/>
        <w:bidi w:val="0"/>
        <w:spacing w:line="300" w:lineRule="auto"/>
        <w:ind w:firstLine="480" w:firstLineChars="200"/>
        <w:textAlignment w:val="auto"/>
        <w:rPr>
          <w:rFonts w:hint="eastAsia" w:ascii="仿宋" w:hAnsi="仿宋" w:eastAsia="仿宋" w:cs="仿宋"/>
          <w:snapToGrid/>
          <w:color w:val="auto"/>
          <w:spacing w:val="0"/>
          <w:kern w:val="0"/>
          <w:sz w:val="24"/>
          <w:szCs w:val="24"/>
          <w:highlight w:val="none"/>
        </w:rPr>
      </w:pPr>
      <w:r>
        <w:rPr>
          <w:rFonts w:hint="eastAsia" w:ascii="仿宋" w:hAnsi="仿宋" w:eastAsia="仿宋" w:cs="仿宋"/>
          <w:snapToGrid/>
          <w:color w:val="auto"/>
          <w:spacing w:val="0"/>
          <w:kern w:val="0"/>
          <w:sz w:val="24"/>
          <w:szCs w:val="24"/>
          <w:highlight w:val="none"/>
          <w:lang w:eastAsia="zh-CN"/>
        </w:rPr>
        <w:t>（</w:t>
      </w:r>
      <w:r>
        <w:rPr>
          <w:rFonts w:hint="eastAsia" w:ascii="仿宋" w:hAnsi="仿宋" w:eastAsia="仿宋" w:cs="仿宋"/>
          <w:snapToGrid/>
          <w:color w:val="auto"/>
          <w:spacing w:val="0"/>
          <w:kern w:val="0"/>
          <w:sz w:val="24"/>
          <w:szCs w:val="24"/>
          <w:highlight w:val="none"/>
          <w:lang w:val="en-US" w:eastAsia="zh-CN"/>
        </w:rPr>
        <w:t>7</w:t>
      </w:r>
      <w:r>
        <w:rPr>
          <w:rFonts w:hint="eastAsia" w:ascii="仿宋" w:hAnsi="仿宋" w:eastAsia="仿宋" w:cs="仿宋"/>
          <w:snapToGrid/>
          <w:color w:val="auto"/>
          <w:spacing w:val="0"/>
          <w:kern w:val="0"/>
          <w:sz w:val="24"/>
          <w:szCs w:val="24"/>
          <w:highlight w:val="none"/>
          <w:lang w:eastAsia="zh-CN"/>
        </w:rPr>
        <w:t>）</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应按照与农民工依法约定的工资支付周期和具体支付日期支付工资，不得拖欠工人工资，因</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原因而引发劳动纠纷及劳动仲裁、诉讼的（包括但不限于拖欠工资、加班费、工伤工亡纠纷），</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应承担全部责任。认定为</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原因引起的，导致</w:t>
      </w:r>
      <w:r>
        <w:rPr>
          <w:rFonts w:hint="eastAsia" w:ascii="仿宋" w:hAnsi="仿宋" w:eastAsia="仿宋" w:cs="仿宋"/>
          <w:snapToGrid/>
          <w:color w:val="auto"/>
          <w:spacing w:val="0"/>
          <w:kern w:val="0"/>
          <w:sz w:val="24"/>
          <w:szCs w:val="24"/>
          <w:highlight w:val="none"/>
          <w:lang w:eastAsia="zh-CN"/>
        </w:rPr>
        <w:t>采购人</w:t>
      </w:r>
      <w:r>
        <w:rPr>
          <w:rFonts w:hint="eastAsia" w:ascii="仿宋" w:hAnsi="仿宋" w:eastAsia="仿宋" w:cs="仿宋"/>
          <w:snapToGrid/>
          <w:color w:val="auto"/>
          <w:spacing w:val="0"/>
          <w:kern w:val="0"/>
          <w:sz w:val="24"/>
          <w:szCs w:val="24"/>
          <w:highlight w:val="none"/>
        </w:rPr>
        <w:t>因此而被有关部门责令或判令承担法律责任或先行由</w:t>
      </w:r>
      <w:r>
        <w:rPr>
          <w:rFonts w:hint="eastAsia" w:ascii="仿宋" w:hAnsi="仿宋" w:eastAsia="仿宋" w:cs="仿宋"/>
          <w:snapToGrid/>
          <w:color w:val="auto"/>
          <w:spacing w:val="0"/>
          <w:kern w:val="0"/>
          <w:sz w:val="24"/>
          <w:szCs w:val="24"/>
          <w:highlight w:val="none"/>
          <w:lang w:eastAsia="zh-CN"/>
        </w:rPr>
        <w:t>采购人</w:t>
      </w:r>
      <w:r>
        <w:rPr>
          <w:rFonts w:hint="eastAsia" w:ascii="仿宋" w:hAnsi="仿宋" w:eastAsia="仿宋" w:cs="仿宋"/>
          <w:snapToGrid/>
          <w:color w:val="auto"/>
          <w:spacing w:val="0"/>
          <w:kern w:val="0"/>
          <w:sz w:val="24"/>
          <w:szCs w:val="24"/>
          <w:highlight w:val="none"/>
        </w:rPr>
        <w:t>支付有关费用的，则</w:t>
      </w:r>
      <w:r>
        <w:rPr>
          <w:rFonts w:hint="eastAsia" w:ascii="仿宋" w:hAnsi="仿宋" w:eastAsia="仿宋" w:cs="仿宋"/>
          <w:snapToGrid/>
          <w:color w:val="auto"/>
          <w:spacing w:val="0"/>
          <w:kern w:val="0"/>
          <w:sz w:val="24"/>
          <w:szCs w:val="24"/>
          <w:highlight w:val="none"/>
          <w:lang w:eastAsia="zh-CN"/>
        </w:rPr>
        <w:t>采购人</w:t>
      </w:r>
      <w:r>
        <w:rPr>
          <w:rFonts w:hint="eastAsia" w:ascii="仿宋" w:hAnsi="仿宋" w:eastAsia="仿宋" w:cs="仿宋"/>
          <w:snapToGrid/>
          <w:color w:val="auto"/>
          <w:spacing w:val="0"/>
          <w:kern w:val="0"/>
          <w:sz w:val="24"/>
          <w:szCs w:val="24"/>
          <w:highlight w:val="none"/>
        </w:rPr>
        <w:t>有权就所支付的费用或遭受的经济损失向</w:t>
      </w:r>
      <w:r>
        <w:rPr>
          <w:rFonts w:hint="eastAsia" w:ascii="仿宋" w:hAnsi="仿宋" w:eastAsia="仿宋" w:cs="仿宋"/>
          <w:snapToGrid/>
          <w:color w:val="auto"/>
          <w:spacing w:val="0"/>
          <w:kern w:val="0"/>
          <w:sz w:val="24"/>
          <w:szCs w:val="24"/>
          <w:highlight w:val="none"/>
          <w:lang w:val="en-US" w:eastAsia="zh-CN"/>
        </w:rPr>
        <w:t>中标人</w:t>
      </w:r>
      <w:r>
        <w:rPr>
          <w:rFonts w:hint="eastAsia" w:ascii="仿宋" w:hAnsi="仿宋" w:eastAsia="仿宋" w:cs="仿宋"/>
          <w:snapToGrid/>
          <w:color w:val="auto"/>
          <w:spacing w:val="0"/>
          <w:kern w:val="0"/>
          <w:sz w:val="24"/>
          <w:szCs w:val="24"/>
          <w:highlight w:val="none"/>
        </w:rPr>
        <w:t>追偿或直接从</w:t>
      </w:r>
      <w:r>
        <w:rPr>
          <w:rFonts w:hint="eastAsia" w:ascii="仿宋" w:hAnsi="仿宋" w:eastAsia="仿宋" w:cs="仿宋"/>
          <w:snapToGrid/>
          <w:color w:val="auto"/>
          <w:spacing w:val="0"/>
          <w:kern w:val="0"/>
          <w:sz w:val="24"/>
          <w:szCs w:val="24"/>
          <w:highlight w:val="none"/>
          <w:lang w:val="en-US" w:eastAsia="zh-CN"/>
        </w:rPr>
        <w:t>合同金额</w:t>
      </w:r>
      <w:r>
        <w:rPr>
          <w:rFonts w:hint="eastAsia" w:ascii="仿宋" w:hAnsi="仿宋" w:eastAsia="仿宋" w:cs="仿宋"/>
          <w:snapToGrid/>
          <w:color w:val="auto"/>
          <w:spacing w:val="0"/>
          <w:kern w:val="0"/>
          <w:sz w:val="24"/>
          <w:szCs w:val="24"/>
          <w:highlight w:val="none"/>
        </w:rPr>
        <w:t>中扣除。</w:t>
      </w:r>
    </w:p>
    <w:p>
      <w:pPr>
        <w:ind w:firstLine="480" w:firstLineChars="200"/>
        <w:rPr>
          <w:rFonts w:hint="eastAsia" w:cs="仿宋"/>
          <w:snapToGrid/>
          <w:color w:val="auto"/>
          <w:spacing w:val="0"/>
          <w:kern w:val="0"/>
          <w:sz w:val="24"/>
          <w:szCs w:val="24"/>
          <w:highlight w:val="none"/>
          <w:lang w:val="en-US" w:eastAsia="zh-CN"/>
        </w:rPr>
      </w:pPr>
      <w:r>
        <w:rPr>
          <w:rFonts w:hint="eastAsia" w:cs="仿宋"/>
          <w:snapToGrid/>
          <w:color w:val="auto"/>
          <w:spacing w:val="0"/>
          <w:kern w:val="0"/>
          <w:sz w:val="24"/>
          <w:szCs w:val="24"/>
          <w:highlight w:val="none"/>
          <w:lang w:val="en-US" w:eastAsia="zh-CN"/>
        </w:rPr>
        <w:t>（六）安全文明施工</w:t>
      </w:r>
    </w:p>
    <w:p>
      <w:pPr>
        <w:ind w:firstLine="480" w:firstLineChars="200"/>
        <w:rPr>
          <w:rFonts w:hint="eastAsia" w:cs="仿宋"/>
          <w:color w:val="auto"/>
          <w:highlight w:val="none"/>
        </w:rPr>
      </w:pPr>
      <w:r>
        <w:rPr>
          <w:rFonts w:hint="eastAsia" w:cs="仿宋"/>
          <w:color w:val="auto"/>
          <w:highlight w:val="none"/>
          <w:lang w:val="en-US" w:eastAsia="zh-CN"/>
        </w:rPr>
        <w:t>1</w:t>
      </w:r>
      <w:r>
        <w:rPr>
          <w:rFonts w:hint="eastAsia" w:cs="仿宋"/>
          <w:color w:val="auto"/>
          <w:highlight w:val="none"/>
        </w:rPr>
        <w:t>）为确保安全、文明施工，应该本着“安全第一，预防为主”的原则，建立安全管理组织体系,制订安全生产制度，定期开展安全生产培训，并做完整记录，项目应投入专职安全员 (持有认定安全员证书)负责安全管理；严格贯彻国家、省、市和劳动保护、安全生产部门颁发的有关安全生产、消防工作的方针、政策、法规、条例、规定等执行。</w:t>
      </w:r>
    </w:p>
    <w:p>
      <w:pPr>
        <w:ind w:firstLine="480" w:firstLineChars="200"/>
        <w:rPr>
          <w:rFonts w:hint="eastAsia" w:cs="仿宋"/>
          <w:color w:val="auto"/>
          <w:highlight w:val="none"/>
        </w:rPr>
      </w:pPr>
      <w:r>
        <w:rPr>
          <w:rFonts w:hint="eastAsia" w:cs="仿宋"/>
          <w:color w:val="auto"/>
          <w:highlight w:val="none"/>
          <w:lang w:val="en-US" w:eastAsia="zh-CN"/>
        </w:rPr>
        <w:t>2</w:t>
      </w:r>
      <w:r>
        <w:rPr>
          <w:rFonts w:hint="eastAsia" w:cs="仿宋"/>
          <w:color w:val="auto"/>
          <w:highlight w:val="none"/>
        </w:rPr>
        <w:t>）合同期间，</w:t>
      </w:r>
      <w:r>
        <w:rPr>
          <w:rFonts w:hint="eastAsia" w:cs="仿宋"/>
          <w:color w:val="auto"/>
          <w:highlight w:val="none"/>
          <w:lang w:val="en-US" w:eastAsia="zh-CN"/>
        </w:rPr>
        <w:t>采购人和中标人</w:t>
      </w:r>
      <w:r>
        <w:rPr>
          <w:rFonts w:hint="eastAsia" w:cs="仿宋"/>
          <w:color w:val="auto"/>
          <w:highlight w:val="none"/>
        </w:rPr>
        <w:t>应签订《</w:t>
      </w:r>
      <w:r>
        <w:rPr>
          <w:rFonts w:hint="eastAsia" w:cs="仿宋"/>
          <w:color w:val="auto"/>
          <w:highlight w:val="none"/>
          <w:lang w:val="en-US" w:eastAsia="zh-CN"/>
        </w:rPr>
        <w:t>施工养护</w:t>
      </w:r>
      <w:r>
        <w:rPr>
          <w:rFonts w:hint="eastAsia" w:cs="仿宋"/>
          <w:color w:val="auto"/>
          <w:highlight w:val="none"/>
        </w:rPr>
        <w:t>安全责任书》。由于</w:t>
      </w:r>
      <w:r>
        <w:rPr>
          <w:rFonts w:hint="eastAsia" w:cs="仿宋"/>
          <w:color w:val="auto"/>
          <w:highlight w:val="none"/>
          <w:lang w:val="en-US" w:eastAsia="zh-CN"/>
        </w:rPr>
        <w:t>中标人</w:t>
      </w:r>
      <w:r>
        <w:rPr>
          <w:rFonts w:hint="eastAsia" w:cs="仿宋"/>
          <w:color w:val="auto"/>
          <w:highlight w:val="none"/>
        </w:rPr>
        <w:t>安全措施不力、养护工作不到位、违反安全操作规程而导致责任事故或伤害，所发生的费用均由</w:t>
      </w:r>
      <w:r>
        <w:rPr>
          <w:rFonts w:hint="eastAsia" w:cs="仿宋"/>
          <w:color w:val="auto"/>
          <w:highlight w:val="none"/>
          <w:lang w:val="en-US" w:eastAsia="zh-CN"/>
        </w:rPr>
        <w:t>中标人</w:t>
      </w:r>
      <w:r>
        <w:rPr>
          <w:rFonts w:hint="eastAsia" w:cs="仿宋"/>
          <w:color w:val="auto"/>
          <w:highlight w:val="none"/>
        </w:rPr>
        <w:t>自负，</w:t>
      </w:r>
      <w:r>
        <w:rPr>
          <w:rFonts w:hint="eastAsia" w:cs="仿宋"/>
          <w:color w:val="auto"/>
          <w:highlight w:val="none"/>
          <w:lang w:val="en-US" w:eastAsia="zh-CN"/>
        </w:rPr>
        <w:t>采购人</w:t>
      </w:r>
      <w:r>
        <w:rPr>
          <w:rFonts w:hint="eastAsia" w:cs="仿宋"/>
          <w:color w:val="auto"/>
          <w:highlight w:val="none"/>
        </w:rPr>
        <w:t>保留追究责任的权利。</w:t>
      </w:r>
    </w:p>
    <w:p>
      <w:pPr>
        <w:ind w:firstLine="480" w:firstLineChars="200"/>
        <w:rPr>
          <w:rFonts w:hint="eastAsia" w:cs="仿宋"/>
          <w:color w:val="auto"/>
          <w:highlight w:val="none"/>
        </w:rPr>
      </w:pPr>
    </w:p>
    <w:p>
      <w:pPr>
        <w:pStyle w:val="2"/>
        <w:keepNext w:val="0"/>
        <w:keepLines w:val="0"/>
        <w:pageBreakBefore w:val="0"/>
        <w:widowControl/>
        <w:numPr>
          <w:ilvl w:val="0"/>
          <w:numId w:val="0"/>
        </w:numPr>
        <w:kinsoku/>
        <w:wordWrap/>
        <w:overflowPunct/>
        <w:topLinePunct w:val="0"/>
        <w:bidi w:val="0"/>
        <w:spacing w:after="0" w:line="288"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theme="majorBidi"/>
          <w:color w:val="auto"/>
          <w:spacing w:val="0"/>
          <w:sz w:val="24"/>
          <w:szCs w:val="24"/>
          <w:highlight w:val="none"/>
          <w:lang w:eastAsia="zh-CN"/>
        </w:rPr>
        <w:t>（</w:t>
      </w:r>
      <w:r>
        <w:rPr>
          <w:rFonts w:hint="eastAsia" w:ascii="仿宋" w:hAnsi="仿宋" w:eastAsia="仿宋" w:cstheme="majorBidi"/>
          <w:color w:val="auto"/>
          <w:spacing w:val="0"/>
          <w:sz w:val="24"/>
          <w:szCs w:val="24"/>
          <w:highlight w:val="none"/>
          <w:lang w:val="en-US" w:eastAsia="zh-CN"/>
        </w:rPr>
        <w:t>七</w:t>
      </w:r>
      <w:r>
        <w:rPr>
          <w:rFonts w:hint="eastAsia" w:ascii="仿宋" w:hAnsi="仿宋" w:eastAsia="仿宋" w:cstheme="majorBidi"/>
          <w:color w:val="auto"/>
          <w:spacing w:val="0"/>
          <w:sz w:val="24"/>
          <w:szCs w:val="24"/>
          <w:highlight w:val="none"/>
          <w:lang w:eastAsia="zh-CN"/>
        </w:rPr>
        <w:t>）</w:t>
      </w:r>
      <w:r>
        <w:rPr>
          <w:rFonts w:hint="eastAsia" w:ascii="仿宋" w:hAnsi="仿宋" w:eastAsia="仿宋" w:cs="仿宋"/>
          <w:b/>
          <w:bCs/>
          <w:color w:val="auto"/>
          <w:sz w:val="24"/>
          <w:szCs w:val="24"/>
          <w:highlight w:val="none"/>
        </w:rPr>
        <w:t>商务需求：</w:t>
      </w:r>
    </w:p>
    <w:p>
      <w:pPr>
        <w:keepNext w:val="0"/>
        <w:keepLines w:val="0"/>
        <w:pageBreakBefore w:val="0"/>
        <w:widowControl/>
        <w:kinsoku/>
        <w:wordWrap/>
        <w:overflowPunct/>
        <w:topLinePunct w:val="0"/>
        <w:autoSpaceDE w:val="0"/>
        <w:autoSpaceDN w:val="0"/>
        <w:bidi w:val="0"/>
        <w:adjustRightInd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报价要求</w:t>
      </w:r>
    </w:p>
    <w:p>
      <w:pPr>
        <w:keepNext w:val="0"/>
        <w:keepLines w:val="0"/>
        <w:pageBreakBefore w:val="0"/>
        <w:widowControl/>
        <w:kinsoku/>
        <w:wordWrap/>
        <w:overflowPunct/>
        <w:topLinePunct w:val="0"/>
        <w:bidi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1.报价以人民币填报。</w:t>
      </w:r>
    </w:p>
    <w:p>
      <w:pPr>
        <w:keepNext w:val="0"/>
        <w:keepLines w:val="0"/>
        <w:pageBreakBefore w:val="0"/>
        <w:widowControl/>
        <w:kinsoku/>
        <w:wordWrap/>
        <w:overflowPunct/>
        <w:topLinePunct w:val="0"/>
        <w:bidi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widowControl/>
        <w:kinsoku/>
        <w:wordWrap/>
        <w:overflowPunct/>
        <w:topLinePunct w:val="0"/>
        <w:bidi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3.本项目采购预算为</w:t>
      </w:r>
      <w:r>
        <w:rPr>
          <w:rFonts w:hint="eastAsia" w:cs="仿宋"/>
          <w:color w:val="auto"/>
          <w:sz w:val="24"/>
          <w:szCs w:val="24"/>
          <w:highlight w:val="none"/>
          <w:u w:val="single"/>
          <w:lang w:val="en-US" w:eastAsia="zh-CN"/>
        </w:rPr>
        <w:t>2060</w:t>
      </w:r>
      <w:r>
        <w:rPr>
          <w:rFonts w:hint="eastAsia" w:ascii="仿宋" w:hAnsi="仿宋" w:eastAsia="仿宋" w:cs="仿宋"/>
          <w:color w:val="auto"/>
          <w:sz w:val="24"/>
          <w:szCs w:val="24"/>
          <w:highlight w:val="none"/>
        </w:rPr>
        <w:t>万元/年。</w:t>
      </w:r>
    </w:p>
    <w:p>
      <w:pPr>
        <w:pStyle w:val="78"/>
        <w:keepNext w:val="0"/>
        <w:keepLines w:val="0"/>
        <w:pageBreakBefore w:val="0"/>
        <w:widowControl/>
        <w:kinsoku/>
        <w:wordWrap/>
        <w:overflowPunct/>
        <w:topLinePunct w:val="0"/>
        <w:bidi w:val="0"/>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rPr>
        <w:t>4.最高投标限价为</w:t>
      </w:r>
      <w:r>
        <w:rPr>
          <w:rFonts w:hint="eastAsia" w:ascii="仿宋" w:hAnsi="仿宋" w:eastAsia="仿宋" w:cs="仿宋"/>
          <w:color w:val="auto"/>
          <w:spacing w:val="0"/>
          <w:sz w:val="24"/>
          <w:szCs w:val="24"/>
          <w:highlight w:val="none"/>
          <w:u w:val="single"/>
          <w:lang w:val="en-US" w:eastAsia="zh-CN"/>
        </w:rPr>
        <w:t>2060</w:t>
      </w:r>
      <w:r>
        <w:rPr>
          <w:rFonts w:hint="eastAsia" w:ascii="仿宋" w:hAnsi="仿宋" w:eastAsia="仿宋" w:cs="仿宋"/>
          <w:color w:val="auto"/>
          <w:spacing w:val="0"/>
          <w:sz w:val="24"/>
          <w:szCs w:val="24"/>
          <w:highlight w:val="none"/>
        </w:rPr>
        <w:t>万元/年。</w:t>
      </w:r>
    </w:p>
    <w:p>
      <w:pPr>
        <w:keepNext w:val="0"/>
        <w:keepLines w:val="0"/>
        <w:pageBreakBefore w:val="0"/>
        <w:widowControl/>
        <w:kinsoku/>
        <w:wordWrap/>
        <w:overflowPunct/>
        <w:topLinePunct w:val="0"/>
        <w:autoSpaceDE w:val="0"/>
        <w:autoSpaceDN w:val="0"/>
        <w:bidi w:val="0"/>
        <w:adjustRightInd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）服务要求</w:t>
      </w:r>
    </w:p>
    <w:p>
      <w:pPr>
        <w:keepNext w:val="0"/>
        <w:keepLines w:val="0"/>
        <w:pageBreakBefore w:val="0"/>
        <w:widowControl/>
        <w:kinsoku/>
        <w:wordWrap/>
        <w:overflowPunct/>
        <w:topLinePunct w:val="0"/>
        <w:autoSpaceDE w:val="0"/>
        <w:autoSpaceDN w:val="0"/>
        <w:bidi w:val="0"/>
        <w:adjustRightInd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pacing w:val="0"/>
          <w:sz w:val="24"/>
          <w:szCs w:val="24"/>
          <w:highlight w:val="none"/>
          <w:lang w:val="en-US" w:eastAsia="zh-CN"/>
        </w:rPr>
        <w:t>▲</w:t>
      </w:r>
      <w:r>
        <w:rPr>
          <w:rFonts w:hint="eastAsia" w:ascii="仿宋" w:hAnsi="仿宋" w:eastAsia="仿宋" w:cs="仿宋"/>
          <w:color w:val="auto"/>
          <w:sz w:val="24"/>
          <w:szCs w:val="24"/>
          <w:highlight w:val="none"/>
        </w:rPr>
        <w:t>1.服务期限：</w:t>
      </w:r>
      <w:r>
        <w:rPr>
          <w:rFonts w:hint="eastAsia" w:ascii="仿宋" w:hAnsi="仿宋" w:eastAsia="仿宋" w:cs="仿宋"/>
          <w:color w:val="auto"/>
          <w:sz w:val="24"/>
          <w:szCs w:val="24"/>
          <w:highlight w:val="none"/>
          <w:u w:val="single"/>
          <w:lang w:val="en-US" w:eastAsia="zh-CN"/>
        </w:rPr>
        <w:t>十五</w:t>
      </w:r>
      <w:r>
        <w:rPr>
          <w:rFonts w:hint="eastAsia" w:ascii="仿宋" w:hAnsi="仿宋" w:eastAsia="仿宋" w:cs="仿宋"/>
          <w:color w:val="auto"/>
          <w:sz w:val="24"/>
          <w:szCs w:val="24"/>
          <w:highlight w:val="none"/>
        </w:rPr>
        <w:t>年</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具体情况以签订合同为准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w:t>
      </w:r>
    </w:p>
    <w:p>
      <w:pPr>
        <w:keepNext w:val="0"/>
        <w:keepLines w:val="0"/>
        <w:pageBreakBefore w:val="0"/>
        <w:widowControl/>
        <w:kinsoku/>
        <w:wordWrap/>
        <w:overflowPunct/>
        <w:topLinePunct w:val="0"/>
        <w:autoSpaceDE w:val="0"/>
        <w:autoSpaceDN w:val="0"/>
        <w:bidi w:val="0"/>
        <w:adjustRightInd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2.服务地点：萧山区。</w:t>
      </w:r>
    </w:p>
    <w:p>
      <w:pPr>
        <w:keepNext w:val="0"/>
        <w:keepLines w:val="0"/>
        <w:pageBreakBefore w:val="0"/>
        <w:widowControl w:val="0"/>
        <w:kinsoku/>
        <w:wordWrap/>
        <w:overflowPunct/>
        <w:topLinePunct w:val="0"/>
        <w:autoSpaceDE w:val="0"/>
        <w:autoSpaceDN w:val="0"/>
        <w:bidi w:val="0"/>
        <w:adjustRightInd w:val="0"/>
        <w:spacing w:after="0"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3.投标人要在充分了解本项目需求的基础上，提供详细的服务方案。</w:t>
      </w:r>
    </w:p>
    <w:p>
      <w:pPr>
        <w:keepNext w:val="0"/>
        <w:keepLines w:val="0"/>
        <w:pageBreakBefore w:val="0"/>
        <w:widowControl w:val="0"/>
        <w:kinsoku/>
        <w:wordWrap/>
        <w:overflowPunct/>
        <w:topLinePunct w:val="0"/>
        <w:autoSpaceDE w:val="0"/>
        <w:autoSpaceDN w:val="0"/>
        <w:bidi w:val="0"/>
        <w:adjustRightInd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）质量要求</w:t>
      </w:r>
    </w:p>
    <w:p>
      <w:pPr>
        <w:keepNext w:val="0"/>
        <w:keepLines w:val="0"/>
        <w:pageBreakBefore w:val="0"/>
        <w:widowControl w:val="0"/>
        <w:kinsoku/>
        <w:wordWrap/>
        <w:overflowPunct/>
        <w:topLinePunct w:val="0"/>
        <w:autoSpaceDE w:val="0"/>
        <w:autoSpaceDN w:val="0"/>
        <w:bidi w:val="0"/>
        <w:adjustRightInd w:val="0"/>
        <w:spacing w:after="0" w:line="288"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质量标准：达到招标文件规定的服务要求，及国家、地方和行业相关规范要求。</w:t>
      </w:r>
    </w:p>
    <w:p>
      <w:pPr>
        <w:keepNext w:val="0"/>
        <w:keepLines w:val="0"/>
        <w:pageBreakBefore w:val="0"/>
        <w:widowControl w:val="0"/>
        <w:kinsoku/>
        <w:wordWrap/>
        <w:overflowPunct/>
        <w:topLinePunct w:val="0"/>
        <w:bidi w:val="0"/>
        <w:snapToGrid w:val="0"/>
        <w:spacing w:after="0" w:line="288"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其他要求</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bookmarkStart w:id="4" w:name="_Toc6274"/>
      <w:r>
        <w:rPr>
          <w:rFonts w:hint="eastAsia" w:ascii="仿宋" w:hAnsi="仿宋" w:eastAsia="仿宋" w:cs="仿宋"/>
          <w:b w:val="0"/>
          <w:smallCaps w:val="0"/>
          <w:color w:val="auto"/>
          <w:sz w:val="24"/>
          <w:szCs w:val="24"/>
          <w:highlight w:val="none"/>
        </w:rPr>
        <w:t>1.本项目投入运行进入</w:t>
      </w:r>
      <w:r>
        <w:rPr>
          <w:rFonts w:hint="eastAsia" w:ascii="仿宋" w:hAnsi="仿宋" w:eastAsia="仿宋" w:cs="仿宋"/>
          <w:b w:val="0"/>
          <w:smallCaps w:val="0"/>
          <w:color w:val="auto"/>
          <w:sz w:val="24"/>
          <w:szCs w:val="24"/>
          <w:highlight w:val="none"/>
          <w:lang w:val="en-US" w:eastAsia="zh-CN"/>
        </w:rPr>
        <w:t>托管期</w:t>
      </w:r>
      <w:r>
        <w:rPr>
          <w:rFonts w:hint="eastAsia" w:ascii="仿宋" w:hAnsi="仿宋" w:eastAsia="仿宋" w:cs="仿宋"/>
          <w:b w:val="0"/>
          <w:smallCaps w:val="0"/>
          <w:color w:val="auto"/>
          <w:sz w:val="24"/>
          <w:szCs w:val="24"/>
          <w:highlight w:val="none"/>
        </w:rPr>
        <w:t>后，保障亮灯率达到9</w:t>
      </w:r>
      <w:r>
        <w:rPr>
          <w:rFonts w:hint="eastAsia" w:cs="仿宋"/>
          <w:b w:val="0"/>
          <w:smallCaps w:val="0"/>
          <w:color w:val="auto"/>
          <w:sz w:val="24"/>
          <w:szCs w:val="24"/>
          <w:highlight w:val="none"/>
          <w:lang w:val="en-US" w:eastAsia="zh-CN"/>
        </w:rPr>
        <w:t>8</w:t>
      </w:r>
      <w:r>
        <w:rPr>
          <w:rFonts w:hint="eastAsia" w:ascii="仿宋" w:hAnsi="仿宋" w:eastAsia="仿宋" w:cs="仿宋"/>
          <w:b w:val="0"/>
          <w:smallCaps w:val="0"/>
          <w:color w:val="auto"/>
          <w:sz w:val="24"/>
          <w:szCs w:val="24"/>
          <w:highlight w:val="none"/>
        </w:rPr>
        <w:t>%。</w:t>
      </w:r>
      <w:bookmarkEnd w:id="4"/>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2.</w:t>
      </w:r>
      <w:r>
        <w:rPr>
          <w:rFonts w:hint="eastAsia" w:ascii="仿宋" w:hAnsi="仿宋" w:eastAsia="仿宋" w:cs="仿宋"/>
          <w:b w:val="0"/>
          <w:smallCaps w:val="0"/>
          <w:color w:val="auto"/>
          <w:sz w:val="24"/>
          <w:szCs w:val="24"/>
          <w:highlight w:val="none"/>
          <w:lang w:val="en-US"/>
        </w:rPr>
        <w:t>中标人</w:t>
      </w:r>
      <w:r>
        <w:rPr>
          <w:rFonts w:hint="eastAsia" w:ascii="仿宋" w:hAnsi="仿宋" w:eastAsia="仿宋" w:cs="仿宋"/>
          <w:b w:val="0"/>
          <w:smallCaps w:val="0"/>
          <w:color w:val="auto"/>
          <w:sz w:val="24"/>
          <w:szCs w:val="24"/>
          <w:highlight w:val="none"/>
        </w:rPr>
        <w:t>在质量保证期内应当为采购人提供以下技术支持服务：</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lang w:val="en-US" w:eastAsia="zh-CN"/>
        </w:rPr>
        <w:t>2.1</w:t>
      </w:r>
      <w:r>
        <w:rPr>
          <w:rFonts w:hint="eastAsia" w:ascii="仿宋" w:hAnsi="仿宋" w:eastAsia="仿宋" w:cs="仿宋"/>
          <w:b w:val="0"/>
          <w:smallCaps w:val="0"/>
          <w:color w:val="auto"/>
          <w:sz w:val="24"/>
          <w:szCs w:val="24"/>
          <w:highlight w:val="none"/>
        </w:rPr>
        <w:t>合同期内因质量引起的损坏由</w:t>
      </w:r>
      <w:r>
        <w:rPr>
          <w:rFonts w:hint="eastAsia" w:ascii="仿宋" w:hAnsi="仿宋" w:eastAsia="仿宋" w:cs="仿宋"/>
          <w:b w:val="0"/>
          <w:smallCaps w:val="0"/>
          <w:color w:val="auto"/>
          <w:sz w:val="24"/>
          <w:szCs w:val="24"/>
          <w:highlight w:val="none"/>
          <w:lang w:val="en-US"/>
        </w:rPr>
        <w:t>中标人</w:t>
      </w:r>
      <w:r>
        <w:rPr>
          <w:rFonts w:hint="eastAsia" w:ascii="仿宋" w:hAnsi="仿宋" w:eastAsia="仿宋" w:cs="仿宋"/>
          <w:b w:val="0"/>
          <w:smallCaps w:val="0"/>
          <w:color w:val="auto"/>
          <w:sz w:val="24"/>
          <w:szCs w:val="24"/>
          <w:highlight w:val="none"/>
        </w:rPr>
        <w:t>无条件包换。</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lang w:val="en-US" w:eastAsia="zh-CN"/>
        </w:rPr>
        <w:t>2.2</w:t>
      </w:r>
      <w:r>
        <w:rPr>
          <w:rFonts w:hint="eastAsia" w:ascii="仿宋" w:hAnsi="仿宋" w:eastAsia="仿宋" w:cs="仿宋"/>
          <w:b w:val="0"/>
          <w:smallCaps w:val="0"/>
          <w:color w:val="auto"/>
          <w:sz w:val="24"/>
          <w:szCs w:val="24"/>
          <w:highlight w:val="none"/>
        </w:rPr>
        <w:t>电话咨询</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中标人应当为采购人提供技术援助电话，解答采购人在使用中遇到的问题，及时为采购人提出解决问题的建议。</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lang w:val="en-US" w:eastAsia="zh-CN"/>
        </w:rPr>
        <w:t>2.</w:t>
      </w:r>
      <w:r>
        <w:rPr>
          <w:rFonts w:hint="eastAsia" w:cs="仿宋"/>
          <w:b w:val="0"/>
          <w:smallCaps w:val="0"/>
          <w:color w:val="auto"/>
          <w:sz w:val="24"/>
          <w:szCs w:val="24"/>
          <w:highlight w:val="none"/>
          <w:lang w:val="en-US" w:eastAsia="zh-CN"/>
        </w:rPr>
        <w:t>3</w:t>
      </w:r>
      <w:r>
        <w:rPr>
          <w:rFonts w:hint="eastAsia" w:ascii="仿宋" w:hAnsi="仿宋" w:eastAsia="仿宋" w:cs="仿宋"/>
          <w:b w:val="0"/>
          <w:smallCaps w:val="0"/>
          <w:color w:val="auto"/>
          <w:sz w:val="24"/>
          <w:szCs w:val="24"/>
          <w:highlight w:val="none"/>
        </w:rPr>
        <w:t>质保期内产品经权威机构认定为不符合质量要求的，按合同约定承担违约责任。</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lang w:val="en-US" w:eastAsia="zh-CN"/>
        </w:rPr>
        <w:t>2.</w:t>
      </w:r>
      <w:r>
        <w:rPr>
          <w:rFonts w:hint="eastAsia" w:cs="仿宋"/>
          <w:b w:val="0"/>
          <w:smallCaps w:val="0"/>
          <w:color w:val="auto"/>
          <w:sz w:val="24"/>
          <w:szCs w:val="24"/>
          <w:highlight w:val="none"/>
          <w:lang w:val="en-US" w:eastAsia="zh-CN"/>
        </w:rPr>
        <w:t>4</w:t>
      </w:r>
      <w:r>
        <w:rPr>
          <w:rFonts w:hint="eastAsia" w:ascii="仿宋" w:hAnsi="仿宋" w:eastAsia="仿宋" w:cs="仿宋"/>
          <w:b w:val="0"/>
          <w:smallCaps w:val="0"/>
          <w:color w:val="auto"/>
          <w:sz w:val="24"/>
          <w:szCs w:val="24"/>
          <w:highlight w:val="none"/>
        </w:rPr>
        <w:t>技术升级</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在合同期内，如果中标人的产品技术升级，中标人应对采购人购买的产品进行免费升级服务。</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w:t>
      </w:r>
      <w:r>
        <w:rPr>
          <w:rFonts w:hint="eastAsia" w:ascii="仿宋" w:hAnsi="仿宋" w:eastAsia="仿宋" w:cs="仿宋"/>
          <w:b w:val="0"/>
          <w:smallCaps w:val="0"/>
          <w:color w:val="auto"/>
          <w:sz w:val="24"/>
          <w:szCs w:val="24"/>
          <w:highlight w:val="none"/>
          <w:lang w:val="en-US" w:eastAsia="zh-CN"/>
        </w:rPr>
        <w:t>5</w:t>
      </w:r>
      <w:r>
        <w:rPr>
          <w:rFonts w:hint="eastAsia" w:ascii="仿宋" w:hAnsi="仿宋" w:eastAsia="仿宋" w:cs="仿宋"/>
          <w:b w:val="0"/>
          <w:smallCaps w:val="0"/>
          <w:color w:val="auto"/>
          <w:sz w:val="24"/>
          <w:szCs w:val="24"/>
          <w:highlight w:val="none"/>
        </w:rPr>
        <w:t>）付款方式</w:t>
      </w:r>
    </w:p>
    <w:p>
      <w:pPr>
        <w:ind w:firstLine="480" w:firstLineChars="200"/>
        <w:rPr>
          <w:rFonts w:hint="eastAsia" w:ascii="仿宋" w:hAnsi="仿宋" w:eastAsia="仿宋" w:cs="仿宋"/>
          <w:b w:val="0"/>
          <w:smallCaps w:val="0"/>
          <w:color w:val="auto"/>
          <w:sz w:val="24"/>
          <w:szCs w:val="24"/>
          <w:highlight w:val="none"/>
          <w:lang w:eastAsia="zh-CN"/>
        </w:rPr>
      </w:pPr>
      <w:r>
        <w:rPr>
          <w:rFonts w:hint="eastAsia" w:ascii="仿宋" w:hAnsi="仿宋" w:eastAsia="仿宋" w:cs="仿宋"/>
          <w:color w:val="auto"/>
          <w:spacing w:val="0"/>
          <w:sz w:val="24"/>
          <w:szCs w:val="24"/>
          <w:highlight w:val="none"/>
          <w:lang w:val="en-US" w:eastAsia="zh-CN"/>
        </w:rPr>
        <w:t>▲</w:t>
      </w:r>
      <w:r>
        <w:rPr>
          <w:rFonts w:hint="eastAsia" w:cs="仿宋"/>
          <w:b w:val="0"/>
          <w:smallCaps w:val="0"/>
          <w:color w:val="auto"/>
          <w:sz w:val="24"/>
          <w:szCs w:val="24"/>
          <w:highlight w:val="none"/>
          <w:lang w:val="en-US" w:eastAsia="zh-CN"/>
        </w:rPr>
        <w:t>1）</w:t>
      </w:r>
      <w:r>
        <w:rPr>
          <w:rFonts w:hint="eastAsia" w:ascii="仿宋" w:hAnsi="仿宋" w:eastAsia="仿宋" w:cs="仿宋"/>
          <w:b w:val="0"/>
          <w:smallCaps w:val="0"/>
          <w:color w:val="auto"/>
          <w:sz w:val="24"/>
          <w:szCs w:val="24"/>
          <w:highlight w:val="none"/>
        </w:rPr>
        <w:t>本项目</w:t>
      </w:r>
      <w:r>
        <w:rPr>
          <w:rFonts w:hint="eastAsia" w:cs="仿宋"/>
          <w:b w:val="0"/>
          <w:smallCaps w:val="0"/>
          <w:color w:val="auto"/>
          <w:sz w:val="24"/>
          <w:szCs w:val="24"/>
          <w:highlight w:val="none"/>
          <w:lang w:val="en-US" w:eastAsia="zh-CN"/>
        </w:rPr>
        <w:t>电费</w:t>
      </w:r>
      <w:r>
        <w:rPr>
          <w:rFonts w:hint="eastAsia" w:ascii="仿宋" w:hAnsi="仿宋" w:eastAsia="仿宋" w:cs="仿宋"/>
          <w:b w:val="0"/>
          <w:smallCaps w:val="0"/>
          <w:color w:val="auto"/>
          <w:sz w:val="24"/>
          <w:szCs w:val="24"/>
          <w:highlight w:val="none"/>
        </w:rPr>
        <w:t>支付方式为年度支付，</w:t>
      </w:r>
      <w:r>
        <w:rPr>
          <w:rFonts w:hint="eastAsia" w:ascii="仿宋" w:hAnsi="仿宋" w:eastAsia="仿宋" w:cs="仿宋"/>
          <w:b w:val="0"/>
          <w:smallCaps w:val="0"/>
          <w:color w:val="auto"/>
          <w:sz w:val="24"/>
          <w:szCs w:val="24"/>
          <w:highlight w:val="none"/>
          <w:lang w:val="en-US" w:eastAsia="zh-CN"/>
        </w:rPr>
        <w:t>合同签订</w:t>
      </w:r>
      <w:r>
        <w:rPr>
          <w:rFonts w:hint="eastAsia" w:cs="仿宋"/>
          <w:b w:val="0"/>
          <w:smallCaps w:val="0"/>
          <w:color w:val="auto"/>
          <w:sz w:val="24"/>
          <w:szCs w:val="24"/>
          <w:highlight w:val="none"/>
          <w:lang w:val="en-US" w:eastAsia="zh-CN"/>
        </w:rPr>
        <w:t>并缴纳履约保证金或提供保函</w:t>
      </w:r>
      <w:r>
        <w:rPr>
          <w:rFonts w:hint="eastAsia" w:ascii="仿宋" w:hAnsi="仿宋" w:eastAsia="仿宋" w:cs="仿宋"/>
          <w:b w:val="0"/>
          <w:smallCaps w:val="0"/>
          <w:color w:val="auto"/>
          <w:sz w:val="24"/>
          <w:szCs w:val="24"/>
          <w:highlight w:val="none"/>
          <w:lang w:val="en-US" w:eastAsia="zh-CN"/>
        </w:rPr>
        <w:t>后，支付本年度的40%为预付款，项目</w:t>
      </w:r>
      <w:r>
        <w:rPr>
          <w:rFonts w:hint="eastAsia" w:cs="仿宋"/>
          <w:b w:val="0"/>
          <w:smallCaps w:val="0"/>
          <w:color w:val="auto"/>
          <w:sz w:val="24"/>
          <w:szCs w:val="24"/>
          <w:highlight w:val="none"/>
          <w:lang w:val="en-US" w:eastAsia="zh-CN"/>
        </w:rPr>
        <w:t>（项目需求改造内容1/2/3条）</w:t>
      </w:r>
      <w:r>
        <w:rPr>
          <w:rFonts w:hint="eastAsia" w:ascii="仿宋" w:hAnsi="仿宋" w:eastAsia="仿宋" w:cs="仿宋"/>
          <w:b w:val="0"/>
          <w:smallCaps w:val="0"/>
          <w:color w:val="auto"/>
          <w:sz w:val="24"/>
          <w:szCs w:val="24"/>
          <w:highlight w:val="none"/>
          <w:lang w:val="en-US" w:eastAsia="zh-CN"/>
        </w:rPr>
        <w:t>经</w:t>
      </w:r>
      <w:r>
        <w:rPr>
          <w:rFonts w:hint="eastAsia" w:cs="仿宋"/>
          <w:b w:val="0"/>
          <w:smallCaps w:val="0"/>
          <w:color w:val="auto"/>
          <w:sz w:val="24"/>
          <w:szCs w:val="24"/>
          <w:highlight w:val="none"/>
          <w:lang w:val="en-US" w:eastAsia="zh-CN"/>
        </w:rPr>
        <w:t>竣工</w:t>
      </w:r>
      <w:r>
        <w:rPr>
          <w:rFonts w:hint="eastAsia" w:ascii="仿宋" w:hAnsi="仿宋" w:eastAsia="仿宋" w:cs="仿宋"/>
          <w:b w:val="0"/>
          <w:smallCaps w:val="0"/>
          <w:color w:val="auto"/>
          <w:sz w:val="24"/>
          <w:szCs w:val="24"/>
          <w:highlight w:val="none"/>
          <w:lang w:val="en-US" w:eastAsia="zh-CN"/>
        </w:rPr>
        <w:t>验收合格后一个月内支付第一年剩余60%费用</w:t>
      </w:r>
      <w:r>
        <w:rPr>
          <w:rFonts w:hint="eastAsia" w:cs="仿宋"/>
          <w:b w:val="0"/>
          <w:smallCaps w:val="0"/>
          <w:color w:val="auto"/>
          <w:sz w:val="24"/>
          <w:szCs w:val="24"/>
          <w:highlight w:val="none"/>
          <w:lang w:val="en-US" w:eastAsia="zh-CN"/>
        </w:rPr>
        <w:t>。</w:t>
      </w:r>
      <w:r>
        <w:rPr>
          <w:rFonts w:hint="eastAsia" w:ascii="仿宋" w:hAnsi="仿宋" w:eastAsia="仿宋" w:cs="仿宋"/>
          <w:b w:val="0"/>
          <w:smallCaps w:val="0"/>
          <w:color w:val="auto"/>
          <w:sz w:val="24"/>
          <w:szCs w:val="24"/>
          <w:highlight w:val="none"/>
          <w:lang w:val="en-US" w:eastAsia="zh-CN"/>
        </w:rPr>
        <w:t>第二年开始</w:t>
      </w:r>
      <w:r>
        <w:rPr>
          <w:rFonts w:hint="eastAsia" w:cs="仿宋"/>
          <w:b w:val="0"/>
          <w:smallCaps w:val="0"/>
          <w:color w:val="auto"/>
          <w:sz w:val="24"/>
          <w:szCs w:val="24"/>
          <w:highlight w:val="none"/>
          <w:lang w:val="en-US" w:eastAsia="zh-CN"/>
        </w:rPr>
        <w:t>支付时间为10月份底（以财政审批为准），</w:t>
      </w:r>
      <w:r>
        <w:rPr>
          <w:rFonts w:hint="eastAsia" w:ascii="仿宋" w:hAnsi="仿宋" w:eastAsia="仿宋" w:cs="仿宋"/>
          <w:b w:val="0"/>
          <w:smallCaps w:val="0"/>
          <w:color w:val="auto"/>
          <w:sz w:val="24"/>
          <w:szCs w:val="24"/>
          <w:highlight w:val="none"/>
        </w:rPr>
        <w:t>具体情况以</w:t>
      </w:r>
      <w:r>
        <w:rPr>
          <w:rFonts w:hint="eastAsia" w:ascii="仿宋" w:hAnsi="仿宋" w:eastAsia="仿宋" w:cs="仿宋"/>
          <w:b w:val="0"/>
          <w:smallCaps w:val="0"/>
          <w:color w:val="auto"/>
          <w:sz w:val="24"/>
          <w:szCs w:val="24"/>
          <w:highlight w:val="none"/>
          <w:lang w:val="en-US" w:eastAsia="zh-CN"/>
        </w:rPr>
        <w:t>签</w:t>
      </w:r>
      <w:r>
        <w:rPr>
          <w:rFonts w:hint="eastAsia" w:ascii="仿宋" w:hAnsi="仿宋" w:eastAsia="仿宋" w:cs="仿宋"/>
          <w:b w:val="0"/>
          <w:bCs w:val="0"/>
          <w:color w:val="auto"/>
          <w:sz w:val="24"/>
          <w:szCs w:val="24"/>
          <w:highlight w:val="none"/>
          <w:lang w:val="en-US" w:eastAsia="zh-CN"/>
        </w:rPr>
        <w:t>订</w:t>
      </w:r>
      <w:r>
        <w:rPr>
          <w:rFonts w:hint="eastAsia" w:ascii="仿宋" w:hAnsi="仿宋" w:eastAsia="仿宋" w:cs="仿宋"/>
          <w:b w:val="0"/>
          <w:smallCaps w:val="0"/>
          <w:color w:val="auto"/>
          <w:sz w:val="24"/>
          <w:szCs w:val="24"/>
          <w:highlight w:val="none"/>
        </w:rPr>
        <w:t>合同为准</w:t>
      </w:r>
      <w:r>
        <w:rPr>
          <w:rFonts w:hint="eastAsia" w:ascii="仿宋" w:hAnsi="仿宋" w:eastAsia="仿宋" w:cs="仿宋"/>
          <w:b w:val="0"/>
          <w:smallCaps w:val="0"/>
          <w:color w:val="auto"/>
          <w:sz w:val="24"/>
          <w:szCs w:val="24"/>
          <w:highlight w:val="none"/>
          <w:lang w:eastAsia="zh-CN"/>
        </w:rPr>
        <w:t>。</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cs="仿宋"/>
          <w:b w:val="0"/>
          <w:smallCaps w:val="0"/>
          <w:color w:val="auto"/>
          <w:sz w:val="24"/>
          <w:szCs w:val="24"/>
          <w:highlight w:val="none"/>
          <w:lang w:val="en-US" w:eastAsia="zh-CN"/>
        </w:rPr>
        <w:t>2）.</w:t>
      </w:r>
      <w:r>
        <w:rPr>
          <w:rFonts w:hint="eastAsia" w:ascii="仿宋" w:hAnsi="仿宋" w:eastAsia="仿宋" w:cs="仿宋"/>
          <w:b w:val="0"/>
          <w:smallCaps w:val="0"/>
          <w:color w:val="auto"/>
          <w:sz w:val="24"/>
          <w:szCs w:val="24"/>
          <w:highlight w:val="none"/>
        </w:rPr>
        <w:t>采购人付款前，中标人应向采购人提供符合要求的税务发票，否则采购人有权延期付款且不承担任何违约责任。</w:t>
      </w:r>
    </w:p>
    <w:p>
      <w:pPr>
        <w:pStyle w:val="4"/>
        <w:widowControl w:val="0"/>
        <w:spacing w:line="288" w:lineRule="auto"/>
        <w:ind w:firstLine="480" w:firstLineChars="200"/>
        <w:jc w:val="both"/>
        <w:rPr>
          <w:rFonts w:hint="eastAsia" w:cs="仿宋"/>
          <w:b w:val="0"/>
          <w:smallCaps w:val="0"/>
          <w:color w:val="auto"/>
          <w:sz w:val="24"/>
          <w:szCs w:val="24"/>
          <w:highlight w:val="none"/>
        </w:rPr>
      </w:pPr>
      <w:r>
        <w:rPr>
          <w:rFonts w:hint="eastAsia" w:cs="仿宋"/>
          <w:b w:val="0"/>
          <w:smallCaps w:val="0"/>
          <w:color w:val="auto"/>
          <w:sz w:val="24"/>
          <w:szCs w:val="24"/>
          <w:highlight w:val="none"/>
          <w:lang w:val="en-US" w:eastAsia="zh-CN"/>
        </w:rPr>
        <w:t>3）.履约担保金的缴纳方式：</w:t>
      </w:r>
    </w:p>
    <w:p>
      <w:pPr>
        <w:pStyle w:val="4"/>
        <w:keepNext w:val="0"/>
        <w:keepLines w:val="0"/>
        <w:widowControl w:val="0"/>
        <w:suppressLineNumbers w:val="0"/>
        <w:spacing w:line="288" w:lineRule="auto"/>
        <w:ind w:firstLine="480" w:firstLineChars="200"/>
        <w:jc w:val="left"/>
        <w:rPr>
          <w:rFonts w:hint="eastAsia" w:cs="仿宋"/>
          <w:b w:val="0"/>
          <w:smallCaps w:val="0"/>
          <w:color w:val="auto"/>
          <w:kern w:val="0"/>
          <w:sz w:val="24"/>
          <w:szCs w:val="24"/>
          <w:highlight w:val="none"/>
          <w:lang w:val="en-US" w:eastAsia="zh-CN" w:bidi="ar-SA"/>
        </w:rPr>
      </w:pPr>
      <w:r>
        <w:rPr>
          <w:rFonts w:hint="eastAsia" w:cs="仿宋"/>
          <w:b w:val="0"/>
          <w:smallCaps w:val="0"/>
          <w:color w:val="auto"/>
          <w:sz w:val="24"/>
          <w:szCs w:val="24"/>
          <w:highlight w:val="none"/>
          <w:lang w:val="en-US" w:eastAsia="zh-CN"/>
        </w:rPr>
        <w:t>履约担保金为合同总价的3‰，可</w:t>
      </w:r>
      <w:r>
        <w:rPr>
          <w:rFonts w:hint="eastAsia" w:ascii="仿宋" w:hAnsi="仿宋" w:eastAsia="仿宋" w:cs="仿宋"/>
          <w:b w:val="0"/>
          <w:smallCaps w:val="0"/>
          <w:color w:val="auto"/>
          <w:kern w:val="0"/>
          <w:sz w:val="24"/>
          <w:szCs w:val="24"/>
          <w:highlight w:val="none"/>
          <w:lang w:val="en-US" w:eastAsia="zh-CN" w:bidi="ar-SA"/>
        </w:rPr>
        <w:t>采用银行汇票或本票</w:t>
      </w:r>
      <w:r>
        <w:rPr>
          <w:rFonts w:hint="eastAsia" w:cs="仿宋"/>
          <w:b w:val="0"/>
          <w:smallCaps w:val="0"/>
          <w:color w:val="auto"/>
          <w:kern w:val="0"/>
          <w:sz w:val="24"/>
          <w:szCs w:val="24"/>
          <w:highlight w:val="none"/>
          <w:lang w:val="en-US" w:eastAsia="zh-CN" w:bidi="ar-SA"/>
        </w:rPr>
        <w:t>或保函</w:t>
      </w:r>
      <w:r>
        <w:rPr>
          <w:rFonts w:hint="eastAsia" w:ascii="仿宋" w:hAnsi="仿宋" w:eastAsia="仿宋" w:cs="仿宋"/>
          <w:b w:val="0"/>
          <w:smallCaps w:val="0"/>
          <w:color w:val="auto"/>
          <w:kern w:val="0"/>
          <w:sz w:val="24"/>
          <w:szCs w:val="24"/>
          <w:highlight w:val="none"/>
          <w:lang w:val="en-US" w:eastAsia="zh-CN" w:bidi="ar-SA"/>
        </w:rPr>
        <w:t>形式缴纳</w:t>
      </w:r>
      <w:r>
        <w:rPr>
          <w:rFonts w:hint="eastAsia" w:cs="仿宋"/>
          <w:b w:val="0"/>
          <w:smallCaps w:val="0"/>
          <w:color w:val="auto"/>
          <w:kern w:val="0"/>
          <w:sz w:val="24"/>
          <w:szCs w:val="24"/>
          <w:highlight w:val="none"/>
          <w:lang w:val="en-US" w:eastAsia="zh-CN" w:bidi="ar-SA"/>
        </w:rPr>
        <w:t>。</w:t>
      </w:r>
    </w:p>
    <w:p>
      <w:pPr>
        <w:pStyle w:val="4"/>
        <w:widowControl w:val="0"/>
        <w:numPr>
          <w:ilvl w:val="-1"/>
          <w:numId w:val="0"/>
        </w:numPr>
        <w:spacing w:line="288" w:lineRule="auto"/>
        <w:ind w:firstLine="482" w:firstLineChars="200"/>
        <w:jc w:val="left"/>
        <w:rPr>
          <w:rFonts w:hint="eastAsia" w:ascii="仿宋" w:hAnsi="仿宋" w:cs="仿宋"/>
          <w:b/>
          <w:bCs/>
          <w:smallCaps w:val="0"/>
          <w:color w:val="auto"/>
          <w:sz w:val="24"/>
          <w:szCs w:val="24"/>
          <w:highlight w:val="none"/>
          <w:lang w:val="en-US" w:eastAsia="zh-CN"/>
        </w:rPr>
      </w:pPr>
      <w:r>
        <w:rPr>
          <w:rFonts w:hint="eastAsia" w:cs="仿宋"/>
          <w:b/>
          <w:bCs/>
          <w:smallCaps w:val="0"/>
          <w:color w:val="auto"/>
          <w:kern w:val="0"/>
          <w:sz w:val="24"/>
          <w:szCs w:val="24"/>
          <w:highlight w:val="none"/>
          <w:lang w:val="en-US" w:eastAsia="zh-CN" w:bidi="ar-SA"/>
        </w:rPr>
        <w:t>4）.</w:t>
      </w:r>
      <w:r>
        <w:rPr>
          <w:rFonts w:hint="eastAsia" w:ascii="仿宋" w:hAnsi="仿宋" w:cs="仿宋"/>
          <w:b/>
          <w:bCs/>
          <w:smallCaps w:val="0"/>
          <w:color w:val="auto"/>
          <w:sz w:val="24"/>
          <w:szCs w:val="24"/>
          <w:highlight w:val="none"/>
        </w:rPr>
        <w:t>若</w:t>
      </w:r>
      <w:r>
        <w:rPr>
          <w:rFonts w:hint="eastAsia" w:ascii="仿宋" w:hAnsi="仿宋" w:cs="仿宋"/>
          <w:b/>
          <w:bCs/>
          <w:smallCaps w:val="0"/>
          <w:color w:val="auto"/>
          <w:sz w:val="24"/>
          <w:szCs w:val="24"/>
          <w:highlight w:val="none"/>
          <w:lang w:val="en-US" w:eastAsia="zh-CN"/>
        </w:rPr>
        <w:t>今后</w:t>
      </w:r>
      <w:r>
        <w:rPr>
          <w:rFonts w:hint="eastAsia" w:ascii="仿宋" w:hAnsi="仿宋" w:cs="仿宋"/>
          <w:b/>
          <w:bCs/>
          <w:smallCaps w:val="0"/>
          <w:color w:val="auto"/>
          <w:sz w:val="24"/>
          <w:szCs w:val="24"/>
          <w:highlight w:val="none"/>
        </w:rPr>
        <w:t>电价与</w:t>
      </w:r>
      <w:r>
        <w:rPr>
          <w:rFonts w:hint="eastAsia" w:ascii="仿宋" w:hAnsi="仿宋" w:cs="仿宋"/>
          <w:b/>
          <w:bCs/>
          <w:smallCaps w:val="0"/>
          <w:color w:val="auto"/>
          <w:sz w:val="24"/>
          <w:szCs w:val="24"/>
          <w:highlight w:val="none"/>
          <w:lang w:val="en-US" w:eastAsia="zh-CN"/>
        </w:rPr>
        <w:t>现行国家电网电价（2022年）差额</w:t>
      </w:r>
      <w:r>
        <w:rPr>
          <w:rFonts w:hint="eastAsia" w:ascii="仿宋" w:hAnsi="仿宋" w:cs="仿宋"/>
          <w:b/>
          <w:bCs/>
          <w:smallCaps w:val="0"/>
          <w:color w:val="auto"/>
          <w:sz w:val="24"/>
          <w:szCs w:val="24"/>
          <w:highlight w:val="none"/>
        </w:rPr>
        <w:t>超过±10%的，对超过部分进行调整；</w:t>
      </w:r>
      <w:r>
        <w:rPr>
          <w:rFonts w:hint="eastAsia" w:ascii="仿宋" w:hAnsi="仿宋" w:cs="仿宋"/>
          <w:b/>
          <w:bCs/>
          <w:smallCaps w:val="0"/>
          <w:color w:val="auto"/>
          <w:sz w:val="24"/>
          <w:szCs w:val="24"/>
          <w:highlight w:val="none"/>
          <w:lang w:val="en-US" w:eastAsia="zh-CN"/>
        </w:rPr>
        <w:t>今后</w:t>
      </w:r>
      <w:r>
        <w:rPr>
          <w:rFonts w:hint="eastAsia" w:ascii="仿宋" w:hAnsi="仿宋" w:cs="仿宋"/>
          <w:b/>
          <w:bCs/>
          <w:smallCaps w:val="0"/>
          <w:color w:val="auto"/>
          <w:sz w:val="24"/>
          <w:szCs w:val="24"/>
          <w:highlight w:val="none"/>
        </w:rPr>
        <w:t>电价与</w:t>
      </w:r>
      <w:r>
        <w:rPr>
          <w:rFonts w:hint="eastAsia" w:ascii="仿宋" w:hAnsi="仿宋" w:cs="仿宋"/>
          <w:b/>
          <w:bCs/>
          <w:smallCaps w:val="0"/>
          <w:color w:val="auto"/>
          <w:sz w:val="24"/>
          <w:szCs w:val="24"/>
          <w:highlight w:val="none"/>
          <w:lang w:val="en-US" w:eastAsia="zh-CN"/>
        </w:rPr>
        <w:t>现行国家电网电价（2022年）</w:t>
      </w:r>
      <w:r>
        <w:rPr>
          <w:rFonts w:hint="eastAsia" w:ascii="仿宋" w:hAnsi="仿宋" w:cs="仿宋"/>
          <w:b/>
          <w:bCs/>
          <w:smallCaps w:val="0"/>
          <w:color w:val="auto"/>
          <w:sz w:val="24"/>
          <w:szCs w:val="24"/>
          <w:highlight w:val="none"/>
        </w:rPr>
        <w:t>差额在±10%以内的</w:t>
      </w:r>
      <w:r>
        <w:rPr>
          <w:rFonts w:hint="eastAsia" w:ascii="仿宋" w:hAnsi="仿宋" w:cs="仿宋"/>
          <w:b/>
          <w:bCs/>
          <w:smallCaps w:val="0"/>
          <w:color w:val="auto"/>
          <w:sz w:val="24"/>
          <w:szCs w:val="24"/>
          <w:highlight w:val="none"/>
          <w:lang w:eastAsia="zh-CN"/>
        </w:rPr>
        <w:t>，</w:t>
      </w:r>
      <w:r>
        <w:rPr>
          <w:rFonts w:hint="eastAsia" w:ascii="仿宋" w:hAnsi="仿宋" w:cs="仿宋"/>
          <w:b/>
          <w:bCs/>
          <w:smallCaps w:val="0"/>
          <w:color w:val="auto"/>
          <w:sz w:val="24"/>
          <w:szCs w:val="24"/>
          <w:highlight w:val="none"/>
          <w:lang w:val="en-US" w:eastAsia="zh-CN"/>
        </w:rPr>
        <w:t>则不做调整。</w:t>
      </w:r>
    </w:p>
    <w:p>
      <w:pPr>
        <w:numPr>
          <w:ilvl w:val="0"/>
          <w:numId w:val="6"/>
        </w:numPr>
        <w:ind w:firstLine="480" w:firstLineChars="200"/>
        <w:rPr>
          <w:rFonts w:hint="eastAsia" w:cs="仿宋"/>
          <w:b w:val="0"/>
          <w:smallCaps w:val="0"/>
          <w:color w:val="auto"/>
          <w:sz w:val="24"/>
          <w:szCs w:val="24"/>
          <w:highlight w:val="none"/>
          <w:lang w:val="en-US" w:eastAsia="zh-CN"/>
        </w:rPr>
      </w:pPr>
      <w:r>
        <w:rPr>
          <w:rFonts w:hint="eastAsia" w:cs="仿宋"/>
          <w:b w:val="0"/>
          <w:smallCaps w:val="0"/>
          <w:color w:val="auto"/>
          <w:sz w:val="24"/>
          <w:szCs w:val="24"/>
          <w:highlight w:val="none"/>
          <w:lang w:val="en-US" w:eastAsia="zh-CN"/>
        </w:rPr>
        <w:t>.</w:t>
      </w:r>
      <w:r>
        <w:rPr>
          <w:rFonts w:hint="eastAsia" w:ascii="仿宋" w:hAnsi="仿宋" w:eastAsia="仿宋" w:cs="仿宋"/>
          <w:b w:val="0"/>
          <w:smallCaps w:val="0"/>
          <w:color w:val="auto"/>
          <w:sz w:val="24"/>
          <w:szCs w:val="24"/>
          <w:highlight w:val="none"/>
          <w:lang w:val="en-US" w:eastAsia="zh-CN"/>
        </w:rPr>
        <w:t>外接电电费单价不得高于现行国家电网电价（2022年）</w:t>
      </w:r>
      <w:r>
        <w:rPr>
          <w:rFonts w:hint="eastAsia" w:cs="仿宋"/>
          <w:b w:val="0"/>
          <w:smallCaps w:val="0"/>
          <w:color w:val="auto"/>
          <w:sz w:val="24"/>
          <w:szCs w:val="24"/>
          <w:highlight w:val="none"/>
          <w:lang w:val="en-US" w:eastAsia="zh-CN"/>
        </w:rPr>
        <w:t>。</w:t>
      </w:r>
    </w:p>
    <w:p>
      <w:pPr>
        <w:pStyle w:val="2"/>
        <w:numPr>
          <w:ilvl w:val="0"/>
          <w:numId w:val="6"/>
        </w:numPr>
        <w:ind w:firstLine="480" w:firstLineChars="200"/>
        <w:rPr>
          <w:rFonts w:hint="eastAsia" w:ascii="仿宋" w:hAnsi="仿宋" w:eastAsia="仿宋" w:cs="仿宋"/>
          <w:snapToGrid/>
          <w:color w:val="auto"/>
          <w:kern w:val="0"/>
          <w:sz w:val="24"/>
          <w:szCs w:val="24"/>
          <w:highlight w:val="none"/>
          <w:lang w:val="en-US"/>
        </w:rPr>
      </w:pPr>
      <w:r>
        <w:rPr>
          <w:rFonts w:hint="eastAsia" w:ascii="仿宋" w:hAnsi="仿宋" w:eastAsia="仿宋" w:cs="仿宋"/>
          <w:snapToGrid/>
          <w:color w:val="auto"/>
          <w:kern w:val="0"/>
          <w:sz w:val="24"/>
          <w:szCs w:val="24"/>
          <w:highlight w:val="none"/>
          <w:lang w:val="en-US" w:eastAsia="zh-CN"/>
        </w:rPr>
        <w:t>.合同期间，托管范围内经中标人改造的用能设施设备由中标人负责维护（不额外支付费用），采购方原有用能设施设备未经中标人改造的维护由采购方自行负责。</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w:t>
      </w:r>
      <w:r>
        <w:rPr>
          <w:rFonts w:hint="eastAsia" w:ascii="仿宋" w:hAnsi="仿宋" w:eastAsia="仿宋" w:cs="仿宋"/>
          <w:b w:val="0"/>
          <w:smallCaps w:val="0"/>
          <w:color w:val="auto"/>
          <w:sz w:val="24"/>
          <w:szCs w:val="24"/>
          <w:highlight w:val="none"/>
          <w:lang w:val="en-US" w:eastAsia="zh-CN"/>
        </w:rPr>
        <w:t>6</w:t>
      </w:r>
      <w:r>
        <w:rPr>
          <w:rFonts w:hint="eastAsia" w:ascii="仿宋" w:hAnsi="仿宋" w:eastAsia="仿宋" w:cs="仿宋"/>
          <w:b w:val="0"/>
          <w:smallCaps w:val="0"/>
          <w:color w:val="auto"/>
          <w:sz w:val="24"/>
          <w:szCs w:val="24"/>
          <w:highlight w:val="none"/>
        </w:rPr>
        <w:t>）验收方法及标准</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按照合同的约定和现行国家标准、行业标准或企业标准对每一服务环节、安全标准的履约情况进行考核与验收。</w:t>
      </w:r>
      <w:r>
        <w:rPr>
          <w:rFonts w:hint="eastAsia" w:ascii="仿宋" w:hAnsi="仿宋" w:eastAsia="仿宋" w:cs="仿宋"/>
          <w:b w:val="0"/>
          <w:smallCaps w:val="0"/>
          <w:color w:val="auto"/>
          <w:sz w:val="24"/>
          <w:szCs w:val="24"/>
          <w:highlight w:val="none"/>
          <w:lang w:val="en-US" w:eastAsia="zh-CN"/>
        </w:rPr>
        <w:t>改造部分</w:t>
      </w:r>
      <w:r>
        <w:rPr>
          <w:rFonts w:hint="eastAsia" w:ascii="仿宋" w:hAnsi="仿宋" w:eastAsia="仿宋" w:cs="仿宋"/>
          <w:b w:val="0"/>
          <w:smallCaps w:val="0"/>
          <w:color w:val="auto"/>
          <w:sz w:val="24"/>
          <w:szCs w:val="24"/>
          <w:highlight w:val="none"/>
        </w:rPr>
        <w:t>验收结束后，应当出具验收合格证书，列明各项服务的考核验收情况及</w:t>
      </w:r>
      <w:r>
        <w:rPr>
          <w:rFonts w:hint="eastAsia" w:cs="仿宋"/>
          <w:b w:val="0"/>
          <w:smallCaps w:val="0"/>
          <w:color w:val="auto"/>
          <w:sz w:val="24"/>
          <w:szCs w:val="24"/>
          <w:highlight w:val="none"/>
          <w:lang w:val="en-US" w:eastAsia="zh-CN"/>
        </w:rPr>
        <w:t>邀请不少于3名行业专家参与验收（专家费由中标单位支付并包干在合同总价内）</w:t>
      </w:r>
      <w:r>
        <w:rPr>
          <w:rFonts w:hint="eastAsia" w:ascii="仿宋" w:hAnsi="仿宋" w:eastAsia="仿宋" w:cs="仿宋"/>
          <w:b w:val="0"/>
          <w:smallCaps w:val="0"/>
          <w:color w:val="auto"/>
          <w:sz w:val="24"/>
          <w:szCs w:val="24"/>
          <w:highlight w:val="none"/>
        </w:rPr>
        <w:t>项目总体评价，由验收双方共同签署。</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w:t>
      </w:r>
      <w:r>
        <w:rPr>
          <w:rFonts w:hint="eastAsia" w:ascii="仿宋" w:hAnsi="仿宋" w:eastAsia="仿宋" w:cs="仿宋"/>
          <w:b w:val="0"/>
          <w:smallCaps w:val="0"/>
          <w:color w:val="auto"/>
          <w:sz w:val="24"/>
          <w:szCs w:val="24"/>
          <w:highlight w:val="none"/>
          <w:lang w:val="en-US" w:eastAsia="zh-CN"/>
        </w:rPr>
        <w:t>7</w:t>
      </w:r>
      <w:r>
        <w:rPr>
          <w:rFonts w:hint="eastAsia" w:ascii="仿宋" w:hAnsi="仿宋" w:eastAsia="仿宋" w:cs="仿宋"/>
          <w:b w:val="0"/>
          <w:smallCaps w:val="0"/>
          <w:color w:val="auto"/>
          <w:sz w:val="24"/>
          <w:szCs w:val="24"/>
          <w:highlight w:val="none"/>
        </w:rPr>
        <w:t>）培训</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rPr>
      </w:pPr>
      <w:r>
        <w:rPr>
          <w:rFonts w:hint="eastAsia" w:ascii="仿宋" w:hAnsi="仿宋" w:eastAsia="仿宋" w:cs="仿宋"/>
          <w:b w:val="0"/>
          <w:smallCaps w:val="0"/>
          <w:color w:val="auto"/>
          <w:sz w:val="24"/>
          <w:szCs w:val="24"/>
          <w:highlight w:val="none"/>
        </w:rPr>
        <w:t>中标人对其提供产品的使用和操作应尽培训义务。</w:t>
      </w:r>
      <w:r>
        <w:rPr>
          <w:rFonts w:hint="eastAsia" w:ascii="仿宋" w:hAnsi="仿宋" w:eastAsia="仿宋" w:cs="仿宋"/>
          <w:b w:val="0"/>
          <w:smallCaps w:val="0"/>
          <w:color w:val="auto"/>
          <w:sz w:val="24"/>
          <w:szCs w:val="24"/>
          <w:highlight w:val="none"/>
          <w:lang w:val="en-US" w:eastAsia="zh-CN"/>
        </w:rPr>
        <w:t>中标人</w:t>
      </w:r>
      <w:r>
        <w:rPr>
          <w:rFonts w:hint="eastAsia" w:ascii="仿宋" w:hAnsi="仿宋" w:eastAsia="仿宋" w:cs="仿宋"/>
          <w:b w:val="0"/>
          <w:smallCaps w:val="0"/>
          <w:color w:val="auto"/>
          <w:sz w:val="24"/>
          <w:szCs w:val="24"/>
          <w:highlight w:val="none"/>
        </w:rPr>
        <w:t>应提供对采购人的基本免费培训，使采购人使用人员能够正常操作。</w:t>
      </w:r>
    </w:p>
    <w:p>
      <w:pPr>
        <w:numPr>
          <w:ilvl w:val="0"/>
          <w:numId w:val="7"/>
        </w:numPr>
        <w:rPr>
          <w:rFonts w:hint="eastAsia" w:ascii="仿宋" w:hAnsi="仿宋" w:eastAsia="仿宋" w:cs="仿宋"/>
          <w:b w:val="0"/>
          <w:smallCaps w:val="0"/>
          <w:color w:val="auto"/>
          <w:sz w:val="24"/>
          <w:szCs w:val="24"/>
          <w:highlight w:val="none"/>
          <w:lang w:val="en-US" w:eastAsia="zh-CN"/>
        </w:rPr>
      </w:pPr>
      <w:r>
        <w:rPr>
          <w:rFonts w:hint="eastAsia" w:cs="仿宋"/>
          <w:b w:val="0"/>
          <w:smallCaps w:val="0"/>
          <w:color w:val="auto"/>
          <w:sz w:val="24"/>
          <w:szCs w:val="24"/>
          <w:highlight w:val="none"/>
          <w:lang w:val="en-US" w:eastAsia="zh-CN"/>
        </w:rPr>
        <w:t>其他</w:t>
      </w:r>
    </w:p>
    <w:p>
      <w:pPr>
        <w:numPr>
          <w:ilvl w:val="0"/>
          <w:numId w:val="0"/>
        </w:numPr>
        <w:ind w:firstLine="480" w:firstLineChars="200"/>
        <w:rPr>
          <w:rFonts w:hint="eastAsia" w:ascii="仿宋" w:hAnsi="仿宋" w:eastAsia="仿宋" w:cs="仿宋"/>
          <w:b w:val="0"/>
          <w:smallCaps w:val="0"/>
          <w:color w:val="auto"/>
          <w:sz w:val="24"/>
          <w:szCs w:val="24"/>
          <w:highlight w:val="none"/>
          <w:lang w:val="en-US" w:eastAsia="zh-CN"/>
        </w:rPr>
      </w:pPr>
      <w:r>
        <w:rPr>
          <w:rFonts w:hint="eastAsia" w:ascii="仿宋" w:hAnsi="仿宋" w:eastAsia="仿宋" w:cs="仿宋"/>
          <w:b w:val="0"/>
          <w:smallCaps w:val="0"/>
          <w:color w:val="auto"/>
          <w:sz w:val="24"/>
          <w:szCs w:val="24"/>
          <w:highlight w:val="none"/>
          <w:lang w:val="en-US" w:eastAsia="zh-CN"/>
        </w:rPr>
        <w:t>1）如遇财政拨款方式调整、采购人单位性质调整、采购人养管范围调整等不可抗力，中标人需无条件与采购人进行协商和配合。</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lang w:val="en-US" w:eastAsia="zh-CN"/>
        </w:rPr>
      </w:pPr>
      <w:r>
        <w:rPr>
          <w:rFonts w:hint="eastAsia" w:ascii="仿宋" w:hAnsi="仿宋" w:eastAsia="仿宋" w:cs="仿宋"/>
          <w:b w:val="0"/>
          <w:smallCaps w:val="0"/>
          <w:color w:val="auto"/>
          <w:sz w:val="24"/>
          <w:szCs w:val="24"/>
          <w:highlight w:val="none"/>
          <w:lang w:val="en-US" w:eastAsia="zh-CN"/>
        </w:rPr>
        <w:t>2）如遇上级部门相关政策调整（包括但不限于考核标准调整、新产品新技术大规模普及应用等等），中标人需无条件配合。</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lang w:val="en-US" w:eastAsia="zh-CN"/>
        </w:rPr>
      </w:pPr>
      <w:r>
        <w:rPr>
          <w:rFonts w:hint="eastAsia" w:ascii="仿宋" w:hAnsi="仿宋" w:eastAsia="仿宋" w:cs="仿宋"/>
          <w:b w:val="0"/>
          <w:smallCaps w:val="0"/>
          <w:color w:val="auto"/>
          <w:sz w:val="24"/>
          <w:szCs w:val="24"/>
          <w:highlight w:val="none"/>
          <w:lang w:val="en-US" w:eastAsia="zh-CN"/>
        </w:rPr>
        <w:t>3）如遇道路新建改造、新增用能设备，在符合验收质量标准的前提下，中标人需配合采购人进行接收工作。</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lang w:val="en-US" w:eastAsia="zh-CN"/>
        </w:rPr>
      </w:pPr>
      <w:r>
        <w:rPr>
          <w:rFonts w:hint="eastAsia" w:ascii="仿宋" w:hAnsi="仿宋" w:eastAsia="仿宋" w:cs="仿宋"/>
          <w:b w:val="0"/>
          <w:smallCaps w:val="0"/>
          <w:color w:val="auto"/>
          <w:sz w:val="24"/>
          <w:szCs w:val="24"/>
          <w:highlight w:val="none"/>
          <w:lang w:val="en-US" w:eastAsia="zh-CN"/>
        </w:rPr>
        <w:t>4）如遇道路产权移交或改造、用能设备减少，中标人需配合采购人进行接收工作。</w:t>
      </w:r>
    </w:p>
    <w:p>
      <w:pPr>
        <w:pStyle w:val="4"/>
        <w:keepNext w:val="0"/>
        <w:keepLines w:val="0"/>
        <w:pageBreakBefore w:val="0"/>
        <w:widowControl w:val="0"/>
        <w:kinsoku/>
        <w:wordWrap/>
        <w:overflowPunct/>
        <w:topLinePunct w:val="0"/>
        <w:bidi w:val="0"/>
        <w:spacing w:before="0" w:line="288" w:lineRule="auto"/>
        <w:ind w:firstLine="480" w:firstLineChars="200"/>
        <w:jc w:val="left"/>
        <w:textAlignment w:val="auto"/>
        <w:rPr>
          <w:rFonts w:hint="eastAsia" w:ascii="仿宋" w:hAnsi="仿宋" w:eastAsia="仿宋" w:cs="仿宋"/>
          <w:b w:val="0"/>
          <w:smallCaps w:val="0"/>
          <w:color w:val="auto"/>
          <w:sz w:val="24"/>
          <w:szCs w:val="24"/>
          <w:highlight w:val="none"/>
          <w:lang w:val="en-US" w:eastAsia="zh-CN"/>
        </w:rPr>
      </w:pPr>
      <w:r>
        <w:rPr>
          <w:rFonts w:hint="eastAsia" w:ascii="仿宋" w:hAnsi="仿宋" w:eastAsia="仿宋" w:cs="仿宋"/>
          <w:b w:val="0"/>
          <w:smallCaps w:val="0"/>
          <w:color w:val="auto"/>
          <w:sz w:val="24"/>
          <w:szCs w:val="24"/>
          <w:highlight w:val="none"/>
          <w:lang w:val="en-US" w:eastAsia="zh-CN"/>
        </w:rPr>
        <w:t>八）其他未尽事宜可在合同中进一步明确。</w:t>
      </w:r>
    </w:p>
    <w:p>
      <w:pPr>
        <w:rPr>
          <w:rFonts w:hint="eastAsia" w:ascii="仿宋" w:hAnsi="仿宋" w:eastAsia="仿宋" w:cs="仿宋"/>
          <w:b w:val="0"/>
          <w:smallCaps w:val="0"/>
          <w:color w:val="auto"/>
          <w:sz w:val="24"/>
          <w:szCs w:val="24"/>
          <w:highlight w:val="none"/>
          <w:lang w:val="en-US" w:eastAsia="zh-CN"/>
        </w:rPr>
      </w:pPr>
      <w:r>
        <w:rPr>
          <w:rFonts w:hint="eastAsia" w:ascii="仿宋" w:hAnsi="仿宋" w:eastAsia="仿宋" w:cs="仿宋"/>
          <w:b w:val="0"/>
          <w:smallCaps w:val="0"/>
          <w:color w:val="auto"/>
          <w:sz w:val="24"/>
          <w:szCs w:val="24"/>
          <w:highlight w:val="none"/>
          <w:lang w:val="en-US" w:eastAsia="zh-CN"/>
        </w:rPr>
        <w:br w:type="page"/>
      </w:r>
    </w:p>
    <w:p>
      <w:pPr>
        <w:rPr>
          <w:rFonts w:hint="eastAsia" w:ascii="仿宋" w:hAnsi="仿宋" w:eastAsia="仿宋" w:cs="仿宋"/>
          <w:color w:val="auto"/>
          <w:highlight w:val="none"/>
          <w:lang w:val="en-US" w:eastAsia="zh-CN"/>
        </w:rPr>
      </w:pPr>
      <w:r>
        <w:rPr>
          <w:rFonts w:hint="eastAsia" w:ascii="仿宋" w:hAnsi="仿宋" w:eastAsia="仿宋" w:cs="仿宋"/>
          <w:b w:val="0"/>
          <w:smallCaps w:val="0"/>
          <w:color w:val="auto"/>
          <w:sz w:val="24"/>
          <w:szCs w:val="24"/>
          <w:highlight w:val="none"/>
          <w:lang w:val="en-US" w:eastAsia="zh-CN"/>
        </w:rPr>
        <w:t>附件：考核评分细则</w:t>
      </w:r>
    </w:p>
    <w:tbl>
      <w:tblPr>
        <w:tblStyle w:val="24"/>
        <w:tblW w:w="5000" w:type="pct"/>
        <w:tblInd w:w="0" w:type="dxa"/>
        <w:tblBorders>
          <w:top w:val="none" w:color="auto" w:sz="0"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823"/>
        <w:gridCol w:w="2292"/>
        <w:gridCol w:w="736"/>
        <w:gridCol w:w="1926"/>
        <w:gridCol w:w="705"/>
        <w:gridCol w:w="1269"/>
      </w:tblGrid>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5000" w:type="pct"/>
            <w:gridSpan w:val="7"/>
            <w:tcBorders>
              <w:bottom w:val="single" w:color="000000" w:sz="4" w:space="0"/>
              <w:tl2br w:val="nil"/>
              <w:tr2bl w:val="nil"/>
            </w:tcBorders>
            <w:noWrap w:val="0"/>
            <w:vAlign w:val="top"/>
          </w:tcPr>
          <w:p>
            <w:pPr>
              <w:widowControl/>
              <w:jc w:val="cente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0"/>
                <w:szCs w:val="30"/>
                <w:highlight w:val="none"/>
              </w:rPr>
              <w:t>萧山区道路照明设施养护月度考核评分细则</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05"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考核</w:t>
            </w:r>
          </w:p>
          <w:p>
            <w:pPr>
              <w:widowControl/>
              <w:jc w:val="center"/>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类别</w:t>
            </w: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考核</w:t>
            </w:r>
          </w:p>
          <w:p>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项目</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rPr>
              <w:t>考核内容</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分值</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减分原则</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得分</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考核情况</w:t>
            </w:r>
          </w:p>
          <w:p>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（考核时间、存在问题等）</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2" w:hRule="atLeast"/>
        </w:trPr>
        <w:tc>
          <w:tcPr>
            <w:tcW w:w="505" w:type="pct"/>
            <w:vMerge w:val="restar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定期</w:t>
            </w:r>
          </w:p>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考核</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（80分）</w:t>
            </w:r>
          </w:p>
        </w:tc>
        <w:tc>
          <w:tcPr>
            <w:tcW w:w="477"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城市道路亮灯率</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（15分）</w:t>
            </w:r>
          </w:p>
        </w:tc>
        <w:tc>
          <w:tcPr>
            <w:tcW w:w="1329"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城市主次干道、快速路亮灯率达98%以上。支路及小区道路亮灯率达到98%以上。</w:t>
            </w:r>
          </w:p>
        </w:tc>
        <w:tc>
          <w:tcPr>
            <w:tcW w:w="427"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15</w:t>
            </w:r>
          </w:p>
        </w:tc>
        <w:tc>
          <w:tcPr>
            <w:tcW w:w="1117"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每次检查不少于10条道路，每条道路亮灯率每降低1%，扣1分。</w:t>
            </w:r>
          </w:p>
        </w:tc>
        <w:tc>
          <w:tcPr>
            <w:tcW w:w="409"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PrEx>
        <w:trPr>
          <w:trHeight w:val="1102"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restar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照明设备及其附属设施</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（30分）</w:t>
            </w:r>
          </w:p>
        </w:tc>
        <w:tc>
          <w:tcPr>
            <w:tcW w:w="1329" w:type="pct"/>
            <w:tcBorders>
              <w:top w:val="single" w:color="000000" w:sz="4" w:space="0"/>
              <w:left w:val="single" w:color="000000" w:sz="4" w:space="0"/>
              <w:bottom w:val="single" w:color="000000" w:sz="4" w:space="0"/>
              <w:right w:val="single" w:color="000000" w:sz="4" w:space="0"/>
              <w:tl2br w:val="nil"/>
              <w:tr2bl w:val="nil"/>
            </w:tcBorders>
            <w:shd w:val="clear" w:color="000000" w:fill="FFFFFF"/>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路灯外形应完好，无破损、缺失、漏电、脱落现象。</w:t>
            </w:r>
          </w:p>
        </w:tc>
        <w:tc>
          <w:tcPr>
            <w:tcW w:w="42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30</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发现一处扣0.5分，24小时内未完成修复的加倍扣分。</w:t>
            </w:r>
          </w:p>
        </w:tc>
        <w:tc>
          <w:tcPr>
            <w:tcW w:w="409"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PrEx>
        <w:trPr>
          <w:trHeight w:val="1630"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负责区内的路灯的启闭灯管理工作及时到位，并及时调整路灯启闭时间。</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启闭灯时段内，未做好亮灯保障或未及时关闭灯，每发生一次扣1分，超24小时未修复的加倍扣分。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公共照明设施受外力影响，造成倒塌、被盗、灯具被撞、倾斜、雷击、电器漏电等设施损坏，要求3日内修复。无法继续使用需进行整体更换的，要求7日内修复。</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恢复不及时，每超一天扣1分。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做好控制箱维护工作，对现有控制箱，应根据生锈情况（或甲方要求），无条件更换不锈钢箱体。</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甲方发出整改通知书7天后乙方仍未更换，每次扣1分。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1"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因路灯控制箱内元件出现故障应在24小时内进行修理恢复，未经及时修复，并造成该区块路灯不亮。线路问题需在48小时内查明原因并以书面形式上报。</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超过24小时，每超一天扣2分。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PrEx>
        <w:trPr>
          <w:trHeight w:val="907"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灯杆.灯罩及配电箱脏乱应及时清理，发现脏乱应在当天内完成清洁或修复油漆，未发现问题被信访的扣1分</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发现清洁不到位情况，每处扣0.5分。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保证灯杆、箱体及其他影响观瞻设备表面喷漆完整。出现掉漆、脱落、存在明显色差等现场，1日内完成补漆；掉漆严重的，3日内完成补漆。</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未及时补漆，每发现一处扣0.5分。超时未整改完成的，加倍扣分。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PrEx>
        <w:trPr>
          <w:trHeight w:val="657"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变压器故障需在24小时内完成维修；需更换的要在7天内完成。</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超过修理或更换时间，造成该区块路灯不亮，每超一天扣2分。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做好日常巡检工作，不允许私自接电，不规范接电等现象，1日内上报。</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未及时发现上报，每次扣2分。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做好各类规格型号电缆维护。</w:t>
            </w:r>
          </w:p>
        </w:tc>
        <w:tc>
          <w:tcPr>
            <w:tcW w:w="42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因线路被盗、年久老化（无安全保障）、施工过程中被施工单位挖断等，1日内上报，养护单位巡检未及时发现并上报，每超一天扣2分。</w:t>
            </w:r>
          </w:p>
        </w:tc>
        <w:tc>
          <w:tcPr>
            <w:tcW w:w="409"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PrEx>
        <w:trPr>
          <w:trHeight w:val="1967"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突发事件应急处置</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（8分）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突发抢修时，应立即组织人员在半小时内无条件赶赴现场进行抢修，保证路灯正常运转（衙前，高教园区40分钟)；如遇暴雨、台风、大雪等突发性天气灾害，应按甲方要求随时配备一定数量施工机械及抢险人员应急抢险。</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8</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自通知班组时起半小时内未到现场处理的，迟到半小时扣1分，半小时外扣2分；如因处理不及时，而引发责任事故，按责任事故对维护单位进行处罚，每次扣4分；遇突发性天气灾害未按要求配备机械及抢险人员，每次扣4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交办事项</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（11分）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认真对待市民来信来电的处理意见。及时处理“三来件”事项以及“数字城管”反映件，保证办结率和回复率达到100%，满意率100%；工作期间，乙方管理人员须服从甲方管理人员的合理调度和指挥。</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5</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数字城管等其它交办事项未按要求办结，每次每件扣1分；数字城管采集的有责问题，每件扣1分；信访有责投诉每件扣2分；上级领导督办问题处理不力，每件扣3分；各类提案议案问政等处理不力，每件扣3分；媒体负面报道，每件扣5分；不配合甲方管理人员管理行为，每次扣5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按时按要求回复数字城管、12345热线、民情双访、网络问政等交办案件。</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6</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未按时按要求回复数字城管、12345热线、民情双访、网络问政等交办案件的，每件扣1分，并处以每件2000元罚款。二次问题的交办案件每件罚款4000元、三次问题每件6000元，以此类推。</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人员机械</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（7分）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每片区至少配备1辆巡查车辆、1辆登高车辆，每车至少配备三名电力施工人员，另安排2名巡检人员（共计至少8人）。每日亮灯前半小时于监理处签到。</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7</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未按要求配备并签到的，每缺少一辆施工作业车辆扣2分，每缺少一名人员扣0.5分。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材料管理</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（6分）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对无法使用的灯具、光源、电器，更换时品牌的选择要与原品牌相同。无法采购到的应经业主同意后采用不低于同类光源、电器标准的其他设备。</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6</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如发现使用品牌与原品牌不同且未经甲方同意，每次扣2分，并处以2000元罚款，多次违规加倍处罚。</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台账资料管理</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（3分）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健全公共照明设施维护的台帐资料，确保做好公共照明设施及其辅助设施日常巡查和维护台帐。每月20日向招标单位上交上月的日常巡查维修台帐。每日上交每日汇报资料。所有维修工作应及时上报联系单，上报时间为：次月5日送至监理单位，10日送至业主单位签证</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3</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当月20日前逾期不报上月巡查维修台账或未将维修联系单按上报时间送至监理单位，每次扣2分，业主多次催促仍不上交的加倍扣分。</w:t>
            </w:r>
          </w:p>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未上交每日巡检资料的，一天扣0.5分。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505"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不定期考核</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（20分）</w:t>
            </w:r>
          </w:p>
        </w:tc>
        <w:tc>
          <w:tcPr>
            <w:tcW w:w="47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安全生产</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（10分）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负责养护范围内照明及相配套设施的维护运行，确保所有运行设备的可靠、安全。</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5</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因维护不当造成的事故，发生责任事故和安全事故，每次扣5分。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3"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严格遵守建设部门的安全管理条例，服从安检人员稽查；电工必须具有带电作业操作证；作业时须配戴安全帽、穿电工鞋、系好保险带，并统一着装；维修现场须设置警示告示牌。</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5</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不服从安检人员稽查，每次扣2分；电工未取得电工操作证进行带电作业每次扣1分；维修人员未按规定穿戴，每项扣0.5分；维修现场未设置警示告示牌每次扣1分。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养护计划响应</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（2分）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严格按照养护计划实施日常养护，未经业主同意不得自行调正养护计划。</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2</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未按照养护计划实施日产养护，或未经业主同意自行调整养护计划，每次发现扣1分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日常巡查</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（3分）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建立维护巡查制度，对公共照明设施做到常巡视、常检查，确保区公用照明设施的正常运行。避免因外力破坏、灯杆倒塌、撞杆、被盗、雷击、电器漏电、计量表烧毁等原因引起安全责任事故（不可抗力除外）；保证按计划进行巡查。</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3</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未贯彻维护巡查制度，导致上述事故发生后处理不及时，每次扣1分，未及时发现大面积灭灯情况每次扣2分；发现未按计划上路巡查情况，每次扣1分。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lang w:eastAsia="zh-CN"/>
              </w:rPr>
            </w:pPr>
            <w:r>
              <w:rPr>
                <w:rFonts w:hint="eastAsia" w:ascii="仿宋" w:hAnsi="仿宋" w:eastAsia="仿宋" w:cs="仿宋"/>
                <w:b w:val="0"/>
                <w:bCs w:val="0"/>
                <w:color w:val="auto"/>
                <w:kern w:val="0"/>
                <w:sz w:val="21"/>
                <w:szCs w:val="21"/>
                <w:highlight w:val="none"/>
              </w:rPr>
              <w:t>其他</w:t>
            </w:r>
          </w:p>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（5分）</w:t>
            </w: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维护单位不得擅自将公用照明设施电源用于其它企业、单位或个人。</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4</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若发现有此类情况，每次扣2分</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505"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477" w:type="pct"/>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p>
        </w:tc>
        <w:tc>
          <w:tcPr>
            <w:tcW w:w="132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月度“数字城管”派遣案卷数量超过40件的视为巡检不达标。12345热线、民情双访、网络问政等投诉案件超过10件视为巡检不达标。</w:t>
            </w:r>
          </w:p>
        </w:tc>
        <w:tc>
          <w:tcPr>
            <w:tcW w:w="42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1</w:t>
            </w:r>
          </w:p>
        </w:tc>
        <w:tc>
          <w:tcPr>
            <w:tcW w:w="1117"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数字城管每超过10件每件扣0.5分，投诉案件每超过2件每件扣0.5分。二次投诉案件每件扣1分罚款2000元，三次投诉案件每件扣2分罚款4000元，以此类推。</w:t>
            </w:r>
          </w:p>
        </w:tc>
        <w:tc>
          <w:tcPr>
            <w:tcW w:w="409"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c>
          <w:tcPr>
            <w:tcW w:w="731" w:type="pct"/>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center"/>
              <w:rPr>
                <w:rFonts w:hint="eastAsia" w:ascii="仿宋" w:hAnsi="仿宋" w:eastAsia="仿宋" w:cs="仿宋"/>
                <w:b w:val="0"/>
                <w:bCs w:val="0"/>
                <w:color w:val="auto"/>
                <w:kern w:val="0"/>
                <w:sz w:val="21"/>
                <w:szCs w:val="21"/>
                <w:highlight w:val="none"/>
              </w:rPr>
            </w:pPr>
            <w:r>
              <w:rPr>
                <w:rFonts w:hint="eastAsia" w:ascii="仿宋" w:hAnsi="仿宋" w:eastAsia="仿宋" w:cs="仿宋"/>
                <w:b w:val="0"/>
                <w:bCs w:val="0"/>
                <w:color w:val="auto"/>
                <w:kern w:val="0"/>
                <w:sz w:val="21"/>
                <w:szCs w:val="21"/>
                <w:highlight w:val="none"/>
              </w:rPr>
              <w:t>　</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7"/>
            <w:vMerge w:val="restart"/>
            <w:tcBorders>
              <w:top w:val="single" w:color="000000" w:sz="4" w:space="0"/>
              <w:left w:val="single" w:color="000000" w:sz="4" w:space="0"/>
              <w:bottom w:val="single" w:color="000000" w:sz="4" w:space="0"/>
              <w:right w:val="single" w:color="000000" w:sz="4" w:space="0"/>
              <w:tl2br w:val="nil"/>
              <w:tr2bl w:val="nil"/>
            </w:tcBorders>
            <w:noWrap w:val="0"/>
            <w:vAlign w:val="top"/>
          </w:tcPr>
          <w:p>
            <w:pPr>
              <w:widowControl/>
              <w:spacing w:after="240"/>
              <w:jc w:val="left"/>
              <w:rPr>
                <w:rFonts w:hint="default" w:ascii="仿宋" w:hAnsi="仿宋" w:eastAsia="仿宋" w:cs="仿宋"/>
                <w:b w:val="0"/>
                <w:bCs w:val="0"/>
                <w:color w:val="auto"/>
                <w:kern w:val="0"/>
                <w:sz w:val="21"/>
                <w:szCs w:val="21"/>
                <w:highlight w:val="none"/>
                <w:lang w:val="en-US" w:eastAsia="zh-CN"/>
              </w:rPr>
            </w:pPr>
            <w:r>
              <w:rPr>
                <w:rFonts w:hint="eastAsia" w:ascii="仿宋" w:hAnsi="仿宋" w:eastAsia="仿宋" w:cs="仿宋"/>
                <w:b w:val="0"/>
                <w:bCs w:val="0"/>
                <w:color w:val="auto"/>
                <w:kern w:val="0"/>
                <w:sz w:val="21"/>
                <w:szCs w:val="21"/>
                <w:highlight w:val="none"/>
              </w:rPr>
              <w:t>注：1.养护管理实行百分制考评，</w:t>
            </w:r>
            <w:r>
              <w:rPr>
                <w:rFonts w:hint="eastAsia" w:cs="仿宋"/>
                <w:b w:val="0"/>
                <w:bCs w:val="0"/>
                <w:color w:val="auto"/>
                <w:kern w:val="0"/>
                <w:sz w:val="21"/>
                <w:szCs w:val="21"/>
                <w:highlight w:val="none"/>
                <w:lang w:val="en-US" w:eastAsia="zh-CN"/>
              </w:rPr>
              <w:t>每扣1分</w:t>
            </w:r>
            <w:r>
              <w:rPr>
                <w:rFonts w:hint="eastAsia" w:ascii="仿宋" w:hAnsi="仿宋" w:eastAsia="仿宋" w:cs="仿宋"/>
                <w:b w:val="0"/>
                <w:bCs w:val="0"/>
                <w:color w:val="auto"/>
                <w:kern w:val="0"/>
                <w:sz w:val="21"/>
                <w:szCs w:val="21"/>
                <w:highlight w:val="none"/>
              </w:rPr>
              <w:t>，按比例扣除</w:t>
            </w:r>
            <w:r>
              <w:rPr>
                <w:rFonts w:hint="eastAsia" w:cs="仿宋"/>
                <w:b w:val="0"/>
                <w:bCs w:val="0"/>
                <w:color w:val="auto"/>
                <w:kern w:val="0"/>
                <w:sz w:val="21"/>
                <w:szCs w:val="21"/>
                <w:highlight w:val="none"/>
                <w:lang w:val="en-US" w:eastAsia="zh-CN"/>
              </w:rPr>
              <w:t>相关</w:t>
            </w:r>
            <w:r>
              <w:rPr>
                <w:rFonts w:hint="eastAsia" w:ascii="仿宋" w:hAnsi="仿宋" w:eastAsia="仿宋" w:cs="仿宋"/>
                <w:b w:val="0"/>
                <w:bCs w:val="0"/>
                <w:color w:val="auto"/>
                <w:kern w:val="0"/>
                <w:sz w:val="21"/>
                <w:szCs w:val="21"/>
                <w:highlight w:val="none"/>
              </w:rPr>
              <w:t>费用；连续两次以上考核分低于90分的、单次考核分低于80分的，</w:t>
            </w:r>
            <w:r>
              <w:rPr>
                <w:rFonts w:hint="eastAsia" w:cs="仿宋"/>
                <w:b w:val="0"/>
                <w:bCs w:val="0"/>
                <w:color w:val="auto"/>
                <w:kern w:val="0"/>
                <w:sz w:val="21"/>
                <w:szCs w:val="21"/>
                <w:highlight w:val="none"/>
                <w:lang w:val="en-US" w:eastAsia="zh-CN"/>
              </w:rPr>
              <w:t>甲方</w:t>
            </w:r>
            <w:r>
              <w:rPr>
                <w:rFonts w:hint="eastAsia" w:ascii="仿宋" w:hAnsi="仿宋" w:eastAsia="仿宋" w:cs="仿宋"/>
                <w:b w:val="0"/>
                <w:bCs w:val="0"/>
                <w:color w:val="auto"/>
                <w:kern w:val="0"/>
                <w:sz w:val="21"/>
                <w:szCs w:val="21"/>
                <w:highlight w:val="none"/>
              </w:rPr>
              <w:t>有权无条件解除合同，并扣除履约担保金。2.各类投诉案件未及时处理而造成不良影响的，视情况做出相应扣分。3.市级及以上上级部分考核，如有扣分，则按上级部门扣分情况，五倍扣分。4.同类问题重复出现的，视情况加倍处罚。</w:t>
            </w:r>
            <w:r>
              <w:rPr>
                <w:rFonts w:hint="eastAsia" w:cs="仿宋"/>
                <w:b w:val="0"/>
                <w:bCs w:val="0"/>
                <w:color w:val="auto"/>
                <w:kern w:val="0"/>
                <w:sz w:val="21"/>
                <w:szCs w:val="21"/>
                <w:highlight w:val="none"/>
                <w:lang w:val="en-US" w:eastAsia="zh-CN"/>
              </w:rPr>
              <w:t>未尽事宜详见合同。</w:t>
            </w:r>
          </w:p>
        </w:tc>
      </w:tr>
      <w:tr>
        <w:tblPrEx>
          <w:tblBorders>
            <w:top w:val="none" w:color="auto" w:sz="0"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5000" w:type="pct"/>
            <w:gridSpan w:val="7"/>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pPr>
              <w:widowControl/>
              <w:jc w:val="left"/>
              <w:rPr>
                <w:rFonts w:hint="eastAsia" w:ascii="仿宋" w:hAnsi="仿宋" w:eastAsia="仿宋" w:cs="仿宋"/>
                <w:b/>
                <w:bCs/>
                <w:color w:val="auto"/>
                <w:kern w:val="0"/>
                <w:sz w:val="18"/>
                <w:szCs w:val="18"/>
                <w:highlight w:val="none"/>
              </w:rPr>
            </w:pPr>
          </w:p>
        </w:tc>
      </w:tr>
    </w:tbl>
    <w:p>
      <w:pPr>
        <w:numPr>
          <w:ilvl w:val="0"/>
          <w:numId w:val="0"/>
        </w:numPr>
        <w:rPr>
          <w:rFonts w:hint="eastAsia" w:ascii="仿宋" w:hAnsi="仿宋" w:eastAsia="仿宋" w:cs="仿宋"/>
          <w:color w:val="auto"/>
          <w:highlight w:val="none"/>
          <w:lang w:val="en-US" w:eastAsia="zh-CN"/>
        </w:rPr>
      </w:pPr>
    </w:p>
    <w:p>
      <w:pPr>
        <w:spacing w:line="500" w:lineRule="exact"/>
        <w:rPr>
          <w:rFonts w:hint="eastAsia" w:ascii="仿宋" w:hAnsi="仿宋" w:eastAsia="仿宋" w:cs="仿宋"/>
          <w:color w:val="auto"/>
          <w:highlight w:val="none"/>
        </w:rPr>
      </w:pPr>
    </w:p>
    <w:p>
      <w:pPr>
        <w:spacing w:line="276" w:lineRule="auto"/>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r>
        <w:rPr>
          <w:rFonts w:hint="eastAsia" w:ascii="仿宋" w:hAnsi="仿宋" w:eastAsia="仿宋" w:cs="仿宋"/>
          <w:color w:val="auto"/>
          <w:highlight w:val="none"/>
        </w:rPr>
        <w:t xml:space="preserve">第四部分   </w:t>
      </w:r>
      <w:bookmarkStart w:id="5" w:name="_Toc184312083"/>
      <w:bookmarkEnd w:id="5"/>
      <w:bookmarkStart w:id="6" w:name="_Toc184313297"/>
      <w:bookmarkEnd w:id="6"/>
      <w:bookmarkStart w:id="7" w:name="_Toc184310309"/>
      <w:bookmarkEnd w:id="7"/>
      <w:bookmarkStart w:id="8" w:name="_Toc184308068"/>
      <w:bookmarkEnd w:id="8"/>
      <w:bookmarkStart w:id="9" w:name="_Toc184313306"/>
      <w:bookmarkEnd w:id="9"/>
      <w:bookmarkStart w:id="10" w:name="_Toc184310344"/>
      <w:bookmarkEnd w:id="10"/>
      <w:bookmarkStart w:id="11" w:name="_Toc184308059"/>
      <w:bookmarkEnd w:id="11"/>
      <w:bookmarkStart w:id="12" w:name="_Toc184308045"/>
      <w:bookmarkEnd w:id="12"/>
      <w:bookmarkStart w:id="13" w:name="_Toc184313290"/>
      <w:bookmarkEnd w:id="13"/>
      <w:bookmarkStart w:id="14" w:name="_Toc184314413"/>
      <w:bookmarkEnd w:id="14"/>
      <w:bookmarkStart w:id="15" w:name="_Toc184312079"/>
      <w:bookmarkEnd w:id="15"/>
      <w:bookmarkStart w:id="16" w:name="_Toc184314452"/>
      <w:bookmarkEnd w:id="16"/>
      <w:bookmarkStart w:id="17" w:name="_Toc184314450"/>
      <w:bookmarkEnd w:id="17"/>
      <w:bookmarkStart w:id="18" w:name="_Toc184313296"/>
      <w:bookmarkEnd w:id="18"/>
      <w:bookmarkStart w:id="19" w:name="_Toc184308063"/>
      <w:bookmarkEnd w:id="19"/>
      <w:bookmarkStart w:id="20" w:name="_Toc184312090"/>
      <w:bookmarkEnd w:id="20"/>
      <w:bookmarkStart w:id="21" w:name="_Toc184314471"/>
      <w:bookmarkEnd w:id="21"/>
      <w:bookmarkStart w:id="22" w:name="_Toc184308083"/>
      <w:bookmarkEnd w:id="22"/>
      <w:bookmarkStart w:id="23" w:name="_Toc184312120"/>
      <w:bookmarkEnd w:id="23"/>
      <w:bookmarkStart w:id="24" w:name="_Toc184308058"/>
      <w:bookmarkEnd w:id="24"/>
      <w:bookmarkStart w:id="25" w:name="_Toc184313307"/>
      <w:bookmarkEnd w:id="25"/>
      <w:bookmarkStart w:id="26" w:name="_Toc184313239"/>
      <w:bookmarkEnd w:id="26"/>
      <w:bookmarkStart w:id="27" w:name="_Toc184314414"/>
      <w:bookmarkEnd w:id="27"/>
      <w:bookmarkStart w:id="28" w:name="_Toc184314437"/>
      <w:bookmarkEnd w:id="28"/>
      <w:bookmarkStart w:id="29" w:name="_Toc184313270"/>
      <w:bookmarkEnd w:id="29"/>
      <w:bookmarkStart w:id="30" w:name="_Toc184310281"/>
      <w:bookmarkEnd w:id="30"/>
      <w:bookmarkStart w:id="31" w:name="_Toc184310296"/>
      <w:bookmarkEnd w:id="31"/>
      <w:bookmarkStart w:id="32" w:name="_Toc184312138"/>
      <w:bookmarkEnd w:id="32"/>
      <w:bookmarkStart w:id="33" w:name="_Toc184313243"/>
      <w:bookmarkEnd w:id="33"/>
      <w:bookmarkStart w:id="34" w:name="_Toc184313302"/>
      <w:bookmarkEnd w:id="34"/>
      <w:bookmarkStart w:id="35" w:name="_Toc184314472"/>
      <w:bookmarkEnd w:id="35"/>
      <w:bookmarkStart w:id="36" w:name="_Toc184312096"/>
      <w:bookmarkEnd w:id="36"/>
      <w:bookmarkStart w:id="37" w:name="_Toc184314419"/>
      <w:bookmarkEnd w:id="37"/>
      <w:bookmarkStart w:id="38" w:name="_Toc184310334"/>
      <w:bookmarkEnd w:id="38"/>
      <w:bookmarkStart w:id="39" w:name="_Toc184312099"/>
      <w:bookmarkEnd w:id="39"/>
      <w:bookmarkStart w:id="40" w:name="_Toc184310332"/>
      <w:bookmarkEnd w:id="40"/>
      <w:bookmarkStart w:id="41" w:name="_Toc184312125"/>
      <w:bookmarkEnd w:id="41"/>
      <w:bookmarkStart w:id="42" w:name="_Toc184308056"/>
      <w:bookmarkEnd w:id="42"/>
      <w:bookmarkStart w:id="43" w:name="_Toc184312068"/>
      <w:bookmarkEnd w:id="43"/>
      <w:bookmarkStart w:id="44" w:name="_Toc184314466"/>
      <w:bookmarkEnd w:id="44"/>
      <w:bookmarkStart w:id="45" w:name="_Toc184310273"/>
      <w:bookmarkEnd w:id="45"/>
      <w:bookmarkStart w:id="46" w:name="_Toc184312106"/>
      <w:bookmarkEnd w:id="46"/>
      <w:bookmarkStart w:id="47" w:name="_Toc184308070"/>
      <w:bookmarkEnd w:id="47"/>
      <w:bookmarkStart w:id="48" w:name="_Toc184310299"/>
      <w:bookmarkEnd w:id="48"/>
      <w:bookmarkStart w:id="49" w:name="_Toc184308095"/>
      <w:bookmarkEnd w:id="49"/>
      <w:bookmarkStart w:id="50" w:name="_Toc184310314"/>
      <w:bookmarkEnd w:id="50"/>
      <w:bookmarkStart w:id="51" w:name="_Toc184312074"/>
      <w:bookmarkEnd w:id="51"/>
      <w:bookmarkStart w:id="52" w:name="_Toc184308087"/>
      <w:bookmarkEnd w:id="52"/>
      <w:bookmarkStart w:id="53" w:name="_Toc184308046"/>
      <w:bookmarkEnd w:id="53"/>
      <w:bookmarkStart w:id="54" w:name="_Toc184314468"/>
      <w:bookmarkEnd w:id="54"/>
      <w:bookmarkStart w:id="55" w:name="_Toc184312103"/>
      <w:bookmarkEnd w:id="55"/>
      <w:bookmarkStart w:id="56" w:name="_Toc184308074"/>
      <w:bookmarkEnd w:id="56"/>
      <w:bookmarkStart w:id="57" w:name="_Toc184308094"/>
      <w:bookmarkEnd w:id="57"/>
      <w:bookmarkStart w:id="58" w:name="_Toc184313303"/>
      <w:bookmarkEnd w:id="58"/>
      <w:bookmarkStart w:id="59" w:name="_Toc184312095"/>
      <w:bookmarkEnd w:id="59"/>
      <w:bookmarkStart w:id="60" w:name="_Toc184314443"/>
      <w:bookmarkEnd w:id="60"/>
      <w:bookmarkStart w:id="61" w:name="_Toc184312123"/>
      <w:bookmarkEnd w:id="61"/>
      <w:bookmarkStart w:id="62" w:name="_Toc184314480"/>
      <w:bookmarkEnd w:id="62"/>
      <w:bookmarkStart w:id="63" w:name="_Toc184308043"/>
      <w:bookmarkEnd w:id="63"/>
      <w:bookmarkStart w:id="64" w:name="_Toc184312127"/>
      <w:bookmarkEnd w:id="64"/>
      <w:bookmarkStart w:id="65" w:name="_Toc184314467"/>
      <w:bookmarkEnd w:id="65"/>
      <w:bookmarkStart w:id="66" w:name="_Toc184314427"/>
      <w:bookmarkEnd w:id="66"/>
      <w:bookmarkStart w:id="67" w:name="_Toc184310298"/>
      <w:bookmarkEnd w:id="67"/>
      <w:bookmarkStart w:id="68" w:name="_Toc184312108"/>
      <w:bookmarkEnd w:id="68"/>
      <w:bookmarkStart w:id="69" w:name="_Toc184312128"/>
      <w:bookmarkEnd w:id="69"/>
      <w:bookmarkStart w:id="70" w:name="_Toc184312137"/>
      <w:bookmarkEnd w:id="70"/>
      <w:bookmarkStart w:id="71" w:name="_Toc184310280"/>
      <w:bookmarkEnd w:id="71"/>
      <w:bookmarkStart w:id="72" w:name="_Toc184314434"/>
      <w:bookmarkEnd w:id="72"/>
      <w:bookmarkStart w:id="73" w:name="_Toc184314431"/>
      <w:bookmarkEnd w:id="73"/>
      <w:bookmarkStart w:id="74" w:name="_Toc184313256"/>
      <w:bookmarkEnd w:id="74"/>
      <w:bookmarkStart w:id="75" w:name="_Toc184310283"/>
      <w:bookmarkEnd w:id="75"/>
      <w:bookmarkStart w:id="76" w:name="_Toc184313291"/>
      <w:bookmarkEnd w:id="76"/>
      <w:bookmarkStart w:id="77" w:name="_Toc184313282"/>
      <w:bookmarkEnd w:id="77"/>
      <w:bookmarkStart w:id="78" w:name="_Toc184313281"/>
      <w:bookmarkEnd w:id="78"/>
      <w:bookmarkStart w:id="79" w:name="_Toc184308067"/>
      <w:bookmarkEnd w:id="79"/>
      <w:bookmarkStart w:id="80" w:name="_Toc184313264"/>
      <w:bookmarkEnd w:id="80"/>
      <w:bookmarkStart w:id="81" w:name="_Toc184313298"/>
      <w:bookmarkEnd w:id="81"/>
      <w:bookmarkStart w:id="82" w:name="_Toc184314439"/>
      <w:bookmarkEnd w:id="82"/>
      <w:bookmarkStart w:id="83" w:name="_Toc184312075"/>
      <w:bookmarkEnd w:id="83"/>
      <w:bookmarkStart w:id="84" w:name="_Toc184314457"/>
      <w:bookmarkEnd w:id="84"/>
      <w:bookmarkStart w:id="85" w:name="_Toc184312094"/>
      <w:bookmarkEnd w:id="85"/>
      <w:bookmarkStart w:id="86" w:name="_Toc184314482"/>
      <w:bookmarkEnd w:id="86"/>
      <w:bookmarkStart w:id="87" w:name="_Toc184313249"/>
      <w:bookmarkEnd w:id="87"/>
      <w:bookmarkStart w:id="88" w:name="_Toc184313273"/>
      <w:bookmarkEnd w:id="88"/>
      <w:bookmarkStart w:id="89" w:name="_Toc184314473"/>
      <w:bookmarkEnd w:id="89"/>
      <w:bookmarkStart w:id="90" w:name="_Toc184308060"/>
      <w:bookmarkEnd w:id="90"/>
      <w:bookmarkStart w:id="91" w:name="_Toc184314458"/>
      <w:bookmarkEnd w:id="91"/>
      <w:bookmarkStart w:id="92" w:name="_Toc184312132"/>
      <w:bookmarkEnd w:id="92"/>
      <w:bookmarkStart w:id="93" w:name="_Toc184312112"/>
      <w:bookmarkEnd w:id="93"/>
      <w:bookmarkStart w:id="94" w:name="_Toc184314410"/>
      <w:bookmarkEnd w:id="94"/>
      <w:bookmarkStart w:id="95" w:name="_Toc184310317"/>
      <w:bookmarkEnd w:id="95"/>
      <w:bookmarkStart w:id="96" w:name="_Toc184310315"/>
      <w:bookmarkEnd w:id="96"/>
      <w:bookmarkStart w:id="97" w:name="_Toc184312124"/>
      <w:bookmarkEnd w:id="97"/>
      <w:bookmarkStart w:id="98" w:name="_Toc184308051"/>
      <w:bookmarkEnd w:id="98"/>
      <w:bookmarkStart w:id="99" w:name="_Toc184310340"/>
      <w:bookmarkEnd w:id="99"/>
      <w:bookmarkStart w:id="100" w:name="_Toc184310321"/>
      <w:bookmarkEnd w:id="100"/>
      <w:bookmarkStart w:id="101" w:name="_Toc184310337"/>
      <w:bookmarkEnd w:id="101"/>
      <w:bookmarkStart w:id="102" w:name="_Toc184313293"/>
      <w:bookmarkEnd w:id="102"/>
      <w:bookmarkStart w:id="103" w:name="_Toc184310284"/>
      <w:bookmarkEnd w:id="103"/>
      <w:bookmarkStart w:id="104" w:name="_Toc184308085"/>
      <w:bookmarkEnd w:id="104"/>
      <w:bookmarkStart w:id="105" w:name="_Toc184314460"/>
      <w:bookmarkEnd w:id="105"/>
      <w:bookmarkStart w:id="106" w:name="_Toc184314479"/>
      <w:bookmarkEnd w:id="106"/>
      <w:bookmarkStart w:id="107" w:name="_Toc184314447"/>
      <w:bookmarkEnd w:id="107"/>
      <w:bookmarkStart w:id="108" w:name="_Toc184314438"/>
      <w:bookmarkEnd w:id="108"/>
      <w:bookmarkStart w:id="109" w:name="_Toc184314433"/>
      <w:bookmarkEnd w:id="109"/>
      <w:bookmarkStart w:id="110" w:name="_Toc184310322"/>
      <w:bookmarkEnd w:id="110"/>
      <w:bookmarkStart w:id="111" w:name="_Toc184313280"/>
      <w:bookmarkEnd w:id="111"/>
      <w:bookmarkStart w:id="112" w:name="_Toc184308102"/>
      <w:bookmarkEnd w:id="112"/>
      <w:bookmarkStart w:id="113" w:name="_Toc184314415"/>
      <w:bookmarkEnd w:id="113"/>
      <w:bookmarkStart w:id="114" w:name="_Toc184314462"/>
      <w:bookmarkEnd w:id="114"/>
      <w:bookmarkStart w:id="115" w:name="_Toc184308092"/>
      <w:bookmarkEnd w:id="115"/>
      <w:bookmarkStart w:id="116" w:name="_Toc184312110"/>
      <w:bookmarkEnd w:id="116"/>
      <w:bookmarkStart w:id="117" w:name="_Toc184313308"/>
      <w:bookmarkEnd w:id="117"/>
      <w:bookmarkStart w:id="118" w:name="_Toc184308088"/>
      <w:bookmarkEnd w:id="118"/>
      <w:bookmarkStart w:id="119" w:name="_Toc184312081"/>
      <w:bookmarkEnd w:id="119"/>
      <w:bookmarkStart w:id="120" w:name="_Toc184308089"/>
      <w:bookmarkEnd w:id="120"/>
      <w:bookmarkStart w:id="121" w:name="_Toc184308061"/>
      <w:bookmarkEnd w:id="121"/>
      <w:bookmarkStart w:id="122" w:name="_Toc184314423"/>
      <w:bookmarkEnd w:id="122"/>
      <w:bookmarkStart w:id="123" w:name="_Toc184313255"/>
      <w:bookmarkEnd w:id="123"/>
      <w:bookmarkStart w:id="124" w:name="_Toc184312097"/>
      <w:bookmarkEnd w:id="124"/>
      <w:bookmarkStart w:id="125" w:name="_Toc184308039"/>
      <w:bookmarkEnd w:id="125"/>
      <w:bookmarkStart w:id="126" w:name="_Toc184310310"/>
      <w:bookmarkEnd w:id="126"/>
      <w:bookmarkStart w:id="127" w:name="_Toc184313252"/>
      <w:bookmarkEnd w:id="127"/>
      <w:bookmarkStart w:id="128" w:name="_Toc184310295"/>
      <w:bookmarkEnd w:id="128"/>
      <w:bookmarkStart w:id="129" w:name="_Toc184314476"/>
      <w:bookmarkEnd w:id="129"/>
      <w:bookmarkStart w:id="130" w:name="_Toc184314474"/>
      <w:bookmarkEnd w:id="130"/>
      <w:bookmarkStart w:id="131" w:name="_Toc184310303"/>
      <w:bookmarkEnd w:id="131"/>
      <w:bookmarkStart w:id="132" w:name="_Toc184313295"/>
      <w:bookmarkEnd w:id="132"/>
      <w:bookmarkStart w:id="133" w:name="_Toc184313260"/>
      <w:bookmarkEnd w:id="133"/>
      <w:bookmarkStart w:id="134" w:name="_Toc184308080"/>
      <w:bookmarkEnd w:id="134"/>
      <w:bookmarkStart w:id="135" w:name="_Toc184308069"/>
      <w:bookmarkEnd w:id="135"/>
      <w:bookmarkStart w:id="136" w:name="_Toc184313300"/>
      <w:bookmarkEnd w:id="136"/>
      <w:bookmarkStart w:id="137" w:name="_Toc184308053"/>
      <w:bookmarkEnd w:id="137"/>
      <w:bookmarkStart w:id="138" w:name="_Toc184312115"/>
      <w:bookmarkEnd w:id="138"/>
      <w:bookmarkStart w:id="139" w:name="_Toc184314436"/>
      <w:bookmarkEnd w:id="139"/>
      <w:bookmarkStart w:id="140" w:name="_Toc184313248"/>
      <w:bookmarkEnd w:id="140"/>
      <w:bookmarkStart w:id="141" w:name="_Toc184313287"/>
      <w:bookmarkEnd w:id="141"/>
      <w:bookmarkStart w:id="142" w:name="_Toc184314470"/>
      <w:bookmarkEnd w:id="142"/>
      <w:bookmarkStart w:id="143" w:name="_Toc184310287"/>
      <w:bookmarkEnd w:id="143"/>
      <w:bookmarkStart w:id="144" w:name="_Toc184312067"/>
      <w:bookmarkEnd w:id="144"/>
      <w:bookmarkStart w:id="145" w:name="_Toc184312114"/>
      <w:bookmarkEnd w:id="145"/>
      <w:bookmarkStart w:id="146" w:name="_Toc184310277"/>
      <w:bookmarkEnd w:id="146"/>
      <w:bookmarkStart w:id="147" w:name="_Toc184312071"/>
      <w:bookmarkEnd w:id="147"/>
      <w:bookmarkStart w:id="148" w:name="_Toc184308049"/>
      <w:bookmarkEnd w:id="148"/>
      <w:bookmarkStart w:id="149" w:name="_Toc184308062"/>
      <w:bookmarkEnd w:id="149"/>
      <w:bookmarkStart w:id="150" w:name="_Toc184310328"/>
      <w:bookmarkEnd w:id="150"/>
      <w:bookmarkStart w:id="151" w:name="_Toc184312089"/>
      <w:bookmarkEnd w:id="151"/>
      <w:bookmarkStart w:id="152" w:name="_Toc184312105"/>
      <w:bookmarkEnd w:id="152"/>
      <w:bookmarkStart w:id="153" w:name="_Toc184313271"/>
      <w:bookmarkEnd w:id="153"/>
      <w:bookmarkStart w:id="154" w:name="_Toc184314478"/>
      <w:bookmarkEnd w:id="154"/>
      <w:bookmarkStart w:id="155" w:name="_Toc184310319"/>
      <w:bookmarkEnd w:id="155"/>
      <w:bookmarkStart w:id="156" w:name="_Toc184308076"/>
      <w:bookmarkEnd w:id="156"/>
      <w:bookmarkStart w:id="157" w:name="_Toc184314444"/>
      <w:bookmarkEnd w:id="157"/>
      <w:bookmarkStart w:id="158" w:name="_Toc184312116"/>
      <w:bookmarkEnd w:id="158"/>
      <w:bookmarkStart w:id="159" w:name="_Toc184308052"/>
      <w:bookmarkEnd w:id="159"/>
      <w:bookmarkStart w:id="160" w:name="_Toc184314451"/>
      <w:bookmarkEnd w:id="160"/>
      <w:bookmarkStart w:id="161" w:name="_Toc184312113"/>
      <w:bookmarkEnd w:id="161"/>
      <w:bookmarkStart w:id="162" w:name="_Toc184314461"/>
      <w:bookmarkEnd w:id="162"/>
      <w:bookmarkStart w:id="163" w:name="_Toc184313301"/>
      <w:bookmarkEnd w:id="163"/>
      <w:bookmarkStart w:id="164" w:name="_Toc184310311"/>
      <w:bookmarkEnd w:id="164"/>
      <w:bookmarkStart w:id="165" w:name="_Toc184314481"/>
      <w:bookmarkEnd w:id="165"/>
      <w:bookmarkStart w:id="166" w:name="_Toc184312119"/>
      <w:bookmarkEnd w:id="166"/>
      <w:bookmarkStart w:id="167" w:name="_Toc184310304"/>
      <w:bookmarkEnd w:id="167"/>
      <w:bookmarkStart w:id="168" w:name="_Toc184310320"/>
      <w:bookmarkEnd w:id="168"/>
      <w:bookmarkStart w:id="169" w:name="_Toc184310341"/>
      <w:bookmarkEnd w:id="169"/>
      <w:bookmarkStart w:id="170" w:name="_Toc184310290"/>
      <w:bookmarkEnd w:id="170"/>
      <w:bookmarkStart w:id="171" w:name="_Toc184312070"/>
      <w:bookmarkEnd w:id="171"/>
      <w:bookmarkStart w:id="172" w:name="_Toc184312098"/>
      <w:bookmarkEnd w:id="172"/>
      <w:bookmarkStart w:id="173" w:name="_Toc184308072"/>
      <w:bookmarkEnd w:id="173"/>
      <w:bookmarkStart w:id="174" w:name="_Toc184312135"/>
      <w:bookmarkEnd w:id="174"/>
      <w:bookmarkStart w:id="175" w:name="_Toc184308038"/>
      <w:bookmarkEnd w:id="175"/>
      <w:bookmarkStart w:id="176" w:name="_Toc184313267"/>
      <w:bookmarkEnd w:id="176"/>
      <w:bookmarkStart w:id="177" w:name="_Toc184312092"/>
      <w:bookmarkEnd w:id="177"/>
      <w:bookmarkStart w:id="178" w:name="_Toc184312129"/>
      <w:bookmarkEnd w:id="178"/>
      <w:bookmarkStart w:id="179" w:name="_Toc184310279"/>
      <w:bookmarkEnd w:id="179"/>
      <w:bookmarkStart w:id="180" w:name="_Toc184313310"/>
      <w:bookmarkEnd w:id="180"/>
      <w:bookmarkStart w:id="181" w:name="_Toc184312077"/>
      <w:bookmarkEnd w:id="181"/>
      <w:bookmarkStart w:id="182" w:name="_Toc184313263"/>
      <w:bookmarkEnd w:id="182"/>
      <w:bookmarkStart w:id="183" w:name="_Toc184312088"/>
      <w:bookmarkEnd w:id="183"/>
      <w:bookmarkStart w:id="184" w:name="_Toc184308065"/>
      <w:bookmarkEnd w:id="184"/>
      <w:bookmarkStart w:id="185" w:name="_Toc184313284"/>
      <w:bookmarkEnd w:id="185"/>
      <w:bookmarkStart w:id="186" w:name="_Toc184314426"/>
      <w:bookmarkEnd w:id="186"/>
      <w:bookmarkStart w:id="187" w:name="_Toc184308050"/>
      <w:bookmarkEnd w:id="187"/>
      <w:bookmarkStart w:id="188" w:name="_Toc184314445"/>
      <w:bookmarkEnd w:id="188"/>
      <w:bookmarkStart w:id="189" w:name="_Toc184312118"/>
      <w:bookmarkEnd w:id="189"/>
      <w:bookmarkStart w:id="190" w:name="_Toc184312076"/>
      <w:bookmarkEnd w:id="190"/>
      <w:bookmarkStart w:id="191" w:name="_Toc184312085"/>
      <w:bookmarkEnd w:id="191"/>
      <w:bookmarkStart w:id="192" w:name="_Toc184308091"/>
      <w:bookmarkEnd w:id="192"/>
      <w:bookmarkStart w:id="193" w:name="_Toc184308077"/>
      <w:bookmarkEnd w:id="193"/>
      <w:bookmarkStart w:id="194" w:name="_Toc184308057"/>
      <w:bookmarkEnd w:id="194"/>
      <w:bookmarkStart w:id="195" w:name="_Toc184314453"/>
      <w:bookmarkEnd w:id="195"/>
      <w:bookmarkStart w:id="196" w:name="_Toc184310286"/>
      <w:bookmarkEnd w:id="196"/>
      <w:bookmarkStart w:id="197" w:name="_Toc184313288"/>
      <w:bookmarkEnd w:id="197"/>
      <w:bookmarkStart w:id="198" w:name="_Toc184313299"/>
      <w:bookmarkEnd w:id="198"/>
      <w:bookmarkStart w:id="199" w:name="_Toc184312091"/>
      <w:bookmarkEnd w:id="199"/>
      <w:bookmarkStart w:id="200" w:name="_Toc184313275"/>
      <w:bookmarkEnd w:id="200"/>
      <w:bookmarkStart w:id="201" w:name="_Toc184313241"/>
      <w:bookmarkEnd w:id="201"/>
      <w:bookmarkStart w:id="202" w:name="_Toc184310288"/>
      <w:bookmarkEnd w:id="202"/>
      <w:bookmarkStart w:id="203" w:name="_Toc184308104"/>
      <w:bookmarkEnd w:id="203"/>
      <w:bookmarkStart w:id="204" w:name="_Toc184310289"/>
      <w:bookmarkEnd w:id="204"/>
      <w:bookmarkStart w:id="205" w:name="_Toc184310316"/>
      <w:bookmarkEnd w:id="205"/>
      <w:bookmarkStart w:id="206" w:name="_Toc184314440"/>
      <w:bookmarkEnd w:id="206"/>
      <w:bookmarkStart w:id="207" w:name="_Toc184308086"/>
      <w:bookmarkEnd w:id="207"/>
      <w:bookmarkStart w:id="208" w:name="_Toc184313294"/>
      <w:bookmarkEnd w:id="208"/>
      <w:bookmarkStart w:id="209" w:name="_Toc184310336"/>
      <w:bookmarkEnd w:id="209"/>
      <w:bookmarkStart w:id="210" w:name="_Toc184312072"/>
      <w:bookmarkEnd w:id="210"/>
      <w:bookmarkStart w:id="211" w:name="_Toc184314477"/>
      <w:bookmarkEnd w:id="211"/>
      <w:bookmarkStart w:id="212" w:name="_Toc184308105"/>
      <w:bookmarkEnd w:id="212"/>
      <w:bookmarkStart w:id="213" w:name="_Toc184308093"/>
      <w:bookmarkEnd w:id="213"/>
      <w:bookmarkStart w:id="214" w:name="_Toc184308078"/>
      <w:bookmarkEnd w:id="214"/>
      <w:bookmarkStart w:id="215" w:name="_Toc184310306"/>
      <w:bookmarkEnd w:id="215"/>
      <w:bookmarkStart w:id="216" w:name="_Toc184312104"/>
      <w:bookmarkEnd w:id="216"/>
      <w:bookmarkStart w:id="217" w:name="_Toc184308090"/>
      <w:bookmarkEnd w:id="217"/>
      <w:bookmarkStart w:id="218" w:name="_Toc184312086"/>
      <w:bookmarkEnd w:id="218"/>
      <w:bookmarkStart w:id="219" w:name="_Toc184310330"/>
      <w:bookmarkEnd w:id="219"/>
      <w:bookmarkStart w:id="220" w:name="_Toc184308040"/>
      <w:bookmarkEnd w:id="220"/>
      <w:bookmarkStart w:id="221" w:name="_Toc184310275"/>
      <w:bookmarkEnd w:id="221"/>
      <w:bookmarkStart w:id="222" w:name="_Toc184314475"/>
      <w:bookmarkEnd w:id="222"/>
      <w:bookmarkStart w:id="223" w:name="_Toc184314411"/>
      <w:bookmarkEnd w:id="223"/>
      <w:bookmarkStart w:id="224" w:name="_Toc184310274"/>
      <w:bookmarkEnd w:id="224"/>
      <w:bookmarkStart w:id="225" w:name="_Toc184312134"/>
      <w:bookmarkEnd w:id="225"/>
      <w:bookmarkStart w:id="226" w:name="_Toc184313289"/>
      <w:bookmarkEnd w:id="226"/>
      <w:bookmarkStart w:id="227" w:name="_Toc184312100"/>
      <w:bookmarkEnd w:id="227"/>
      <w:bookmarkStart w:id="228" w:name="_Toc184308073"/>
      <w:bookmarkEnd w:id="228"/>
      <w:bookmarkStart w:id="229" w:name="_Toc184310282"/>
      <w:bookmarkEnd w:id="229"/>
      <w:bookmarkStart w:id="230" w:name="_Toc184310325"/>
      <w:bookmarkEnd w:id="230"/>
      <w:bookmarkStart w:id="231" w:name="_Toc184313245"/>
      <w:bookmarkEnd w:id="231"/>
      <w:bookmarkStart w:id="232" w:name="_Toc184312093"/>
      <w:bookmarkEnd w:id="232"/>
      <w:bookmarkStart w:id="233" w:name="_Toc184313265"/>
      <w:bookmarkEnd w:id="233"/>
      <w:bookmarkStart w:id="234" w:name="_Toc184312109"/>
      <w:bookmarkEnd w:id="234"/>
      <w:bookmarkStart w:id="235" w:name="_Toc184310338"/>
      <w:bookmarkEnd w:id="235"/>
      <w:bookmarkStart w:id="236" w:name="_Toc184313283"/>
      <w:bookmarkEnd w:id="236"/>
      <w:bookmarkStart w:id="237" w:name="_Toc184312111"/>
      <w:bookmarkEnd w:id="237"/>
      <w:bookmarkStart w:id="238" w:name="_Toc184314446"/>
      <w:bookmarkEnd w:id="238"/>
      <w:bookmarkStart w:id="239" w:name="_Toc184310292"/>
      <w:bookmarkEnd w:id="239"/>
      <w:bookmarkStart w:id="240" w:name="_Toc184314424"/>
      <w:bookmarkEnd w:id="240"/>
      <w:bookmarkStart w:id="241" w:name="_Toc184308066"/>
      <w:bookmarkEnd w:id="241"/>
      <w:bookmarkStart w:id="242" w:name="_Toc184308100"/>
      <w:bookmarkEnd w:id="242"/>
      <w:bookmarkStart w:id="243" w:name="_Toc184314459"/>
      <w:bookmarkEnd w:id="243"/>
      <w:bookmarkStart w:id="244" w:name="_Toc184308079"/>
      <w:bookmarkEnd w:id="244"/>
      <w:bookmarkStart w:id="245" w:name="_Toc184313257"/>
      <w:bookmarkEnd w:id="245"/>
      <w:bookmarkStart w:id="246" w:name="_Toc184313276"/>
      <w:bookmarkEnd w:id="246"/>
      <w:bookmarkStart w:id="247" w:name="_Toc184308054"/>
      <w:bookmarkEnd w:id="247"/>
      <w:bookmarkStart w:id="248" w:name="_Toc184308075"/>
      <w:bookmarkEnd w:id="248"/>
      <w:bookmarkStart w:id="249" w:name="_Toc184312080"/>
      <w:bookmarkEnd w:id="249"/>
      <w:bookmarkStart w:id="250" w:name="_Toc184310308"/>
      <w:bookmarkEnd w:id="250"/>
      <w:bookmarkStart w:id="251" w:name="_Toc184312139"/>
      <w:bookmarkEnd w:id="251"/>
      <w:bookmarkStart w:id="252" w:name="_Toc184312101"/>
      <w:bookmarkEnd w:id="252"/>
      <w:bookmarkStart w:id="253" w:name="_Toc184314442"/>
      <w:bookmarkEnd w:id="253"/>
      <w:bookmarkStart w:id="254" w:name="_Toc184308107"/>
      <w:bookmarkEnd w:id="254"/>
      <w:bookmarkStart w:id="255" w:name="_Toc184310307"/>
      <w:bookmarkEnd w:id="255"/>
      <w:bookmarkStart w:id="256" w:name="_Toc184310326"/>
      <w:bookmarkEnd w:id="256"/>
      <w:bookmarkStart w:id="257" w:name="_Toc184312102"/>
      <w:bookmarkEnd w:id="257"/>
      <w:bookmarkStart w:id="258" w:name="_Toc184312122"/>
      <w:bookmarkEnd w:id="258"/>
      <w:bookmarkStart w:id="259" w:name="_Toc184313274"/>
      <w:bookmarkEnd w:id="259"/>
      <w:bookmarkStart w:id="260" w:name="_Toc184308099"/>
      <w:bookmarkEnd w:id="260"/>
      <w:bookmarkStart w:id="261" w:name="_Toc184313259"/>
      <w:bookmarkEnd w:id="261"/>
      <w:bookmarkStart w:id="262" w:name="_Toc184310285"/>
      <w:bookmarkEnd w:id="262"/>
      <w:bookmarkStart w:id="263" w:name="_Toc184314469"/>
      <w:bookmarkEnd w:id="263"/>
      <w:bookmarkStart w:id="264" w:name="_Toc184314422"/>
      <w:bookmarkEnd w:id="264"/>
      <w:bookmarkStart w:id="265" w:name="_Toc184310331"/>
      <w:bookmarkEnd w:id="265"/>
      <w:bookmarkStart w:id="266" w:name="_Toc184310312"/>
      <w:bookmarkEnd w:id="266"/>
      <w:bookmarkStart w:id="267" w:name="_Toc184313253"/>
      <w:bookmarkEnd w:id="267"/>
      <w:bookmarkStart w:id="268" w:name="_Toc184313258"/>
      <w:bookmarkEnd w:id="268"/>
      <w:bookmarkStart w:id="269" w:name="_Toc184310291"/>
      <w:bookmarkEnd w:id="269"/>
      <w:bookmarkStart w:id="270" w:name="_Toc184313305"/>
      <w:bookmarkEnd w:id="270"/>
      <w:bookmarkStart w:id="271" w:name="_Toc184312136"/>
      <w:bookmarkEnd w:id="271"/>
      <w:bookmarkStart w:id="272" w:name="_Toc184308041"/>
      <w:bookmarkEnd w:id="272"/>
      <w:bookmarkStart w:id="273" w:name="_Toc184308101"/>
      <w:bookmarkEnd w:id="273"/>
      <w:bookmarkStart w:id="274" w:name="_Toc184313261"/>
      <w:bookmarkEnd w:id="274"/>
      <w:bookmarkStart w:id="275" w:name="_Toc184314454"/>
      <w:bookmarkEnd w:id="275"/>
      <w:bookmarkStart w:id="276" w:name="_Toc184313292"/>
      <w:bookmarkEnd w:id="276"/>
      <w:bookmarkStart w:id="277" w:name="_Toc184314416"/>
      <w:bookmarkEnd w:id="277"/>
      <w:bookmarkStart w:id="278" w:name="_Toc184308047"/>
      <w:bookmarkEnd w:id="278"/>
      <w:bookmarkStart w:id="279" w:name="_Toc184310300"/>
      <w:bookmarkEnd w:id="279"/>
      <w:bookmarkStart w:id="280" w:name="_Toc184313277"/>
      <w:bookmarkEnd w:id="280"/>
      <w:bookmarkStart w:id="281" w:name="_Toc184310343"/>
      <w:bookmarkEnd w:id="281"/>
      <w:bookmarkStart w:id="282" w:name="_Toc184312069"/>
      <w:bookmarkEnd w:id="282"/>
      <w:bookmarkStart w:id="283" w:name="_Toc184314430"/>
      <w:bookmarkEnd w:id="283"/>
      <w:bookmarkStart w:id="284" w:name="_Toc184310272"/>
      <w:bookmarkEnd w:id="284"/>
      <w:bookmarkStart w:id="285" w:name="_Toc184312107"/>
      <w:bookmarkEnd w:id="285"/>
      <w:bookmarkStart w:id="286" w:name="_Toc184308106"/>
      <w:bookmarkEnd w:id="286"/>
      <w:bookmarkStart w:id="287" w:name="_Toc184313268"/>
      <w:bookmarkEnd w:id="287"/>
      <w:bookmarkStart w:id="288" w:name="_Toc184313242"/>
      <w:bookmarkEnd w:id="288"/>
      <w:bookmarkStart w:id="289" w:name="_Toc184314432"/>
      <w:bookmarkEnd w:id="289"/>
      <w:bookmarkStart w:id="290" w:name="_Toc184312130"/>
      <w:bookmarkEnd w:id="290"/>
      <w:bookmarkStart w:id="291" w:name="_Toc184308081"/>
      <w:bookmarkEnd w:id="291"/>
      <w:bookmarkStart w:id="292" w:name="_Toc184314420"/>
      <w:bookmarkEnd w:id="292"/>
      <w:bookmarkStart w:id="293" w:name="_Toc184313247"/>
      <w:bookmarkEnd w:id="293"/>
      <w:bookmarkStart w:id="294" w:name="_Toc184313309"/>
      <w:bookmarkEnd w:id="294"/>
      <w:bookmarkStart w:id="295" w:name="_Toc184310327"/>
      <w:bookmarkEnd w:id="295"/>
      <w:bookmarkStart w:id="296" w:name="_Toc184310339"/>
      <w:bookmarkEnd w:id="296"/>
      <w:bookmarkStart w:id="297" w:name="_Toc184314464"/>
      <w:bookmarkEnd w:id="297"/>
      <w:bookmarkStart w:id="298" w:name="_Toc184314417"/>
      <w:bookmarkEnd w:id="298"/>
      <w:bookmarkStart w:id="299" w:name="_Toc184314441"/>
      <w:bookmarkEnd w:id="299"/>
      <w:bookmarkStart w:id="300" w:name="_Toc184308097"/>
      <w:bookmarkEnd w:id="300"/>
      <w:bookmarkStart w:id="301" w:name="_Toc184313272"/>
      <w:bookmarkEnd w:id="301"/>
      <w:bookmarkStart w:id="302" w:name="_Toc184312087"/>
      <w:bookmarkEnd w:id="302"/>
      <w:bookmarkStart w:id="303" w:name="_Toc184310302"/>
      <w:bookmarkEnd w:id="303"/>
      <w:bookmarkStart w:id="304" w:name="_Toc184308084"/>
      <w:bookmarkEnd w:id="304"/>
      <w:bookmarkStart w:id="305" w:name="_Toc184313246"/>
      <w:bookmarkEnd w:id="305"/>
      <w:bookmarkStart w:id="306" w:name="_Toc184313278"/>
      <w:bookmarkEnd w:id="306"/>
      <w:bookmarkStart w:id="307" w:name="_Toc184313285"/>
      <w:bookmarkEnd w:id="307"/>
      <w:bookmarkStart w:id="308" w:name="_Toc184308064"/>
      <w:bookmarkEnd w:id="308"/>
      <w:bookmarkStart w:id="309" w:name="_Toc184314418"/>
      <w:bookmarkEnd w:id="309"/>
      <w:bookmarkStart w:id="310" w:name="_Toc184310297"/>
      <w:bookmarkEnd w:id="310"/>
      <w:bookmarkStart w:id="311" w:name="_Toc184308048"/>
      <w:bookmarkEnd w:id="311"/>
      <w:bookmarkStart w:id="312" w:name="_Toc184310301"/>
      <w:bookmarkEnd w:id="312"/>
      <w:bookmarkStart w:id="313" w:name="_Toc184314435"/>
      <w:bookmarkEnd w:id="313"/>
      <w:bookmarkStart w:id="314" w:name="_Toc184313266"/>
      <w:bookmarkEnd w:id="314"/>
      <w:bookmarkStart w:id="315" w:name="_Toc184310324"/>
      <w:bookmarkEnd w:id="315"/>
      <w:bookmarkStart w:id="316" w:name="_Toc184314412"/>
      <w:bookmarkEnd w:id="316"/>
      <w:bookmarkStart w:id="317" w:name="_Toc184310305"/>
      <w:bookmarkEnd w:id="317"/>
      <w:bookmarkStart w:id="318" w:name="_Toc184310278"/>
      <w:bookmarkEnd w:id="318"/>
      <w:bookmarkStart w:id="319" w:name="_Toc184310276"/>
      <w:bookmarkEnd w:id="319"/>
      <w:bookmarkStart w:id="320" w:name="_Toc184310335"/>
      <w:bookmarkEnd w:id="320"/>
      <w:bookmarkStart w:id="321" w:name="_Toc184308108"/>
      <w:bookmarkEnd w:id="321"/>
      <w:bookmarkStart w:id="322" w:name="_Toc184310294"/>
      <w:bookmarkEnd w:id="322"/>
      <w:bookmarkStart w:id="323" w:name="_Toc184308037"/>
      <w:bookmarkEnd w:id="323"/>
      <w:bookmarkStart w:id="324" w:name="_Toc184310333"/>
      <w:bookmarkEnd w:id="324"/>
      <w:bookmarkStart w:id="325" w:name="_Toc184314449"/>
      <w:bookmarkEnd w:id="325"/>
      <w:bookmarkStart w:id="326" w:name="_Toc184314456"/>
      <w:bookmarkEnd w:id="326"/>
      <w:bookmarkStart w:id="327" w:name="_Toc184313269"/>
      <w:bookmarkEnd w:id="327"/>
      <w:bookmarkStart w:id="328" w:name="_Toc184310323"/>
      <w:bookmarkEnd w:id="328"/>
      <w:bookmarkStart w:id="329" w:name="_Toc184313250"/>
      <w:bookmarkEnd w:id="329"/>
      <w:bookmarkStart w:id="330" w:name="_Toc184312073"/>
      <w:bookmarkEnd w:id="330"/>
      <w:bookmarkStart w:id="331" w:name="_Toc184313286"/>
      <w:bookmarkEnd w:id="331"/>
      <w:bookmarkStart w:id="332" w:name="_Toc184314455"/>
      <w:bookmarkEnd w:id="332"/>
      <w:bookmarkStart w:id="333" w:name="_Toc184312121"/>
      <w:bookmarkEnd w:id="333"/>
      <w:bookmarkStart w:id="334" w:name="_Toc184314465"/>
      <w:bookmarkEnd w:id="334"/>
      <w:bookmarkStart w:id="335" w:name="_Toc184313240"/>
      <w:bookmarkEnd w:id="335"/>
      <w:bookmarkStart w:id="336" w:name="_Toc184312117"/>
      <w:bookmarkEnd w:id="336"/>
      <w:bookmarkStart w:id="337" w:name="_Toc184310293"/>
      <w:bookmarkEnd w:id="337"/>
      <w:bookmarkStart w:id="338" w:name="_Toc184312131"/>
      <w:bookmarkEnd w:id="338"/>
      <w:bookmarkStart w:id="339" w:name="_Toc184308055"/>
      <w:bookmarkEnd w:id="339"/>
      <w:bookmarkStart w:id="340" w:name="_Toc184308044"/>
      <w:bookmarkEnd w:id="340"/>
      <w:bookmarkStart w:id="341" w:name="_Toc184308096"/>
      <w:bookmarkEnd w:id="341"/>
      <w:bookmarkStart w:id="342" w:name="_Toc184314429"/>
      <w:bookmarkEnd w:id="342"/>
      <w:bookmarkStart w:id="343" w:name="_Toc184308103"/>
      <w:bookmarkEnd w:id="343"/>
      <w:bookmarkStart w:id="344" w:name="_Toc184308071"/>
      <w:bookmarkEnd w:id="344"/>
      <w:bookmarkStart w:id="345" w:name="_Toc184313251"/>
      <w:bookmarkEnd w:id="345"/>
      <w:bookmarkStart w:id="346" w:name="_Toc184314421"/>
      <w:bookmarkEnd w:id="346"/>
      <w:bookmarkStart w:id="347" w:name="_Toc184314448"/>
      <w:bookmarkEnd w:id="347"/>
      <w:bookmarkStart w:id="348" w:name="_Toc184308042"/>
      <w:bookmarkEnd w:id="348"/>
      <w:bookmarkStart w:id="349" w:name="_Toc184314463"/>
      <w:bookmarkEnd w:id="349"/>
      <w:bookmarkStart w:id="350" w:name="_Toc184312126"/>
      <w:bookmarkEnd w:id="350"/>
      <w:bookmarkStart w:id="351" w:name="_Toc184312084"/>
      <w:bookmarkEnd w:id="351"/>
      <w:bookmarkStart w:id="352" w:name="_Toc184310342"/>
      <w:bookmarkEnd w:id="352"/>
      <w:bookmarkStart w:id="353" w:name="_Toc184310313"/>
      <w:bookmarkEnd w:id="353"/>
      <w:bookmarkStart w:id="354" w:name="_Toc184308082"/>
      <w:bookmarkEnd w:id="354"/>
      <w:bookmarkStart w:id="355" w:name="_Toc184314428"/>
      <w:bookmarkEnd w:id="355"/>
      <w:bookmarkStart w:id="356" w:name="_Toc184313254"/>
      <w:bookmarkEnd w:id="356"/>
      <w:bookmarkStart w:id="357" w:name="_Toc184310329"/>
      <w:bookmarkEnd w:id="357"/>
      <w:bookmarkStart w:id="358" w:name="_Toc184313238"/>
      <w:bookmarkEnd w:id="358"/>
      <w:bookmarkStart w:id="359" w:name="_Toc184312082"/>
      <w:bookmarkEnd w:id="359"/>
      <w:bookmarkStart w:id="360" w:name="_Toc184313279"/>
      <w:bookmarkEnd w:id="360"/>
      <w:bookmarkStart w:id="361" w:name="_Toc184313304"/>
      <w:bookmarkEnd w:id="361"/>
      <w:bookmarkStart w:id="362" w:name="_Toc184308036"/>
      <w:bookmarkEnd w:id="362"/>
      <w:bookmarkStart w:id="363" w:name="_Toc184308098"/>
      <w:bookmarkEnd w:id="363"/>
      <w:bookmarkStart w:id="364" w:name="_Toc184314425"/>
      <w:bookmarkEnd w:id="364"/>
      <w:bookmarkStart w:id="365" w:name="_Toc184312133"/>
      <w:bookmarkEnd w:id="365"/>
      <w:bookmarkStart w:id="366" w:name="_Toc184312078"/>
      <w:bookmarkEnd w:id="366"/>
      <w:bookmarkStart w:id="367" w:name="_Toc184313262"/>
      <w:bookmarkEnd w:id="367"/>
      <w:bookmarkStart w:id="368" w:name="_Toc184313244"/>
      <w:bookmarkEnd w:id="368"/>
      <w:bookmarkStart w:id="369" w:name="_Toc184310318"/>
      <w:bookmarkEnd w:id="369"/>
      <w:r>
        <w:rPr>
          <w:rFonts w:hint="eastAsia" w:ascii="仿宋" w:hAnsi="仿宋" w:eastAsia="仿宋" w:cs="仿宋"/>
          <w:color w:val="auto"/>
          <w:highlight w:val="none"/>
        </w:rPr>
        <w:t>评标办法</w:t>
      </w:r>
    </w:p>
    <w:p>
      <w:pPr>
        <w:pStyle w:val="4"/>
        <w:rPr>
          <w:rFonts w:hint="eastAsia" w:ascii="仿宋" w:hAnsi="仿宋" w:eastAsia="仿宋" w:cs="仿宋"/>
          <w:color w:val="auto"/>
          <w:highlight w:val="none"/>
        </w:rPr>
      </w:pPr>
      <w:r>
        <w:rPr>
          <w:rFonts w:hint="eastAsia" w:ascii="仿宋" w:hAnsi="仿宋" w:eastAsia="仿宋" w:cs="仿宋"/>
          <w:color w:val="auto"/>
          <w:highlight w:val="none"/>
        </w:rPr>
        <w:t>评标办法前附表</w:t>
      </w:r>
    </w:p>
    <w:p>
      <w:pPr>
        <w:rPr>
          <w:rFonts w:hint="eastAsia" w:ascii="仿宋" w:hAnsi="仿宋" w:eastAsia="仿宋" w:cs="仿宋"/>
          <w:b/>
          <w:color w:val="auto"/>
          <w:highlight w:val="none"/>
        </w:rPr>
      </w:pPr>
      <w:r>
        <w:rPr>
          <w:rFonts w:hint="eastAsia" w:ascii="仿宋" w:hAnsi="仿宋" w:eastAsia="仿宋" w:cs="仿宋"/>
          <w:b/>
          <w:color w:val="auto"/>
          <w:highlight w:val="none"/>
        </w:rPr>
        <w:t>商务技术分（90分）</w:t>
      </w:r>
    </w:p>
    <w:tbl>
      <w:tblPr>
        <w:tblStyle w:val="25"/>
        <w:tblW w:w="9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62"/>
        <w:gridCol w:w="1482"/>
        <w:gridCol w:w="4961"/>
        <w:gridCol w:w="54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tcPr>
          <w:p>
            <w:pPr>
              <w:spacing w:after="0"/>
              <w:jc w:val="center"/>
              <w:rPr>
                <w:rFonts w:hint="eastAsia" w:ascii="仿宋" w:hAnsi="仿宋" w:eastAsia="仿宋" w:cs="仿宋"/>
                <w:color w:val="auto"/>
                <w:sz w:val="24"/>
                <w:szCs w:val="24"/>
                <w:highlight w:val="none"/>
              </w:rPr>
            </w:pPr>
          </w:p>
        </w:tc>
        <w:tc>
          <w:tcPr>
            <w:tcW w:w="762" w:type="dxa"/>
            <w:vAlign w:val="center"/>
          </w:tcPr>
          <w:p>
            <w:pPr>
              <w:spacing w:after="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6443" w:type="dxa"/>
            <w:gridSpan w:val="2"/>
            <w:vAlign w:val="center"/>
          </w:tcPr>
          <w:p>
            <w:pPr>
              <w:spacing w:after="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评分内容和标准</w:t>
            </w:r>
          </w:p>
        </w:tc>
        <w:tc>
          <w:tcPr>
            <w:tcW w:w="546" w:type="dxa"/>
            <w:vAlign w:val="center"/>
          </w:tcPr>
          <w:p>
            <w:pPr>
              <w:spacing w:after="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分值区间</w:t>
            </w:r>
          </w:p>
        </w:tc>
        <w:tc>
          <w:tcPr>
            <w:tcW w:w="1026" w:type="dxa"/>
            <w:vAlign w:val="center"/>
          </w:tcPr>
          <w:p>
            <w:pPr>
              <w:spacing w:after="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主客</w:t>
            </w:r>
          </w:p>
          <w:p>
            <w:pPr>
              <w:spacing w:after="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商务资信分（</w:t>
            </w:r>
            <w:r>
              <w:rPr>
                <w:rFonts w:hint="eastAsia" w:ascii="仿宋" w:hAnsi="仿宋" w:eastAsia="仿宋" w:cs="仿宋"/>
                <w:color w:val="auto"/>
                <w:sz w:val="24"/>
                <w:szCs w:val="24"/>
                <w:highlight w:val="none"/>
                <w:lang w:val="en-US" w:eastAsia="zh-CN"/>
              </w:rPr>
              <w:t>1</w:t>
            </w:r>
            <w:r>
              <w:rPr>
                <w:rFonts w:hint="eastAsia" w:cs="仿宋"/>
                <w:color w:val="auto"/>
                <w:sz w:val="24"/>
                <w:szCs w:val="24"/>
                <w:highlight w:val="none"/>
                <w:lang w:val="en-US" w:eastAsia="zh-CN"/>
              </w:rPr>
              <w:t>7</w:t>
            </w:r>
            <w:r>
              <w:rPr>
                <w:rFonts w:hint="eastAsia" w:ascii="仿宋" w:hAnsi="仿宋" w:eastAsia="仿宋" w:cs="仿宋"/>
                <w:color w:val="auto"/>
                <w:sz w:val="24"/>
                <w:szCs w:val="24"/>
                <w:highlight w:val="none"/>
              </w:rPr>
              <w:t>分）</w:t>
            </w:r>
          </w:p>
        </w:tc>
        <w:tc>
          <w:tcPr>
            <w:tcW w:w="762" w:type="dxa"/>
            <w:vAlign w:val="center"/>
          </w:tcPr>
          <w:p>
            <w:pPr>
              <w:pStyle w:val="46"/>
              <w:numPr>
                <w:ilvl w:val="0"/>
                <w:numId w:val="8"/>
              </w:numPr>
              <w:spacing w:after="0"/>
              <w:jc w:val="center"/>
              <w:rPr>
                <w:rFonts w:hint="eastAsia" w:ascii="仿宋" w:hAnsi="仿宋" w:eastAsia="仿宋" w:cs="仿宋"/>
                <w:color w:val="auto"/>
                <w:sz w:val="24"/>
                <w:szCs w:val="24"/>
                <w:highlight w:val="none"/>
              </w:rPr>
            </w:pPr>
          </w:p>
        </w:tc>
        <w:tc>
          <w:tcPr>
            <w:tcW w:w="1482" w:type="dxa"/>
            <w:vAlign w:val="center"/>
          </w:tcPr>
          <w:p>
            <w:pPr>
              <w:spacing w:after="0"/>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p>
            <w:pPr>
              <w:spacing w:after="0"/>
              <w:rPr>
                <w:rFonts w:hint="eastAsia" w:ascii="仿宋" w:hAnsi="仿宋" w:eastAsia="仿宋" w:cs="仿宋"/>
                <w:color w:val="auto"/>
                <w:sz w:val="24"/>
                <w:szCs w:val="24"/>
                <w:highlight w:val="none"/>
              </w:rPr>
            </w:pPr>
          </w:p>
        </w:tc>
        <w:tc>
          <w:tcPr>
            <w:tcW w:w="4961" w:type="dxa"/>
          </w:tcPr>
          <w:p>
            <w:pPr>
              <w:spacing w:after="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投标人提供</w:t>
            </w:r>
            <w:r>
              <w:rPr>
                <w:rFonts w:hint="eastAsia" w:ascii="仿宋" w:hAnsi="仿宋" w:eastAsia="仿宋" w:cs="仿宋"/>
                <w:color w:val="auto"/>
                <w:sz w:val="24"/>
                <w:szCs w:val="24"/>
                <w:highlight w:val="none"/>
              </w:rPr>
              <w:t>近三年</w:t>
            </w:r>
            <w:r>
              <w:rPr>
                <w:rFonts w:hint="eastAsia" w:ascii="仿宋" w:hAnsi="仿宋" w:eastAsia="仿宋" w:cs="仿宋"/>
                <w:color w:val="auto"/>
                <w:sz w:val="24"/>
                <w:szCs w:val="24"/>
                <w:highlight w:val="none"/>
                <w:lang w:val="zh-CN"/>
              </w:rPr>
              <w:t>（合同签订日期</w:t>
            </w:r>
            <w:r>
              <w:rPr>
                <w:rFonts w:hint="eastAsia" w:ascii="仿宋" w:hAnsi="仿宋" w:eastAsia="仿宋" w:cs="仿宋"/>
                <w:color w:val="auto"/>
                <w:sz w:val="24"/>
                <w:szCs w:val="24"/>
                <w:highlight w:val="none"/>
              </w:rPr>
              <w:t>为准</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单个项目</w:t>
            </w:r>
            <w:r>
              <w:rPr>
                <w:rFonts w:hint="eastAsia" w:ascii="仿宋" w:hAnsi="仿宋" w:eastAsia="仿宋" w:cs="仿宋"/>
                <w:color w:val="auto"/>
                <w:sz w:val="24"/>
                <w:szCs w:val="24"/>
                <w:highlight w:val="none"/>
                <w:lang w:val="zh-CN"/>
              </w:rPr>
              <w:t>完成</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val="zh-CN"/>
              </w:rPr>
              <w:t>000盏及以上的</w:t>
            </w:r>
            <w:r>
              <w:rPr>
                <w:rFonts w:hint="eastAsia" w:ascii="仿宋" w:hAnsi="仿宋" w:eastAsia="仿宋" w:cs="仿宋"/>
                <w:color w:val="auto"/>
                <w:sz w:val="24"/>
                <w:szCs w:val="24"/>
                <w:highlight w:val="none"/>
                <w:lang w:val="en-US" w:eastAsia="zh-CN"/>
              </w:rPr>
              <w:t>类似本项目（</w:t>
            </w:r>
            <w:r>
              <w:rPr>
                <w:rFonts w:hint="eastAsia" w:ascii="仿宋" w:hAnsi="仿宋" w:eastAsia="仿宋" w:cs="仿宋"/>
                <w:color w:val="auto"/>
                <w:sz w:val="24"/>
                <w:szCs w:val="24"/>
                <w:highlight w:val="none"/>
              </w:rPr>
              <w:t>合同能源管理</w:t>
            </w:r>
            <w:r>
              <w:rPr>
                <w:rFonts w:hint="eastAsia" w:ascii="仿宋" w:hAnsi="仿宋" w:eastAsia="仿宋" w:cs="仿宋"/>
                <w:color w:val="auto"/>
                <w:sz w:val="24"/>
                <w:szCs w:val="24"/>
                <w:highlight w:val="none"/>
                <w:lang w:val="zh-CN"/>
              </w:rPr>
              <w:t>项目</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zh-CN"/>
              </w:rPr>
              <w:t>的成功案例</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分，其余不得分</w:t>
            </w:r>
            <w:r>
              <w:rPr>
                <w:rFonts w:hint="eastAsia" w:ascii="仿宋" w:hAnsi="仿宋" w:eastAsia="仿宋" w:cs="仿宋"/>
                <w:color w:val="auto"/>
                <w:sz w:val="24"/>
                <w:szCs w:val="24"/>
                <w:highlight w:val="none"/>
                <w:lang w:val="zh-CN"/>
              </w:rPr>
              <w:t>；</w:t>
            </w:r>
          </w:p>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rPr>
              <w:t>注：</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上述内容须提供合同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竣工验收证明</w:t>
            </w:r>
            <w:r>
              <w:rPr>
                <w:rFonts w:hint="eastAsia" w:ascii="仿宋" w:hAnsi="仿宋" w:eastAsia="仿宋" w:cs="仿宋"/>
                <w:color w:val="auto"/>
                <w:sz w:val="24"/>
                <w:szCs w:val="24"/>
                <w:highlight w:val="none"/>
                <w:lang w:val="en-US" w:eastAsia="zh-CN"/>
              </w:rPr>
              <w:t>及第三方机构出具的项目节能量审核报告扫描件，未提供或提供不全或提供的材料无法佐证的，相关业绩不计入本项评分</w:t>
            </w:r>
            <w:r>
              <w:rPr>
                <w:rFonts w:hint="eastAsia" w:ascii="仿宋" w:hAnsi="仿宋" w:eastAsia="仿宋" w:cs="仿宋"/>
                <w:color w:val="auto"/>
                <w:sz w:val="24"/>
                <w:szCs w:val="24"/>
                <w:highlight w:val="none"/>
                <w:lang w:val="zh-CN"/>
              </w:rPr>
              <w:t>。</w:t>
            </w:r>
          </w:p>
        </w:tc>
        <w:tc>
          <w:tcPr>
            <w:tcW w:w="546" w:type="dxa"/>
            <w:vAlign w:val="center"/>
          </w:tcPr>
          <w:p>
            <w:pPr>
              <w:spacing w:after="0"/>
              <w:ind w:left="194" w:hanging="194" w:hangingChars="8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6"/>
              <w:spacing w:after="0"/>
              <w:ind w:left="420"/>
              <w:rPr>
                <w:rFonts w:hint="eastAsia" w:ascii="仿宋" w:hAnsi="仿宋" w:eastAsia="仿宋" w:cs="仿宋"/>
                <w:color w:val="auto"/>
                <w:sz w:val="24"/>
                <w:szCs w:val="24"/>
                <w:highlight w:val="none"/>
              </w:rPr>
            </w:pPr>
          </w:p>
        </w:tc>
        <w:tc>
          <w:tcPr>
            <w:tcW w:w="762" w:type="dxa"/>
            <w:vAlign w:val="center"/>
          </w:tcPr>
          <w:p>
            <w:pPr>
              <w:pStyle w:val="46"/>
              <w:numPr>
                <w:ilvl w:val="0"/>
                <w:numId w:val="8"/>
              </w:numPr>
              <w:spacing w:after="0"/>
              <w:jc w:val="center"/>
              <w:rPr>
                <w:rFonts w:hint="eastAsia" w:ascii="仿宋" w:hAnsi="仿宋" w:eastAsia="仿宋" w:cs="仿宋"/>
                <w:color w:val="auto"/>
                <w:sz w:val="24"/>
                <w:szCs w:val="24"/>
                <w:highlight w:val="none"/>
              </w:rPr>
            </w:pPr>
          </w:p>
        </w:tc>
        <w:tc>
          <w:tcPr>
            <w:tcW w:w="1482" w:type="dxa"/>
            <w:vAlign w:val="center"/>
          </w:tcPr>
          <w:p>
            <w:pPr>
              <w:widowControl w:val="0"/>
              <w:rPr>
                <w:rFonts w:hint="eastAsia" w:ascii="仿宋" w:hAnsi="仿宋" w:eastAsia="仿宋" w:cs="仿宋"/>
                <w:color w:val="auto"/>
                <w:sz w:val="24"/>
                <w:szCs w:val="24"/>
                <w:highlight w:val="none"/>
              </w:rPr>
            </w:pPr>
          </w:p>
          <w:p>
            <w:pPr>
              <w:widowContro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企业认证</w:t>
            </w:r>
          </w:p>
          <w:p>
            <w:pPr>
              <w:spacing w:after="0"/>
              <w:rPr>
                <w:rFonts w:hint="eastAsia" w:ascii="仿宋" w:hAnsi="仿宋" w:eastAsia="仿宋" w:cs="仿宋"/>
                <w:color w:val="auto"/>
                <w:sz w:val="24"/>
                <w:szCs w:val="24"/>
                <w:highlight w:val="none"/>
              </w:rPr>
            </w:pPr>
          </w:p>
        </w:tc>
        <w:tc>
          <w:tcPr>
            <w:tcW w:w="4961" w:type="dxa"/>
            <w:vAlign w:val="center"/>
          </w:tcPr>
          <w:p>
            <w:pPr>
              <w:spacing w:after="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val="zh-CN"/>
              </w:rPr>
              <w:t>）投标人通过质量管理体系认证、</w:t>
            </w:r>
            <w:r>
              <w:rPr>
                <w:rFonts w:hint="eastAsia" w:ascii="仿宋" w:hAnsi="仿宋" w:eastAsia="仿宋" w:cs="仿宋"/>
                <w:color w:val="auto"/>
                <w:sz w:val="24"/>
                <w:szCs w:val="24"/>
                <w:highlight w:val="none"/>
                <w:lang w:val="en-US" w:eastAsia="zh-CN"/>
              </w:rPr>
              <w:t>环境管理</w:t>
            </w:r>
            <w:r>
              <w:rPr>
                <w:rFonts w:hint="eastAsia" w:ascii="仿宋" w:hAnsi="仿宋" w:eastAsia="仿宋" w:cs="仿宋"/>
                <w:color w:val="auto"/>
                <w:sz w:val="24"/>
                <w:szCs w:val="24"/>
                <w:highlight w:val="none"/>
                <w:lang w:val="zh-CN"/>
              </w:rPr>
              <w:t>体系认证、职业健康安全管理体系认证、</w:t>
            </w:r>
            <w:r>
              <w:rPr>
                <w:rFonts w:hint="eastAsia" w:ascii="仿宋" w:hAnsi="仿宋" w:eastAsia="仿宋" w:cs="仿宋"/>
                <w:color w:val="auto"/>
                <w:sz w:val="24"/>
                <w:szCs w:val="24"/>
                <w:highlight w:val="none"/>
              </w:rPr>
              <w:t>社会责任管理体系</w:t>
            </w:r>
            <w:r>
              <w:rPr>
                <w:rFonts w:hint="eastAsia" w:ascii="仿宋" w:hAnsi="仿宋" w:eastAsia="仿宋" w:cs="仿宋"/>
                <w:color w:val="auto"/>
                <w:sz w:val="24"/>
                <w:szCs w:val="24"/>
                <w:highlight w:val="none"/>
                <w:lang w:val="zh-CN"/>
              </w:rPr>
              <w:t>、信息安全管理体系，</w:t>
            </w:r>
            <w:r>
              <w:rPr>
                <w:rFonts w:hint="eastAsia" w:ascii="仿宋" w:hAnsi="仿宋" w:eastAsia="仿宋" w:cs="仿宋"/>
                <w:color w:val="auto"/>
                <w:sz w:val="24"/>
                <w:szCs w:val="24"/>
                <w:highlight w:val="none"/>
                <w:lang w:val="en-US" w:eastAsia="zh-CN"/>
              </w:rPr>
              <w:t>每个</w:t>
            </w:r>
            <w:r>
              <w:rPr>
                <w:rFonts w:hint="eastAsia" w:ascii="仿宋" w:hAnsi="仿宋" w:eastAsia="仿宋" w:cs="仿宋"/>
                <w:color w:val="auto"/>
                <w:sz w:val="24"/>
                <w:szCs w:val="24"/>
                <w:highlight w:val="none"/>
                <w:lang w:val="zh-CN"/>
              </w:rPr>
              <w:t>得1分，</w:t>
            </w:r>
            <w:r>
              <w:rPr>
                <w:rFonts w:hint="eastAsia" w:ascii="仿宋" w:hAnsi="仿宋" w:eastAsia="仿宋" w:cs="仿宋"/>
                <w:color w:val="auto"/>
                <w:sz w:val="24"/>
                <w:szCs w:val="24"/>
                <w:highlight w:val="none"/>
                <w:lang w:val="en-US" w:eastAsia="zh-CN"/>
              </w:rPr>
              <w:t>最高得5分</w:t>
            </w:r>
            <w:r>
              <w:rPr>
                <w:rFonts w:hint="eastAsia" w:ascii="仿宋" w:hAnsi="仿宋" w:eastAsia="仿宋" w:cs="仿宋"/>
                <w:color w:val="auto"/>
                <w:sz w:val="24"/>
                <w:szCs w:val="24"/>
                <w:highlight w:val="none"/>
              </w:rPr>
              <w:t>；</w:t>
            </w:r>
          </w:p>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注：证书需在有效期内，投标文件中提供</w:t>
            </w:r>
            <w:r>
              <w:rPr>
                <w:rFonts w:hint="eastAsia" w:ascii="仿宋" w:hAnsi="仿宋" w:eastAsia="仿宋" w:cs="仿宋"/>
                <w:color w:val="auto"/>
                <w:sz w:val="24"/>
                <w:szCs w:val="24"/>
                <w:highlight w:val="none"/>
                <w:lang w:val="en-US" w:eastAsia="zh-CN"/>
              </w:rPr>
              <w:t>证书扫描件</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则不得分。</w:t>
            </w:r>
          </w:p>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val="zh-CN"/>
              </w:rPr>
              <w:t>）投标人具备合同能源管理服务认证证书，服务等级为AAAAA的得2分；服务等级为AAAA的得1分；服务等级为AAA的得0.5分，其余不得分，本项最高得2分</w:t>
            </w:r>
            <w:r>
              <w:rPr>
                <w:rFonts w:hint="eastAsia" w:ascii="仿宋" w:hAnsi="仿宋" w:eastAsia="仿宋" w:cs="仿宋"/>
                <w:color w:val="auto"/>
                <w:sz w:val="24"/>
                <w:szCs w:val="24"/>
                <w:highlight w:val="none"/>
              </w:rPr>
              <w:t>；</w:t>
            </w:r>
          </w:p>
          <w:p>
            <w:pPr>
              <w:spacing w:after="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注：证书需在有效期内，</w:t>
            </w:r>
            <w:r>
              <w:rPr>
                <w:rFonts w:hint="eastAsia" w:ascii="仿宋" w:hAnsi="仿宋" w:eastAsia="仿宋" w:cs="仿宋"/>
                <w:color w:val="auto"/>
                <w:sz w:val="24"/>
                <w:szCs w:val="24"/>
                <w:highlight w:val="none"/>
              </w:rPr>
              <w:t>投标文件中提供</w:t>
            </w:r>
            <w:r>
              <w:rPr>
                <w:rFonts w:hint="eastAsia" w:ascii="仿宋" w:hAnsi="仿宋" w:eastAsia="仿宋" w:cs="仿宋"/>
                <w:color w:val="auto"/>
                <w:sz w:val="24"/>
                <w:szCs w:val="24"/>
                <w:highlight w:val="none"/>
                <w:lang w:val="en-US" w:eastAsia="zh-CN"/>
              </w:rPr>
              <w:t>证书扫描件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则不得分。</w:t>
            </w:r>
          </w:p>
          <w:p>
            <w:pPr>
              <w:numPr>
                <w:ilvl w:val="-1"/>
                <w:numId w:val="0"/>
              </w:numPr>
              <w:spacing w:after="0"/>
              <w:ind w:left="0" w:leftChars="0" w:firstLine="0" w:firstLineChars="0"/>
              <w:rPr>
                <w:rFonts w:hint="eastAsia" w:ascii="仿宋" w:hAnsi="仿宋" w:eastAsia="仿宋" w:cs="仿宋"/>
                <w:color w:val="auto"/>
                <w:highlight w:val="none"/>
                <w:lang w:val="en-US" w:eastAsia="zh-CN"/>
              </w:rPr>
            </w:pPr>
            <w:r>
              <w:rPr>
                <w:rFonts w:hint="eastAsia" w:ascii="仿宋" w:hAnsi="仿宋" w:eastAsia="仿宋" w:cs="仿宋"/>
                <w:color w:val="auto"/>
                <w:sz w:val="24"/>
                <w:szCs w:val="24"/>
                <w:highlight w:val="none"/>
                <w:lang w:val="en-US" w:eastAsia="zh-CN"/>
              </w:rPr>
              <w:t>（3）投标人具有高新技术企业认定证书的得1分。</w:t>
            </w:r>
          </w:p>
          <w:p>
            <w:pPr>
              <w:numPr>
                <w:ilvl w:val="0"/>
                <w:numId w:val="0"/>
              </w:numPr>
              <w:spacing w:after="0"/>
              <w:ind w:left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zh-CN"/>
              </w:rPr>
              <w:t>注：</w:t>
            </w:r>
            <w:r>
              <w:rPr>
                <w:rFonts w:hint="eastAsia" w:ascii="仿宋" w:hAnsi="仿宋" w:eastAsia="仿宋" w:cs="仿宋"/>
                <w:color w:val="auto"/>
                <w:sz w:val="24"/>
                <w:szCs w:val="24"/>
                <w:highlight w:val="none"/>
                <w:lang w:val="zh-CN" w:eastAsia="zh-CN" w:bidi="ar-SA"/>
              </w:rPr>
              <w:t>证书需在有效期内，投标文件中提供</w:t>
            </w:r>
            <w:r>
              <w:rPr>
                <w:rFonts w:hint="eastAsia" w:ascii="仿宋" w:hAnsi="仿宋" w:eastAsia="仿宋" w:cs="仿宋"/>
                <w:color w:val="auto"/>
                <w:sz w:val="24"/>
                <w:szCs w:val="24"/>
                <w:highlight w:val="none"/>
                <w:lang w:val="en-US" w:eastAsia="zh-CN" w:bidi="ar-SA"/>
              </w:rPr>
              <w:t>证书扫描件</w:t>
            </w:r>
            <w:r>
              <w:rPr>
                <w:rFonts w:hint="eastAsia" w:ascii="仿宋" w:hAnsi="仿宋" w:eastAsia="仿宋" w:cs="仿宋"/>
                <w:color w:val="auto"/>
                <w:sz w:val="24"/>
                <w:szCs w:val="24"/>
                <w:highlight w:val="none"/>
                <w:lang w:val="zh-CN" w:eastAsia="zh-CN" w:bidi="ar-SA"/>
              </w:rPr>
              <w:t>，</w:t>
            </w:r>
            <w:r>
              <w:rPr>
                <w:rFonts w:hint="eastAsia" w:ascii="仿宋" w:hAnsi="仿宋" w:eastAsia="仿宋" w:cs="仿宋"/>
                <w:color w:val="auto"/>
                <w:sz w:val="24"/>
                <w:szCs w:val="24"/>
                <w:highlight w:val="none"/>
                <w:lang w:val="en-US" w:eastAsia="zh-CN" w:bidi="ar-SA"/>
              </w:rPr>
              <w:t>无</w:t>
            </w:r>
            <w:r>
              <w:rPr>
                <w:rFonts w:hint="eastAsia" w:ascii="仿宋" w:hAnsi="仿宋" w:eastAsia="仿宋" w:cs="仿宋"/>
                <w:color w:val="auto"/>
                <w:sz w:val="24"/>
                <w:szCs w:val="24"/>
                <w:highlight w:val="none"/>
                <w:lang w:val="zh-CN" w:eastAsia="zh-CN" w:bidi="ar-SA"/>
              </w:rPr>
              <w:t>则不得分。</w:t>
            </w:r>
          </w:p>
          <w:p>
            <w:pPr>
              <w:numPr>
                <w:ilvl w:val="0"/>
                <w:numId w:val="9"/>
              </w:numPr>
              <w:spacing w:after="0"/>
              <w:ind w:left="0" w:leftChars="0"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投标人具有省级及以上科技型中小企业证书的得1分。  </w:t>
            </w:r>
          </w:p>
          <w:p>
            <w:pPr>
              <w:numPr>
                <w:ilvl w:val="0"/>
                <w:numId w:val="9"/>
              </w:numPr>
              <w:spacing w:after="0"/>
              <w:ind w:left="0" w:leftChars="0"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 xml:space="preserve">投标人具有城市及道路照明工程专业承包资质三级及以上得1分    </w:t>
            </w:r>
          </w:p>
          <w:p>
            <w:pPr>
              <w:numPr>
                <w:ilvl w:val="0"/>
                <w:numId w:val="9"/>
              </w:numPr>
              <w:spacing w:after="0"/>
              <w:ind w:left="0" w:leftChars="0"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bidi="ar-SA"/>
              </w:rPr>
              <w:t xml:space="preserve"> </w:t>
            </w:r>
            <w:r>
              <w:rPr>
                <w:rFonts w:hint="eastAsia" w:ascii="仿宋" w:hAnsi="仿宋" w:eastAsia="仿宋" w:cs="仿宋"/>
                <w:color w:val="auto"/>
                <w:sz w:val="24"/>
                <w:szCs w:val="24"/>
                <w:highlight w:val="none"/>
                <w:lang w:val="zh-CN" w:eastAsia="zh-CN" w:bidi="ar-SA"/>
              </w:rPr>
              <w:t>注：投标文件中提供</w:t>
            </w:r>
            <w:r>
              <w:rPr>
                <w:rFonts w:hint="eastAsia" w:ascii="仿宋" w:hAnsi="仿宋" w:eastAsia="仿宋" w:cs="仿宋"/>
                <w:color w:val="auto"/>
                <w:sz w:val="24"/>
                <w:szCs w:val="24"/>
                <w:highlight w:val="none"/>
                <w:lang w:val="en-US" w:eastAsia="zh-CN" w:bidi="ar-SA"/>
              </w:rPr>
              <w:t>证书扫描件</w:t>
            </w:r>
            <w:r>
              <w:rPr>
                <w:rFonts w:hint="eastAsia" w:ascii="仿宋" w:hAnsi="仿宋" w:eastAsia="仿宋" w:cs="仿宋"/>
                <w:color w:val="auto"/>
                <w:sz w:val="24"/>
                <w:szCs w:val="24"/>
                <w:highlight w:val="none"/>
                <w:lang w:val="zh-CN" w:eastAsia="zh-CN" w:bidi="ar-SA"/>
              </w:rPr>
              <w:t>，</w:t>
            </w:r>
            <w:r>
              <w:rPr>
                <w:rFonts w:hint="eastAsia" w:ascii="仿宋" w:hAnsi="仿宋" w:eastAsia="仿宋" w:cs="仿宋"/>
                <w:color w:val="auto"/>
                <w:sz w:val="24"/>
                <w:szCs w:val="24"/>
                <w:highlight w:val="none"/>
                <w:lang w:val="en-US" w:eastAsia="zh-CN" w:bidi="ar-SA"/>
              </w:rPr>
              <w:t>无</w:t>
            </w:r>
            <w:r>
              <w:rPr>
                <w:rFonts w:hint="eastAsia" w:ascii="仿宋" w:hAnsi="仿宋" w:eastAsia="仿宋" w:cs="仿宋"/>
                <w:color w:val="auto"/>
                <w:sz w:val="24"/>
                <w:szCs w:val="24"/>
                <w:highlight w:val="none"/>
                <w:lang w:val="zh-CN" w:eastAsia="zh-CN" w:bidi="ar-SA"/>
              </w:rPr>
              <w:t>则不得分。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026" w:type="dxa"/>
            <w:vAlign w:val="center"/>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tcPr>
          <w:p>
            <w:pPr>
              <w:pStyle w:val="46"/>
              <w:spacing w:after="0"/>
              <w:ind w:left="420"/>
              <w:rPr>
                <w:rFonts w:hint="eastAsia" w:ascii="仿宋" w:hAnsi="仿宋" w:eastAsia="仿宋" w:cs="仿宋"/>
                <w:color w:val="auto"/>
                <w:sz w:val="24"/>
                <w:szCs w:val="24"/>
                <w:highlight w:val="none"/>
              </w:rPr>
            </w:pPr>
          </w:p>
        </w:tc>
        <w:tc>
          <w:tcPr>
            <w:tcW w:w="762" w:type="dxa"/>
            <w:vAlign w:val="center"/>
          </w:tcPr>
          <w:p>
            <w:pPr>
              <w:pStyle w:val="46"/>
              <w:numPr>
                <w:ilvl w:val="0"/>
                <w:numId w:val="8"/>
              </w:numPr>
              <w:spacing w:after="0"/>
              <w:jc w:val="center"/>
              <w:rPr>
                <w:rFonts w:hint="eastAsia" w:ascii="仿宋" w:hAnsi="仿宋" w:eastAsia="仿宋" w:cs="仿宋"/>
                <w:color w:val="auto"/>
                <w:sz w:val="24"/>
                <w:szCs w:val="24"/>
                <w:highlight w:val="none"/>
              </w:rPr>
            </w:pPr>
          </w:p>
        </w:tc>
        <w:tc>
          <w:tcPr>
            <w:tcW w:w="1482" w:type="dxa"/>
            <w:vAlign w:val="center"/>
          </w:tcPr>
          <w:p>
            <w:pPr>
              <w:spacing w:after="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所投设备</w:t>
            </w:r>
            <w:r>
              <w:rPr>
                <w:rFonts w:hint="eastAsia" w:ascii="仿宋" w:hAnsi="仿宋" w:eastAsia="仿宋" w:cs="仿宋"/>
                <w:color w:val="auto"/>
                <w:sz w:val="24"/>
                <w:szCs w:val="24"/>
                <w:highlight w:val="none"/>
                <w:lang w:val="en-US" w:eastAsia="zh-CN"/>
              </w:rPr>
              <w:t>证书</w:t>
            </w:r>
          </w:p>
        </w:tc>
        <w:tc>
          <w:tcPr>
            <w:tcW w:w="4961" w:type="dxa"/>
            <w:vAlign w:val="center"/>
          </w:tcPr>
          <w:p>
            <w:pPr>
              <w:pStyle w:val="79"/>
              <w:widowControl w:val="0"/>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投标人所投灯具产品厂家具备：</w:t>
            </w:r>
          </w:p>
          <w:p>
            <w:pPr>
              <w:pStyle w:val="46"/>
              <w:widowControl w:val="0"/>
              <w:numPr>
                <w:ilvl w:val="0"/>
                <w:numId w:val="10"/>
              </w:numPr>
              <w:spacing w:after="0"/>
              <w:ind w:left="0" w:leftChars="0" w:firstLineChars="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通过能源管理体系认证，得2分。</w:t>
            </w:r>
          </w:p>
          <w:p>
            <w:pPr>
              <w:pStyle w:val="46"/>
              <w:widowControl w:val="0"/>
              <w:numPr>
                <w:ilvl w:val="0"/>
                <w:numId w:val="10"/>
              </w:numPr>
              <w:spacing w:after="0"/>
              <w:ind w:left="0" w:leftChars="0" w:firstLineChars="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售后服务成熟度认证证书，通过</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星级认证</w:t>
            </w:r>
            <w:r>
              <w:rPr>
                <w:rFonts w:hint="eastAsia" w:cs="仿宋"/>
                <w:color w:val="auto"/>
                <w:sz w:val="24"/>
                <w:szCs w:val="24"/>
                <w:highlight w:val="none"/>
                <w:lang w:val="en-US" w:eastAsia="zh-CN"/>
              </w:rPr>
              <w:t>及以上</w:t>
            </w:r>
            <w:r>
              <w:rPr>
                <w:rFonts w:hint="eastAsia" w:ascii="仿宋" w:hAnsi="仿宋" w:eastAsia="仿宋" w:cs="仿宋"/>
                <w:color w:val="auto"/>
                <w:sz w:val="24"/>
                <w:szCs w:val="24"/>
                <w:highlight w:val="none"/>
              </w:rPr>
              <w:t>的得3分；通过</w:t>
            </w:r>
            <w:r>
              <w:rPr>
                <w:rFonts w:hint="eastAsia" w:ascii="仿宋" w:hAnsi="仿宋" w:eastAsia="仿宋" w:cs="仿宋"/>
                <w:color w:val="auto"/>
                <w:sz w:val="24"/>
                <w:szCs w:val="24"/>
                <w:highlight w:val="none"/>
                <w:lang w:val="en-US" w:eastAsia="zh-CN"/>
              </w:rPr>
              <w:t>5-7</w:t>
            </w:r>
            <w:r>
              <w:rPr>
                <w:rFonts w:hint="eastAsia" w:ascii="仿宋" w:hAnsi="仿宋" w:eastAsia="仿宋" w:cs="仿宋"/>
                <w:color w:val="auto"/>
                <w:sz w:val="24"/>
                <w:szCs w:val="24"/>
                <w:highlight w:val="none"/>
              </w:rPr>
              <w:t>星级认证的得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highlight w:val="none"/>
              </w:rPr>
              <w:t>通过5星级</w:t>
            </w:r>
            <w:r>
              <w:rPr>
                <w:rFonts w:hint="eastAsia" w:ascii="仿宋" w:hAnsi="仿宋" w:eastAsia="仿宋" w:cs="仿宋"/>
                <w:color w:val="auto"/>
                <w:highlight w:val="none"/>
                <w:lang w:val="en-US" w:eastAsia="zh-CN"/>
              </w:rPr>
              <w:t>以下</w:t>
            </w:r>
            <w:r>
              <w:rPr>
                <w:rFonts w:hint="eastAsia" w:ascii="仿宋" w:hAnsi="仿宋" w:eastAsia="仿宋" w:cs="仿宋"/>
                <w:color w:val="auto"/>
                <w:highlight w:val="none"/>
              </w:rPr>
              <w:t>认证的得</w:t>
            </w:r>
            <w:r>
              <w:rPr>
                <w:rFonts w:hint="eastAsia" w:ascii="仿宋" w:hAnsi="仿宋" w:eastAsia="仿宋" w:cs="仿宋"/>
                <w:color w:val="auto"/>
                <w:highlight w:val="none"/>
                <w:lang w:eastAsia="zh-CN"/>
              </w:rPr>
              <w:t>1</w:t>
            </w:r>
            <w:r>
              <w:rPr>
                <w:rFonts w:hint="eastAsia" w:ascii="仿宋" w:hAnsi="仿宋" w:eastAsia="仿宋" w:cs="仿宋"/>
                <w:color w:val="auto"/>
                <w:highlight w:val="none"/>
              </w:rPr>
              <w:t>分</w:t>
            </w:r>
            <w:r>
              <w:rPr>
                <w:rFonts w:hint="eastAsia" w:ascii="仿宋" w:hAnsi="仿宋" w:eastAsia="仿宋" w:cs="仿宋"/>
                <w:color w:val="auto"/>
                <w:highlight w:val="none"/>
                <w:lang w:eastAsia="zh-CN"/>
              </w:rPr>
              <w:t>，</w:t>
            </w:r>
            <w:r>
              <w:rPr>
                <w:rFonts w:hint="eastAsia" w:ascii="仿宋" w:hAnsi="仿宋" w:eastAsia="仿宋" w:cs="仿宋"/>
                <w:color w:val="auto"/>
                <w:sz w:val="24"/>
                <w:szCs w:val="24"/>
                <w:highlight w:val="none"/>
              </w:rPr>
              <w:t>本项最高得3分</w:t>
            </w:r>
          </w:p>
          <w:p>
            <w:pPr>
              <w:pStyle w:val="46"/>
              <w:widowControl w:val="0"/>
              <w:numPr>
                <w:ilvl w:val="-1"/>
                <w:numId w:val="0"/>
              </w:numPr>
              <w:spacing w:after="0"/>
              <w:ind w:left="0" w:leftChars="0" w:firstLineChars="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具备中国环境标志产品认证证书，同时进入《环境标志产品政府采购品目清单》的得1分。</w:t>
            </w:r>
          </w:p>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注：证书需在有效期内，并在投标文件中提供相应证书</w:t>
            </w:r>
            <w:r>
              <w:rPr>
                <w:rFonts w:hint="eastAsia" w:ascii="仿宋" w:hAnsi="仿宋" w:eastAsia="仿宋" w:cs="仿宋"/>
                <w:color w:val="auto"/>
                <w:sz w:val="24"/>
                <w:szCs w:val="24"/>
                <w:highlight w:val="none"/>
                <w:lang w:val="en-US" w:eastAsia="zh-CN"/>
              </w:rPr>
              <w:t>扫描件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02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1" w:hRule="atLeast"/>
          <w:jc w:val="center"/>
        </w:trPr>
        <w:tc>
          <w:tcPr>
            <w:tcW w:w="709" w:type="dxa"/>
            <w:vMerge w:val="restart"/>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技术服务分（</w:t>
            </w:r>
            <w:r>
              <w:rPr>
                <w:rFonts w:hint="eastAsia" w:ascii="仿宋" w:hAnsi="仿宋" w:eastAsia="仿宋" w:cs="仿宋"/>
                <w:color w:val="auto"/>
                <w:sz w:val="24"/>
                <w:szCs w:val="24"/>
                <w:highlight w:val="none"/>
                <w:lang w:val="en-US" w:eastAsia="zh-CN"/>
              </w:rPr>
              <w:t>7</w:t>
            </w:r>
            <w:r>
              <w:rPr>
                <w:rFonts w:hint="eastAsia"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762" w:type="dxa"/>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482"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bCs/>
                <w:color w:val="auto"/>
                <w:kern w:val="1"/>
                <w:sz w:val="24"/>
                <w:szCs w:val="24"/>
                <w:highlight w:val="none"/>
              </w:rPr>
              <w:t>软件系统架构解析</w:t>
            </w:r>
          </w:p>
        </w:tc>
        <w:tc>
          <w:tcPr>
            <w:tcW w:w="4961" w:type="dxa"/>
            <w:vAlign w:val="top"/>
          </w:tcPr>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根据</w:t>
            </w:r>
            <w:r>
              <w:rPr>
                <w:rFonts w:hint="eastAsia" w:ascii="仿宋" w:hAnsi="仿宋" w:eastAsia="仿宋" w:cs="仿宋"/>
                <w:bCs/>
                <w:color w:val="auto"/>
                <w:spacing w:val="0"/>
                <w:kern w:val="1"/>
                <w:sz w:val="24"/>
                <w:szCs w:val="24"/>
                <w:highlight w:val="none"/>
                <w:lang w:val="en-US" w:eastAsia="zh-CN"/>
              </w:rPr>
              <w:t>投标人</w:t>
            </w:r>
            <w:r>
              <w:rPr>
                <w:rFonts w:hint="eastAsia" w:ascii="仿宋" w:hAnsi="仿宋" w:eastAsia="仿宋" w:cs="仿宋"/>
                <w:bCs/>
                <w:color w:val="auto"/>
                <w:spacing w:val="0"/>
                <w:kern w:val="1"/>
                <w:sz w:val="24"/>
                <w:szCs w:val="24"/>
                <w:highlight w:val="none"/>
              </w:rPr>
              <w:t>提供的技术建议书中对整体软件系统架构、功能模块、系统接口等理解；</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方案内容全面、详细、合理，具有系统性、科学性，核心编制内容具有专业性和针对性，结合项目实际情况可行性强：得</w:t>
            </w:r>
            <w:r>
              <w:rPr>
                <w:rFonts w:hint="eastAsia" w:ascii="仿宋" w:hAnsi="仿宋" w:eastAsia="仿宋" w:cs="仿宋"/>
                <w:bCs/>
                <w:color w:val="auto"/>
                <w:spacing w:val="0"/>
                <w:kern w:val="1"/>
                <w:sz w:val="24"/>
                <w:szCs w:val="24"/>
                <w:highlight w:val="none"/>
                <w:lang w:val="en-US" w:eastAsia="zh-CN"/>
              </w:rPr>
              <w:t>4</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方案内容全面、详细、合理，具有系统性、科学性，核心编制内容具有专业性和针对性：得</w:t>
            </w:r>
            <w:r>
              <w:rPr>
                <w:rFonts w:hint="eastAsia" w:ascii="仿宋" w:hAnsi="仿宋" w:eastAsia="仿宋" w:cs="仿宋"/>
                <w:bCs/>
                <w:color w:val="auto"/>
                <w:spacing w:val="0"/>
                <w:kern w:val="1"/>
                <w:sz w:val="24"/>
                <w:szCs w:val="24"/>
                <w:highlight w:val="none"/>
                <w:lang w:val="en-US" w:eastAsia="zh-CN"/>
              </w:rPr>
              <w:t>3</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方案内容全面、详细、合理，具有系统性、科学性：得</w:t>
            </w:r>
            <w:r>
              <w:rPr>
                <w:rFonts w:hint="eastAsia" w:ascii="仿宋" w:hAnsi="仿宋" w:eastAsia="仿宋" w:cs="仿宋"/>
                <w:bCs/>
                <w:color w:val="auto"/>
                <w:spacing w:val="0"/>
                <w:kern w:val="1"/>
                <w:sz w:val="24"/>
                <w:szCs w:val="24"/>
                <w:highlight w:val="none"/>
                <w:lang w:val="en-US" w:eastAsia="zh-CN"/>
              </w:rPr>
              <w:t>2</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具备整体工作方案：得1分；</w:t>
            </w:r>
          </w:p>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bCs/>
                <w:color w:val="auto"/>
                <w:kern w:val="1"/>
                <w:sz w:val="24"/>
                <w:szCs w:val="24"/>
                <w:highlight w:val="none"/>
              </w:rPr>
              <w:t>未提供：得0分。</w:t>
            </w:r>
          </w:p>
        </w:tc>
        <w:tc>
          <w:tcPr>
            <w:tcW w:w="54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cs="仿宋"/>
                <w:color w:val="auto"/>
                <w:sz w:val="24"/>
                <w:szCs w:val="24"/>
                <w:highlight w:val="none"/>
                <w:lang w:val="en-US" w:eastAsia="zh-CN" w:bidi="ar-SA"/>
              </w:rPr>
              <w:t>4</w:t>
            </w:r>
          </w:p>
        </w:tc>
        <w:tc>
          <w:tcPr>
            <w:tcW w:w="102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482"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bCs/>
                <w:color w:val="auto"/>
                <w:kern w:val="1"/>
                <w:sz w:val="24"/>
                <w:szCs w:val="24"/>
                <w:highlight w:val="none"/>
              </w:rPr>
              <w:t>智慧路灯管理信息平台建设方案</w:t>
            </w:r>
          </w:p>
        </w:tc>
        <w:tc>
          <w:tcPr>
            <w:tcW w:w="4961" w:type="dxa"/>
            <w:vAlign w:val="center"/>
          </w:tcPr>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智慧路灯管理信息平台建设方案</w:t>
            </w:r>
            <w:r>
              <w:rPr>
                <w:rFonts w:hint="eastAsia" w:ascii="仿宋" w:hAnsi="仿宋" w:eastAsia="仿宋" w:cs="仿宋"/>
                <w:bCs/>
                <w:color w:val="auto"/>
                <w:spacing w:val="0"/>
                <w:kern w:val="1"/>
                <w:sz w:val="24"/>
                <w:szCs w:val="24"/>
                <w:highlight w:val="none"/>
                <w:lang w:eastAsia="zh-CN"/>
              </w:rPr>
              <w:t>（</w:t>
            </w:r>
            <w:r>
              <w:rPr>
                <w:rFonts w:hint="eastAsia" w:ascii="仿宋" w:hAnsi="仿宋" w:eastAsia="仿宋" w:cs="仿宋"/>
                <w:bCs/>
                <w:color w:val="auto"/>
                <w:spacing w:val="0"/>
                <w:kern w:val="1"/>
                <w:sz w:val="24"/>
                <w:szCs w:val="24"/>
                <w:highlight w:val="none"/>
                <w:lang w:val="en-US" w:eastAsia="zh-CN"/>
              </w:rPr>
              <w:t>包括</w:t>
            </w:r>
            <w:r>
              <w:rPr>
                <w:rFonts w:hint="eastAsia" w:ascii="仿宋" w:hAnsi="仿宋" w:eastAsia="仿宋" w:cs="仿宋"/>
                <w:bCs/>
                <w:color w:val="auto"/>
                <w:spacing w:val="0"/>
                <w:kern w:val="1"/>
                <w:sz w:val="24"/>
                <w:szCs w:val="24"/>
                <w:highlight w:val="none"/>
              </w:rPr>
              <w:t>智慧路灯管理信息平台建设</w:t>
            </w:r>
            <w:r>
              <w:rPr>
                <w:rFonts w:hint="eastAsia" w:ascii="仿宋" w:hAnsi="仿宋" w:eastAsia="仿宋" w:cs="仿宋"/>
                <w:bCs/>
                <w:color w:val="auto"/>
                <w:spacing w:val="0"/>
                <w:kern w:val="1"/>
                <w:sz w:val="24"/>
                <w:szCs w:val="24"/>
                <w:highlight w:val="none"/>
                <w:lang w:val="en-US" w:eastAsia="zh-CN"/>
              </w:rPr>
              <w:t>说明</w:t>
            </w:r>
            <w:r>
              <w:rPr>
                <w:rFonts w:hint="eastAsia" w:ascii="仿宋" w:hAnsi="仿宋" w:eastAsia="仿宋" w:cs="仿宋"/>
                <w:bCs/>
                <w:color w:val="auto"/>
                <w:spacing w:val="0"/>
                <w:kern w:val="1"/>
                <w:sz w:val="24"/>
                <w:szCs w:val="24"/>
                <w:highlight w:val="none"/>
              </w:rPr>
              <w:t>、控制系统及平台软件的性能的符合性、先进性及兼容性</w:t>
            </w:r>
            <w:r>
              <w:rPr>
                <w:rFonts w:hint="eastAsia" w:ascii="仿宋" w:hAnsi="仿宋" w:eastAsia="仿宋" w:cs="仿宋"/>
                <w:bCs/>
                <w:color w:val="auto"/>
                <w:spacing w:val="0"/>
                <w:kern w:val="1"/>
                <w:sz w:val="24"/>
                <w:szCs w:val="24"/>
                <w:highlight w:val="none"/>
                <w:lang w:val="en-US" w:eastAsia="zh-CN"/>
              </w:rPr>
              <w:t>等内容）</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方案内容全面、详细、合理，具有系统性、科学性，核心编制内容具有专业性和针对性，结合项目实际情况可行性强：得</w:t>
            </w:r>
            <w:r>
              <w:rPr>
                <w:rFonts w:hint="eastAsia" w:ascii="仿宋" w:hAnsi="仿宋" w:eastAsia="仿宋" w:cs="仿宋"/>
                <w:bCs/>
                <w:color w:val="auto"/>
                <w:spacing w:val="0"/>
                <w:kern w:val="1"/>
                <w:sz w:val="24"/>
                <w:szCs w:val="24"/>
                <w:highlight w:val="none"/>
                <w:lang w:val="en-US" w:eastAsia="zh-CN"/>
              </w:rPr>
              <w:t>4</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方案内容全面、详细、合理，具有系统性、科学性，核心编制内容具有专业性和针对性：得</w:t>
            </w:r>
            <w:r>
              <w:rPr>
                <w:rFonts w:hint="eastAsia" w:ascii="仿宋" w:hAnsi="仿宋" w:eastAsia="仿宋" w:cs="仿宋"/>
                <w:bCs/>
                <w:color w:val="auto"/>
                <w:spacing w:val="0"/>
                <w:kern w:val="1"/>
                <w:sz w:val="24"/>
                <w:szCs w:val="24"/>
                <w:highlight w:val="none"/>
                <w:lang w:val="en-US" w:eastAsia="zh-CN"/>
              </w:rPr>
              <w:t>3</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方案内容全面、详细、合理，具有系统性、科学性：得</w:t>
            </w:r>
            <w:r>
              <w:rPr>
                <w:rFonts w:hint="eastAsia" w:ascii="仿宋" w:hAnsi="仿宋" w:eastAsia="仿宋" w:cs="仿宋"/>
                <w:bCs/>
                <w:color w:val="auto"/>
                <w:spacing w:val="0"/>
                <w:kern w:val="1"/>
                <w:sz w:val="24"/>
                <w:szCs w:val="24"/>
                <w:highlight w:val="none"/>
                <w:lang w:val="en-US" w:eastAsia="zh-CN"/>
              </w:rPr>
              <w:t>2</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具备整体工作方案：得1分；</w:t>
            </w:r>
          </w:p>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bCs/>
                <w:color w:val="auto"/>
                <w:kern w:val="1"/>
                <w:sz w:val="24"/>
                <w:szCs w:val="24"/>
                <w:highlight w:val="none"/>
              </w:rPr>
              <w:t>未提供：得0分。</w:t>
            </w:r>
          </w:p>
        </w:tc>
        <w:tc>
          <w:tcPr>
            <w:tcW w:w="54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cs="仿宋"/>
                <w:color w:val="auto"/>
                <w:sz w:val="24"/>
                <w:szCs w:val="24"/>
                <w:highlight w:val="none"/>
                <w:lang w:val="en-US" w:eastAsia="zh-CN" w:bidi="ar-SA"/>
              </w:rPr>
              <w:t>4</w:t>
            </w:r>
          </w:p>
        </w:tc>
        <w:tc>
          <w:tcPr>
            <w:tcW w:w="1026" w:type="dxa"/>
            <w:vAlign w:val="center"/>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7" w:hRule="atLeas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482" w:type="dxa"/>
            <w:vAlign w:val="center"/>
          </w:tcPr>
          <w:p>
            <w:pPr>
              <w:tabs>
                <w:tab w:val="left" w:pos="1260"/>
                <w:tab w:val="left" w:pos="1620"/>
              </w:tabs>
              <w:adjustRightInd w:val="0"/>
              <w:textAlignment w:val="baseline"/>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highlight w:val="none"/>
              </w:rPr>
              <w:t>技术指标响应性</w:t>
            </w:r>
          </w:p>
        </w:tc>
        <w:tc>
          <w:tcPr>
            <w:tcW w:w="4961" w:type="dxa"/>
            <w:vAlign w:val="center"/>
          </w:tcPr>
          <w:p>
            <w:pPr>
              <w:pStyle w:val="82"/>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Cs w:val="21"/>
                <w:highlight w:val="none"/>
              </w:rPr>
            </w:pPr>
            <w:r>
              <w:rPr>
                <w:rFonts w:hint="eastAsia" w:ascii="仿宋" w:hAnsi="仿宋" w:eastAsia="仿宋" w:cs="仿宋"/>
                <w:color w:val="auto"/>
                <w:highlight w:val="none"/>
                <w:lang w:eastAsia="zh-CN"/>
              </w:rPr>
              <w:t>投标人</w:t>
            </w:r>
            <w:r>
              <w:rPr>
                <w:rFonts w:hint="eastAsia" w:ascii="仿宋" w:hAnsi="仿宋" w:eastAsia="仿宋" w:cs="仿宋"/>
                <w:color w:val="auto"/>
                <w:highlight w:val="none"/>
                <w:lang w:val="en-US" w:eastAsia="zh-CN"/>
              </w:rPr>
              <w:t>应</w:t>
            </w:r>
            <w:r>
              <w:rPr>
                <w:rFonts w:hint="eastAsia" w:ascii="仿宋" w:hAnsi="仿宋" w:eastAsia="仿宋" w:cs="仿宋"/>
                <w:color w:val="auto"/>
                <w:highlight w:val="none"/>
                <w:lang w:eastAsia="zh-CN"/>
              </w:rPr>
              <w:t>对</w:t>
            </w:r>
            <w:r>
              <w:rPr>
                <w:rFonts w:hint="eastAsia" w:ascii="仿宋" w:hAnsi="仿宋" w:eastAsia="仿宋" w:cs="仿宋"/>
                <w:color w:val="auto"/>
                <w:highlight w:val="none"/>
                <w:lang w:val="en-US" w:eastAsia="zh-CN"/>
              </w:rPr>
              <w:t>第三部分</w:t>
            </w:r>
            <w:r>
              <w:rPr>
                <w:rFonts w:hint="eastAsia" w:ascii="仿宋" w:hAnsi="仿宋" w:eastAsia="仿宋" w:cs="仿宋"/>
                <w:color w:val="auto"/>
                <w:highlight w:val="none"/>
                <w:lang w:eastAsia="zh-CN"/>
              </w:rPr>
              <w:t>采购需求</w:t>
            </w:r>
            <w:r>
              <w:rPr>
                <w:rFonts w:hint="eastAsia" w:ascii="仿宋" w:hAnsi="仿宋" w:eastAsia="仿宋" w:cs="仿宋"/>
                <w:color w:val="auto"/>
                <w:highlight w:val="none"/>
                <w:lang w:val="en-US" w:eastAsia="zh-CN"/>
              </w:rPr>
              <w:t>第四条技术要求</w:t>
            </w:r>
            <w:r>
              <w:rPr>
                <w:rFonts w:hint="eastAsia" w:ascii="仿宋" w:hAnsi="仿宋" w:eastAsia="仿宋" w:cs="仿宋"/>
                <w:color w:val="auto"/>
                <w:highlight w:val="none"/>
                <w:lang w:eastAsia="zh-CN"/>
              </w:rPr>
              <w:t>中各项技术参数、规格、型号、性能等进行响应。</w:t>
            </w:r>
            <w:r>
              <w:rPr>
                <w:rFonts w:hint="eastAsia" w:ascii="仿宋" w:hAnsi="仿宋" w:eastAsia="仿宋" w:cs="仿宋"/>
                <w:color w:val="auto"/>
                <w:szCs w:val="21"/>
                <w:highlight w:val="none"/>
              </w:rPr>
              <w:t>打</w:t>
            </w:r>
            <w:r>
              <w:rPr>
                <w:rFonts w:hint="eastAsia" w:ascii="仿宋" w:hAnsi="仿宋" w:eastAsia="仿宋" w:cs="仿宋"/>
                <w:color w:val="auto"/>
                <w:highlight w:val="none"/>
                <w:lang w:eastAsia="zh-CN"/>
              </w:rPr>
              <w:t>●</w:t>
            </w:r>
            <w:r>
              <w:rPr>
                <w:rFonts w:hint="eastAsia" w:ascii="仿宋" w:hAnsi="仿宋" w:eastAsia="仿宋" w:cs="仿宋"/>
                <w:color w:val="auto"/>
                <w:szCs w:val="21"/>
                <w:highlight w:val="none"/>
              </w:rPr>
              <w:t>重要指标出现负偏离的每项扣</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w:t>
            </w:r>
            <w:r>
              <w:rPr>
                <w:rFonts w:hint="eastAsia" w:ascii="仿宋" w:hAnsi="仿宋" w:eastAsia="仿宋" w:cs="仿宋"/>
                <w:color w:val="auto"/>
                <w:szCs w:val="21"/>
                <w:highlight w:val="none"/>
                <w:lang w:val="en-US" w:eastAsia="zh-CN"/>
              </w:rPr>
              <w:t>本项总分25分</w:t>
            </w:r>
            <w:r>
              <w:rPr>
                <w:rFonts w:hint="eastAsia" w:ascii="仿宋" w:hAnsi="仿宋" w:eastAsia="仿宋" w:cs="仿宋"/>
                <w:color w:val="auto"/>
                <w:szCs w:val="21"/>
                <w:highlight w:val="none"/>
              </w:rPr>
              <w:t>，扣完为止。</w:t>
            </w:r>
          </w:p>
          <w:p>
            <w:pPr>
              <w:pStyle w:val="82"/>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highlight w:val="none"/>
                <w:lang w:val="en-US" w:eastAsia="zh-CN"/>
              </w:rPr>
              <w:t>注</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以上</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内容</w:t>
            </w:r>
            <w:r>
              <w:rPr>
                <w:rFonts w:hint="eastAsia" w:ascii="仿宋" w:hAnsi="仿宋" w:eastAsia="仿宋" w:cs="仿宋"/>
                <w:color w:val="auto"/>
                <w:highlight w:val="none"/>
                <w:lang w:eastAsia="zh-CN"/>
              </w:rPr>
              <w:t>须提</w:t>
            </w:r>
            <w:r>
              <w:rPr>
                <w:rFonts w:hint="eastAsia" w:ascii="仿宋" w:hAnsi="仿宋" w:eastAsia="仿宋" w:cs="仿宋"/>
                <w:color w:val="auto"/>
                <w:highlight w:val="none"/>
                <w:lang w:val="en-US" w:eastAsia="zh-CN"/>
              </w:rPr>
              <w:t>供具有相应资质的第三方机构出具的相关</w:t>
            </w:r>
            <w:r>
              <w:rPr>
                <w:rFonts w:hint="eastAsia" w:ascii="仿宋" w:hAnsi="仿宋" w:eastAsia="仿宋" w:cs="仿宋"/>
                <w:color w:val="auto"/>
                <w:highlight w:val="none"/>
                <w:lang w:eastAsia="zh-CN"/>
              </w:rPr>
              <w:t>证明材料</w:t>
            </w:r>
            <w:r>
              <w:rPr>
                <w:rFonts w:hint="eastAsia" w:ascii="仿宋" w:hAnsi="仿宋" w:eastAsia="仿宋" w:cs="仿宋"/>
                <w:color w:val="auto"/>
                <w:highlight w:val="none"/>
                <w:lang w:val="en-US" w:eastAsia="zh-CN"/>
              </w:rPr>
              <w:t>扫描件</w:t>
            </w:r>
            <w:r>
              <w:rPr>
                <w:rFonts w:hint="eastAsia" w:ascii="仿宋" w:hAnsi="仿宋" w:eastAsia="仿宋" w:cs="仿宋"/>
                <w:color w:val="auto"/>
                <w:highlight w:val="none"/>
                <w:lang w:eastAsia="zh-CN"/>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w:t>
            </w:r>
            <w:r>
              <w:rPr>
                <w:rFonts w:hint="eastAsia" w:ascii="仿宋" w:hAnsi="仿宋" w:eastAsia="仿宋" w:cs="仿宋"/>
                <w:color w:val="auto"/>
                <w:highlight w:val="none"/>
                <w:lang w:eastAsia="zh-CN"/>
              </w:rPr>
              <w:t>不得分。</w:t>
            </w:r>
          </w:p>
        </w:tc>
        <w:tc>
          <w:tcPr>
            <w:tcW w:w="546" w:type="dxa"/>
            <w:vAlign w:val="center"/>
          </w:tcPr>
          <w:p>
            <w:pPr>
              <w:tabs>
                <w:tab w:val="left" w:pos="1260"/>
                <w:tab w:val="left" w:pos="1620"/>
              </w:tabs>
              <w:adjustRightInd w:val="0"/>
              <w:jc w:val="center"/>
              <w:textAlignment w:val="baseline"/>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highlight w:val="none"/>
                <w:lang w:val="en-US" w:eastAsia="zh-CN"/>
              </w:rPr>
              <w:t>25</w:t>
            </w:r>
          </w:p>
        </w:tc>
        <w:tc>
          <w:tcPr>
            <w:tcW w:w="1026" w:type="dxa"/>
            <w:vAlign w:val="center"/>
          </w:tcPr>
          <w:p>
            <w:pPr>
              <w:tabs>
                <w:tab w:val="left" w:pos="1260"/>
                <w:tab w:val="left" w:pos="1620"/>
              </w:tabs>
              <w:adjustRightInd w:val="0"/>
              <w:jc w:val="center"/>
              <w:textAlignment w:val="baseline"/>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highlight w:val="none"/>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restart"/>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482" w:type="dxa"/>
            <w:vMerge w:val="restart"/>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灯具</w:t>
            </w:r>
            <w:r>
              <w:rPr>
                <w:rFonts w:hint="eastAsia" w:ascii="仿宋" w:hAnsi="仿宋" w:eastAsia="仿宋" w:cs="仿宋"/>
                <w:color w:val="auto"/>
                <w:sz w:val="24"/>
                <w:szCs w:val="24"/>
                <w:highlight w:val="none"/>
                <w:lang w:val="en-US" w:eastAsia="zh-CN"/>
              </w:rPr>
              <w:t>检测报告（注：须提供相对应的检验或检测报告等证明材料扫描件，提供的检验或检测报告具备CMA，ilac-MRA，CNAS标志，且指标合格方为有效。请提供索引表。）</w:t>
            </w:r>
          </w:p>
        </w:tc>
        <w:tc>
          <w:tcPr>
            <w:tcW w:w="4961" w:type="dxa"/>
            <w:vAlign w:val="center"/>
          </w:tcPr>
          <w:p>
            <w:pPr>
              <w:pStyle w:val="46"/>
              <w:widowControl w:val="0"/>
              <w:numPr>
                <w:ilvl w:val="0"/>
                <w:numId w:val="0"/>
              </w:numPr>
              <w:spacing w:after="0"/>
              <w:contextualSpacing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灯具</w:t>
            </w:r>
            <w:r>
              <w:rPr>
                <w:rFonts w:hint="eastAsia" w:ascii="仿宋" w:hAnsi="仿宋" w:eastAsia="仿宋" w:cs="仿宋"/>
                <w:color w:val="auto"/>
                <w:sz w:val="24"/>
                <w:szCs w:val="24"/>
                <w:highlight w:val="none"/>
              </w:rPr>
              <w:t>通过</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000小时双85（温度85℃，湿度85%）恒定湿热测试，且测试后光通维持率不低于</w:t>
            </w: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%的得</w:t>
            </w:r>
            <w:r>
              <w:rPr>
                <w:rFonts w:hint="eastAsia"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2</w:t>
            </w:r>
          </w:p>
        </w:tc>
        <w:tc>
          <w:tcPr>
            <w:tcW w:w="102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灯具产品</w:t>
            </w:r>
            <w:r>
              <w:rPr>
                <w:rFonts w:hint="eastAsia" w:ascii="仿宋" w:hAnsi="仿宋" w:eastAsia="仿宋" w:cs="仿宋"/>
                <w:color w:val="auto"/>
                <w:sz w:val="24"/>
                <w:szCs w:val="24"/>
                <w:highlight w:val="none"/>
                <w:lang w:val="en-US" w:eastAsia="zh-CN"/>
              </w:rPr>
              <w:t>通过</w:t>
            </w:r>
            <w:r>
              <w:rPr>
                <w:rFonts w:hint="eastAsia" w:ascii="仿宋" w:hAnsi="仿宋" w:eastAsia="仿宋" w:cs="仿宋"/>
                <w:color w:val="auto"/>
                <w:sz w:val="24"/>
                <w:szCs w:val="24"/>
                <w:highlight w:val="none"/>
              </w:rPr>
              <w:t>系统光效超过200Lm/W时得1分</w:t>
            </w:r>
            <w:r>
              <w:rPr>
                <w:rFonts w:hint="eastAsia" w:ascii="仿宋" w:hAnsi="仿宋" w:eastAsia="仿宋" w:cs="仿宋"/>
                <w:color w:val="auto"/>
                <w:sz w:val="24"/>
                <w:szCs w:val="24"/>
                <w:highlight w:val="none"/>
                <w:lang w:eastAsia="zh-CN"/>
              </w:rPr>
              <w:t>。</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G振动试验的得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防风等级达到16级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风速V=51—56m/s）</w:t>
            </w:r>
            <w:r>
              <w:rPr>
                <w:rFonts w:hint="eastAsia" w:ascii="仿宋" w:hAnsi="仿宋" w:eastAsia="仿宋" w:cs="仿宋"/>
                <w:color w:val="auto"/>
                <w:sz w:val="24"/>
                <w:szCs w:val="24"/>
                <w:highlight w:val="none"/>
              </w:rPr>
              <w:t>以上的得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模组防护等级达到IP68，得1分。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对外界的机械碰撞防护达到IK10的得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000H中性盐雾测试，且测试后光通维持率不低于100%的得</w:t>
            </w:r>
            <w:r>
              <w:rPr>
                <w:rFonts w:hint="eastAsia"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2</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灯具以在标准环境温度25℃下，LED灯珠结温不超过55℃的</w:t>
            </w:r>
            <w:r>
              <w:rPr>
                <w:rFonts w:hint="eastAsia" w:ascii="仿宋" w:hAnsi="仿宋" w:eastAsia="仿宋" w:cs="仿宋"/>
                <w:color w:val="auto"/>
                <w:sz w:val="24"/>
                <w:szCs w:val="24"/>
                <w:highlight w:val="none"/>
                <w:lang w:val="en-US" w:eastAsia="zh-CN"/>
              </w:rPr>
              <w:t>得1</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按照《GB/T 33721-2017》标准，通过高低温循环（负40~50℃  250次）；通过恒定湿热（40℃,93%RH）测试达到168H；通过电源开关测试</w:t>
            </w:r>
            <w:r>
              <w:rPr>
                <w:rFonts w:hint="eastAsia" w:ascii="仿宋" w:hAnsi="仿宋" w:eastAsia="仿宋" w:cs="仿宋"/>
                <w:color w:val="auto"/>
                <w:sz w:val="24"/>
                <w:szCs w:val="24"/>
                <w:highlight w:val="none"/>
                <w:lang w:val="en-US" w:eastAsia="zh-CN"/>
              </w:rPr>
              <w:t>40</w:t>
            </w:r>
            <w:r>
              <w:rPr>
                <w:rFonts w:hint="eastAsia" w:ascii="仿宋" w:hAnsi="仿宋" w:eastAsia="仿宋" w:cs="仿宋"/>
                <w:color w:val="auto"/>
                <w:sz w:val="24"/>
                <w:szCs w:val="24"/>
                <w:highlight w:val="none"/>
              </w:rPr>
              <w:t>0,000次；通过高温操作（60℃,168h）测试；通过低温启动（负40℃）测试；通过高、低温（100℃，-4</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℃，72H)存储测试；通过全部测试项目的，得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分，每少一项扣</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按照《GB/T 16422.2-2014》标准，透镜通过1000小时光老化测试（UV）得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lang w:val="en-US" w:eastAsia="zh-CN"/>
              </w:rPr>
            </w:pPr>
          </w:p>
        </w:tc>
        <w:tc>
          <w:tcPr>
            <w:tcW w:w="1482" w:type="dxa"/>
            <w:vMerge w:val="continue"/>
            <w:vAlign w:val="center"/>
          </w:tcPr>
          <w:p>
            <w:pPr>
              <w:spacing w:after="0"/>
              <w:rPr>
                <w:rFonts w:hint="eastAsia" w:ascii="仿宋" w:hAnsi="仿宋" w:eastAsia="仿宋" w:cs="仿宋"/>
                <w:color w:val="auto"/>
                <w:sz w:val="24"/>
                <w:szCs w:val="24"/>
                <w:highlight w:val="none"/>
              </w:rPr>
            </w:pPr>
          </w:p>
        </w:tc>
        <w:tc>
          <w:tcPr>
            <w:tcW w:w="4961" w:type="dxa"/>
            <w:vAlign w:val="center"/>
          </w:tcPr>
          <w:p>
            <w:pPr>
              <w:pStyle w:val="46"/>
              <w:widowControl w:val="0"/>
              <w:numPr>
                <w:ilvl w:val="0"/>
                <w:numId w:val="0"/>
              </w:numPr>
              <w:spacing w:after="0"/>
              <w:contextualSpacing w:val="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通过10倍及以上自重的吊重测试，测试周期不短于</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000H的，得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482"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所投灯具具有认证</w:t>
            </w:r>
          </w:p>
        </w:tc>
        <w:tc>
          <w:tcPr>
            <w:tcW w:w="4961" w:type="dxa"/>
            <w:vAlign w:val="center"/>
          </w:tcPr>
          <w:p>
            <w:pPr>
              <w:pStyle w:val="46"/>
              <w:keepNext w:val="0"/>
              <w:keepLines w:val="0"/>
              <w:pageBreakBefore w:val="0"/>
              <w:widowControl w:val="0"/>
              <w:numPr>
                <w:ilvl w:val="0"/>
                <w:numId w:val="11"/>
              </w:numPr>
              <w:kinsoku/>
              <w:wordWrap/>
              <w:overflowPunct/>
              <w:topLinePunct w:val="0"/>
              <w:autoSpaceDE/>
              <w:autoSpaceDN/>
              <w:bidi w:val="0"/>
              <w:adjustRightInd/>
              <w:snapToGrid/>
              <w:spacing w:after="0"/>
              <w:ind w:left="0"/>
              <w:contextualSpacing w:val="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通过光通维持率检测，燃点30000小时光通维持率不低于9</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%的得</w:t>
            </w:r>
            <w:r>
              <w:rPr>
                <w:rFonts w:hint="eastAsia" w:cs="仿宋"/>
                <w:color w:val="auto"/>
                <w:sz w:val="24"/>
                <w:szCs w:val="24"/>
                <w:highlight w:val="none"/>
                <w:lang w:val="en-US" w:eastAsia="zh-CN"/>
              </w:rPr>
              <w:t>1</w:t>
            </w:r>
            <w:r>
              <w:rPr>
                <w:rFonts w:hint="eastAsia" w:ascii="仿宋" w:hAnsi="仿宋" w:eastAsia="仿宋" w:cs="仿宋"/>
                <w:color w:val="auto"/>
                <w:sz w:val="24"/>
                <w:szCs w:val="24"/>
                <w:highlight w:val="none"/>
              </w:rPr>
              <w:t>分, 燃点</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000小时光通维持率不低于9</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分。对应测试样品需有CQC节能认证</w:t>
            </w:r>
            <w:r>
              <w:rPr>
                <w:rFonts w:hint="eastAsia" w:ascii="仿宋" w:hAnsi="仿宋" w:eastAsia="仿宋" w:cs="仿宋"/>
                <w:color w:val="auto"/>
                <w:sz w:val="24"/>
                <w:szCs w:val="24"/>
                <w:highlight w:val="none"/>
                <w:lang w:val="en-US" w:eastAsia="zh-CN"/>
              </w:rPr>
              <w:t>证书扫描件</w:t>
            </w:r>
            <w:r>
              <w:rPr>
                <w:rFonts w:hint="eastAsia" w:ascii="仿宋" w:hAnsi="仿宋" w:eastAsia="仿宋" w:cs="仿宋"/>
                <w:color w:val="auto"/>
                <w:sz w:val="24"/>
                <w:szCs w:val="24"/>
                <w:highlight w:val="none"/>
              </w:rPr>
              <w:t>,没有认证或没有报告均不得分。</w:t>
            </w:r>
          </w:p>
          <w:p>
            <w:pPr>
              <w:pStyle w:val="46"/>
              <w:keepNext w:val="0"/>
              <w:keepLines w:val="0"/>
              <w:pageBreakBefore w:val="0"/>
              <w:widowControl w:val="0"/>
              <w:numPr>
                <w:ilvl w:val="0"/>
                <w:numId w:val="11"/>
              </w:numPr>
              <w:kinsoku/>
              <w:wordWrap/>
              <w:overflowPunct/>
              <w:topLinePunct w:val="0"/>
              <w:autoSpaceDE/>
              <w:autoSpaceDN/>
              <w:bidi w:val="0"/>
              <w:adjustRightInd/>
              <w:snapToGrid/>
              <w:spacing w:after="0"/>
              <w:ind w:left="0"/>
              <w:contextualSpacing w:val="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以整灯形式经过防腐测试，对应测试样品防腐等级达到WF2,并且提供CQC WF2防腐认证得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分（须提供CQC防腐产品认证证书</w:t>
            </w:r>
            <w:r>
              <w:rPr>
                <w:rFonts w:hint="eastAsia" w:ascii="仿宋" w:hAnsi="仿宋" w:eastAsia="仿宋" w:cs="仿宋"/>
                <w:color w:val="auto"/>
                <w:sz w:val="24"/>
                <w:szCs w:val="24"/>
                <w:highlight w:val="none"/>
                <w:lang w:val="en-US" w:eastAsia="zh-CN"/>
              </w:rPr>
              <w:t>扫描件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w:t>
            </w:r>
            <w:r>
              <w:rPr>
                <w:rFonts w:hint="eastAsia" w:ascii="仿宋" w:hAnsi="仿宋" w:eastAsia="仿宋" w:cs="仿宋"/>
                <w:color w:val="auto"/>
                <w:sz w:val="24"/>
                <w:szCs w:val="24"/>
                <w:highlight w:val="none"/>
              </w:rPr>
              <w:t>分）。</w:t>
            </w:r>
          </w:p>
          <w:p>
            <w:pPr>
              <w:pStyle w:val="46"/>
              <w:keepNext w:val="0"/>
              <w:keepLines w:val="0"/>
              <w:pageBreakBefore w:val="0"/>
              <w:widowControl w:val="0"/>
              <w:numPr>
                <w:ilvl w:val="0"/>
                <w:numId w:val="11"/>
              </w:numPr>
              <w:kinsoku/>
              <w:wordWrap/>
              <w:overflowPunct/>
              <w:topLinePunct w:val="0"/>
              <w:autoSpaceDE/>
              <w:autoSpaceDN/>
              <w:bidi w:val="0"/>
              <w:adjustRightInd/>
              <w:snapToGrid/>
              <w:spacing w:after="0"/>
              <w:ind w:left="0"/>
              <w:contextualSpacing w:val="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投标灯具的</w:t>
            </w:r>
            <w:r>
              <w:rPr>
                <w:rFonts w:hint="eastAsia" w:ascii="仿宋" w:hAnsi="仿宋" w:eastAsia="仿宋" w:cs="仿宋"/>
                <w:color w:val="auto"/>
                <w:sz w:val="24"/>
                <w:szCs w:val="24"/>
                <w:highlight w:val="none"/>
                <w:lang w:val="en-US" w:eastAsia="zh-CN"/>
              </w:rPr>
              <w:t>LED模块交流电子控制装置</w:t>
            </w:r>
            <w:r>
              <w:rPr>
                <w:rFonts w:hint="eastAsia" w:ascii="仿宋" w:hAnsi="仿宋" w:eastAsia="仿宋" w:cs="仿宋"/>
                <w:color w:val="auto"/>
                <w:sz w:val="24"/>
                <w:szCs w:val="24"/>
                <w:highlight w:val="none"/>
              </w:rPr>
              <w:t>品牌与灯具品牌一致的得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分（须提供</w:t>
            </w:r>
            <w:r>
              <w:rPr>
                <w:rFonts w:hint="eastAsia" w:ascii="仿宋" w:hAnsi="仿宋" w:eastAsia="仿宋" w:cs="仿宋"/>
                <w:color w:val="auto"/>
                <w:sz w:val="24"/>
                <w:szCs w:val="24"/>
                <w:highlight w:val="none"/>
                <w:lang w:val="en-US" w:eastAsia="zh-CN"/>
              </w:rPr>
              <w:t>LED模块交流电子控制装置</w:t>
            </w:r>
            <w:r>
              <w:rPr>
                <w:rFonts w:hint="eastAsia" w:ascii="仿宋" w:hAnsi="仿宋" w:eastAsia="仿宋" w:cs="仿宋"/>
                <w:color w:val="auto"/>
                <w:sz w:val="24"/>
                <w:szCs w:val="24"/>
                <w:highlight w:val="none"/>
              </w:rPr>
              <w:t>CCC证书</w:t>
            </w:r>
            <w:r>
              <w:rPr>
                <w:rFonts w:hint="eastAsia" w:ascii="仿宋" w:hAnsi="仿宋" w:eastAsia="仿宋" w:cs="仿宋"/>
                <w:color w:val="auto"/>
                <w:sz w:val="24"/>
                <w:szCs w:val="24"/>
                <w:highlight w:val="none"/>
                <w:lang w:val="en-US" w:eastAsia="zh-CN"/>
              </w:rPr>
              <w:t>扫描件</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lang w:val="zh-CN"/>
              </w:rPr>
              <w:t>则不得</w:t>
            </w:r>
            <w:r>
              <w:rPr>
                <w:rFonts w:hint="eastAsia" w:ascii="仿宋" w:hAnsi="仿宋" w:eastAsia="仿宋" w:cs="仿宋"/>
                <w:color w:val="auto"/>
                <w:sz w:val="24"/>
                <w:szCs w:val="24"/>
                <w:highlight w:val="none"/>
              </w:rPr>
              <w:t>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02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spacing w:after="0"/>
              <w:rPr>
                <w:rFonts w:hint="eastAsia" w:ascii="仿宋" w:hAnsi="仿宋" w:eastAsia="仿宋" w:cs="仿宋"/>
                <w:color w:val="auto"/>
                <w:sz w:val="24"/>
                <w:szCs w:val="24"/>
                <w:highlight w:val="none"/>
              </w:rPr>
            </w:pPr>
          </w:p>
        </w:tc>
        <w:tc>
          <w:tcPr>
            <w:tcW w:w="762" w:type="dxa"/>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482" w:type="dxa"/>
            <w:vAlign w:val="center"/>
          </w:tcPr>
          <w:p>
            <w:pPr>
              <w:widowContro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人员配备</w:t>
            </w:r>
          </w:p>
          <w:p>
            <w:pPr>
              <w:spacing w:after="0"/>
              <w:rPr>
                <w:rFonts w:hint="eastAsia" w:ascii="仿宋" w:hAnsi="仿宋" w:eastAsia="仿宋" w:cs="仿宋"/>
                <w:color w:val="auto"/>
                <w:sz w:val="24"/>
                <w:szCs w:val="24"/>
                <w:highlight w:val="none"/>
                <w:lang w:val="en-US" w:eastAsia="zh-CN" w:bidi="ar-SA"/>
              </w:rPr>
            </w:pPr>
          </w:p>
        </w:tc>
        <w:tc>
          <w:tcPr>
            <w:tcW w:w="4961" w:type="dxa"/>
            <w:vAlign w:val="center"/>
          </w:tcPr>
          <w:p>
            <w:pPr>
              <w:numPr>
                <w:ilvl w:val="-1"/>
                <w:numId w:val="0"/>
              </w:numPr>
              <w:spacing w:after="0"/>
              <w:rPr>
                <w:rFonts w:hint="eastAsia" w:ascii="仿宋" w:hAnsi="仿宋" w:eastAsia="仿宋" w:cs="仿宋"/>
                <w:bCs/>
                <w:color w:val="auto"/>
                <w:spacing w:val="0"/>
                <w:kern w:val="1"/>
                <w:sz w:val="24"/>
                <w:szCs w:val="24"/>
                <w:highlight w:val="none"/>
                <w:lang w:val="en-US" w:eastAsia="zh-CN" w:bidi="ar-SA"/>
              </w:rPr>
            </w:pPr>
            <w:r>
              <w:rPr>
                <w:rFonts w:hint="eastAsia" w:ascii="仿宋" w:hAnsi="仿宋" w:eastAsia="仿宋" w:cs="仿宋"/>
                <w:bCs/>
                <w:color w:val="auto"/>
                <w:spacing w:val="0"/>
                <w:kern w:val="1"/>
                <w:sz w:val="24"/>
                <w:szCs w:val="24"/>
                <w:highlight w:val="none"/>
                <w:lang w:val="en-US" w:eastAsia="zh-CN" w:bidi="ar-SA"/>
              </w:rPr>
              <w:t>投标人拟派的项目管理人员具有合同能源管理项目经理证且同时具备能源审计师证的得2分；</w:t>
            </w:r>
          </w:p>
          <w:p>
            <w:pPr>
              <w:numPr>
                <w:ilvl w:val="-1"/>
                <w:numId w:val="0"/>
              </w:numPr>
              <w:spacing w:after="0"/>
              <w:rPr>
                <w:rFonts w:hint="eastAsia" w:ascii="仿宋" w:hAnsi="仿宋" w:eastAsia="仿宋" w:cs="仿宋"/>
                <w:bCs/>
                <w:color w:val="auto"/>
                <w:spacing w:val="0"/>
                <w:kern w:val="1"/>
                <w:sz w:val="24"/>
                <w:szCs w:val="24"/>
                <w:highlight w:val="none"/>
                <w:lang w:val="en-US" w:eastAsia="zh-CN" w:bidi="ar-SA"/>
              </w:rPr>
            </w:pPr>
            <w:r>
              <w:rPr>
                <w:rFonts w:hint="eastAsia" w:ascii="仿宋" w:hAnsi="仿宋" w:eastAsia="仿宋" w:cs="仿宋"/>
                <w:bCs/>
                <w:color w:val="auto"/>
                <w:spacing w:val="0"/>
                <w:kern w:val="1"/>
                <w:sz w:val="24"/>
                <w:szCs w:val="24"/>
                <w:highlight w:val="none"/>
                <w:lang w:val="en-US" w:eastAsia="zh-CN" w:bidi="ar-SA"/>
              </w:rPr>
              <w:t>具备二级及以上建造师且同时具备工程师及以上职称证的</w:t>
            </w:r>
            <w:r>
              <w:rPr>
                <w:rFonts w:hint="eastAsia" w:cs="仿宋"/>
                <w:bCs/>
                <w:color w:val="auto"/>
                <w:spacing w:val="0"/>
                <w:kern w:val="1"/>
                <w:sz w:val="24"/>
                <w:szCs w:val="24"/>
                <w:highlight w:val="none"/>
                <w:lang w:val="en-US" w:eastAsia="zh-CN" w:bidi="ar-SA"/>
              </w:rPr>
              <w:t>，</w:t>
            </w:r>
            <w:bookmarkStart w:id="373" w:name="_GoBack"/>
            <w:bookmarkEnd w:id="373"/>
            <w:r>
              <w:rPr>
                <w:rFonts w:hint="eastAsia" w:ascii="仿宋" w:hAnsi="仿宋" w:eastAsia="仿宋" w:cs="仿宋"/>
                <w:bCs/>
                <w:color w:val="auto"/>
                <w:spacing w:val="0"/>
                <w:kern w:val="1"/>
                <w:sz w:val="24"/>
                <w:szCs w:val="24"/>
                <w:highlight w:val="none"/>
                <w:lang w:val="en-US" w:eastAsia="zh-CN" w:bidi="ar-SA"/>
              </w:rPr>
              <w:t>每个</w:t>
            </w:r>
            <w:r>
              <w:rPr>
                <w:rFonts w:hint="eastAsia" w:cs="仿宋"/>
                <w:bCs/>
                <w:color w:val="auto"/>
                <w:spacing w:val="0"/>
                <w:kern w:val="1"/>
                <w:sz w:val="24"/>
                <w:szCs w:val="24"/>
                <w:highlight w:val="none"/>
                <w:lang w:val="en-US" w:eastAsia="zh-CN" w:bidi="ar-SA"/>
              </w:rPr>
              <w:t>人</w:t>
            </w:r>
            <w:r>
              <w:rPr>
                <w:rFonts w:hint="eastAsia" w:ascii="仿宋" w:hAnsi="仿宋" w:eastAsia="仿宋" w:cs="仿宋"/>
                <w:bCs/>
                <w:color w:val="auto"/>
                <w:spacing w:val="0"/>
                <w:kern w:val="1"/>
                <w:sz w:val="24"/>
                <w:szCs w:val="24"/>
                <w:highlight w:val="none"/>
                <w:lang w:val="en-US" w:eastAsia="zh-CN" w:bidi="ar-SA"/>
              </w:rPr>
              <w:t>得1.5分</w:t>
            </w:r>
            <w:r>
              <w:rPr>
                <w:rFonts w:hint="eastAsia" w:cs="仿宋"/>
                <w:bCs/>
                <w:color w:val="auto"/>
                <w:spacing w:val="0"/>
                <w:kern w:val="1"/>
                <w:sz w:val="24"/>
                <w:szCs w:val="24"/>
                <w:highlight w:val="none"/>
                <w:lang w:val="en-US" w:eastAsia="zh-CN" w:bidi="ar-SA"/>
              </w:rPr>
              <w:t>。</w:t>
            </w:r>
            <w:r>
              <w:rPr>
                <w:rFonts w:hint="eastAsia" w:ascii="仿宋" w:hAnsi="仿宋" w:eastAsia="仿宋" w:cs="仿宋"/>
                <w:bCs/>
                <w:color w:val="auto"/>
                <w:spacing w:val="0"/>
                <w:kern w:val="1"/>
                <w:sz w:val="24"/>
                <w:szCs w:val="24"/>
                <w:highlight w:val="none"/>
                <w:lang w:val="en-US" w:eastAsia="zh-CN" w:bidi="ar-SA"/>
              </w:rPr>
              <w:t>本项最高得5分。</w:t>
            </w:r>
          </w:p>
          <w:p>
            <w:pPr>
              <w:numPr>
                <w:ilvl w:val="-1"/>
                <w:numId w:val="0"/>
              </w:numPr>
              <w:spacing w:after="0"/>
              <w:rPr>
                <w:rFonts w:hint="eastAsia" w:ascii="仿宋" w:hAnsi="仿宋" w:eastAsia="仿宋" w:cs="仿宋"/>
                <w:bCs/>
                <w:color w:val="auto"/>
                <w:spacing w:val="0"/>
                <w:kern w:val="1"/>
                <w:sz w:val="24"/>
                <w:szCs w:val="24"/>
                <w:highlight w:val="none"/>
                <w:lang w:val="en-US" w:eastAsia="zh-CN" w:bidi="ar-SA"/>
              </w:rPr>
            </w:pPr>
            <w:r>
              <w:rPr>
                <w:rFonts w:hint="eastAsia" w:ascii="仿宋" w:hAnsi="仿宋" w:eastAsia="仿宋" w:cs="仿宋"/>
                <w:bCs/>
                <w:color w:val="auto"/>
                <w:spacing w:val="0"/>
                <w:kern w:val="1"/>
                <w:sz w:val="24"/>
                <w:szCs w:val="24"/>
                <w:highlight w:val="none"/>
                <w:lang w:val="en-US" w:eastAsia="zh-CN" w:bidi="ar-SA"/>
              </w:rPr>
              <w:t>注：1.建造师须提供项目负责人安全生产考核证书（B 证），无</w:t>
            </w:r>
            <w:r>
              <w:rPr>
                <w:rFonts w:hint="eastAsia" w:ascii="仿宋" w:hAnsi="仿宋" w:eastAsia="仿宋" w:cs="仿宋"/>
                <w:bCs/>
                <w:color w:val="auto"/>
                <w:spacing w:val="0"/>
                <w:kern w:val="1"/>
                <w:sz w:val="24"/>
                <w:szCs w:val="24"/>
                <w:highlight w:val="none"/>
                <w:lang w:val="zh-CN" w:eastAsia="zh-CN" w:bidi="ar-SA"/>
              </w:rPr>
              <w:t>则</w:t>
            </w:r>
            <w:r>
              <w:rPr>
                <w:rFonts w:hint="eastAsia" w:ascii="仿宋" w:hAnsi="仿宋" w:eastAsia="仿宋" w:cs="仿宋"/>
                <w:bCs/>
                <w:color w:val="auto"/>
                <w:spacing w:val="0"/>
                <w:kern w:val="1"/>
                <w:sz w:val="24"/>
                <w:szCs w:val="24"/>
                <w:highlight w:val="none"/>
                <w:lang w:val="en-US" w:eastAsia="zh-CN" w:bidi="ar-SA"/>
              </w:rPr>
              <w:t>不得分。</w:t>
            </w:r>
          </w:p>
          <w:p>
            <w:pPr>
              <w:numPr>
                <w:ilvl w:val="-1"/>
                <w:numId w:val="0"/>
              </w:num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bCs/>
                <w:color w:val="auto"/>
                <w:spacing w:val="0"/>
                <w:kern w:val="1"/>
                <w:sz w:val="24"/>
                <w:szCs w:val="24"/>
                <w:highlight w:val="none"/>
                <w:lang w:val="en-US" w:eastAsia="zh-CN" w:bidi="ar-SA"/>
              </w:rPr>
              <w:t>2.以上两项须提供证书扫描件及在职证明材料复印件加盖公章，无则不得分。</w:t>
            </w:r>
          </w:p>
        </w:tc>
        <w:tc>
          <w:tcPr>
            <w:tcW w:w="54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5</w:t>
            </w:r>
          </w:p>
        </w:tc>
        <w:tc>
          <w:tcPr>
            <w:tcW w:w="1026" w:type="dxa"/>
            <w:vAlign w:val="center"/>
          </w:tcPr>
          <w:p>
            <w:pPr>
              <w:spacing w:after="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6" w:hRule="atLeast"/>
          <w:jc w:val="center"/>
        </w:trPr>
        <w:tc>
          <w:tcPr>
            <w:tcW w:w="709" w:type="dxa"/>
            <w:vMerge w:val="continue"/>
          </w:tcPr>
          <w:p>
            <w:pPr>
              <w:pStyle w:val="46"/>
              <w:spacing w:after="0"/>
              <w:ind w:left="420"/>
              <w:rPr>
                <w:rFonts w:hint="eastAsia" w:ascii="仿宋" w:hAnsi="仿宋" w:eastAsia="仿宋" w:cs="仿宋"/>
                <w:color w:val="auto"/>
                <w:sz w:val="24"/>
                <w:szCs w:val="24"/>
                <w:highlight w:val="none"/>
              </w:rPr>
            </w:pPr>
          </w:p>
        </w:tc>
        <w:tc>
          <w:tcPr>
            <w:tcW w:w="762" w:type="dxa"/>
            <w:vMerge w:val="restart"/>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w:t>
            </w:r>
          </w:p>
        </w:tc>
        <w:tc>
          <w:tcPr>
            <w:tcW w:w="1482" w:type="dxa"/>
            <w:vMerge w:val="restart"/>
            <w:vAlign w:val="center"/>
          </w:tcPr>
          <w:p>
            <w:pPr>
              <w:spacing w:after="0"/>
              <w:rPr>
                <w:rFonts w:hint="eastAsia" w:ascii="仿宋" w:hAnsi="仿宋" w:eastAsia="仿宋" w:cs="仿宋"/>
                <w:color w:val="auto"/>
                <w:sz w:val="24"/>
                <w:szCs w:val="24"/>
                <w:highlight w:val="none"/>
              </w:rPr>
            </w:pPr>
            <w:r>
              <w:rPr>
                <w:rFonts w:hint="eastAsia" w:ascii="仿宋" w:hAnsi="仿宋" w:eastAsia="仿宋" w:cs="仿宋"/>
                <w:bCs/>
                <w:color w:val="auto"/>
                <w:kern w:val="1"/>
                <w:sz w:val="24"/>
                <w:szCs w:val="24"/>
                <w:highlight w:val="none"/>
              </w:rPr>
              <w:t>节能技术方案与服务承诺</w:t>
            </w:r>
          </w:p>
        </w:tc>
        <w:tc>
          <w:tcPr>
            <w:tcW w:w="4961" w:type="dxa"/>
          </w:tcPr>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节能技术方案与保证措施（包括但不限于以下内容：灯具替换方案、节能效果预评估、本地化服务能力及响应等）</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方案内容全面、详细、合理，具有系统性、科学性，核心编制内容具有专业性和针对性，结合项目实际情况可行性强：得</w:t>
            </w:r>
            <w:r>
              <w:rPr>
                <w:rFonts w:hint="eastAsia" w:ascii="仿宋" w:hAnsi="仿宋" w:eastAsia="仿宋" w:cs="仿宋"/>
                <w:bCs/>
                <w:color w:val="auto"/>
                <w:spacing w:val="0"/>
                <w:kern w:val="1"/>
                <w:sz w:val="24"/>
                <w:szCs w:val="24"/>
                <w:highlight w:val="none"/>
                <w:lang w:val="en-US" w:eastAsia="zh-CN"/>
              </w:rPr>
              <w:t>4</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方案内容全面、详细、合理，具有系统性、科学性：得3分；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方案内容全面、详细：得2分；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具备整体工作方案：得1分；</w:t>
            </w:r>
          </w:p>
          <w:p>
            <w:pPr>
              <w:spacing w:after="0"/>
              <w:rPr>
                <w:rFonts w:hint="eastAsia" w:ascii="仿宋" w:hAnsi="仿宋" w:eastAsia="仿宋" w:cs="仿宋"/>
                <w:color w:val="auto"/>
                <w:sz w:val="24"/>
                <w:szCs w:val="24"/>
                <w:highlight w:val="none"/>
              </w:rPr>
            </w:pPr>
            <w:r>
              <w:rPr>
                <w:rFonts w:hint="eastAsia" w:ascii="仿宋" w:hAnsi="仿宋" w:eastAsia="仿宋" w:cs="仿宋"/>
                <w:bCs/>
                <w:color w:val="auto"/>
                <w:kern w:val="1"/>
                <w:sz w:val="24"/>
                <w:szCs w:val="24"/>
                <w:highlight w:val="none"/>
              </w:rPr>
              <w:t>未提供：得0分。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4</w:t>
            </w:r>
          </w:p>
        </w:tc>
        <w:tc>
          <w:tcPr>
            <w:tcW w:w="1026" w:type="dxa"/>
            <w:vAlign w:val="center"/>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09" w:type="dxa"/>
            <w:vMerge w:val="continue"/>
          </w:tcPr>
          <w:p>
            <w:pPr>
              <w:pStyle w:val="46"/>
              <w:spacing w:after="0"/>
              <w:ind w:left="420"/>
              <w:rPr>
                <w:rFonts w:hint="eastAsia" w:ascii="仿宋" w:hAnsi="仿宋" w:eastAsia="仿宋" w:cs="仿宋"/>
                <w:color w:val="auto"/>
                <w:sz w:val="24"/>
                <w:szCs w:val="24"/>
                <w:highlight w:val="none"/>
              </w:rPr>
            </w:pPr>
          </w:p>
        </w:tc>
        <w:tc>
          <w:tcPr>
            <w:tcW w:w="762" w:type="dxa"/>
            <w:vMerge w:val="continue"/>
            <w:vAlign w:val="center"/>
          </w:tcPr>
          <w:p>
            <w:pPr>
              <w:spacing w:after="0"/>
              <w:jc w:val="center"/>
              <w:rPr>
                <w:rFonts w:hint="eastAsia" w:ascii="仿宋" w:hAnsi="仿宋" w:eastAsia="仿宋" w:cs="仿宋"/>
                <w:color w:val="auto"/>
                <w:sz w:val="24"/>
                <w:szCs w:val="24"/>
                <w:highlight w:val="none"/>
              </w:rPr>
            </w:pPr>
          </w:p>
        </w:tc>
        <w:tc>
          <w:tcPr>
            <w:tcW w:w="1482" w:type="dxa"/>
            <w:vMerge w:val="continue"/>
            <w:vAlign w:val="center"/>
          </w:tcPr>
          <w:p>
            <w:pPr>
              <w:spacing w:after="0"/>
              <w:rPr>
                <w:rFonts w:hint="eastAsia" w:ascii="仿宋" w:hAnsi="仿宋" w:eastAsia="仿宋" w:cs="仿宋"/>
                <w:bCs/>
                <w:color w:val="auto"/>
                <w:kern w:val="1"/>
                <w:sz w:val="24"/>
                <w:szCs w:val="24"/>
                <w:highlight w:val="none"/>
              </w:rPr>
            </w:pPr>
          </w:p>
        </w:tc>
        <w:tc>
          <w:tcPr>
            <w:tcW w:w="4961" w:type="dxa"/>
          </w:tcPr>
          <w:p>
            <w:pPr>
              <w:spacing w:after="0"/>
              <w:rPr>
                <w:rFonts w:hint="default" w:ascii="仿宋" w:hAnsi="仿宋" w:eastAsia="仿宋" w:cs="仿宋"/>
                <w:bCs/>
                <w:color w:val="auto"/>
                <w:kern w:val="1"/>
                <w:sz w:val="24"/>
                <w:szCs w:val="24"/>
                <w:highlight w:val="none"/>
                <w:lang w:val="en-US" w:eastAsia="zh-CN"/>
              </w:rPr>
            </w:pPr>
            <w:r>
              <w:rPr>
                <w:rFonts w:hint="eastAsia" w:cs="仿宋"/>
                <w:bCs/>
                <w:color w:val="auto"/>
                <w:kern w:val="1"/>
                <w:highlight w:val="none"/>
              </w:rPr>
              <w:t>节电量（折合电费）：承诺改造后与改造前相比较，可节约电费100万元以上的，得1分。</w:t>
            </w:r>
          </w:p>
        </w:tc>
        <w:tc>
          <w:tcPr>
            <w:tcW w:w="546" w:type="dxa"/>
            <w:vAlign w:val="center"/>
          </w:tcPr>
          <w:p>
            <w:pPr>
              <w:spacing w:after="0"/>
              <w:rPr>
                <w:rFonts w:hint="default"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1</w:t>
            </w:r>
          </w:p>
        </w:tc>
        <w:tc>
          <w:tcPr>
            <w:tcW w:w="1026" w:type="dxa"/>
            <w:vAlign w:val="center"/>
          </w:tcPr>
          <w:p>
            <w:pPr>
              <w:spacing w:after="0"/>
              <w:rPr>
                <w:rFonts w:hint="default"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6"/>
              <w:spacing w:after="0"/>
              <w:ind w:left="420"/>
              <w:rPr>
                <w:rFonts w:hint="eastAsia" w:ascii="仿宋" w:hAnsi="仿宋" w:eastAsia="仿宋" w:cs="仿宋"/>
                <w:color w:val="auto"/>
                <w:sz w:val="24"/>
                <w:szCs w:val="24"/>
                <w:highlight w:val="none"/>
              </w:rPr>
            </w:pPr>
          </w:p>
        </w:tc>
        <w:tc>
          <w:tcPr>
            <w:tcW w:w="762" w:type="dxa"/>
            <w:vAlign w:val="center"/>
          </w:tcPr>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482" w:type="dxa"/>
            <w:vAlign w:val="center"/>
          </w:tcPr>
          <w:p>
            <w:pPr>
              <w:spacing w:after="0"/>
              <w:rPr>
                <w:rFonts w:hint="eastAsia" w:ascii="仿宋" w:hAnsi="仿宋" w:eastAsia="仿宋" w:cs="仿宋"/>
                <w:bCs/>
                <w:color w:val="auto"/>
                <w:kern w:val="1"/>
                <w:sz w:val="24"/>
                <w:szCs w:val="24"/>
                <w:highlight w:val="none"/>
                <w:lang w:val="en-US" w:eastAsia="zh-CN"/>
              </w:rPr>
            </w:pPr>
            <w:r>
              <w:rPr>
                <w:rFonts w:hint="eastAsia" w:ascii="仿宋" w:hAnsi="仿宋" w:eastAsia="仿宋" w:cs="仿宋"/>
                <w:bCs/>
                <w:color w:val="auto"/>
                <w:kern w:val="1"/>
                <w:sz w:val="24"/>
                <w:szCs w:val="24"/>
                <w:highlight w:val="none"/>
                <w:lang w:val="en-US" w:eastAsia="zh-CN"/>
              </w:rPr>
              <w:t>巡检、养护方案与保障措施</w:t>
            </w:r>
          </w:p>
        </w:tc>
        <w:tc>
          <w:tcPr>
            <w:tcW w:w="4961" w:type="dxa"/>
          </w:tcPr>
          <w:p>
            <w:pPr>
              <w:spacing w:after="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巡检、养护方案与保障措施（</w:t>
            </w:r>
            <w:r>
              <w:rPr>
                <w:rFonts w:hint="eastAsia" w:ascii="仿宋" w:hAnsi="仿宋" w:eastAsia="仿宋" w:cs="仿宋"/>
                <w:color w:val="auto"/>
                <w:highlight w:val="none"/>
              </w:rPr>
              <w:t>包括但不限于以下内容：</w:t>
            </w:r>
            <w:r>
              <w:rPr>
                <w:rFonts w:hint="eastAsia" w:ascii="仿宋" w:hAnsi="仿宋" w:eastAsia="仿宋" w:cs="仿宋"/>
                <w:color w:val="auto"/>
                <w:highlight w:val="none"/>
                <w:lang w:val="en-US" w:eastAsia="zh-CN"/>
              </w:rPr>
              <w:t>巡查管理</w:t>
            </w:r>
            <w:r>
              <w:rPr>
                <w:rFonts w:hint="eastAsia" w:ascii="仿宋" w:hAnsi="仿宋" w:eastAsia="仿宋" w:cs="仿宋"/>
                <w:color w:val="auto"/>
                <w:highlight w:val="none"/>
              </w:rPr>
              <w:t>方案、</w:t>
            </w:r>
            <w:r>
              <w:rPr>
                <w:rFonts w:hint="eastAsia" w:ascii="仿宋" w:hAnsi="仿宋" w:eastAsia="仿宋" w:cs="仿宋"/>
                <w:color w:val="auto"/>
                <w:highlight w:val="none"/>
                <w:lang w:val="en-US" w:eastAsia="zh-CN"/>
              </w:rPr>
              <w:t>养护计划安排</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保障措施、应急方案</w:t>
            </w:r>
            <w:r>
              <w:rPr>
                <w:rFonts w:hint="eastAsia" w:ascii="仿宋" w:hAnsi="仿宋" w:eastAsia="仿宋" w:cs="仿宋"/>
                <w:color w:val="auto"/>
                <w:highlight w:val="none"/>
              </w:rPr>
              <w:t>等</w:t>
            </w:r>
            <w:r>
              <w:rPr>
                <w:rFonts w:hint="eastAsia" w:ascii="仿宋" w:hAnsi="仿宋" w:eastAsia="仿宋" w:cs="仿宋"/>
                <w:color w:val="auto"/>
                <w:highlight w:val="none"/>
                <w:lang w:val="en-US" w:eastAsia="zh-CN"/>
              </w:rPr>
              <w:t>）</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方案内容全面、详细、合理，具有系统性、科学性，核心编制内容具有专业性和针对性，结合项目实际情况可行性强：得</w:t>
            </w:r>
            <w:r>
              <w:rPr>
                <w:rFonts w:hint="eastAsia" w:ascii="仿宋" w:hAnsi="仿宋" w:eastAsia="仿宋" w:cs="仿宋"/>
                <w:bCs/>
                <w:color w:val="auto"/>
                <w:spacing w:val="0"/>
                <w:kern w:val="1"/>
                <w:sz w:val="24"/>
                <w:szCs w:val="24"/>
                <w:highlight w:val="none"/>
                <w:lang w:val="en-US" w:eastAsia="zh-CN"/>
              </w:rPr>
              <w:t>4</w:t>
            </w:r>
            <w:r>
              <w:rPr>
                <w:rFonts w:hint="eastAsia" w:ascii="仿宋" w:hAnsi="仿宋" w:eastAsia="仿宋" w:cs="仿宋"/>
                <w:bCs/>
                <w:color w:val="auto"/>
                <w:spacing w:val="0"/>
                <w:kern w:val="1"/>
                <w:sz w:val="24"/>
                <w:szCs w:val="24"/>
                <w:highlight w:val="none"/>
              </w:rPr>
              <w:t>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方案内容全面、详细、合理，具有系统性、科学性：得3分；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方案内容全面、详细：得2分；</w:t>
            </w:r>
          </w:p>
          <w:p>
            <w:pPr>
              <w:pStyle w:val="78"/>
              <w:adjustRightInd w:val="0"/>
              <w:snapToGrid w:val="0"/>
              <w:spacing w:before="0" w:after="0" w:line="240" w:lineRule="auto"/>
              <w:rPr>
                <w:rFonts w:hint="eastAsia" w:ascii="仿宋" w:hAnsi="仿宋" w:eastAsia="仿宋" w:cs="仿宋"/>
                <w:bCs/>
                <w:color w:val="auto"/>
                <w:spacing w:val="0"/>
                <w:kern w:val="1"/>
                <w:sz w:val="24"/>
                <w:szCs w:val="24"/>
                <w:highlight w:val="none"/>
              </w:rPr>
            </w:pPr>
            <w:r>
              <w:rPr>
                <w:rFonts w:hint="eastAsia" w:ascii="仿宋" w:hAnsi="仿宋" w:eastAsia="仿宋" w:cs="仿宋"/>
                <w:bCs/>
                <w:color w:val="auto"/>
                <w:spacing w:val="0"/>
                <w:kern w:val="1"/>
                <w:sz w:val="24"/>
                <w:szCs w:val="24"/>
                <w:highlight w:val="none"/>
              </w:rPr>
              <w:t>具备整体工作方案：得1分；</w:t>
            </w:r>
          </w:p>
          <w:p>
            <w:pPr>
              <w:pStyle w:val="2"/>
              <w:spacing w:line="240" w:lineRule="auto"/>
              <w:ind w:firstLine="0"/>
              <w:rPr>
                <w:rFonts w:hint="eastAsia" w:ascii="仿宋" w:hAnsi="仿宋" w:eastAsia="仿宋" w:cs="仿宋"/>
                <w:color w:val="auto"/>
                <w:highlight w:val="none"/>
              </w:rPr>
            </w:pPr>
            <w:r>
              <w:rPr>
                <w:rFonts w:hint="eastAsia" w:ascii="仿宋" w:hAnsi="仿宋" w:eastAsia="仿宋" w:cs="仿宋"/>
                <w:bCs/>
                <w:color w:val="auto"/>
                <w:kern w:val="1"/>
                <w:sz w:val="24"/>
                <w:szCs w:val="24"/>
                <w:highlight w:val="none"/>
              </w:rPr>
              <w:t>未提供：得0分。</w:t>
            </w:r>
          </w:p>
        </w:tc>
        <w:tc>
          <w:tcPr>
            <w:tcW w:w="546" w:type="dxa"/>
            <w:vAlign w:val="center"/>
          </w:tcPr>
          <w:p>
            <w:pPr>
              <w:spacing w:after="0"/>
              <w:rPr>
                <w:rFonts w:hint="eastAsia"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4</w:t>
            </w:r>
          </w:p>
        </w:tc>
        <w:tc>
          <w:tcPr>
            <w:tcW w:w="1026" w:type="dxa"/>
            <w:vAlign w:val="center"/>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tcPr>
          <w:p>
            <w:pPr>
              <w:pStyle w:val="46"/>
              <w:spacing w:after="0"/>
              <w:ind w:left="420"/>
              <w:rPr>
                <w:rFonts w:hint="eastAsia" w:ascii="仿宋" w:hAnsi="仿宋" w:eastAsia="仿宋" w:cs="仿宋"/>
                <w:color w:val="auto"/>
                <w:sz w:val="24"/>
                <w:szCs w:val="24"/>
                <w:highlight w:val="none"/>
              </w:rPr>
            </w:pPr>
          </w:p>
        </w:tc>
        <w:tc>
          <w:tcPr>
            <w:tcW w:w="762" w:type="dxa"/>
            <w:vAlign w:val="center"/>
          </w:tcPr>
          <w:p>
            <w:pPr>
              <w:spacing w:after="0"/>
              <w:jc w:val="center"/>
              <w:rPr>
                <w:rFonts w:hint="default"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12</w:t>
            </w:r>
          </w:p>
        </w:tc>
        <w:tc>
          <w:tcPr>
            <w:tcW w:w="1482" w:type="dxa"/>
            <w:vAlign w:val="center"/>
          </w:tcPr>
          <w:p>
            <w:pPr>
              <w:spacing w:after="0"/>
              <w:rPr>
                <w:rFonts w:hint="eastAsia" w:ascii="仿宋" w:hAnsi="仿宋" w:eastAsia="仿宋" w:cs="仿宋"/>
                <w:bCs/>
                <w:color w:val="auto"/>
                <w:kern w:val="1"/>
                <w:sz w:val="24"/>
                <w:szCs w:val="24"/>
                <w:highlight w:val="none"/>
                <w:lang w:val="en-US" w:eastAsia="zh-CN"/>
              </w:rPr>
            </w:pPr>
            <w:r>
              <w:rPr>
                <w:rStyle w:val="30"/>
                <w:rFonts w:hint="eastAsia" w:ascii="仿宋" w:hAnsi="仿宋" w:eastAsia="仿宋" w:cs="仿宋"/>
                <w:color w:val="auto"/>
                <w:sz w:val="24"/>
                <w:szCs w:val="24"/>
                <w:highlight w:val="none"/>
              </w:rPr>
              <w:t>安全生产管理</w:t>
            </w:r>
          </w:p>
        </w:tc>
        <w:tc>
          <w:tcPr>
            <w:tcW w:w="4961" w:type="dxa"/>
          </w:tcPr>
          <w:p>
            <w:pPr>
              <w:pStyle w:val="2"/>
              <w:spacing w:line="240" w:lineRule="auto"/>
              <w:ind w:firstLine="0"/>
              <w:rPr>
                <w:rFonts w:hint="eastAsia" w:ascii="仿宋" w:hAnsi="仿宋" w:eastAsia="仿宋" w:cs="仿宋"/>
                <w:bCs/>
                <w:color w:val="auto"/>
                <w:kern w:val="1"/>
                <w:sz w:val="24"/>
                <w:szCs w:val="24"/>
                <w:highlight w:val="none"/>
              </w:rPr>
            </w:pPr>
            <w:r>
              <w:rPr>
                <w:rFonts w:hint="eastAsia" w:ascii="仿宋" w:hAnsi="仿宋" w:eastAsia="仿宋" w:cs="仿宋"/>
                <w:bCs/>
                <w:color w:val="auto"/>
                <w:kern w:val="1"/>
                <w:sz w:val="24"/>
                <w:szCs w:val="24"/>
                <w:highlight w:val="none"/>
              </w:rPr>
              <w:t>①制订安全生产制度，且有定期安全生产培训计划，得1</w:t>
            </w:r>
            <w:r>
              <w:rPr>
                <w:rFonts w:hint="eastAsia" w:ascii="仿宋" w:hAnsi="仿宋" w:eastAsia="仿宋" w:cs="仿宋"/>
                <w:bCs/>
                <w:color w:val="auto"/>
                <w:kern w:val="1"/>
                <w:sz w:val="24"/>
                <w:szCs w:val="24"/>
                <w:highlight w:val="none"/>
                <w:lang w:val="en-US" w:eastAsia="zh-CN"/>
              </w:rPr>
              <w:t>.5</w:t>
            </w:r>
            <w:r>
              <w:rPr>
                <w:rFonts w:hint="eastAsia" w:ascii="仿宋" w:hAnsi="仿宋" w:eastAsia="仿宋" w:cs="仿宋"/>
                <w:bCs/>
                <w:color w:val="auto"/>
                <w:kern w:val="1"/>
                <w:sz w:val="24"/>
                <w:szCs w:val="24"/>
                <w:highlight w:val="none"/>
              </w:rPr>
              <w:t>分。</w:t>
            </w:r>
          </w:p>
          <w:p>
            <w:pPr>
              <w:pStyle w:val="2"/>
              <w:spacing w:line="240" w:lineRule="auto"/>
              <w:ind w:firstLine="0"/>
              <w:rPr>
                <w:rFonts w:hint="eastAsia" w:ascii="仿宋" w:hAnsi="仿宋" w:eastAsia="仿宋" w:cs="仿宋"/>
                <w:bCs/>
                <w:color w:val="auto"/>
                <w:kern w:val="1"/>
                <w:sz w:val="24"/>
                <w:szCs w:val="24"/>
                <w:highlight w:val="none"/>
              </w:rPr>
            </w:pPr>
            <w:r>
              <w:rPr>
                <w:rFonts w:hint="eastAsia" w:ascii="仿宋" w:hAnsi="仿宋" w:eastAsia="仿宋" w:cs="仿宋"/>
                <w:bCs/>
                <w:color w:val="auto"/>
                <w:kern w:val="1"/>
                <w:sz w:val="24"/>
                <w:szCs w:val="24"/>
                <w:highlight w:val="none"/>
              </w:rPr>
              <w:t>②有投入本项目的</w:t>
            </w:r>
            <w:r>
              <w:rPr>
                <w:rFonts w:hint="eastAsia" w:ascii="仿宋" w:hAnsi="仿宋" w:eastAsia="仿宋" w:cs="仿宋"/>
                <w:bCs/>
                <w:color w:val="auto"/>
                <w:kern w:val="1"/>
                <w:sz w:val="24"/>
                <w:szCs w:val="24"/>
                <w:highlight w:val="none"/>
                <w:lang w:val="en-US" w:eastAsia="zh-CN"/>
              </w:rPr>
              <w:t>专职安全员，并提供相关证书</w:t>
            </w:r>
            <w:r>
              <w:rPr>
                <w:rFonts w:hint="eastAsia" w:ascii="仿宋" w:hAnsi="仿宋" w:eastAsia="仿宋" w:cs="仿宋"/>
                <w:bCs/>
                <w:color w:val="auto"/>
                <w:kern w:val="1"/>
                <w:sz w:val="24"/>
                <w:szCs w:val="24"/>
                <w:highlight w:val="none"/>
              </w:rPr>
              <w:t xml:space="preserve"> ，得</w:t>
            </w:r>
            <w:r>
              <w:rPr>
                <w:rFonts w:hint="eastAsia" w:ascii="仿宋" w:hAnsi="仿宋" w:eastAsia="仿宋" w:cs="仿宋"/>
                <w:bCs/>
                <w:color w:val="auto"/>
                <w:kern w:val="1"/>
                <w:sz w:val="24"/>
                <w:szCs w:val="24"/>
                <w:highlight w:val="none"/>
                <w:lang w:eastAsia="zh-CN"/>
              </w:rPr>
              <w:t>1</w:t>
            </w:r>
            <w:r>
              <w:rPr>
                <w:rFonts w:hint="eastAsia" w:ascii="仿宋" w:hAnsi="仿宋" w:eastAsia="仿宋" w:cs="仿宋"/>
                <w:bCs/>
                <w:color w:val="auto"/>
                <w:kern w:val="1"/>
                <w:sz w:val="24"/>
                <w:szCs w:val="24"/>
                <w:highlight w:val="none"/>
                <w:lang w:val="en-US" w:eastAsia="zh-CN"/>
              </w:rPr>
              <w:t>.5</w:t>
            </w:r>
            <w:r>
              <w:rPr>
                <w:rFonts w:hint="eastAsia" w:ascii="仿宋" w:hAnsi="仿宋" w:eastAsia="仿宋" w:cs="仿宋"/>
                <w:bCs/>
                <w:color w:val="auto"/>
                <w:kern w:val="1"/>
                <w:sz w:val="24"/>
                <w:szCs w:val="24"/>
                <w:highlight w:val="none"/>
              </w:rPr>
              <w:t>分。</w:t>
            </w:r>
          </w:p>
        </w:tc>
        <w:tc>
          <w:tcPr>
            <w:tcW w:w="546" w:type="dxa"/>
            <w:vAlign w:val="center"/>
          </w:tcPr>
          <w:p>
            <w:pPr>
              <w:spacing w:after="0"/>
              <w:rPr>
                <w:rFonts w:hint="default"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3</w:t>
            </w:r>
          </w:p>
        </w:tc>
        <w:tc>
          <w:tcPr>
            <w:tcW w:w="1026" w:type="dxa"/>
            <w:vAlign w:val="center"/>
          </w:tcPr>
          <w:p>
            <w:pPr>
              <w:spacing w:after="0"/>
              <w:rPr>
                <w:rFonts w:hint="default" w:ascii="仿宋" w:hAnsi="仿宋" w:eastAsia="仿宋" w:cs="仿宋"/>
                <w:color w:val="auto"/>
                <w:sz w:val="24"/>
                <w:szCs w:val="24"/>
                <w:highlight w:val="none"/>
                <w:lang w:val="en-US" w:eastAsia="zh-CN"/>
              </w:rPr>
            </w:pPr>
            <w:r>
              <w:rPr>
                <w:rFonts w:hint="eastAsia" w:cs="仿宋"/>
                <w:color w:val="auto"/>
                <w:sz w:val="24"/>
                <w:szCs w:val="24"/>
                <w:highlight w:val="none"/>
                <w:lang w:val="en-US" w:eastAsia="zh-CN"/>
              </w:rPr>
              <w:t>客观分</w:t>
            </w:r>
          </w:p>
        </w:tc>
      </w:tr>
    </w:tbl>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价格分（10分）</w:t>
      </w:r>
    </w:p>
    <w:tbl>
      <w:tblPr>
        <w:tblStyle w:val="25"/>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553"/>
        <w:gridCol w:w="1691"/>
        <w:gridCol w:w="4829"/>
        <w:gridCol w:w="616"/>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709" w:type="dxa"/>
          </w:tcPr>
          <w:p>
            <w:pPr>
              <w:spacing w:after="0"/>
              <w:rPr>
                <w:rFonts w:hint="eastAsia" w:ascii="仿宋" w:hAnsi="仿宋" w:eastAsia="仿宋" w:cs="仿宋"/>
                <w:color w:val="auto"/>
                <w:highlight w:val="none"/>
              </w:rPr>
            </w:pPr>
          </w:p>
          <w:p>
            <w:pPr>
              <w:spacing w:after="0"/>
              <w:rPr>
                <w:rFonts w:hint="eastAsia" w:ascii="仿宋" w:hAnsi="仿宋" w:eastAsia="仿宋" w:cs="仿宋"/>
                <w:color w:val="auto"/>
                <w:highlight w:val="none"/>
              </w:rPr>
            </w:pPr>
          </w:p>
          <w:p>
            <w:pPr>
              <w:spacing w:after="0"/>
              <w:rPr>
                <w:rFonts w:hint="eastAsia" w:ascii="仿宋" w:hAnsi="仿宋" w:eastAsia="仿宋" w:cs="仿宋"/>
                <w:color w:val="auto"/>
                <w:highlight w:val="none"/>
              </w:rPr>
            </w:pPr>
            <w:r>
              <w:rPr>
                <w:rFonts w:hint="eastAsia" w:ascii="仿宋" w:hAnsi="仿宋" w:eastAsia="仿宋" w:cs="仿宋"/>
                <w:color w:val="auto"/>
                <w:highlight w:val="none"/>
              </w:rPr>
              <w:t>价格分</w:t>
            </w:r>
          </w:p>
        </w:tc>
        <w:tc>
          <w:tcPr>
            <w:tcW w:w="553" w:type="dxa"/>
            <w:vAlign w:val="center"/>
          </w:tcPr>
          <w:p>
            <w:pPr>
              <w:pStyle w:val="46"/>
              <w:numPr>
                <w:ilvl w:val="0"/>
                <w:numId w:val="0"/>
              </w:numPr>
              <w:spacing w:after="0"/>
              <w:ind w:leftChars="0"/>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w:t>
            </w:r>
            <w:r>
              <w:rPr>
                <w:rFonts w:hint="eastAsia" w:cs="仿宋"/>
                <w:color w:val="auto"/>
                <w:highlight w:val="none"/>
                <w:lang w:val="en-US" w:eastAsia="zh-CN"/>
              </w:rPr>
              <w:t>3</w:t>
            </w:r>
          </w:p>
        </w:tc>
        <w:tc>
          <w:tcPr>
            <w:tcW w:w="1691" w:type="dxa"/>
            <w:vAlign w:val="center"/>
          </w:tcPr>
          <w:p>
            <w:pPr>
              <w:spacing w:after="0"/>
              <w:rPr>
                <w:rFonts w:hint="eastAsia" w:ascii="仿宋" w:hAnsi="仿宋" w:eastAsia="仿宋" w:cs="仿宋"/>
                <w:color w:val="auto"/>
                <w:highlight w:val="none"/>
              </w:rPr>
            </w:pPr>
            <w:r>
              <w:rPr>
                <w:rFonts w:hint="eastAsia" w:ascii="仿宋" w:hAnsi="仿宋" w:eastAsia="仿宋" w:cs="仿宋"/>
                <w:color w:val="auto"/>
                <w:highlight w:val="none"/>
              </w:rPr>
              <w:t>价格权值</w:t>
            </w:r>
          </w:p>
        </w:tc>
        <w:tc>
          <w:tcPr>
            <w:tcW w:w="4829" w:type="dxa"/>
          </w:tcPr>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t>最低有效投标价格为评标基准价</w:t>
            </w:r>
          </w:p>
          <w:p>
            <w:pPr>
              <w:spacing w:after="0" w:line="360" w:lineRule="auto"/>
              <w:rPr>
                <w:rFonts w:hint="eastAsia" w:ascii="仿宋" w:hAnsi="仿宋" w:eastAsia="仿宋" w:cs="仿宋"/>
                <w:color w:val="auto"/>
                <w:highlight w:val="none"/>
              </w:rPr>
            </w:pPr>
            <w:r>
              <w:rPr>
                <w:rFonts w:hint="eastAsia" w:ascii="仿宋" w:hAnsi="仿宋" w:eastAsia="仿宋" w:cs="仿宋"/>
                <w:color w:val="auto"/>
                <w:highlight w:val="none"/>
              </w:rPr>
              <w:t>投标报价得分=(评标基准价／投标报价)×价格权值×100</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rPr>
              <w:t xml:space="preserve"> </w:t>
            </w:r>
          </w:p>
          <w:p>
            <w:pPr>
              <w:spacing w:after="0"/>
              <w:rPr>
                <w:rFonts w:hint="eastAsia" w:ascii="仿宋" w:hAnsi="仿宋" w:eastAsia="仿宋" w:cs="仿宋"/>
                <w:color w:val="auto"/>
                <w:highlight w:val="none"/>
              </w:rPr>
            </w:pPr>
            <w:r>
              <w:rPr>
                <w:rFonts w:hint="eastAsia" w:ascii="仿宋" w:hAnsi="仿宋" w:eastAsia="仿宋" w:cs="仿宋"/>
                <w:color w:val="auto"/>
                <w:highlight w:val="none"/>
              </w:rPr>
              <w:t>（计算得分保留小数点后2位）</w:t>
            </w:r>
          </w:p>
        </w:tc>
        <w:tc>
          <w:tcPr>
            <w:tcW w:w="616" w:type="dxa"/>
            <w:vAlign w:val="center"/>
          </w:tcPr>
          <w:p>
            <w:pPr>
              <w:spacing w:after="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w:t>
            </w:r>
          </w:p>
        </w:tc>
        <w:tc>
          <w:tcPr>
            <w:tcW w:w="943" w:type="dxa"/>
            <w:vAlign w:val="center"/>
          </w:tcPr>
          <w:p>
            <w:pPr>
              <w:spacing w:after="0"/>
              <w:rPr>
                <w:rFonts w:hint="eastAsia" w:ascii="仿宋" w:hAnsi="仿宋" w:eastAsia="仿宋" w:cs="仿宋"/>
                <w:color w:val="auto"/>
                <w:highlight w:val="none"/>
              </w:rPr>
            </w:pPr>
          </w:p>
        </w:tc>
      </w:tr>
    </w:tbl>
    <w:p>
      <w:pPr>
        <w:spacing w:line="360" w:lineRule="auto"/>
        <w:rPr>
          <w:rFonts w:hint="eastAsia" w:ascii="仿宋" w:hAnsi="仿宋" w:eastAsia="仿宋" w:cs="仿宋"/>
          <w:b/>
          <w:color w:val="auto"/>
          <w:highlight w:val="none"/>
        </w:rPr>
      </w:pPr>
    </w:p>
    <w:p>
      <w:pPr>
        <w:spacing w:line="360" w:lineRule="auto"/>
        <w:rPr>
          <w:rFonts w:hint="eastAsia" w:ascii="仿宋" w:hAnsi="仿宋" w:eastAsia="仿宋" w:cs="仿宋"/>
          <w:color w:val="auto"/>
          <w:highlight w:val="none"/>
        </w:rPr>
      </w:pPr>
      <w:r>
        <w:rPr>
          <w:rFonts w:hint="eastAsia" w:ascii="仿宋" w:hAnsi="仿宋" w:eastAsia="仿宋" w:cs="仿宋"/>
          <w:b/>
          <w:color w:val="auto"/>
          <w:highlight w:val="none"/>
        </w:rPr>
        <w:t>备注：</w:t>
      </w:r>
      <w:r>
        <w:rPr>
          <w:rFonts w:hint="eastAsia" w:ascii="仿宋" w:hAnsi="仿宋" w:eastAsia="仿宋" w:cs="仿宋"/>
          <w:color w:val="auto"/>
          <w:highlight w:val="none"/>
        </w:rPr>
        <w:t>投标人编制投标文件（商务技术文件部分）时，建议按此目录（序号和内容）提供评标标准相应的商务技术资料。 </w:t>
      </w: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4"/>
        <w:spacing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一、评标方法</w:t>
      </w:r>
    </w:p>
    <w:p>
      <w:pPr>
        <w:spacing w:after="0" w:line="288"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1.本项目采用综合评分法。</w:t>
      </w:r>
      <w:r>
        <w:rPr>
          <w:rFonts w:hint="eastAsia" w:ascii="仿宋" w:hAnsi="仿宋" w:eastAsia="仿宋" w:cs="仿宋"/>
          <w:color w:val="auto"/>
          <w:highlight w:val="none"/>
        </w:rPr>
        <w:t>综合评分法，是指投标文件满足招标文件全部实质性要求，且按照评审因素的量化指标评审得分最高的投标人为中标候选人的评标方法。</w:t>
      </w:r>
    </w:p>
    <w:p>
      <w:pPr>
        <w:pStyle w:val="4"/>
        <w:spacing w:line="288" w:lineRule="auto"/>
        <w:rPr>
          <w:rFonts w:hint="eastAsia" w:ascii="仿宋" w:hAnsi="仿宋" w:eastAsia="仿宋" w:cs="仿宋"/>
          <w:color w:val="auto"/>
          <w:sz w:val="24"/>
          <w:highlight w:val="none"/>
        </w:rPr>
      </w:pPr>
      <w:r>
        <w:rPr>
          <w:rFonts w:hint="eastAsia" w:ascii="仿宋" w:hAnsi="仿宋" w:eastAsia="仿宋" w:cs="仿宋"/>
          <w:color w:val="auto"/>
          <w:highlight w:val="none"/>
        </w:rPr>
        <w:t>二、评标标准</w:t>
      </w:r>
    </w:p>
    <w:p>
      <w:pPr>
        <w:spacing w:after="0" w:line="288" w:lineRule="auto"/>
        <w:ind w:firstLine="472" w:firstLineChars="196"/>
        <w:rPr>
          <w:rFonts w:hint="eastAsia" w:ascii="仿宋" w:hAnsi="仿宋" w:eastAsia="仿宋" w:cs="仿宋"/>
          <w:b/>
          <w:color w:val="auto"/>
          <w:highlight w:val="none"/>
        </w:rPr>
      </w:pPr>
      <w:r>
        <w:rPr>
          <w:rStyle w:val="36"/>
          <w:rFonts w:hint="eastAsia" w:ascii="仿宋" w:hAnsi="仿宋" w:eastAsia="仿宋" w:cs="仿宋"/>
          <w:color w:val="auto"/>
          <w:highlight w:val="none"/>
        </w:rPr>
        <w:t>2. 评标标准：</w:t>
      </w:r>
      <w:r>
        <w:rPr>
          <w:rFonts w:hint="eastAsia" w:ascii="仿宋" w:hAnsi="仿宋" w:eastAsia="仿宋" w:cs="仿宋"/>
          <w:color w:val="auto"/>
          <w:highlight w:val="none"/>
        </w:rPr>
        <w:t>见评标办法前附表。</w:t>
      </w:r>
    </w:p>
    <w:p>
      <w:pPr>
        <w:pStyle w:val="4"/>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三、评标程序</w:t>
      </w:r>
    </w:p>
    <w:p>
      <w:pPr>
        <w:spacing w:after="0" w:line="288"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3.1符合性审查。</w:t>
      </w:r>
      <w:r>
        <w:rPr>
          <w:rFonts w:hint="eastAsia" w:ascii="仿宋" w:hAnsi="仿宋" w:eastAsia="仿宋" w:cs="仿宋"/>
          <w:color w:val="auto"/>
          <w:highlight w:val="none"/>
        </w:rPr>
        <w:t>评标委员会应当对符合资格的投标人的投标文件进行符合性审查，以确定其是否满足招标文件的实质性要求。不满足招标文件的实质性要求的，投标无效。</w:t>
      </w:r>
    </w:p>
    <w:p>
      <w:pPr>
        <w:spacing w:after="0" w:line="288"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3.2 比较与评价。</w:t>
      </w:r>
      <w:r>
        <w:rPr>
          <w:rFonts w:hint="eastAsia" w:ascii="仿宋" w:hAnsi="仿宋" w:eastAsia="仿宋" w:cs="仿宋"/>
          <w:color w:val="auto"/>
          <w:highlight w:val="none"/>
        </w:rPr>
        <w:t>评标委员会应当按照招标文件中规定的评标方法和标准，对符合性审查合格的投标文件进行商务和技术评估，综合比较与评价。</w:t>
      </w:r>
    </w:p>
    <w:p>
      <w:pPr>
        <w:spacing w:after="0" w:line="288"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3.3汇总商务技术得分。</w:t>
      </w:r>
      <w:r>
        <w:rPr>
          <w:rFonts w:hint="eastAsia" w:ascii="仿宋" w:hAnsi="仿宋" w:eastAsia="仿宋" w:cs="仿宋"/>
          <w:color w:val="auto"/>
          <w:highlight w:val="none"/>
        </w:rPr>
        <w:t>评标委员会各成员应当独立对每个投标人的商务和技术文件进行评价，并汇总商务技术得分情况。</w:t>
      </w:r>
    </w:p>
    <w:p>
      <w:pPr>
        <w:pStyle w:val="5"/>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ab/>
      </w:r>
      <w:r>
        <w:rPr>
          <w:rFonts w:hint="eastAsia" w:ascii="仿宋" w:hAnsi="仿宋" w:eastAsia="仿宋" w:cs="仿宋"/>
          <w:color w:val="auto"/>
          <w:highlight w:val="none"/>
        </w:rPr>
        <w:t>3.4报价评审。</w:t>
      </w:r>
    </w:p>
    <w:p>
      <w:pPr>
        <w:pStyle w:val="6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3.4.1投标文件报价出现前后不一致的，按照下列规定修正：</w:t>
      </w:r>
    </w:p>
    <w:p>
      <w:pPr>
        <w:pStyle w:val="6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3.4.1.1投标文件中开标一览表(报价表)内容与投标文件中相应内容不一致的，以开标一览表(报价表)为准;</w:t>
      </w:r>
    </w:p>
    <w:p>
      <w:pPr>
        <w:pStyle w:val="6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3.4.1.2大写金额和小写金额不一致的，以大写金额为准;</w:t>
      </w:r>
    </w:p>
    <w:p>
      <w:pPr>
        <w:pStyle w:val="6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3.4.1.3单价金额小数点或者百分比有明显错位的，以开标一览表的总价为准，并修改单价;</w:t>
      </w:r>
    </w:p>
    <w:p>
      <w:pPr>
        <w:pStyle w:val="60"/>
        <w:spacing w:after="0" w:line="288" w:lineRule="auto"/>
        <w:ind w:left="480" w:leftChars="20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3.4.1.4总价金额与按单价汇总金额不一致的，以单价金额计算结果为准。3.4.1.5同时出现两种以上不一致的，按照3.4.1规定的顺序修正。修正后的报价按照财政部第87号令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3.4.2投标文件出现不是唯一的、有选择性投标报价的，投标无效。</w:t>
      </w:r>
    </w:p>
    <w:p>
      <w:pPr>
        <w:snapToGrid w:val="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3.4.3投标报价超过招标文件中规定的预算金额或者最高限价的，投标无效。</w:t>
      </w:r>
    </w:p>
    <w:p>
      <w:pPr>
        <w:pStyle w:val="6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60"/>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3.4.5对于未预留份额专门面向中小企业的政府采购货物或服务项目，以及预留份额政府采购货物或服务项目中的非预留部分标项，对小型和微型企业的投标报价给予20%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pPr>
        <w:spacing w:after="0" w:line="288" w:lineRule="auto"/>
        <w:ind w:firstLine="482" w:firstLineChars="200"/>
        <w:rPr>
          <w:rFonts w:hint="eastAsia" w:ascii="仿宋" w:hAnsi="仿宋" w:eastAsia="仿宋" w:cs="仿宋"/>
          <w:color w:val="auto"/>
          <w:highlight w:val="none"/>
        </w:rPr>
      </w:pPr>
      <w:r>
        <w:rPr>
          <w:rStyle w:val="36"/>
          <w:rFonts w:hint="eastAsia" w:ascii="仿宋" w:hAnsi="仿宋" w:eastAsia="仿宋" w:cs="仿宋"/>
          <w:color w:val="auto"/>
          <w:highlight w:val="none"/>
        </w:rPr>
        <w:t>3.5排序与推荐。</w:t>
      </w:r>
      <w:r>
        <w:rPr>
          <w:rFonts w:hint="eastAsia" w:ascii="仿宋" w:hAnsi="仿宋" w:eastAsia="仿宋" w:cs="仿宋"/>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after="0" w:line="288" w:lineRule="auto"/>
        <w:ind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after="0" w:line="288"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3.6编写评标报告。</w:t>
      </w:r>
      <w:r>
        <w:rPr>
          <w:rFonts w:hint="eastAsia" w:ascii="仿宋" w:hAnsi="仿宋" w:eastAsia="仿宋" w:cs="仿宋"/>
          <w:color w:val="auto"/>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pStyle w:val="4"/>
        <w:widowControl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四、评标中的其他事项</w:t>
      </w:r>
    </w:p>
    <w:p>
      <w:pPr>
        <w:pStyle w:val="60"/>
        <w:widowControl w:val="0"/>
        <w:spacing w:after="0" w:line="288" w:lineRule="auto"/>
        <w:ind w:firstLine="482" w:firstLineChars="200"/>
        <w:rPr>
          <w:rFonts w:hint="eastAsia" w:ascii="仿宋" w:hAnsi="仿宋" w:eastAsia="仿宋" w:cs="仿宋"/>
          <w:color w:val="auto"/>
          <w:highlight w:val="none"/>
        </w:rPr>
      </w:pPr>
      <w:r>
        <w:rPr>
          <w:rStyle w:val="36"/>
          <w:rFonts w:hint="eastAsia" w:ascii="仿宋" w:hAnsi="仿宋" w:eastAsia="仿宋" w:cs="仿宋"/>
          <w:color w:val="auto"/>
          <w:highlight w:val="none"/>
        </w:rPr>
        <w:t>4.1投标人澄清、说明或者补正。</w:t>
      </w:r>
      <w:r>
        <w:rPr>
          <w:rFonts w:hint="eastAsia" w:ascii="仿宋" w:hAnsi="仿宋" w:eastAsia="仿宋" w:cs="仿宋"/>
          <w:color w:val="auto"/>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14"/>
        <w:spacing w:line="288" w:lineRule="auto"/>
        <w:ind w:left="1021" w:leftChars="226" w:hanging="479" w:firstLineChars="0"/>
        <w:rPr>
          <w:rFonts w:hint="eastAsia" w:ascii="仿宋" w:hAnsi="仿宋" w:eastAsia="仿宋" w:cs="仿宋"/>
          <w:color w:val="auto"/>
          <w:szCs w:val="21"/>
          <w:highlight w:val="none"/>
        </w:rPr>
      </w:pPr>
      <w:r>
        <w:rPr>
          <w:rStyle w:val="36"/>
          <w:rFonts w:hint="eastAsia" w:ascii="仿宋" w:hAnsi="仿宋" w:eastAsia="仿宋" w:cs="仿宋"/>
          <w:color w:val="auto"/>
          <w:highlight w:val="none"/>
        </w:rPr>
        <w:t>4.2投标无效。</w:t>
      </w:r>
      <w:r>
        <w:rPr>
          <w:rFonts w:hint="eastAsia" w:ascii="仿宋" w:hAnsi="仿宋" w:eastAsia="仿宋" w:cs="仿宋"/>
          <w:color w:val="auto"/>
          <w:szCs w:val="21"/>
          <w:highlight w:val="none"/>
        </w:rPr>
        <w:t>有下列情形之一的，投标无效：</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4.2.1投标人不具备招标文件中规定的资格要求的（投标人未提供有效的资格文件的，视为投标人不具备招标文件中规定的资格要求）；</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4.2.2投标文件未按照招标文件要求签署、盖章的；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投标文件含有采购人不能接受的附加条件的；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w:t>
      </w: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投标文件中承诺的投标有效期少于招标文件中载明的投标有效期的；</w:t>
      </w:r>
    </w:p>
    <w:p>
      <w:pPr>
        <w:snapToGrid w:val="0"/>
        <w:spacing w:after="0" w:line="288" w:lineRule="auto"/>
        <w:ind w:firstLine="120" w:firstLineChars="50"/>
        <w:rPr>
          <w:rFonts w:hint="eastAsia" w:ascii="仿宋" w:hAnsi="仿宋" w:eastAsia="仿宋" w:cs="仿宋"/>
          <w:color w:val="auto"/>
          <w:highlight w:val="none"/>
        </w:rPr>
      </w:pPr>
      <w:r>
        <w:rPr>
          <w:rFonts w:hint="eastAsia" w:ascii="仿宋" w:hAnsi="仿宋" w:eastAsia="仿宋" w:cs="仿宋"/>
          <w:color w:val="auto"/>
          <w:highlight w:val="none"/>
        </w:rPr>
        <w:t xml:space="preserve">   4.2.</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投标文件出现不是唯一的、有选择性投标报价的;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投标报价超过招标文件中规定的预算金额或者最高限价的;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报价明显低于其他通过符合性审查投标人的报价，有可能影响产品质量或者不能诚信履约的，未能按要求提供书面说明或者提交相关证明材料，不能证明其报价合理性的;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投标人对根据修正原则修正后的报价不确认的；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投标人提供虚假材料投标的；</w:t>
      </w:r>
    </w:p>
    <w:p>
      <w:pPr>
        <w:spacing w:after="0" w:line="288" w:lineRule="auto"/>
        <w:ind w:firstLine="240" w:firstLineChars="100"/>
        <w:rPr>
          <w:rFonts w:hint="eastAsia" w:ascii="仿宋" w:hAnsi="仿宋" w:eastAsia="仿宋" w:cs="仿宋"/>
          <w:color w:val="auto"/>
          <w:highlight w:val="none"/>
        </w:rPr>
      </w:pPr>
      <w:r>
        <w:rPr>
          <w:rFonts w:hint="eastAsia" w:ascii="仿宋" w:hAnsi="仿宋" w:eastAsia="仿宋" w:cs="仿宋"/>
          <w:color w:val="auto"/>
          <w:highlight w:val="none"/>
        </w:rPr>
        <w:t xml:space="preserve">  4.2.</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投标人有恶意串通、妨碍其他投标人的竞争行为、损害采购人或者其他投标人的合法权益情形的；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投标人仅提交备份投标文件，未在电子交易平台传输递交投标文件的，投标无效；</w:t>
      </w:r>
    </w:p>
    <w:p>
      <w:pPr>
        <w:spacing w:after="0" w:line="288" w:lineRule="auto"/>
        <w:ind w:firstLine="480" w:firstLineChars="200"/>
        <w:rPr>
          <w:rFonts w:hint="eastAsia" w:ascii="仿宋" w:hAnsi="仿宋" w:eastAsia="仿宋" w:cs="仿宋"/>
          <w:b/>
          <w:bCs/>
          <w:color w:val="auto"/>
          <w:highlight w:val="none"/>
        </w:rPr>
      </w:pPr>
      <w:r>
        <w:rPr>
          <w:rFonts w:hint="eastAsia" w:ascii="仿宋" w:hAnsi="仿宋" w:eastAsia="仿宋" w:cs="仿宋"/>
          <w:color w:val="auto"/>
          <w:highlight w:val="none"/>
        </w:rPr>
        <w:t>4.2.1</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 xml:space="preserve"> 投标文件不满足招标文件的其它实质性要求的；</w:t>
      </w:r>
    </w:p>
    <w:p>
      <w:pPr>
        <w:spacing w:after="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4.2.1</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法律、法规、规章（适用本市的）及省级以上规范性文件（适用本市的）规定的其他无效情形。</w:t>
      </w:r>
    </w:p>
    <w:p>
      <w:pPr>
        <w:pStyle w:val="14"/>
        <w:snapToGrid w:val="0"/>
        <w:spacing w:line="288" w:lineRule="auto"/>
        <w:ind w:firstLine="472" w:firstLineChars="196"/>
        <w:rPr>
          <w:rFonts w:hint="eastAsia" w:ascii="仿宋" w:hAnsi="仿宋" w:eastAsia="仿宋" w:cs="仿宋"/>
          <w:color w:val="auto"/>
          <w:highlight w:val="none"/>
        </w:rPr>
      </w:pPr>
      <w:r>
        <w:rPr>
          <w:rStyle w:val="36"/>
          <w:rFonts w:hint="eastAsia" w:ascii="仿宋" w:hAnsi="仿宋" w:eastAsia="仿宋" w:cs="仿宋"/>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5.1符合专业条件的</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或者对招标文件作实质响应的</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不足3家的；</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5.3投标人的报价均超过了采购预算，采购人不能支付的；</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废标后，采购机构应当将废标理由通知所有投标人。</w:t>
      </w:r>
    </w:p>
    <w:p>
      <w:pPr>
        <w:pStyle w:val="14"/>
        <w:snapToGrid w:val="0"/>
        <w:spacing w:line="288" w:lineRule="auto"/>
        <w:ind w:firstLine="590" w:firstLineChars="245"/>
        <w:rPr>
          <w:rFonts w:hint="eastAsia" w:ascii="仿宋" w:hAnsi="仿宋" w:eastAsia="仿宋" w:cs="仿宋"/>
          <w:color w:val="auto"/>
          <w:highlight w:val="none"/>
        </w:rPr>
      </w:pPr>
      <w:r>
        <w:rPr>
          <w:rStyle w:val="36"/>
          <w:rFonts w:hint="eastAsia" w:ascii="仿宋" w:hAnsi="仿宋" w:eastAsia="仿宋" w:cs="仿宋"/>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14"/>
        <w:snapToGrid w:val="0"/>
        <w:spacing w:line="288" w:lineRule="auto"/>
        <w:ind w:firstLine="590" w:firstLineChars="245"/>
        <w:rPr>
          <w:rFonts w:hint="eastAsia" w:ascii="仿宋" w:hAnsi="仿宋" w:eastAsia="仿宋" w:cs="仿宋"/>
          <w:color w:val="auto"/>
          <w:highlight w:val="none"/>
        </w:rPr>
      </w:pPr>
      <w:r>
        <w:rPr>
          <w:rStyle w:val="36"/>
          <w:rFonts w:hint="eastAsia" w:ascii="仿宋" w:hAnsi="仿宋" w:eastAsia="仿宋" w:cs="仿宋"/>
          <w:color w:val="auto"/>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有政府采购法第七十一条、第七十二条规定的违法行为之一，影响或者可能影响中标、成交结果的，依照下列规定处理：</w:t>
      </w:r>
    </w:p>
    <w:p>
      <w:pPr>
        <w:pStyle w:val="14"/>
        <w:snapToGrid w:val="0"/>
        <w:spacing w:line="288"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7.1未确定中标或者中标人的，终止本次政府采购活动，重新开展政府采购活动。</w:t>
      </w:r>
    </w:p>
    <w:p>
      <w:pPr>
        <w:pStyle w:val="14"/>
        <w:snapToGrid w:val="0"/>
        <w:spacing w:line="288"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14"/>
        <w:snapToGrid w:val="0"/>
        <w:spacing w:line="288" w:lineRule="auto"/>
        <w:ind w:firstLine="600" w:firstLineChars="250"/>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7.3政府采购合同已签订但尚未履行的，撤销合同，从合格的中标或者成交候选人中另行确定中标或者中标人；没有合格的中标或者成交候选人的，重新开展政府采购活动。</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pPr>
        <w:pStyle w:val="14"/>
        <w:snapToGrid w:val="0"/>
        <w:spacing w:line="288" w:lineRule="auto"/>
        <w:rPr>
          <w:rFonts w:hint="eastAsia" w:ascii="仿宋" w:hAnsi="仿宋" w:eastAsia="仿宋" w:cs="仿宋"/>
          <w:color w:val="auto"/>
          <w:highlight w:val="none"/>
        </w:rPr>
      </w:pPr>
      <w:r>
        <w:rPr>
          <w:rFonts w:hint="eastAsia" w:ascii="仿宋" w:hAnsi="仿宋" w:eastAsia="仿宋" w:cs="仿宋"/>
          <w:color w:val="auto"/>
          <w:highlight w:val="none"/>
        </w:rPr>
        <w:t>7.5政府采购当事人有其他违反政府采购法</w:t>
      </w:r>
      <w:r>
        <w:rPr>
          <w:rFonts w:hint="eastAsia" w:ascii="仿宋" w:hAnsi="仿宋" w:eastAsia="仿宋" w:cs="仿宋"/>
          <w:color w:val="auto"/>
          <w:kern w:val="0"/>
          <w:highlight w:val="none"/>
        </w:rPr>
        <w:t>或者政府采购法实施条例等法律法规规定</w:t>
      </w:r>
      <w:r>
        <w:rPr>
          <w:rFonts w:hint="eastAsia" w:ascii="仿宋" w:hAnsi="仿宋" w:eastAsia="仿宋" w:cs="仿宋"/>
          <w:color w:val="auto"/>
          <w:highlight w:val="none"/>
        </w:rPr>
        <w:t>的行为，经改正后仍然影响或者可能影响中标、成交结果或者依法被认定为中标、成交无效的，依照7.1-7.4规定处理。</w:t>
      </w:r>
    </w:p>
    <w:p>
      <w:pPr>
        <w:spacing w:line="276" w:lineRule="auto"/>
        <w:rPr>
          <w:rFonts w:hint="eastAsia" w:ascii="仿宋" w:hAnsi="仿宋" w:eastAsia="仿宋" w:cs="仿宋"/>
          <w:b/>
          <w:smallCaps/>
          <w:color w:val="auto"/>
          <w:spacing w:val="5"/>
          <w:sz w:val="36"/>
          <w:szCs w:val="36"/>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kern w:val="2"/>
          <w:highlight w:val="none"/>
        </w:rPr>
      </w:pPr>
      <w:r>
        <w:rPr>
          <w:rFonts w:hint="eastAsia" w:ascii="仿宋" w:hAnsi="仿宋" w:eastAsia="仿宋" w:cs="仿宋"/>
          <w:color w:val="auto"/>
          <w:highlight w:val="none"/>
        </w:rPr>
        <w:t>第五部分 拟</w:t>
      </w:r>
      <w:r>
        <w:rPr>
          <w:rFonts w:hint="eastAsia" w:ascii="仿宋" w:hAnsi="仿宋" w:eastAsia="仿宋" w:cs="仿宋"/>
          <w:color w:val="auto"/>
          <w:highlight w:val="none"/>
          <w:lang w:val="en-US" w:eastAsia="zh-CN"/>
        </w:rPr>
        <w:t>签订</w:t>
      </w:r>
      <w:r>
        <w:rPr>
          <w:rFonts w:hint="eastAsia" w:ascii="仿宋" w:hAnsi="仿宋" w:eastAsia="仿宋" w:cs="仿宋"/>
          <w:color w:val="auto"/>
          <w:highlight w:val="none"/>
        </w:rPr>
        <w:t>的合同文本</w:t>
      </w:r>
    </w:p>
    <w:p>
      <w:pPr>
        <w:jc w:val="center"/>
        <w:rPr>
          <w:rFonts w:hint="eastAsia" w:ascii="仿宋" w:hAnsi="仿宋" w:eastAsia="仿宋" w:cs="仿宋"/>
          <w:b/>
          <w:color w:val="auto"/>
          <w:sz w:val="48"/>
          <w:szCs w:val="48"/>
          <w:highlight w:val="none"/>
        </w:rPr>
      </w:pPr>
    </w:p>
    <w:p>
      <w:pPr>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杭州市萧山区市政绿化养护保障中心</w:t>
      </w:r>
    </w:p>
    <w:p>
      <w:pPr>
        <w:jc w:val="center"/>
        <w:rPr>
          <w:rFonts w:hint="eastAsia" w:ascii="仿宋" w:hAnsi="仿宋" w:eastAsia="仿宋" w:cs="仿宋"/>
          <w:b/>
          <w:color w:val="auto"/>
          <w:sz w:val="48"/>
          <w:szCs w:val="48"/>
          <w:highlight w:val="none"/>
        </w:rPr>
      </w:pPr>
      <w:r>
        <w:rPr>
          <w:rFonts w:hint="eastAsia" w:ascii="仿宋" w:hAnsi="仿宋" w:eastAsia="仿宋" w:cs="仿宋"/>
          <w:b/>
          <w:color w:val="auto"/>
          <w:sz w:val="48"/>
          <w:szCs w:val="48"/>
          <w:highlight w:val="none"/>
        </w:rPr>
        <w:t>合同能源托管项目</w:t>
      </w:r>
    </w:p>
    <w:p>
      <w:pPr>
        <w:jc w:val="center"/>
        <w:rPr>
          <w:rFonts w:hint="eastAsia" w:ascii="仿宋" w:hAnsi="仿宋" w:eastAsia="仿宋" w:cs="仿宋"/>
          <w:color w:val="auto"/>
          <w:szCs w:val="28"/>
          <w:highlight w:val="none"/>
        </w:rPr>
      </w:pPr>
      <w:r>
        <w:rPr>
          <w:rFonts w:hint="eastAsia" w:ascii="仿宋" w:hAnsi="仿宋" w:eastAsia="仿宋" w:cs="仿宋"/>
          <w:b/>
          <w:color w:val="auto"/>
          <w:sz w:val="48"/>
          <w:szCs w:val="48"/>
          <w:highlight w:val="none"/>
        </w:rPr>
        <w:t>服务合同</w:t>
      </w:r>
    </w:p>
    <w:p>
      <w:pPr>
        <w:rPr>
          <w:rFonts w:hint="eastAsia" w:ascii="仿宋" w:hAnsi="仿宋" w:eastAsia="仿宋" w:cs="仿宋"/>
          <w:color w:val="auto"/>
          <w:szCs w:val="28"/>
          <w:highlight w:val="none"/>
        </w:rPr>
      </w:pPr>
    </w:p>
    <w:p>
      <w:pPr>
        <w:rPr>
          <w:rFonts w:hint="eastAsia" w:ascii="仿宋" w:hAnsi="仿宋" w:eastAsia="仿宋" w:cs="仿宋"/>
          <w:color w:val="auto"/>
          <w:szCs w:val="28"/>
          <w:highlight w:val="none"/>
        </w:rPr>
      </w:pPr>
    </w:p>
    <w:p>
      <w:pPr>
        <w:rPr>
          <w:rFonts w:hint="eastAsia" w:ascii="仿宋" w:hAnsi="仿宋" w:eastAsia="仿宋" w:cs="仿宋"/>
          <w:color w:val="auto"/>
          <w:szCs w:val="28"/>
          <w:highlight w:val="none"/>
        </w:rPr>
      </w:pPr>
    </w:p>
    <w:p>
      <w:pPr>
        <w:pStyle w:val="78"/>
        <w:rPr>
          <w:rFonts w:hint="eastAsia" w:ascii="仿宋" w:hAnsi="仿宋" w:eastAsia="仿宋" w:cs="仿宋"/>
          <w:color w:val="auto"/>
          <w:highlight w:val="none"/>
        </w:rPr>
      </w:pPr>
    </w:p>
    <w:p>
      <w:pPr>
        <w:rPr>
          <w:rFonts w:hint="eastAsia" w:ascii="仿宋" w:hAnsi="仿宋" w:eastAsia="仿宋" w:cs="仿宋"/>
          <w:color w:val="auto"/>
          <w:szCs w:val="28"/>
          <w:highlight w:val="none"/>
        </w:rPr>
      </w:pPr>
    </w:p>
    <w:p>
      <w:pPr>
        <w:rPr>
          <w:rFonts w:hint="eastAsia" w:ascii="仿宋" w:hAnsi="仿宋" w:eastAsia="仿宋" w:cs="仿宋"/>
          <w:color w:val="auto"/>
          <w:szCs w:val="28"/>
          <w:highlight w:val="none"/>
        </w:rPr>
      </w:pPr>
    </w:p>
    <w:p>
      <w:pPr>
        <w:rPr>
          <w:rFonts w:hint="eastAsia" w:ascii="仿宋" w:hAnsi="仿宋" w:eastAsia="仿宋" w:cs="仿宋"/>
          <w:color w:val="auto"/>
          <w:szCs w:val="28"/>
          <w:highlight w:val="none"/>
        </w:rPr>
      </w:pPr>
    </w:p>
    <w:tbl>
      <w:tblPr>
        <w:tblStyle w:val="24"/>
        <w:tblW w:w="0" w:type="auto"/>
        <w:jc w:val="center"/>
        <w:tblLayout w:type="autofit"/>
        <w:tblCellMar>
          <w:top w:w="0" w:type="dxa"/>
          <w:left w:w="108" w:type="dxa"/>
          <w:bottom w:w="0" w:type="dxa"/>
          <w:right w:w="108" w:type="dxa"/>
        </w:tblCellMar>
      </w:tblPr>
      <w:tblGrid>
        <w:gridCol w:w="1980"/>
        <w:gridCol w:w="6642"/>
      </w:tblGrid>
      <w:tr>
        <w:trPr>
          <w:jc w:val="center"/>
        </w:trPr>
        <w:tc>
          <w:tcPr>
            <w:tcW w:w="1984" w:type="dxa"/>
          </w:tcPr>
          <w:p>
            <w:pPr>
              <w:spacing w:line="600" w:lineRule="exact"/>
              <w:rPr>
                <w:rFonts w:hint="eastAsia" w:ascii="仿宋" w:hAnsi="仿宋" w:eastAsia="仿宋" w:cs="仿宋"/>
                <w:b/>
                <w:color w:val="auto"/>
                <w:szCs w:val="28"/>
                <w:highlight w:val="none"/>
              </w:rPr>
            </w:pPr>
            <w:r>
              <w:rPr>
                <w:rFonts w:hint="eastAsia" w:ascii="仿宋" w:hAnsi="仿宋" w:eastAsia="仿宋" w:cs="仿宋"/>
                <w:b/>
                <w:color w:val="auto"/>
                <w:szCs w:val="28"/>
                <w:highlight w:val="none"/>
              </w:rPr>
              <w:t>甲    方：</w:t>
            </w:r>
          </w:p>
        </w:tc>
        <w:tc>
          <w:tcPr>
            <w:tcW w:w="6662" w:type="dxa"/>
            <w:tcBorders>
              <w:bottom w:val="single" w:color="000000" w:sz="4" w:space="0"/>
            </w:tcBorders>
            <w:vAlign w:val="bottom"/>
          </w:tcPr>
          <w:p>
            <w:pPr>
              <w:spacing w:line="600" w:lineRule="exact"/>
              <w:jc w:val="center"/>
              <w:rPr>
                <w:rFonts w:hint="eastAsia" w:ascii="仿宋" w:hAnsi="仿宋" w:eastAsia="仿宋" w:cs="仿宋"/>
                <w:color w:val="auto"/>
                <w:szCs w:val="28"/>
                <w:highlight w:val="none"/>
              </w:rPr>
            </w:pPr>
            <w:r>
              <w:rPr>
                <w:rFonts w:hint="eastAsia" w:ascii="仿宋" w:hAnsi="仿宋" w:eastAsia="仿宋" w:cs="仿宋"/>
                <w:color w:val="auto"/>
                <w:szCs w:val="28"/>
                <w:highlight w:val="none"/>
              </w:rPr>
              <w:t xml:space="preserve">   杭州市萧山区市政绿化养护保障中心</w:t>
            </w:r>
          </w:p>
        </w:tc>
      </w:tr>
      <w:tr>
        <w:trPr>
          <w:jc w:val="center"/>
        </w:trPr>
        <w:tc>
          <w:tcPr>
            <w:tcW w:w="1984" w:type="dxa"/>
          </w:tcPr>
          <w:p>
            <w:pPr>
              <w:spacing w:line="600" w:lineRule="exact"/>
              <w:rPr>
                <w:rFonts w:hint="eastAsia" w:ascii="仿宋" w:hAnsi="仿宋" w:eastAsia="仿宋" w:cs="仿宋"/>
                <w:b/>
                <w:color w:val="auto"/>
                <w:szCs w:val="28"/>
                <w:highlight w:val="none"/>
              </w:rPr>
            </w:pPr>
            <w:r>
              <w:rPr>
                <w:rFonts w:hint="eastAsia" w:ascii="仿宋" w:hAnsi="仿宋" w:eastAsia="仿宋" w:cs="仿宋"/>
                <w:b/>
                <w:color w:val="auto"/>
                <w:szCs w:val="28"/>
                <w:highlight w:val="none"/>
              </w:rPr>
              <w:t>乙    方：</w:t>
            </w:r>
          </w:p>
        </w:tc>
        <w:tc>
          <w:tcPr>
            <w:tcW w:w="6662" w:type="dxa"/>
            <w:tcBorders>
              <w:top w:val="single" w:color="000000" w:sz="4" w:space="0"/>
              <w:bottom w:val="single" w:color="000000" w:sz="4" w:space="0"/>
            </w:tcBorders>
            <w:vAlign w:val="bottom"/>
          </w:tcPr>
          <w:p>
            <w:pPr>
              <w:spacing w:line="600" w:lineRule="exact"/>
              <w:rPr>
                <w:rFonts w:hint="eastAsia" w:ascii="仿宋" w:hAnsi="仿宋" w:eastAsia="仿宋" w:cs="仿宋"/>
                <w:color w:val="auto"/>
                <w:szCs w:val="28"/>
                <w:highlight w:val="none"/>
              </w:rPr>
            </w:pPr>
            <w:r>
              <w:rPr>
                <w:rFonts w:hint="eastAsia" w:ascii="仿宋" w:hAnsi="仿宋" w:eastAsia="仿宋" w:cs="仿宋"/>
                <w:color w:val="auto"/>
                <w:szCs w:val="28"/>
                <w:highlight w:val="none"/>
              </w:rPr>
              <w:t xml:space="preserve">                                  </w:t>
            </w:r>
          </w:p>
        </w:tc>
      </w:tr>
      <w:tr>
        <w:tblPrEx>
          <w:tblCellMar>
            <w:top w:w="0" w:type="dxa"/>
            <w:left w:w="108" w:type="dxa"/>
            <w:bottom w:w="0" w:type="dxa"/>
            <w:right w:w="108" w:type="dxa"/>
          </w:tblCellMar>
        </w:tblPrEx>
        <w:trPr>
          <w:jc w:val="center"/>
        </w:trPr>
        <w:tc>
          <w:tcPr>
            <w:tcW w:w="1984" w:type="dxa"/>
          </w:tcPr>
          <w:p>
            <w:pPr>
              <w:spacing w:line="600" w:lineRule="exact"/>
              <w:rPr>
                <w:rFonts w:hint="eastAsia" w:ascii="仿宋" w:hAnsi="仿宋" w:eastAsia="仿宋" w:cs="仿宋"/>
                <w:b/>
                <w:color w:val="auto"/>
                <w:szCs w:val="28"/>
                <w:highlight w:val="none"/>
              </w:rPr>
            </w:pPr>
            <w:r>
              <w:rPr>
                <w:rFonts w:hint="eastAsia" w:ascii="仿宋" w:hAnsi="仿宋" w:eastAsia="仿宋" w:cs="仿宋"/>
                <w:b/>
                <w:color w:val="auto"/>
                <w:szCs w:val="28"/>
                <w:highlight w:val="none"/>
              </w:rPr>
              <w:t>签订日期：</w:t>
            </w:r>
          </w:p>
        </w:tc>
        <w:tc>
          <w:tcPr>
            <w:tcW w:w="6662" w:type="dxa"/>
            <w:tcBorders>
              <w:top w:val="single" w:color="000000" w:sz="4" w:space="0"/>
              <w:bottom w:val="single" w:color="000000" w:sz="4" w:space="0"/>
            </w:tcBorders>
            <w:vAlign w:val="bottom"/>
          </w:tcPr>
          <w:p>
            <w:pPr>
              <w:spacing w:line="600" w:lineRule="exact"/>
              <w:jc w:val="center"/>
              <w:rPr>
                <w:rFonts w:hint="eastAsia" w:ascii="仿宋" w:hAnsi="仿宋" w:eastAsia="仿宋" w:cs="仿宋"/>
                <w:color w:val="auto"/>
                <w:szCs w:val="28"/>
                <w:highlight w:val="none"/>
              </w:rPr>
            </w:pPr>
            <w:r>
              <w:rPr>
                <w:rFonts w:hint="eastAsia" w:ascii="仿宋" w:hAnsi="仿宋" w:eastAsia="仿宋" w:cs="仿宋"/>
                <w:color w:val="auto"/>
                <w:szCs w:val="28"/>
                <w:highlight w:val="none"/>
              </w:rPr>
              <w:t xml:space="preserve">    年  月  日</w:t>
            </w:r>
          </w:p>
        </w:tc>
      </w:tr>
    </w:tbl>
    <w:p>
      <w:pPr>
        <w:rPr>
          <w:rFonts w:hint="eastAsia" w:ascii="仿宋" w:hAnsi="仿宋" w:eastAsia="仿宋" w:cs="仿宋"/>
          <w:color w:val="auto"/>
          <w:szCs w:val="28"/>
          <w:highlight w:val="none"/>
        </w:rPr>
      </w:pPr>
    </w:p>
    <w:p>
      <w:pPr>
        <w:rPr>
          <w:rFonts w:hint="eastAsia" w:ascii="仿宋" w:hAnsi="仿宋" w:eastAsia="仿宋" w:cs="仿宋"/>
          <w:color w:val="auto"/>
          <w:szCs w:val="28"/>
          <w:highlight w:val="none"/>
        </w:rPr>
      </w:pPr>
    </w:p>
    <w:p>
      <w:pPr>
        <w:rPr>
          <w:rFonts w:hint="eastAsia" w:ascii="仿宋" w:hAnsi="仿宋" w:eastAsia="仿宋" w:cs="仿宋"/>
          <w:color w:val="auto"/>
          <w:szCs w:val="28"/>
          <w:highlight w:val="none"/>
        </w:rPr>
      </w:pPr>
    </w:p>
    <w:p>
      <w:pPr>
        <w:widowControl w:val="0"/>
        <w:autoSpaceDE w:val="0"/>
        <w:autoSpaceDN w:val="0"/>
        <w:jc w:val="both"/>
        <w:rPr>
          <w:rFonts w:hint="eastAsia" w:ascii="仿宋" w:hAnsi="仿宋" w:eastAsia="仿宋" w:cs="仿宋"/>
          <w:b/>
          <w:bCs/>
          <w:color w:val="auto"/>
          <w:sz w:val="32"/>
          <w:szCs w:val="32"/>
          <w:highlight w:val="none"/>
          <w:lang w:val="zh-CN" w:bidi="zh-CN"/>
        </w:rPr>
      </w:pPr>
    </w:p>
    <w:p>
      <w:pPr>
        <w:widowControl w:val="0"/>
        <w:autoSpaceDE w:val="0"/>
        <w:autoSpaceDN w:val="0"/>
        <w:ind w:firstLine="643" w:firstLineChars="200"/>
        <w:jc w:val="center"/>
        <w:rPr>
          <w:rFonts w:hint="eastAsia" w:ascii="仿宋" w:hAnsi="仿宋" w:eastAsia="仿宋" w:cs="仿宋"/>
          <w:b/>
          <w:bCs/>
          <w:color w:val="auto"/>
          <w:sz w:val="32"/>
          <w:szCs w:val="32"/>
          <w:highlight w:val="none"/>
          <w:lang w:val="zh-CN" w:bidi="zh-CN"/>
        </w:rPr>
      </w:pPr>
    </w:p>
    <w:p>
      <w:pPr>
        <w:widowControl w:val="0"/>
        <w:autoSpaceDE w:val="0"/>
        <w:autoSpaceDN w:val="0"/>
        <w:ind w:firstLine="643" w:firstLineChars="200"/>
        <w:jc w:val="center"/>
        <w:rPr>
          <w:rFonts w:hint="eastAsia" w:ascii="仿宋" w:hAnsi="仿宋" w:eastAsia="仿宋" w:cs="仿宋"/>
          <w:b/>
          <w:bCs/>
          <w:color w:val="auto"/>
          <w:sz w:val="32"/>
          <w:szCs w:val="32"/>
          <w:highlight w:val="none"/>
          <w:lang w:val="zh-CN" w:bidi="zh-CN"/>
        </w:rPr>
      </w:pPr>
    </w:p>
    <w:p>
      <w:pPr>
        <w:widowControl w:val="0"/>
        <w:autoSpaceDE w:val="0"/>
        <w:autoSpaceDN w:val="0"/>
        <w:ind w:firstLine="643" w:firstLineChars="200"/>
        <w:jc w:val="center"/>
        <w:rPr>
          <w:rFonts w:hint="eastAsia" w:ascii="仿宋" w:hAnsi="仿宋" w:eastAsia="仿宋" w:cs="仿宋"/>
          <w:b/>
          <w:bCs/>
          <w:color w:val="auto"/>
          <w:sz w:val="32"/>
          <w:szCs w:val="32"/>
          <w:highlight w:val="none"/>
          <w:lang w:val="zh-CN" w:bidi="zh-CN"/>
        </w:rPr>
      </w:pPr>
    </w:p>
    <w:p>
      <w:pPr>
        <w:widowControl w:val="0"/>
        <w:autoSpaceDE w:val="0"/>
        <w:autoSpaceDN w:val="0"/>
        <w:ind w:firstLine="643" w:firstLineChars="200"/>
        <w:jc w:val="center"/>
        <w:rPr>
          <w:rFonts w:hint="eastAsia" w:ascii="仿宋" w:hAnsi="仿宋" w:eastAsia="仿宋" w:cs="仿宋"/>
          <w:color w:val="auto"/>
          <w:highlight w:val="none"/>
          <w:lang w:val="zh-CN"/>
        </w:rPr>
      </w:pPr>
      <w:r>
        <w:rPr>
          <w:rFonts w:hint="eastAsia" w:ascii="仿宋" w:hAnsi="仿宋" w:eastAsia="仿宋" w:cs="仿宋"/>
          <w:b/>
          <w:bCs/>
          <w:color w:val="auto"/>
          <w:sz w:val="32"/>
          <w:szCs w:val="32"/>
          <w:highlight w:val="none"/>
          <w:lang w:val="zh-CN" w:bidi="zh-CN"/>
        </w:rPr>
        <w:t>合同能源</w:t>
      </w:r>
      <w:r>
        <w:rPr>
          <w:rFonts w:hint="eastAsia" w:ascii="仿宋" w:hAnsi="仿宋" w:eastAsia="仿宋" w:cs="仿宋"/>
          <w:b/>
          <w:bCs/>
          <w:color w:val="auto"/>
          <w:sz w:val="32"/>
          <w:szCs w:val="32"/>
          <w:highlight w:val="none"/>
          <w:lang w:bidi="zh-CN"/>
        </w:rPr>
        <w:t>托管</w:t>
      </w:r>
      <w:r>
        <w:rPr>
          <w:rFonts w:hint="eastAsia" w:ascii="仿宋" w:hAnsi="仿宋" w:eastAsia="仿宋" w:cs="仿宋"/>
          <w:b/>
          <w:bCs/>
          <w:color w:val="auto"/>
          <w:sz w:val="32"/>
          <w:szCs w:val="32"/>
          <w:highlight w:val="none"/>
          <w:lang w:val="zh-CN" w:bidi="zh-CN"/>
        </w:rPr>
        <w:t>服务合同</w:t>
      </w:r>
    </w:p>
    <w:p>
      <w:pPr>
        <w:rPr>
          <w:rFonts w:hint="eastAsia" w:ascii="仿宋" w:hAnsi="仿宋" w:eastAsia="仿宋" w:cs="仿宋"/>
          <w:color w:val="auto"/>
          <w:highlight w:val="none"/>
          <w:lang w:val="zh-CN"/>
        </w:rPr>
      </w:pP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4"/>
        <w:gridCol w:w="1644"/>
        <w:gridCol w:w="1623"/>
        <w:gridCol w:w="129"/>
        <w:gridCol w:w="1269"/>
        <w:gridCol w:w="246"/>
        <w:gridCol w:w="16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restart"/>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甲方（建设单位）</w:t>
            </w: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单位名称</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法定代表人</w:t>
            </w:r>
          </w:p>
        </w:tc>
        <w:tc>
          <w:tcPr>
            <w:tcW w:w="1623" w:type="dxa"/>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gridSpan w:val="3"/>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委托代理人</w:t>
            </w:r>
          </w:p>
        </w:tc>
        <w:tc>
          <w:tcPr>
            <w:tcW w:w="1624" w:type="dxa"/>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联系人</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通讯地址</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电话</w:t>
            </w:r>
          </w:p>
        </w:tc>
        <w:tc>
          <w:tcPr>
            <w:tcW w:w="1623" w:type="dxa"/>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gridSpan w:val="3"/>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传真</w:t>
            </w:r>
          </w:p>
        </w:tc>
        <w:tc>
          <w:tcPr>
            <w:tcW w:w="1624" w:type="dxa"/>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电子邮箱</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开户银行</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账号</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restart"/>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乙方（</w:t>
            </w:r>
            <w:r>
              <w:rPr>
                <w:rFonts w:hint="eastAsia" w:ascii="仿宋" w:hAnsi="仿宋" w:eastAsia="仿宋" w:cs="仿宋"/>
                <w:color w:val="auto"/>
                <w:sz w:val="21"/>
                <w:szCs w:val="21"/>
                <w:highlight w:val="none"/>
                <w:lang w:bidi="zh-CN"/>
              </w:rPr>
              <w:t>托管服务</w:t>
            </w:r>
            <w:r>
              <w:rPr>
                <w:rFonts w:hint="eastAsia" w:ascii="仿宋" w:hAnsi="仿宋" w:eastAsia="仿宋" w:cs="仿宋"/>
                <w:color w:val="auto"/>
                <w:sz w:val="21"/>
                <w:szCs w:val="21"/>
                <w:highlight w:val="none"/>
                <w:lang w:val="zh-CN" w:bidi="zh-CN"/>
              </w:rPr>
              <w:t>单位）</w:t>
            </w: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单位名称</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法定代表人</w:t>
            </w:r>
          </w:p>
        </w:tc>
        <w:tc>
          <w:tcPr>
            <w:tcW w:w="1623" w:type="dxa"/>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gridSpan w:val="3"/>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委托代理人</w:t>
            </w:r>
          </w:p>
        </w:tc>
        <w:tc>
          <w:tcPr>
            <w:tcW w:w="1624" w:type="dxa"/>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联系人</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通讯地址</w:t>
            </w:r>
          </w:p>
        </w:tc>
        <w:tc>
          <w:tcPr>
            <w:tcW w:w="4891" w:type="dxa"/>
            <w:gridSpan w:val="5"/>
            <w:vAlign w:val="center"/>
          </w:tcPr>
          <w:p>
            <w:pPr>
              <w:spacing w:line="400" w:lineRule="exact"/>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电话</w:t>
            </w:r>
          </w:p>
        </w:tc>
        <w:tc>
          <w:tcPr>
            <w:tcW w:w="1752" w:type="dxa"/>
            <w:gridSpan w:val="2"/>
            <w:vAlign w:val="center"/>
          </w:tcPr>
          <w:p>
            <w:pPr>
              <w:spacing w:line="400" w:lineRule="exact"/>
              <w:rPr>
                <w:rFonts w:hint="eastAsia" w:ascii="仿宋" w:hAnsi="仿宋" w:eastAsia="仿宋" w:cs="仿宋"/>
                <w:color w:val="auto"/>
                <w:sz w:val="21"/>
                <w:szCs w:val="21"/>
                <w:highlight w:val="none"/>
                <w:lang w:val="zh-CN" w:bidi="zh-CN"/>
              </w:rPr>
            </w:pPr>
          </w:p>
        </w:tc>
        <w:tc>
          <w:tcPr>
            <w:tcW w:w="1269"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传真</w:t>
            </w:r>
          </w:p>
        </w:tc>
        <w:tc>
          <w:tcPr>
            <w:tcW w:w="1870" w:type="dxa"/>
            <w:gridSpan w:val="2"/>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电子邮箱</w:t>
            </w:r>
          </w:p>
        </w:tc>
        <w:tc>
          <w:tcPr>
            <w:tcW w:w="4891" w:type="dxa"/>
            <w:gridSpan w:val="5"/>
            <w:vAlign w:val="center"/>
          </w:tcPr>
          <w:p>
            <w:pPr>
              <w:spacing w:line="400" w:lineRule="exact"/>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开户银行</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2" w:hRule="atLeast"/>
        </w:trPr>
        <w:tc>
          <w:tcPr>
            <w:tcW w:w="1664" w:type="dxa"/>
            <w:vMerge w:val="continue"/>
            <w:vAlign w:val="center"/>
          </w:tcPr>
          <w:p>
            <w:pPr>
              <w:spacing w:line="400" w:lineRule="exact"/>
              <w:jc w:val="center"/>
              <w:rPr>
                <w:rFonts w:hint="eastAsia" w:ascii="仿宋" w:hAnsi="仿宋" w:eastAsia="仿宋" w:cs="仿宋"/>
                <w:color w:val="auto"/>
                <w:sz w:val="21"/>
                <w:szCs w:val="21"/>
                <w:highlight w:val="none"/>
                <w:lang w:val="zh-CN" w:bidi="zh-CN"/>
              </w:rPr>
            </w:pPr>
          </w:p>
        </w:tc>
        <w:tc>
          <w:tcPr>
            <w:tcW w:w="1644" w:type="dxa"/>
            <w:vAlign w:val="center"/>
          </w:tcPr>
          <w:p>
            <w:pPr>
              <w:spacing w:line="400" w:lineRule="exact"/>
              <w:jc w:val="center"/>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账号</w:t>
            </w:r>
          </w:p>
        </w:tc>
        <w:tc>
          <w:tcPr>
            <w:tcW w:w="4891" w:type="dxa"/>
            <w:gridSpan w:val="5"/>
            <w:vAlign w:val="center"/>
          </w:tcPr>
          <w:p>
            <w:pPr>
              <w:spacing w:line="400" w:lineRule="exact"/>
              <w:jc w:val="center"/>
              <w:rPr>
                <w:rFonts w:hint="eastAsia" w:ascii="仿宋" w:hAnsi="仿宋" w:eastAsia="仿宋" w:cs="仿宋"/>
                <w:color w:val="auto"/>
                <w:sz w:val="21"/>
                <w:szCs w:val="21"/>
                <w:highlight w:val="none"/>
                <w:lang w:val="zh-CN" w:bidi="zh-CN"/>
              </w:rPr>
            </w:pPr>
          </w:p>
        </w:tc>
      </w:tr>
    </w:tbl>
    <w:p>
      <w:pPr>
        <w:pStyle w:val="13"/>
        <w:rPr>
          <w:rFonts w:hint="eastAsia" w:ascii="仿宋" w:hAnsi="仿宋" w:eastAsia="仿宋" w:cs="仿宋"/>
          <w:color w:val="auto"/>
          <w:highlight w:val="none"/>
          <w:lang w:val="zh-CN"/>
        </w:rPr>
      </w:pPr>
    </w:p>
    <w:p>
      <w:pPr>
        <w:widowControl w:val="0"/>
        <w:spacing w:after="0" w:line="288" w:lineRule="auto"/>
        <w:ind w:firstLine="420" w:firstLineChars="200"/>
        <w:jc w:val="both"/>
        <w:rPr>
          <w:rFonts w:hint="eastAsia" w:ascii="仿宋" w:hAnsi="仿宋" w:eastAsia="仿宋" w:cs="仿宋"/>
          <w:color w:val="auto"/>
          <w:highlight w:val="none"/>
          <w:lang w:val="zh-CN"/>
        </w:rPr>
      </w:pPr>
      <w:r>
        <w:rPr>
          <w:rFonts w:hint="eastAsia" w:ascii="仿宋" w:hAnsi="仿宋" w:eastAsia="仿宋" w:cs="仿宋"/>
          <w:color w:val="auto"/>
          <w:sz w:val="21"/>
          <w:szCs w:val="21"/>
          <w:highlight w:val="none"/>
          <w:lang w:val="zh-CN" w:bidi="zh-CN"/>
        </w:rPr>
        <w:t>鉴于本合同双方同意按“合同能源</w:t>
      </w:r>
      <w:r>
        <w:rPr>
          <w:rFonts w:hint="eastAsia" w:ascii="仿宋" w:hAnsi="仿宋" w:eastAsia="仿宋" w:cs="仿宋"/>
          <w:color w:val="auto"/>
          <w:sz w:val="21"/>
          <w:szCs w:val="21"/>
          <w:highlight w:val="none"/>
          <w:lang w:bidi="zh-CN"/>
        </w:rPr>
        <w:t>托管</w:t>
      </w:r>
      <w:r>
        <w:rPr>
          <w:rFonts w:hint="eastAsia" w:ascii="仿宋" w:hAnsi="仿宋" w:eastAsia="仿宋" w:cs="仿宋"/>
          <w:color w:val="auto"/>
          <w:sz w:val="21"/>
          <w:szCs w:val="21"/>
          <w:highlight w:val="none"/>
          <w:lang w:val="zh-CN" w:bidi="zh-CN"/>
        </w:rPr>
        <w:t>”模式就</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u w:val="single"/>
          <w:lang w:bidi="zh-CN"/>
        </w:rPr>
        <w:t>杭州市</w:t>
      </w:r>
      <w:r>
        <w:rPr>
          <w:rFonts w:hint="eastAsia" w:ascii="仿宋" w:hAnsi="仿宋" w:eastAsia="仿宋" w:cs="仿宋"/>
          <w:color w:val="auto"/>
          <w:sz w:val="21"/>
          <w:szCs w:val="21"/>
          <w:highlight w:val="none"/>
          <w:u w:val="single"/>
          <w:lang w:val="zh-CN" w:bidi="zh-CN"/>
        </w:rPr>
        <w:t>萧山区</w:t>
      </w:r>
      <w:r>
        <w:rPr>
          <w:rFonts w:hint="eastAsia" w:ascii="仿宋" w:hAnsi="仿宋" w:eastAsia="仿宋" w:cs="仿宋"/>
          <w:color w:val="auto"/>
          <w:sz w:val="21"/>
          <w:szCs w:val="21"/>
          <w:highlight w:val="none"/>
          <w:u w:val="single"/>
          <w:lang w:bidi="zh-CN"/>
        </w:rPr>
        <w:t>市政绿化养护</w:t>
      </w:r>
      <w:r>
        <w:rPr>
          <w:rFonts w:hint="eastAsia" w:ascii="仿宋" w:hAnsi="仿宋" w:eastAsia="仿宋" w:cs="仿宋"/>
          <w:color w:val="auto"/>
          <w:sz w:val="21"/>
          <w:szCs w:val="21"/>
          <w:highlight w:val="none"/>
          <w:u w:val="single"/>
        </w:rPr>
        <w:t>保障</w:t>
      </w:r>
      <w:r>
        <w:rPr>
          <w:rFonts w:hint="eastAsia" w:ascii="仿宋" w:hAnsi="仿宋" w:eastAsia="仿宋" w:cs="仿宋"/>
          <w:color w:val="auto"/>
          <w:sz w:val="21"/>
          <w:szCs w:val="21"/>
          <w:highlight w:val="none"/>
          <w:u w:val="single"/>
          <w:lang w:bidi="zh-CN"/>
        </w:rPr>
        <w:t>中心</w:t>
      </w:r>
      <w:r>
        <w:rPr>
          <w:rFonts w:hint="eastAsia" w:ascii="仿宋" w:hAnsi="仿宋" w:eastAsia="仿宋" w:cs="仿宋"/>
          <w:color w:val="auto"/>
          <w:sz w:val="21"/>
          <w:szCs w:val="21"/>
          <w:highlight w:val="none"/>
          <w:u w:val="single"/>
          <w:lang w:val="zh-CN" w:bidi="zh-CN"/>
        </w:rPr>
        <w:t>合同能源</w:t>
      </w:r>
      <w:r>
        <w:rPr>
          <w:rFonts w:hint="eastAsia" w:ascii="仿宋" w:hAnsi="仿宋" w:eastAsia="仿宋" w:cs="仿宋"/>
          <w:color w:val="auto"/>
          <w:sz w:val="21"/>
          <w:szCs w:val="21"/>
          <w:highlight w:val="none"/>
          <w:u w:val="single"/>
          <w:lang w:bidi="zh-CN"/>
        </w:rPr>
        <w:t>托</w:t>
      </w:r>
      <w:r>
        <w:rPr>
          <w:rFonts w:hint="eastAsia" w:ascii="仿宋" w:hAnsi="仿宋" w:eastAsia="仿宋" w:cs="仿宋"/>
          <w:color w:val="auto"/>
          <w:sz w:val="21"/>
          <w:szCs w:val="21"/>
          <w:highlight w:val="none"/>
          <w:u w:val="single"/>
          <w:lang w:val="zh-CN" w:bidi="zh-CN"/>
        </w:rPr>
        <w:t xml:space="preserve">管项目 </w:t>
      </w:r>
      <w:r>
        <w:rPr>
          <w:rFonts w:hint="eastAsia" w:ascii="仿宋" w:hAnsi="仿宋" w:eastAsia="仿宋" w:cs="仿宋"/>
          <w:color w:val="auto"/>
          <w:sz w:val="21"/>
          <w:szCs w:val="21"/>
          <w:highlight w:val="none"/>
          <w:lang w:val="zh-CN" w:bidi="zh-CN"/>
        </w:rPr>
        <w:t>（以下简称“项目”或“本项目”）进行</w:t>
      </w:r>
      <w:r>
        <w:rPr>
          <w:rFonts w:hint="eastAsia" w:ascii="仿宋" w:hAnsi="仿宋" w:eastAsia="仿宋" w:cs="仿宋"/>
          <w:color w:val="auto"/>
          <w:sz w:val="21"/>
          <w:szCs w:val="21"/>
          <w:highlight w:val="none"/>
          <w:u w:val="none"/>
          <w:lang w:val="zh-CN" w:bidi="zh-CN"/>
        </w:rPr>
        <w:t>EMC能源</w:t>
      </w:r>
      <w:r>
        <w:rPr>
          <w:rFonts w:hint="eastAsia" w:ascii="仿宋" w:hAnsi="仿宋" w:eastAsia="仿宋" w:cs="仿宋"/>
          <w:color w:val="auto"/>
          <w:sz w:val="21"/>
          <w:szCs w:val="21"/>
          <w:highlight w:val="none"/>
          <w:u w:val="none"/>
          <w:lang w:val="en-US" w:bidi="zh-CN"/>
        </w:rPr>
        <w:t>费用</w:t>
      </w:r>
      <w:r>
        <w:rPr>
          <w:rFonts w:hint="eastAsia" w:ascii="仿宋" w:hAnsi="仿宋" w:eastAsia="仿宋" w:cs="仿宋"/>
          <w:color w:val="auto"/>
          <w:sz w:val="21"/>
          <w:szCs w:val="21"/>
          <w:highlight w:val="none"/>
          <w:u w:val="none"/>
          <w:lang w:val="zh-CN" w:bidi="zh-CN"/>
        </w:rPr>
        <w:t>托管</w:t>
      </w:r>
      <w:r>
        <w:rPr>
          <w:rFonts w:hint="eastAsia" w:ascii="仿宋" w:hAnsi="仿宋" w:eastAsia="仿宋" w:cs="仿宋"/>
          <w:color w:val="auto"/>
          <w:sz w:val="21"/>
          <w:szCs w:val="21"/>
          <w:highlight w:val="none"/>
          <w:lang w:val="zh-CN" w:bidi="zh-CN"/>
        </w:rPr>
        <w:t>专项服务，并支付相应的服务费用。双方经过平等协商，在真实、充分地表达各自意愿的基础上，根据《中华人民共和国合同法》及其他相关法律法规的规定，达成如下协议，并由双方共同恪守。</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第一节  术语和定义</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甲乙双方确定：该合同及相关附件中所涉及的有关名词和术语，适用于如下定义：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1.1 合同能源</w:t>
      </w:r>
      <w:r>
        <w:rPr>
          <w:rFonts w:hint="eastAsia" w:ascii="仿宋" w:hAnsi="仿宋" w:eastAsia="仿宋" w:cs="仿宋"/>
          <w:color w:val="auto"/>
          <w:sz w:val="21"/>
          <w:szCs w:val="21"/>
          <w:highlight w:val="none"/>
          <w:lang w:bidi="zh-CN"/>
        </w:rPr>
        <w:t>托管</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"https://baike.baidu.com/item/%E8%8A%82%E8%83%BD%E6%9C%8D%E5%8A%A1%E5%85%AC%E5%8F%B8/4448118" \t "https://baike.baidu.com/item/%E8%83%BD%E6%BA%90%E6%89%98%E7%AE%A1/_blank" </w:instrText>
      </w:r>
      <w:r>
        <w:rPr>
          <w:rFonts w:hint="eastAsia" w:ascii="仿宋" w:hAnsi="仿宋" w:eastAsia="仿宋" w:cs="仿宋"/>
          <w:color w:val="auto"/>
          <w:highlight w:val="none"/>
        </w:rPr>
        <w:fldChar w:fldCharType="separate"/>
      </w:r>
      <w:r>
        <w:rPr>
          <w:rFonts w:hint="eastAsia" w:ascii="仿宋" w:hAnsi="仿宋" w:eastAsia="仿宋" w:cs="仿宋"/>
          <w:color w:val="auto"/>
          <w:sz w:val="21"/>
          <w:szCs w:val="21"/>
          <w:highlight w:val="none"/>
          <w:lang w:val="zh-CN" w:bidi="zh-CN"/>
        </w:rPr>
        <w:t>节能服务公司</w:t>
      </w:r>
      <w:r>
        <w:rPr>
          <w:rFonts w:hint="eastAsia" w:ascii="仿宋" w:hAnsi="仿宋" w:eastAsia="仿宋" w:cs="仿宋"/>
          <w:color w:val="auto"/>
          <w:sz w:val="21"/>
          <w:szCs w:val="21"/>
          <w:highlight w:val="none"/>
          <w:lang w:val="zh-CN" w:bidi="zh-CN"/>
        </w:rPr>
        <w:fldChar w:fldCharType="end"/>
      </w:r>
      <w:r>
        <w:rPr>
          <w:rFonts w:hint="eastAsia" w:ascii="仿宋" w:hAnsi="仿宋" w:eastAsia="仿宋" w:cs="仿宋"/>
          <w:color w:val="auto"/>
          <w:sz w:val="21"/>
          <w:szCs w:val="21"/>
          <w:highlight w:val="none"/>
          <w:lang w:val="zh-CN" w:bidi="zh-CN"/>
        </w:rPr>
        <w:t>针对任何用能企业，对能源的购进、使用以及用能设备效率、用能方式、政府节能考核的全面承包管理，并提供资金进行技术和</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"https://baike.baidu.com/item/%E8%AE%BE%E5%A4%87%E6%9B%B4%E6%96%B0/6508760" \t "https://baike.baidu.com/item/%E8%83%BD%E6%BA%90%E6%89%98%E7%AE%A1/_blank" </w:instrText>
      </w:r>
      <w:r>
        <w:rPr>
          <w:rFonts w:hint="eastAsia" w:ascii="仿宋" w:hAnsi="仿宋" w:eastAsia="仿宋" w:cs="仿宋"/>
          <w:color w:val="auto"/>
          <w:highlight w:val="none"/>
        </w:rPr>
        <w:fldChar w:fldCharType="separate"/>
      </w:r>
      <w:r>
        <w:rPr>
          <w:rFonts w:hint="eastAsia" w:ascii="仿宋" w:hAnsi="仿宋" w:eastAsia="仿宋" w:cs="仿宋"/>
          <w:color w:val="auto"/>
          <w:sz w:val="21"/>
          <w:szCs w:val="21"/>
          <w:highlight w:val="none"/>
          <w:lang w:val="zh-CN" w:bidi="zh-CN"/>
        </w:rPr>
        <w:t>设备更新</w:t>
      </w:r>
      <w:r>
        <w:rPr>
          <w:rFonts w:hint="eastAsia" w:ascii="仿宋" w:hAnsi="仿宋" w:eastAsia="仿宋" w:cs="仿宋"/>
          <w:color w:val="auto"/>
          <w:sz w:val="21"/>
          <w:szCs w:val="21"/>
          <w:highlight w:val="none"/>
          <w:lang w:val="zh-CN" w:bidi="zh-CN"/>
        </w:rPr>
        <w:fldChar w:fldCharType="end"/>
      </w:r>
      <w:r>
        <w:rPr>
          <w:rFonts w:hint="eastAsia" w:ascii="仿宋" w:hAnsi="仿宋" w:eastAsia="仿宋" w:cs="仿宋"/>
          <w:color w:val="auto"/>
          <w:sz w:val="21"/>
          <w:szCs w:val="21"/>
          <w:highlight w:val="none"/>
          <w:lang w:val="zh-CN" w:bidi="zh-CN"/>
        </w:rPr>
        <w:t>，进而达到节能和节约能源费用的目的，完成国家对能耗企业的考核目标；能源托管重在管理，对客户提供能源专家型的价值服务。</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1.2 合同能源</w:t>
      </w:r>
      <w:r>
        <w:rPr>
          <w:rFonts w:hint="eastAsia" w:ascii="仿宋" w:hAnsi="仿宋" w:eastAsia="仿宋" w:cs="仿宋"/>
          <w:color w:val="auto"/>
          <w:sz w:val="21"/>
          <w:szCs w:val="21"/>
          <w:highlight w:val="none"/>
          <w:lang w:bidi="zh-CN"/>
        </w:rPr>
        <w:t>托管</w:t>
      </w:r>
      <w:r>
        <w:rPr>
          <w:rFonts w:hint="eastAsia" w:ascii="仿宋" w:hAnsi="仿宋" w:eastAsia="仿宋" w:cs="仿宋"/>
          <w:color w:val="auto"/>
          <w:sz w:val="21"/>
          <w:szCs w:val="21"/>
          <w:highlight w:val="none"/>
          <w:lang w:val="zh-CN" w:bidi="zh-CN"/>
        </w:rPr>
        <w:t>项目：以合同能源</w:t>
      </w:r>
      <w:r>
        <w:rPr>
          <w:rFonts w:hint="eastAsia" w:ascii="仿宋" w:hAnsi="仿宋" w:eastAsia="仿宋" w:cs="仿宋"/>
          <w:color w:val="auto"/>
          <w:sz w:val="21"/>
          <w:szCs w:val="21"/>
          <w:highlight w:val="none"/>
          <w:lang w:bidi="zh-CN"/>
        </w:rPr>
        <w:t>托管</w:t>
      </w:r>
      <w:r>
        <w:rPr>
          <w:rFonts w:hint="eastAsia" w:ascii="仿宋" w:hAnsi="仿宋" w:eastAsia="仿宋" w:cs="仿宋"/>
          <w:color w:val="auto"/>
          <w:sz w:val="21"/>
          <w:szCs w:val="21"/>
          <w:highlight w:val="none"/>
          <w:lang w:val="zh-CN" w:bidi="zh-CN"/>
        </w:rPr>
        <w:t>机制实施的节能项目。</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1.3 </w:t>
      </w:r>
      <w:r>
        <w:rPr>
          <w:rFonts w:hint="eastAsia" w:ascii="仿宋" w:hAnsi="仿宋" w:eastAsia="仿宋" w:cs="仿宋"/>
          <w:color w:val="auto"/>
          <w:sz w:val="21"/>
          <w:szCs w:val="21"/>
          <w:highlight w:val="none"/>
          <w:lang w:bidi="zh-CN"/>
        </w:rPr>
        <w:t>托管服务</w:t>
      </w:r>
      <w:r>
        <w:rPr>
          <w:rFonts w:hint="eastAsia" w:ascii="仿宋" w:hAnsi="仿宋" w:eastAsia="仿宋" w:cs="仿宋"/>
          <w:color w:val="auto"/>
          <w:sz w:val="21"/>
          <w:szCs w:val="21"/>
          <w:highlight w:val="none"/>
          <w:lang w:val="zh-CN" w:bidi="zh-CN"/>
        </w:rPr>
        <w:t>单位：提供用能状况诊断、</w:t>
      </w:r>
      <w:r>
        <w:rPr>
          <w:rFonts w:hint="eastAsia" w:ascii="仿宋" w:hAnsi="仿宋" w:eastAsia="仿宋" w:cs="仿宋"/>
          <w:color w:val="auto"/>
          <w:sz w:val="21"/>
          <w:szCs w:val="21"/>
          <w:highlight w:val="none"/>
          <w:lang w:bidi="zh-CN"/>
        </w:rPr>
        <w:t>能耗费用支出、</w:t>
      </w:r>
      <w:r>
        <w:rPr>
          <w:rFonts w:hint="eastAsia" w:ascii="仿宋" w:hAnsi="仿宋" w:eastAsia="仿宋" w:cs="仿宋"/>
          <w:color w:val="auto"/>
          <w:sz w:val="21"/>
          <w:szCs w:val="21"/>
          <w:highlight w:val="none"/>
          <w:lang w:val="zh-CN" w:bidi="zh-CN"/>
        </w:rPr>
        <w:t>节能项目设计、改造（施工、设备、安装、调试）、运行管理</w:t>
      </w:r>
      <w:r>
        <w:rPr>
          <w:rFonts w:hint="eastAsia" w:ascii="仿宋" w:hAnsi="仿宋" w:eastAsia="仿宋" w:cs="仿宋"/>
          <w:color w:val="auto"/>
          <w:sz w:val="21"/>
          <w:szCs w:val="21"/>
          <w:highlight w:val="none"/>
          <w:lang w:val="en-US" w:bidi="zh-CN"/>
        </w:rPr>
        <w:t>及维护</w:t>
      </w:r>
      <w:r>
        <w:rPr>
          <w:rFonts w:hint="eastAsia" w:ascii="仿宋" w:hAnsi="仿宋" w:eastAsia="仿宋" w:cs="仿宋"/>
          <w:color w:val="auto"/>
          <w:sz w:val="21"/>
          <w:szCs w:val="21"/>
          <w:highlight w:val="none"/>
          <w:lang w:val="zh-CN" w:bidi="zh-CN"/>
        </w:rPr>
        <w:t>等服务的专业化公司。</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1.4 道路照明节能措施：指按照《中华人民共和国节约能源法》规定，通过提高道路照明系统终端用电效率，采取技术上可行、经济上合理以及环境和社会可以承受的节电措施，并通过道路照明</w:t>
      </w:r>
      <w:r>
        <w:rPr>
          <w:rFonts w:hint="eastAsia" w:ascii="仿宋" w:hAnsi="仿宋" w:eastAsia="仿宋" w:cs="仿宋"/>
          <w:color w:val="auto"/>
          <w:sz w:val="21"/>
          <w:szCs w:val="21"/>
          <w:highlight w:val="none"/>
          <w:lang w:bidi="zh-CN"/>
        </w:rPr>
        <w:t>时间、照度等</w:t>
      </w:r>
      <w:r>
        <w:rPr>
          <w:rFonts w:hint="eastAsia" w:ascii="仿宋" w:hAnsi="仿宋" w:eastAsia="仿宋" w:cs="仿宋"/>
          <w:color w:val="auto"/>
          <w:sz w:val="21"/>
          <w:szCs w:val="21"/>
          <w:highlight w:val="none"/>
          <w:lang w:val="zh-CN" w:bidi="zh-CN"/>
        </w:rPr>
        <w:t>精细化管理</w:t>
      </w:r>
      <w:r>
        <w:rPr>
          <w:rFonts w:hint="eastAsia" w:ascii="仿宋" w:hAnsi="仿宋" w:eastAsia="仿宋" w:cs="仿宋"/>
          <w:color w:val="auto"/>
          <w:sz w:val="21"/>
          <w:szCs w:val="21"/>
          <w:highlight w:val="none"/>
          <w:lang w:bidi="zh-CN"/>
        </w:rPr>
        <w:t>方法</w:t>
      </w:r>
      <w:r>
        <w:rPr>
          <w:rFonts w:hint="eastAsia" w:ascii="仿宋" w:hAnsi="仿宋" w:eastAsia="仿宋" w:cs="仿宋"/>
          <w:color w:val="auto"/>
          <w:sz w:val="21"/>
          <w:szCs w:val="21"/>
          <w:highlight w:val="none"/>
          <w:lang w:val="zh-CN" w:bidi="zh-CN"/>
        </w:rPr>
        <w:t>制止浪费，有效、合理地利用电能，在实现照明需求的同时减少用电量，达到节约能源和保护环境的目的。</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1.5 项目改造目标及内容（</w:t>
      </w:r>
      <w:r>
        <w:rPr>
          <w:rFonts w:hint="eastAsia" w:ascii="仿宋" w:hAnsi="仿宋" w:eastAsia="仿宋" w:cs="仿宋"/>
          <w:color w:val="auto"/>
          <w:sz w:val="21"/>
          <w:szCs w:val="21"/>
          <w:highlight w:val="none"/>
          <w:lang w:bidi="zh-CN"/>
        </w:rPr>
        <w:t>以下内容的数量以实际验收为准</w:t>
      </w:r>
      <w:r>
        <w:rPr>
          <w:rFonts w:hint="eastAsia" w:ascii="仿宋" w:hAnsi="仿宋" w:eastAsia="仿宋" w:cs="仿宋"/>
          <w:color w:val="auto"/>
          <w:sz w:val="21"/>
          <w:szCs w:val="21"/>
          <w:highlight w:val="none"/>
          <w:lang w:val="zh-CN" w:bidi="zh-CN"/>
        </w:rPr>
        <w:t>）：</w:t>
      </w:r>
    </w:p>
    <w:p>
      <w:pPr>
        <w:widowControl w:val="0"/>
        <w:numPr>
          <w:ilvl w:val="-1"/>
          <w:numId w:val="0"/>
        </w:numPr>
        <w:snapToGrid/>
        <w:spacing w:after="0" w:line="288" w:lineRule="auto"/>
        <w:ind w:firstLine="0" w:firstLineChars="0"/>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eastAsia="zh-CN" w:bidi="zh-CN"/>
        </w:rPr>
        <w:t>1.5.1单个单位路灯配电箱加装智能控制终端控制器，约</w:t>
      </w:r>
      <w:r>
        <w:rPr>
          <w:rFonts w:hint="eastAsia" w:cs="仿宋"/>
          <w:color w:val="auto"/>
          <w:sz w:val="21"/>
          <w:szCs w:val="21"/>
          <w:highlight w:val="none"/>
          <w:lang w:val="en-US" w:eastAsia="zh-CN" w:bidi="zh-CN"/>
        </w:rPr>
        <w:t>110</w:t>
      </w:r>
      <w:r>
        <w:rPr>
          <w:rFonts w:hint="eastAsia" w:ascii="仿宋" w:hAnsi="仿宋" w:eastAsia="仿宋" w:cs="仿宋"/>
          <w:color w:val="auto"/>
          <w:sz w:val="21"/>
          <w:szCs w:val="21"/>
          <w:highlight w:val="none"/>
          <w:lang w:val="zh-CN" w:eastAsia="zh-CN" w:bidi="zh-CN"/>
        </w:rPr>
        <w:t>台。</w:t>
      </w:r>
    </w:p>
    <w:p>
      <w:pPr>
        <w:widowControl w:val="0"/>
        <w:numPr>
          <w:ilvl w:val="-1"/>
          <w:numId w:val="0"/>
        </w:numPr>
        <w:snapToGrid/>
        <w:spacing w:after="0" w:line="288" w:lineRule="auto"/>
        <w:ind w:firstLine="0" w:firstLineChars="0"/>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eastAsia="zh-CN" w:bidi="zh-CN"/>
        </w:rPr>
        <w:t>1.5.2</w:t>
      </w:r>
      <w:r>
        <w:rPr>
          <w:rFonts w:hint="eastAsia" w:ascii="仿宋" w:hAnsi="仿宋" w:eastAsia="仿宋" w:cs="仿宋"/>
          <w:color w:val="auto"/>
          <w:sz w:val="21"/>
          <w:szCs w:val="21"/>
          <w:highlight w:val="none"/>
          <w:lang w:val="zh-CN" w:bidi="zh-CN"/>
        </w:rPr>
        <w:t>原有</w:t>
      </w:r>
      <w:r>
        <w:rPr>
          <w:rFonts w:hint="eastAsia" w:ascii="仿宋" w:hAnsi="仿宋" w:eastAsia="仿宋" w:cs="仿宋"/>
          <w:color w:val="auto"/>
          <w:sz w:val="21"/>
          <w:szCs w:val="21"/>
          <w:highlight w:val="none"/>
          <w:lang w:val="zh-CN" w:eastAsia="zh-CN" w:bidi="zh-CN"/>
        </w:rPr>
        <w:t>养护范围内</w:t>
      </w:r>
      <w:r>
        <w:rPr>
          <w:rFonts w:hint="eastAsia" w:ascii="仿宋" w:hAnsi="仿宋" w:eastAsia="仿宋" w:cs="仿宋"/>
          <w:color w:val="auto"/>
          <w:sz w:val="21"/>
          <w:szCs w:val="21"/>
          <w:highlight w:val="none"/>
          <w:lang w:val="zh-CN" w:bidi="zh-CN"/>
        </w:rPr>
        <w:t>路灯</w:t>
      </w:r>
      <w:r>
        <w:rPr>
          <w:rFonts w:hint="eastAsia" w:ascii="仿宋" w:hAnsi="仿宋" w:eastAsia="仿宋" w:cs="仿宋"/>
          <w:color w:val="auto"/>
          <w:sz w:val="21"/>
          <w:szCs w:val="21"/>
          <w:highlight w:val="none"/>
          <w:lang w:val="zh-CN" w:eastAsia="zh-CN" w:bidi="zh-CN"/>
        </w:rPr>
        <w:t>(约4万盏)</w:t>
      </w:r>
      <w:r>
        <w:rPr>
          <w:rFonts w:hint="eastAsia" w:ascii="仿宋" w:hAnsi="仿宋" w:eastAsia="仿宋" w:cs="仿宋"/>
          <w:color w:val="auto"/>
          <w:sz w:val="21"/>
          <w:szCs w:val="21"/>
          <w:highlight w:val="none"/>
          <w:lang w:val="zh-CN" w:bidi="zh-CN"/>
        </w:rPr>
        <w:t>增加单灯控制器；</w:t>
      </w:r>
      <w:r>
        <w:rPr>
          <w:rFonts w:hint="eastAsia" w:ascii="仿宋" w:hAnsi="仿宋" w:eastAsia="仿宋" w:cs="仿宋"/>
          <w:color w:val="auto"/>
          <w:sz w:val="21"/>
          <w:szCs w:val="21"/>
          <w:highlight w:val="none"/>
          <w:lang w:val="zh-CN" w:eastAsia="zh-CN" w:bidi="zh-CN"/>
        </w:rPr>
        <w:t>其中约6000</w:t>
      </w:r>
      <w:r>
        <w:rPr>
          <w:rFonts w:hint="eastAsia" w:ascii="仿宋" w:hAnsi="仿宋" w:eastAsia="仿宋" w:cs="仿宋"/>
          <w:color w:val="auto"/>
          <w:sz w:val="21"/>
          <w:szCs w:val="21"/>
          <w:highlight w:val="none"/>
          <w:lang w:val="zh-CN" w:bidi="zh-CN"/>
        </w:rPr>
        <w:t>盏钠灯</w:t>
      </w:r>
      <w:r>
        <w:rPr>
          <w:rFonts w:hint="eastAsia" w:ascii="仿宋" w:hAnsi="仿宋" w:eastAsia="仿宋" w:cs="仿宋"/>
          <w:color w:val="auto"/>
          <w:sz w:val="21"/>
          <w:szCs w:val="21"/>
          <w:highlight w:val="none"/>
          <w:lang w:val="zh-CN" w:eastAsia="zh-CN" w:bidi="zh-CN"/>
        </w:rPr>
        <w:t>、</w:t>
      </w:r>
      <w:r>
        <w:rPr>
          <w:rFonts w:hint="eastAsia" w:ascii="仿宋" w:hAnsi="仿宋" w:eastAsia="仿宋" w:cs="仿宋"/>
          <w:color w:val="auto"/>
          <w:sz w:val="21"/>
          <w:szCs w:val="21"/>
          <w:highlight w:val="none"/>
          <w:lang w:val="zh-CN" w:bidi="zh-CN"/>
        </w:rPr>
        <w:t>金卤灯</w:t>
      </w:r>
      <w:r>
        <w:rPr>
          <w:rFonts w:hint="eastAsia" w:ascii="仿宋" w:hAnsi="仿宋" w:eastAsia="仿宋" w:cs="仿宋"/>
          <w:color w:val="auto"/>
          <w:sz w:val="21"/>
          <w:szCs w:val="21"/>
          <w:highlight w:val="none"/>
          <w:lang w:val="zh-CN" w:eastAsia="zh-CN" w:bidi="zh-CN"/>
        </w:rPr>
        <w:t>按现行道路照明规范要求进行更换。其他设施可延伸能源节能管理的进行计划节能改造（如部分节能灯、霓虹灯的改造）。上述单灯控制器均需接入相关智慧平台系统，并完成对接。</w:t>
      </w:r>
    </w:p>
    <w:p>
      <w:pPr>
        <w:numPr>
          <w:ilvl w:val="0"/>
          <w:numId w:val="0"/>
        </w:numPr>
        <w:snapToGrid w:val="0"/>
        <w:spacing w:after="0" w:line="288" w:lineRule="auto"/>
        <w:ind w:leftChars="0"/>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eastAsia="zh-CN" w:bidi="zh-CN"/>
        </w:rPr>
        <w:t>1.5.3试点</w:t>
      </w:r>
      <w:r>
        <w:rPr>
          <w:rFonts w:hint="eastAsia" w:ascii="仿宋" w:hAnsi="仿宋" w:eastAsia="仿宋" w:cs="仿宋"/>
          <w:color w:val="auto"/>
          <w:sz w:val="21"/>
          <w:szCs w:val="21"/>
          <w:highlight w:val="none"/>
          <w:lang w:val="zh-CN" w:bidi="zh-CN"/>
        </w:rPr>
        <w:t>在新城隧道出入口加装光伏及储能系统</w:t>
      </w:r>
      <w:r>
        <w:rPr>
          <w:rFonts w:hint="eastAsia" w:ascii="仿宋" w:hAnsi="仿宋" w:eastAsia="仿宋" w:cs="仿宋"/>
          <w:color w:val="auto"/>
          <w:sz w:val="21"/>
          <w:szCs w:val="21"/>
          <w:highlight w:val="none"/>
          <w:lang w:val="zh-CN" w:eastAsia="zh-CN" w:bidi="zh-CN"/>
        </w:rPr>
        <w:t>，并按采购人要求进行相关后期延伸工作</w:t>
      </w:r>
      <w:r>
        <w:rPr>
          <w:rFonts w:hint="eastAsia" w:ascii="仿宋" w:hAnsi="仿宋" w:eastAsia="仿宋" w:cs="仿宋"/>
          <w:color w:val="auto"/>
          <w:sz w:val="21"/>
          <w:szCs w:val="21"/>
          <w:highlight w:val="none"/>
          <w:lang w:val="zh-CN" w:bidi="zh-CN"/>
        </w:rPr>
        <w:t>。</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eastAsia="zh-CN" w:bidi="zh-CN"/>
        </w:rPr>
        <w:t>1.5.</w:t>
      </w:r>
      <w:r>
        <w:rPr>
          <w:rFonts w:hint="eastAsia" w:cs="仿宋"/>
          <w:color w:val="auto"/>
          <w:sz w:val="21"/>
          <w:szCs w:val="21"/>
          <w:highlight w:val="none"/>
          <w:lang w:val="en-US" w:eastAsia="zh-CN" w:bidi="zh-CN"/>
        </w:rPr>
        <w:t>4</w:t>
      </w:r>
      <w:r>
        <w:rPr>
          <w:rFonts w:hint="eastAsia" w:ascii="仿宋" w:hAnsi="仿宋" w:eastAsia="仿宋" w:cs="仿宋"/>
          <w:color w:val="auto"/>
          <w:sz w:val="21"/>
          <w:szCs w:val="21"/>
          <w:highlight w:val="none"/>
          <w:lang w:val="zh-CN" w:eastAsia="zh-CN" w:bidi="zh-CN"/>
        </w:rPr>
        <w:t>区市政绿化中心新增（减）用能设施功率增（减）量部分在财政政策允许范围内列入本合同托管范围内。</w:t>
      </w:r>
      <w:r>
        <w:rPr>
          <w:rFonts w:hint="eastAsia" w:ascii="仿宋" w:hAnsi="仿宋" w:eastAsia="仿宋" w:cs="仿宋"/>
          <w:color w:val="auto"/>
          <w:sz w:val="21"/>
          <w:szCs w:val="21"/>
          <w:highlight w:val="none"/>
          <w:lang w:val="zh-CN" w:bidi="zh-CN"/>
        </w:rPr>
        <w:t xml:space="preserve">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1.6 项目时间边界：在合同中约定，对项目实施合同能源管理服务的时间期限。</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1.7 项目功能性完工：项目节能技术措施实施结束，功能性指标达到设计指标。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8</w:t>
      </w:r>
      <w:r>
        <w:rPr>
          <w:rFonts w:hint="eastAsia" w:ascii="仿宋" w:hAnsi="仿宋" w:eastAsia="仿宋" w:cs="仿宋"/>
          <w:color w:val="auto"/>
          <w:sz w:val="21"/>
          <w:szCs w:val="21"/>
          <w:highlight w:val="none"/>
          <w:lang w:val="zh-CN" w:bidi="zh-CN"/>
        </w:rPr>
        <w:t>该合同中有关照明类的术语适用于国家最新版本照明标准中的术语定义。在合同执行期限内,乙方的技术方案可以根据国家标准的最新版本进行调整,以保持符合性。</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9</w:t>
      </w:r>
      <w:r>
        <w:rPr>
          <w:rFonts w:hint="eastAsia" w:ascii="仿宋" w:hAnsi="仿宋" w:eastAsia="仿宋" w:cs="仿宋"/>
          <w:color w:val="auto"/>
          <w:sz w:val="21"/>
          <w:szCs w:val="21"/>
          <w:highlight w:val="none"/>
          <w:lang w:val="zh-CN" w:bidi="zh-CN"/>
        </w:rPr>
        <w:t>该合同中有关项目设备质量、工艺质量、照明质量的标准适用于国家相关标准。</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10</w:t>
      </w:r>
      <w:r>
        <w:rPr>
          <w:rFonts w:hint="eastAsia" w:ascii="仿宋" w:hAnsi="仿宋" w:eastAsia="仿宋" w:cs="仿宋"/>
          <w:color w:val="auto"/>
          <w:sz w:val="21"/>
          <w:szCs w:val="21"/>
          <w:highlight w:val="none"/>
          <w:lang w:val="zh-CN" w:bidi="zh-CN"/>
        </w:rPr>
        <w:t xml:space="preserve"> 该合同中“年”“月”“工作日”“小时”是指项目相关方收集数据而言的时限，通常是用公历。在整个项目文件中，相应时效概念保持一致。</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1.1</w:t>
      </w:r>
      <w:r>
        <w:rPr>
          <w:rFonts w:hint="eastAsia" w:ascii="仿宋" w:hAnsi="仿宋" w:eastAsia="仿宋" w:cs="仿宋"/>
          <w:color w:val="auto"/>
          <w:sz w:val="21"/>
          <w:szCs w:val="21"/>
          <w:highlight w:val="none"/>
          <w:lang w:bidi="zh-CN"/>
        </w:rPr>
        <w:t>1</w:t>
      </w:r>
      <w:r>
        <w:rPr>
          <w:rFonts w:hint="eastAsia" w:ascii="仿宋" w:hAnsi="仿宋" w:eastAsia="仿宋" w:cs="仿宋"/>
          <w:color w:val="auto"/>
          <w:sz w:val="21"/>
          <w:szCs w:val="21"/>
          <w:highlight w:val="none"/>
          <w:lang w:val="zh-CN" w:bidi="zh-CN"/>
        </w:rPr>
        <w:t xml:space="preserve"> 当期：是指在合同履行中，用于能耗、节能量、电费、节能效益等计量核算的当前时效周期。在整个项目文件中，相应数据的时效周期保持一致。</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1.1</w:t>
      </w:r>
      <w:r>
        <w:rPr>
          <w:rFonts w:hint="eastAsia" w:ascii="仿宋" w:hAnsi="仿宋" w:eastAsia="仿宋" w:cs="仿宋"/>
          <w:color w:val="auto"/>
          <w:sz w:val="21"/>
          <w:szCs w:val="21"/>
          <w:highlight w:val="none"/>
          <w:lang w:bidi="zh-CN"/>
        </w:rPr>
        <w:t>2</w:t>
      </w:r>
      <w:r>
        <w:rPr>
          <w:rFonts w:hint="eastAsia" w:ascii="仿宋" w:hAnsi="仿宋" w:eastAsia="仿宋" w:cs="仿宋"/>
          <w:color w:val="auto"/>
          <w:sz w:val="21"/>
          <w:szCs w:val="21"/>
          <w:highlight w:val="none"/>
          <w:lang w:val="zh-CN" w:bidi="zh-CN"/>
        </w:rPr>
        <w:t xml:space="preserve"> 在该合同中未明文规定计算公式或核算办法按数学及统计学定义的公式或核算办法执行。</w:t>
      </w:r>
    </w:p>
    <w:p>
      <w:pPr>
        <w:widowControl w:val="0"/>
        <w:spacing w:after="0" w:line="288" w:lineRule="auto"/>
        <w:jc w:val="both"/>
        <w:rPr>
          <w:rFonts w:hint="eastAsia" w:ascii="仿宋" w:hAnsi="仿宋" w:eastAsia="仿宋" w:cs="仿宋"/>
          <w:color w:val="auto"/>
          <w:highlight w:val="none"/>
          <w:lang w:val="zh-CN"/>
        </w:rPr>
      </w:pPr>
      <w:r>
        <w:rPr>
          <w:rFonts w:hint="eastAsia" w:ascii="仿宋" w:hAnsi="仿宋" w:eastAsia="仿宋" w:cs="仿宋"/>
          <w:color w:val="auto"/>
          <w:sz w:val="21"/>
          <w:szCs w:val="21"/>
          <w:highlight w:val="none"/>
          <w:lang w:val="zh-CN" w:bidi="zh-CN"/>
        </w:rPr>
        <w:t>1.1</w:t>
      </w:r>
      <w:r>
        <w:rPr>
          <w:rFonts w:hint="eastAsia" w:ascii="仿宋" w:hAnsi="仿宋" w:eastAsia="仿宋" w:cs="仿宋"/>
          <w:color w:val="auto"/>
          <w:sz w:val="21"/>
          <w:szCs w:val="21"/>
          <w:highlight w:val="none"/>
          <w:lang w:bidi="zh-CN"/>
        </w:rPr>
        <w:t>3</w:t>
      </w:r>
      <w:r>
        <w:rPr>
          <w:rFonts w:hint="eastAsia" w:ascii="仿宋" w:hAnsi="仿宋" w:eastAsia="仿宋" w:cs="仿宋"/>
          <w:color w:val="auto"/>
          <w:sz w:val="21"/>
          <w:szCs w:val="21"/>
          <w:highlight w:val="none"/>
          <w:lang w:val="zh-CN" w:bidi="zh-CN"/>
        </w:rPr>
        <w:t xml:space="preserve"> 该合同中的货币币种为人民币，单位为元。</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第二节  项目期限</w:t>
      </w:r>
    </w:p>
    <w:p>
      <w:pPr>
        <w:widowControl w:val="0"/>
        <w:spacing w:after="0" w:line="288" w:lineRule="auto"/>
        <w:jc w:val="both"/>
        <w:rPr>
          <w:rFonts w:hint="eastAsia" w:ascii="仿宋" w:hAnsi="仿宋" w:eastAsia="仿宋" w:cs="仿宋"/>
          <w:color w:val="auto"/>
          <w:sz w:val="21"/>
          <w:szCs w:val="21"/>
          <w:highlight w:val="none"/>
          <w:lang w:bidi="zh-CN"/>
        </w:rPr>
      </w:pPr>
      <w:r>
        <w:rPr>
          <w:rFonts w:hint="eastAsia" w:ascii="仿宋" w:hAnsi="仿宋" w:eastAsia="仿宋" w:cs="仿宋"/>
          <w:color w:val="auto"/>
          <w:sz w:val="21"/>
          <w:szCs w:val="21"/>
          <w:highlight w:val="none"/>
          <w:lang w:val="zh-CN" w:bidi="zh-CN"/>
        </w:rPr>
        <w:t xml:space="preserve">2.1 </w:t>
      </w:r>
      <w:r>
        <w:rPr>
          <w:rFonts w:hint="eastAsia" w:ascii="仿宋" w:hAnsi="仿宋" w:eastAsia="仿宋" w:cs="仿宋"/>
          <w:color w:val="auto"/>
          <w:sz w:val="21"/>
          <w:szCs w:val="21"/>
          <w:highlight w:val="none"/>
          <w:lang w:val="en-US" w:eastAsia="zh-CN"/>
        </w:rPr>
        <w:t>托管</w:t>
      </w:r>
      <w:r>
        <w:rPr>
          <w:rFonts w:hint="eastAsia" w:ascii="仿宋" w:hAnsi="仿宋" w:eastAsia="仿宋" w:cs="仿宋"/>
          <w:color w:val="auto"/>
          <w:sz w:val="21"/>
          <w:szCs w:val="21"/>
          <w:highlight w:val="none"/>
        </w:rPr>
        <w:t>期限为</w:t>
      </w:r>
      <w:r>
        <w:rPr>
          <w:rFonts w:hint="eastAsia" w:ascii="仿宋" w:hAnsi="仿宋" w:eastAsia="仿宋" w:cs="仿宋"/>
          <w:color w:val="auto"/>
          <w:sz w:val="21"/>
          <w:szCs w:val="21"/>
          <w:highlight w:val="none"/>
          <w:lang w:val="en-US" w:eastAsia="zh-CN"/>
        </w:rPr>
        <w:t>十五</w:t>
      </w:r>
      <w:r>
        <w:rPr>
          <w:rFonts w:hint="eastAsia" w:ascii="仿宋" w:hAnsi="仿宋" w:eastAsia="仿宋" w:cs="仿宋"/>
          <w:color w:val="auto"/>
          <w:sz w:val="21"/>
          <w:szCs w:val="21"/>
          <w:highlight w:val="none"/>
        </w:rPr>
        <w:t>年：自</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年</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月</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日</w:t>
      </w:r>
      <w:r>
        <w:rPr>
          <w:rFonts w:hint="eastAsia" w:ascii="仿宋" w:hAnsi="仿宋" w:eastAsia="仿宋" w:cs="仿宋"/>
          <w:color w:val="auto"/>
          <w:sz w:val="21"/>
          <w:szCs w:val="21"/>
          <w:highlight w:val="none"/>
          <w:lang w:bidi="zh-CN"/>
        </w:rPr>
        <w:t>至</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年</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月</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日</w:t>
      </w:r>
      <w:r>
        <w:rPr>
          <w:rFonts w:hint="eastAsia" w:ascii="仿宋" w:hAnsi="仿宋" w:eastAsia="仿宋" w:cs="仿宋"/>
          <w:color w:val="auto"/>
          <w:sz w:val="21"/>
          <w:szCs w:val="21"/>
          <w:highlight w:val="none"/>
          <w:lang w:bidi="zh-CN"/>
        </w:rPr>
        <w:t>止</w:t>
      </w:r>
    </w:p>
    <w:p>
      <w:pPr>
        <w:widowControl w:val="0"/>
        <w:spacing w:after="0" w:line="288" w:lineRule="auto"/>
        <w:jc w:val="both"/>
        <w:rPr>
          <w:rFonts w:hint="eastAsia" w:ascii="仿宋" w:hAnsi="仿宋" w:eastAsia="仿宋" w:cs="仿宋"/>
          <w:color w:val="auto"/>
          <w:highlight w:val="none"/>
        </w:rPr>
      </w:pPr>
      <w:r>
        <w:rPr>
          <w:rFonts w:hint="eastAsia" w:ascii="仿宋" w:hAnsi="仿宋" w:eastAsia="仿宋" w:cs="仿宋"/>
          <w:color w:val="auto"/>
          <w:sz w:val="21"/>
          <w:szCs w:val="21"/>
          <w:highlight w:val="none"/>
          <w:lang w:val="zh-CN" w:bidi="zh-CN"/>
        </w:rPr>
        <w:t>2.2 本项目</w:t>
      </w:r>
      <w:r>
        <w:rPr>
          <w:rFonts w:hint="eastAsia" w:ascii="仿宋" w:hAnsi="仿宋" w:eastAsia="仿宋" w:cs="仿宋"/>
          <w:color w:val="auto"/>
          <w:sz w:val="21"/>
          <w:szCs w:val="21"/>
          <w:highlight w:val="none"/>
          <w:lang w:bidi="zh-CN"/>
        </w:rPr>
        <w:t>建设期为180天，</w:t>
      </w:r>
      <w:r>
        <w:rPr>
          <w:rFonts w:hint="eastAsia" w:ascii="仿宋" w:hAnsi="仿宋" w:eastAsia="仿宋" w:cs="仿宋"/>
          <w:color w:val="auto"/>
          <w:sz w:val="21"/>
          <w:szCs w:val="21"/>
          <w:highlight w:val="none"/>
          <w:lang w:val="zh-CN" w:bidi="zh-CN"/>
        </w:rPr>
        <w:t>于</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u w:val="single"/>
          <w:lang w:bidi="zh-CN"/>
        </w:rPr>
        <w:t xml:space="preserve">  </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年</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月</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lang w:val="zh-CN" w:bidi="zh-CN"/>
        </w:rPr>
        <w:t>日前完成所有设备的安装调试及验收。</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第三节  项目方案设计、实施和项目的验收</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3.1 甲乙双方应当按照项目方案文件的要求以及本合同的规定进行本项目的实施。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3.2 乙方应当依照第2.2条规定的时间依照项目方案的规定开始项目的建设、实施和运行。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3.3甲乙双方应当按照相关规定进行项目验收。</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w:t>
      </w:r>
      <w:r>
        <w:rPr>
          <w:rFonts w:hint="eastAsia" w:ascii="仿宋" w:hAnsi="仿宋" w:eastAsia="仿宋" w:cs="仿宋"/>
          <w:b/>
          <w:bCs/>
          <w:color w:val="auto"/>
          <w:sz w:val="21"/>
          <w:szCs w:val="21"/>
          <w:highlight w:val="none"/>
          <w:lang w:bidi="zh-CN"/>
        </w:rPr>
        <w:t>四</w:t>
      </w:r>
      <w:r>
        <w:rPr>
          <w:rFonts w:hint="eastAsia" w:ascii="仿宋" w:hAnsi="仿宋" w:eastAsia="仿宋" w:cs="仿宋"/>
          <w:b/>
          <w:bCs/>
          <w:color w:val="auto"/>
          <w:sz w:val="21"/>
          <w:szCs w:val="21"/>
          <w:highlight w:val="none"/>
          <w:lang w:val="zh-CN" w:bidi="zh-CN"/>
        </w:rPr>
        <w:t xml:space="preserve">节  </w:t>
      </w:r>
      <w:r>
        <w:rPr>
          <w:rFonts w:hint="eastAsia" w:ascii="仿宋" w:hAnsi="仿宋" w:eastAsia="仿宋" w:cs="仿宋"/>
          <w:b/>
          <w:bCs/>
          <w:color w:val="auto"/>
          <w:sz w:val="21"/>
          <w:szCs w:val="21"/>
          <w:highlight w:val="none"/>
          <w:lang w:bidi="zh-CN"/>
        </w:rPr>
        <w:t>托管范围、托管服务费用</w:t>
      </w:r>
      <w:r>
        <w:rPr>
          <w:rFonts w:hint="eastAsia" w:ascii="仿宋" w:hAnsi="仿宋" w:eastAsia="仿宋" w:cs="仿宋"/>
          <w:b/>
          <w:bCs/>
          <w:color w:val="auto"/>
          <w:sz w:val="21"/>
          <w:szCs w:val="21"/>
          <w:highlight w:val="none"/>
          <w:lang w:val="zh-CN" w:bidi="zh-CN"/>
        </w:rPr>
        <w:t>的付款方式、付款数量、付款时间</w:t>
      </w:r>
    </w:p>
    <w:p>
      <w:pPr>
        <w:widowControl w:val="0"/>
        <w:spacing w:after="0"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rPr>
        <w:t>1 托管范围：</w:t>
      </w:r>
    </w:p>
    <w:p>
      <w:pPr>
        <w:widowControl w:val="0"/>
        <w:spacing w:after="0" w:line="288" w:lineRule="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4.1.1本项目托管范围详见合同附件一；</w:t>
      </w:r>
    </w:p>
    <w:p>
      <w:pPr>
        <w:widowControl w:val="0"/>
        <w:spacing w:after="0"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4.1.2甲方新增用能设施、移交接手的用能设施及用能设施功率增量部分，均列入本合同托管内容；新增加的用能设施、移交接手的用能设施及用能设施功率增量部分，无法提供能源费用缴纳记录的，按理论功率或功率差额计算出年能源费用金额并结合本次中标下浮率计算，作为基数支付给乙方；可以提供能源费用缴纳记录的按移交前所产生能源费用的年平均值（不足一年或超过一年的折算至一年的平均值）并结合本次中标下浮率计算，作为基数支付给乙方，由乙方负责并统一向电力部门缴纳能源费用</w:t>
      </w:r>
      <w:r>
        <w:rPr>
          <w:rFonts w:hint="eastAsia" w:cs="仿宋"/>
          <w:color w:val="auto"/>
          <w:sz w:val="21"/>
          <w:szCs w:val="21"/>
          <w:highlight w:val="none"/>
          <w:lang w:val="en-US" w:eastAsia="zh-CN"/>
        </w:rPr>
        <w:t>。</w:t>
      </w:r>
    </w:p>
    <w:p>
      <w:pPr>
        <w:widowControl w:val="0"/>
        <w:spacing w:after="0" w:line="288" w:lineRule="auto"/>
        <w:rPr>
          <w:rFonts w:hint="eastAsia" w:ascii="仿宋" w:hAnsi="仿宋" w:eastAsia="仿宋" w:cs="仿宋"/>
          <w:color w:val="auto"/>
          <w:sz w:val="21"/>
          <w:szCs w:val="21"/>
          <w:highlight w:val="none"/>
          <w:lang w:bidi="zh-CN"/>
        </w:rPr>
      </w:pPr>
      <w:r>
        <w:rPr>
          <w:rFonts w:hint="eastAsia" w:ascii="仿宋" w:hAnsi="仿宋" w:eastAsia="仿宋" w:cs="仿宋"/>
          <w:color w:val="auto"/>
          <w:sz w:val="21"/>
          <w:szCs w:val="21"/>
          <w:highlight w:val="none"/>
        </w:rPr>
        <w:t>4.2本项目托管费用为</w:t>
      </w:r>
      <w:r>
        <w:rPr>
          <w:rFonts w:hint="eastAsia" w:ascii="仿宋" w:hAnsi="仿宋" w:eastAsia="仿宋" w:cs="仿宋"/>
          <w:b/>
          <w:bCs/>
          <w:color w:val="auto"/>
          <w:sz w:val="21"/>
          <w:szCs w:val="21"/>
          <w:highlight w:val="none"/>
          <w:u w:val="single"/>
        </w:rPr>
        <w:t xml:space="preserve">         </w:t>
      </w:r>
      <w:r>
        <w:rPr>
          <w:rFonts w:hint="eastAsia" w:ascii="仿宋" w:hAnsi="仿宋" w:eastAsia="仿宋" w:cs="仿宋"/>
          <w:b/>
          <w:bCs/>
          <w:color w:val="auto"/>
          <w:sz w:val="21"/>
          <w:szCs w:val="21"/>
          <w:highlight w:val="none"/>
        </w:rPr>
        <w:t>万元/年</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bidi="zh-CN"/>
        </w:rPr>
        <w:t>以</w:t>
      </w:r>
      <w:r>
        <w:rPr>
          <w:rFonts w:hint="eastAsia" w:ascii="仿宋" w:hAnsi="仿宋" w:eastAsia="仿宋" w:cs="仿宋"/>
          <w:color w:val="auto"/>
          <w:sz w:val="21"/>
          <w:szCs w:val="21"/>
          <w:highlight w:val="none"/>
          <w:lang w:bidi="zh-CN"/>
        </w:rPr>
        <w:t>售电</w:t>
      </w:r>
      <w:r>
        <w:rPr>
          <w:rFonts w:hint="eastAsia" w:ascii="仿宋" w:hAnsi="仿宋" w:eastAsia="仿宋" w:cs="仿宋"/>
          <w:color w:val="auto"/>
          <w:sz w:val="21"/>
          <w:szCs w:val="21"/>
          <w:highlight w:val="none"/>
          <w:lang w:val="zh-CN" w:bidi="zh-CN"/>
        </w:rPr>
        <w:t>电价</w:t>
      </w:r>
      <w:r>
        <w:rPr>
          <w:rFonts w:hint="eastAsia" w:ascii="仿宋" w:hAnsi="仿宋" w:eastAsia="仿宋" w:cs="仿宋"/>
          <w:color w:val="auto"/>
          <w:sz w:val="21"/>
          <w:szCs w:val="21"/>
          <w:highlight w:val="none"/>
          <w:u w:val="single"/>
          <w:lang w:val="en-US" w:bidi="zh-CN"/>
        </w:rPr>
        <w:t xml:space="preserve">    </w:t>
      </w:r>
      <w:r>
        <w:rPr>
          <w:rFonts w:hint="eastAsia" w:ascii="仿宋" w:hAnsi="仿宋" w:eastAsia="仿宋" w:cs="仿宋"/>
          <w:color w:val="auto"/>
          <w:sz w:val="21"/>
          <w:szCs w:val="21"/>
          <w:highlight w:val="none"/>
          <w:lang w:val="zh-CN" w:bidi="zh-CN"/>
        </w:rPr>
        <w:t>元</w:t>
      </w:r>
      <w:r>
        <w:rPr>
          <w:rFonts w:hint="eastAsia" w:ascii="仿宋" w:hAnsi="仿宋" w:eastAsia="仿宋" w:cs="仿宋"/>
          <w:color w:val="auto"/>
          <w:sz w:val="21"/>
          <w:szCs w:val="21"/>
          <w:highlight w:val="none"/>
          <w:lang w:bidi="zh-CN"/>
        </w:rPr>
        <w:t>/kWh</w:t>
      </w:r>
      <w:r>
        <w:rPr>
          <w:rFonts w:hint="eastAsia" w:ascii="仿宋" w:hAnsi="仿宋" w:eastAsia="仿宋" w:cs="仿宋"/>
          <w:color w:val="auto"/>
          <w:sz w:val="21"/>
          <w:szCs w:val="21"/>
          <w:highlight w:val="none"/>
          <w:lang w:val="zh-CN" w:bidi="zh-CN"/>
        </w:rPr>
        <w:t>为基准，如果</w:t>
      </w:r>
      <w:r>
        <w:rPr>
          <w:rFonts w:hint="eastAsia" w:ascii="仿宋" w:hAnsi="仿宋" w:eastAsia="仿宋" w:cs="仿宋"/>
          <w:color w:val="auto"/>
          <w:sz w:val="21"/>
          <w:szCs w:val="21"/>
          <w:highlight w:val="none"/>
          <w:lang w:bidi="zh-CN"/>
        </w:rPr>
        <w:t>售电</w:t>
      </w:r>
      <w:r>
        <w:rPr>
          <w:rFonts w:hint="eastAsia" w:ascii="仿宋" w:hAnsi="仿宋" w:eastAsia="仿宋" w:cs="仿宋"/>
          <w:color w:val="auto"/>
          <w:sz w:val="21"/>
          <w:szCs w:val="21"/>
          <w:highlight w:val="none"/>
          <w:lang w:val="zh-CN" w:bidi="zh-CN"/>
        </w:rPr>
        <w:t>电价波动</w:t>
      </w:r>
      <w:r>
        <w:rPr>
          <w:rFonts w:hint="eastAsia" w:ascii="仿宋" w:hAnsi="仿宋" w:eastAsia="仿宋" w:cs="仿宋"/>
          <w:color w:val="auto"/>
          <w:sz w:val="21"/>
          <w:szCs w:val="21"/>
          <w:highlight w:val="none"/>
          <w:lang w:bidi="zh-CN"/>
        </w:rPr>
        <w:t>在±</w:t>
      </w:r>
      <w:r>
        <w:rPr>
          <w:rFonts w:hint="eastAsia" w:cs="仿宋"/>
          <w:color w:val="auto"/>
          <w:sz w:val="21"/>
          <w:szCs w:val="21"/>
          <w:highlight w:val="none"/>
          <w:lang w:bidi="zh-CN"/>
        </w:rPr>
        <w:t>1</w:t>
      </w:r>
      <w:r>
        <w:rPr>
          <w:rFonts w:hint="eastAsia" w:cs="仿宋"/>
          <w:color w:val="auto"/>
          <w:sz w:val="21"/>
          <w:szCs w:val="21"/>
          <w:highlight w:val="none"/>
          <w:lang w:val="en-US" w:bidi="zh-CN"/>
        </w:rPr>
        <w:t>0</w:t>
      </w:r>
      <w:r>
        <w:rPr>
          <w:rFonts w:hint="eastAsia" w:ascii="仿宋" w:hAnsi="仿宋" w:eastAsia="仿宋" w:cs="仿宋"/>
          <w:color w:val="auto"/>
          <w:sz w:val="21"/>
          <w:szCs w:val="21"/>
          <w:highlight w:val="none"/>
          <w:lang w:bidi="zh-CN"/>
        </w:rPr>
        <w:t>%范围以内，仍按原托管</w:t>
      </w:r>
      <w:r>
        <w:rPr>
          <w:rFonts w:hint="eastAsia" w:ascii="仿宋" w:hAnsi="仿宋" w:eastAsia="仿宋" w:cs="仿宋"/>
          <w:color w:val="auto"/>
          <w:sz w:val="21"/>
          <w:szCs w:val="21"/>
          <w:highlight w:val="none"/>
          <w:lang w:val="en-US" w:bidi="zh-CN"/>
        </w:rPr>
        <w:t>费用</w:t>
      </w:r>
      <w:r>
        <w:rPr>
          <w:rFonts w:hint="eastAsia" w:ascii="仿宋" w:hAnsi="仿宋" w:eastAsia="仿宋" w:cs="仿宋"/>
          <w:color w:val="auto"/>
          <w:sz w:val="21"/>
          <w:szCs w:val="21"/>
          <w:highlight w:val="none"/>
          <w:lang w:bidi="zh-CN"/>
        </w:rPr>
        <w:t>执行，如果</w:t>
      </w:r>
      <w:r>
        <w:rPr>
          <w:rFonts w:hint="eastAsia" w:ascii="仿宋" w:hAnsi="仿宋" w:eastAsia="仿宋" w:cs="仿宋"/>
          <w:color w:val="auto"/>
          <w:sz w:val="21"/>
          <w:szCs w:val="21"/>
          <w:highlight w:val="none"/>
          <w:lang w:val="en-US" w:bidi="zh-CN"/>
        </w:rPr>
        <w:t>售电电价</w:t>
      </w:r>
      <w:r>
        <w:rPr>
          <w:rFonts w:hint="eastAsia" w:ascii="仿宋" w:hAnsi="仿宋" w:eastAsia="仿宋" w:cs="仿宋"/>
          <w:color w:val="auto"/>
          <w:sz w:val="21"/>
          <w:szCs w:val="21"/>
          <w:highlight w:val="none"/>
          <w:lang w:bidi="zh-CN"/>
        </w:rPr>
        <w:t>超过</w:t>
      </w:r>
      <w:r>
        <w:rPr>
          <w:rFonts w:hint="eastAsia" w:ascii="仿宋" w:hAnsi="仿宋" w:eastAsia="仿宋" w:cs="仿宋"/>
          <w:color w:val="auto"/>
          <w:sz w:val="21"/>
          <w:szCs w:val="21"/>
          <w:highlight w:val="none"/>
          <w:lang w:val="en-US" w:bidi="zh-CN"/>
        </w:rPr>
        <w:t>基准</w:t>
      </w:r>
      <w:r>
        <w:rPr>
          <w:rFonts w:hint="eastAsia" w:cs="仿宋"/>
          <w:color w:val="auto"/>
          <w:sz w:val="21"/>
          <w:szCs w:val="21"/>
          <w:highlight w:val="none"/>
          <w:lang w:bidi="zh-CN"/>
        </w:rPr>
        <w:t>1</w:t>
      </w:r>
      <w:r>
        <w:rPr>
          <w:rFonts w:hint="eastAsia" w:cs="仿宋"/>
          <w:color w:val="auto"/>
          <w:sz w:val="21"/>
          <w:szCs w:val="21"/>
          <w:highlight w:val="none"/>
          <w:lang w:val="en-US" w:bidi="zh-CN"/>
        </w:rPr>
        <w:t>0</w:t>
      </w:r>
      <w:r>
        <w:rPr>
          <w:rFonts w:hint="eastAsia" w:ascii="仿宋" w:hAnsi="仿宋" w:eastAsia="仿宋" w:cs="仿宋"/>
          <w:color w:val="auto"/>
          <w:sz w:val="21"/>
          <w:szCs w:val="21"/>
          <w:highlight w:val="none"/>
          <w:lang w:bidi="zh-CN"/>
        </w:rPr>
        <w:t>%，</w:t>
      </w:r>
      <w:r>
        <w:rPr>
          <w:rFonts w:hint="eastAsia" w:ascii="仿宋" w:hAnsi="仿宋" w:eastAsia="仿宋" w:cs="仿宋"/>
          <w:color w:val="auto"/>
          <w:sz w:val="21"/>
          <w:szCs w:val="21"/>
          <w:highlight w:val="none"/>
          <w:lang w:val="en-US" w:bidi="zh-CN"/>
        </w:rPr>
        <w:t>甲方</w:t>
      </w:r>
      <w:r>
        <w:rPr>
          <w:rFonts w:hint="eastAsia" w:ascii="仿宋" w:hAnsi="仿宋" w:eastAsia="仿宋" w:cs="仿宋"/>
          <w:color w:val="auto"/>
          <w:sz w:val="21"/>
          <w:szCs w:val="21"/>
          <w:highlight w:val="none"/>
          <w:lang w:bidi="zh-CN"/>
        </w:rPr>
        <w:t>需按</w:t>
      </w:r>
      <w:r>
        <w:rPr>
          <w:rFonts w:hint="eastAsia" w:ascii="仿宋" w:hAnsi="仿宋" w:eastAsia="仿宋" w:cs="仿宋"/>
          <w:color w:val="auto"/>
          <w:sz w:val="21"/>
          <w:szCs w:val="21"/>
          <w:highlight w:val="none"/>
          <w:lang w:val="en-US" w:bidi="zh-CN"/>
        </w:rPr>
        <w:t>比例补足超过部分给乙方（含</w:t>
      </w:r>
      <w:r>
        <w:rPr>
          <w:rFonts w:hint="eastAsia" w:cs="仿宋"/>
          <w:color w:val="auto"/>
          <w:sz w:val="21"/>
          <w:szCs w:val="21"/>
          <w:highlight w:val="none"/>
          <w:lang w:val="en-US" w:bidi="zh-CN"/>
        </w:rPr>
        <w:t>10</w:t>
      </w:r>
      <w:r>
        <w:rPr>
          <w:rFonts w:hint="eastAsia" w:ascii="仿宋" w:hAnsi="仿宋" w:eastAsia="仿宋" w:cs="仿宋"/>
          <w:color w:val="auto"/>
          <w:sz w:val="21"/>
          <w:szCs w:val="21"/>
          <w:highlight w:val="none"/>
          <w:lang w:val="en-US" w:bidi="zh-CN"/>
        </w:rPr>
        <w:t>%），</w:t>
      </w:r>
      <w:r>
        <w:rPr>
          <w:rFonts w:hint="eastAsia" w:ascii="仿宋" w:hAnsi="仿宋" w:eastAsia="仿宋" w:cs="仿宋"/>
          <w:color w:val="auto"/>
          <w:sz w:val="21"/>
          <w:szCs w:val="21"/>
          <w:highlight w:val="none"/>
          <w:lang w:bidi="zh-CN"/>
        </w:rPr>
        <w:t>如果</w:t>
      </w:r>
      <w:r>
        <w:rPr>
          <w:rFonts w:hint="eastAsia" w:ascii="仿宋" w:hAnsi="仿宋" w:eastAsia="仿宋" w:cs="仿宋"/>
          <w:color w:val="auto"/>
          <w:sz w:val="21"/>
          <w:szCs w:val="21"/>
          <w:highlight w:val="none"/>
          <w:lang w:val="en-US" w:bidi="zh-CN"/>
        </w:rPr>
        <w:t>售电电价低于基准</w:t>
      </w:r>
      <w:r>
        <w:rPr>
          <w:rFonts w:hint="eastAsia" w:cs="仿宋"/>
          <w:color w:val="auto"/>
          <w:sz w:val="21"/>
          <w:szCs w:val="21"/>
          <w:highlight w:val="none"/>
          <w:lang w:bidi="zh-CN"/>
        </w:rPr>
        <w:t>1</w:t>
      </w:r>
      <w:r>
        <w:rPr>
          <w:rFonts w:hint="eastAsia" w:cs="仿宋"/>
          <w:color w:val="auto"/>
          <w:sz w:val="21"/>
          <w:szCs w:val="21"/>
          <w:highlight w:val="none"/>
          <w:lang w:val="en-US" w:bidi="zh-CN"/>
        </w:rPr>
        <w:t>0</w:t>
      </w:r>
      <w:r>
        <w:rPr>
          <w:rFonts w:hint="eastAsia" w:ascii="仿宋" w:hAnsi="仿宋" w:eastAsia="仿宋" w:cs="仿宋"/>
          <w:color w:val="auto"/>
          <w:sz w:val="21"/>
          <w:szCs w:val="21"/>
          <w:highlight w:val="none"/>
          <w:lang w:bidi="zh-CN"/>
        </w:rPr>
        <w:t>%，</w:t>
      </w:r>
      <w:r>
        <w:rPr>
          <w:rFonts w:hint="eastAsia" w:ascii="仿宋" w:hAnsi="仿宋" w:eastAsia="仿宋" w:cs="仿宋"/>
          <w:color w:val="auto"/>
          <w:sz w:val="21"/>
          <w:szCs w:val="21"/>
          <w:highlight w:val="none"/>
          <w:lang w:val="en-US" w:bidi="zh-CN"/>
        </w:rPr>
        <w:t>乙方</w:t>
      </w:r>
      <w:r>
        <w:rPr>
          <w:rFonts w:hint="eastAsia" w:ascii="仿宋" w:hAnsi="仿宋" w:eastAsia="仿宋" w:cs="仿宋"/>
          <w:color w:val="auto"/>
          <w:sz w:val="21"/>
          <w:szCs w:val="21"/>
          <w:highlight w:val="none"/>
          <w:lang w:bidi="zh-CN"/>
        </w:rPr>
        <w:t>需按</w:t>
      </w:r>
      <w:r>
        <w:rPr>
          <w:rFonts w:hint="eastAsia" w:ascii="仿宋" w:hAnsi="仿宋" w:eastAsia="仿宋" w:cs="仿宋"/>
          <w:color w:val="auto"/>
          <w:sz w:val="21"/>
          <w:szCs w:val="21"/>
          <w:highlight w:val="none"/>
          <w:lang w:val="en-US" w:bidi="zh-CN"/>
        </w:rPr>
        <w:t>比例退还低于部分给甲方（含</w:t>
      </w:r>
      <w:r>
        <w:rPr>
          <w:rFonts w:hint="eastAsia" w:cs="仿宋"/>
          <w:color w:val="auto"/>
          <w:sz w:val="21"/>
          <w:szCs w:val="21"/>
          <w:highlight w:val="none"/>
          <w:lang w:val="en-US" w:bidi="zh-CN"/>
        </w:rPr>
        <w:t>10</w:t>
      </w:r>
      <w:r>
        <w:rPr>
          <w:rFonts w:hint="eastAsia" w:ascii="仿宋" w:hAnsi="仿宋" w:eastAsia="仿宋" w:cs="仿宋"/>
          <w:color w:val="auto"/>
          <w:sz w:val="21"/>
          <w:szCs w:val="21"/>
          <w:highlight w:val="none"/>
          <w:lang w:val="en-US" w:bidi="zh-CN"/>
        </w:rPr>
        <w:t>%）</w:t>
      </w:r>
      <w:r>
        <w:rPr>
          <w:rFonts w:hint="eastAsia" w:ascii="仿宋" w:hAnsi="仿宋" w:eastAsia="仿宋" w:cs="仿宋"/>
          <w:color w:val="auto"/>
          <w:sz w:val="21"/>
          <w:szCs w:val="21"/>
          <w:highlight w:val="none"/>
          <w:lang w:bidi="zh-CN"/>
        </w:rPr>
        <w:t>。（</w:t>
      </w:r>
      <w:r>
        <w:rPr>
          <w:rFonts w:hint="eastAsia" w:ascii="仿宋" w:hAnsi="仿宋" w:eastAsia="仿宋" w:cs="仿宋"/>
          <w:color w:val="auto"/>
          <w:sz w:val="21"/>
          <w:szCs w:val="21"/>
          <w:highlight w:val="none"/>
          <w:lang w:val="en-US" w:bidi="zh-CN"/>
        </w:rPr>
        <w:t>一年核算一次，在甲方下一年度支付的托管费用中增减</w:t>
      </w:r>
      <w:r>
        <w:rPr>
          <w:rFonts w:hint="eastAsia" w:ascii="仿宋" w:hAnsi="仿宋" w:eastAsia="仿宋" w:cs="仿宋"/>
          <w:color w:val="auto"/>
          <w:sz w:val="21"/>
          <w:szCs w:val="21"/>
          <w:highlight w:val="none"/>
          <w:lang w:bidi="zh-CN"/>
        </w:rPr>
        <w:t>）</w:t>
      </w:r>
    </w:p>
    <w:p>
      <w:pPr>
        <w:widowControl w:val="0"/>
        <w:spacing w:after="0" w:line="288" w:lineRule="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lang w:bidi="zh-CN"/>
        </w:rPr>
        <w:t>4.3</w:t>
      </w:r>
      <w:r>
        <w:rPr>
          <w:rFonts w:hint="eastAsia" w:ascii="仿宋" w:hAnsi="仿宋" w:eastAsia="仿宋" w:cs="仿宋"/>
          <w:color w:val="auto"/>
          <w:sz w:val="21"/>
          <w:szCs w:val="21"/>
          <w:highlight w:val="none"/>
        </w:rPr>
        <w:t>托管</w:t>
      </w:r>
      <w:r>
        <w:rPr>
          <w:rFonts w:hint="eastAsia" w:ascii="仿宋" w:hAnsi="仿宋" w:eastAsia="仿宋" w:cs="仿宋"/>
          <w:color w:val="auto"/>
          <w:sz w:val="21"/>
          <w:szCs w:val="21"/>
          <w:highlight w:val="none"/>
          <w:lang w:val="en-US" w:eastAsia="zh-CN"/>
        </w:rPr>
        <w:t>期限</w:t>
      </w:r>
      <w:r>
        <w:rPr>
          <w:rFonts w:hint="eastAsia" w:ascii="仿宋" w:hAnsi="仿宋" w:eastAsia="仿宋" w:cs="仿宋"/>
          <w:color w:val="auto"/>
          <w:sz w:val="21"/>
          <w:szCs w:val="21"/>
          <w:highlight w:val="none"/>
        </w:rPr>
        <w:t>为</w:t>
      </w:r>
      <w:r>
        <w:rPr>
          <w:rFonts w:hint="eastAsia" w:ascii="仿宋" w:hAnsi="仿宋" w:eastAsia="仿宋" w:cs="仿宋"/>
          <w:b/>
          <w:bCs/>
          <w:color w:val="auto"/>
          <w:sz w:val="21"/>
          <w:szCs w:val="21"/>
          <w:highlight w:val="none"/>
          <w:u w:val="single"/>
        </w:rPr>
        <w:t xml:space="preserve"> </w:t>
      </w:r>
      <w:r>
        <w:rPr>
          <w:rFonts w:hint="eastAsia" w:ascii="仿宋" w:hAnsi="仿宋" w:eastAsia="仿宋" w:cs="仿宋"/>
          <w:b/>
          <w:bCs/>
          <w:color w:val="auto"/>
          <w:sz w:val="21"/>
          <w:szCs w:val="21"/>
          <w:highlight w:val="none"/>
          <w:u w:val="single"/>
          <w:lang w:val="en-US" w:eastAsia="zh-CN"/>
        </w:rPr>
        <w:t>十五年</w:t>
      </w:r>
      <w:r>
        <w:rPr>
          <w:rFonts w:hint="eastAsia" w:ascii="仿宋" w:hAnsi="仿宋" w:eastAsia="仿宋" w:cs="仿宋"/>
          <w:b/>
          <w:bCs/>
          <w:color w:val="auto"/>
          <w:sz w:val="21"/>
          <w:szCs w:val="21"/>
          <w:highlight w:val="none"/>
          <w:u w:val="single"/>
        </w:rPr>
        <w:t xml:space="preserve"> </w:t>
      </w:r>
      <w:r>
        <w:rPr>
          <w:rFonts w:hint="eastAsia" w:ascii="仿宋" w:hAnsi="仿宋" w:eastAsia="仿宋" w:cs="仿宋"/>
          <w:b/>
          <w:bCs/>
          <w:color w:val="auto"/>
          <w:sz w:val="21"/>
          <w:szCs w:val="21"/>
          <w:highlight w:val="none"/>
        </w:rPr>
        <w:t>。</w:t>
      </w:r>
    </w:p>
    <w:p>
      <w:pPr>
        <w:widowControl w:val="0"/>
        <w:spacing w:after="0" w:line="288" w:lineRule="auto"/>
        <w:ind w:left="0" w:firstLine="0" w:firstLineChars="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4.4本项目托管费用</w:t>
      </w:r>
      <w:r>
        <w:rPr>
          <w:rFonts w:hint="eastAsia" w:ascii="仿宋" w:hAnsi="仿宋" w:eastAsia="仿宋" w:cs="仿宋"/>
          <w:color w:val="auto"/>
          <w:sz w:val="21"/>
          <w:szCs w:val="21"/>
          <w:highlight w:val="none"/>
          <w:lang w:val="en-US" w:eastAsia="zh-CN"/>
        </w:rPr>
        <w:t>支付方式</w:t>
      </w:r>
      <w:r>
        <w:rPr>
          <w:rFonts w:hint="eastAsia" w:ascii="仿宋" w:hAnsi="仿宋" w:eastAsia="仿宋" w:cs="仿宋"/>
          <w:color w:val="auto"/>
          <w:sz w:val="21"/>
          <w:szCs w:val="21"/>
          <w:highlight w:val="none"/>
          <w:lang w:eastAsia="zh-CN"/>
        </w:rPr>
        <w:t>：</w:t>
      </w:r>
      <w:r>
        <w:rPr>
          <w:rFonts w:hint="eastAsia" w:ascii="仿宋" w:hAnsi="仿宋" w:eastAsia="仿宋" w:cs="仿宋"/>
          <w:b w:val="0"/>
          <w:smallCaps w:val="0"/>
          <w:color w:val="auto"/>
          <w:sz w:val="21"/>
          <w:szCs w:val="21"/>
          <w:highlight w:val="none"/>
          <w:lang w:val="en-US" w:eastAsia="zh-CN"/>
        </w:rPr>
        <w:t>合同签订后，甲方支付乙方第一年托管费用的40%为预付款，项目验收合格后一个月内支付第一年剩余60%托管费用，第二年开始</w:t>
      </w:r>
      <w:r>
        <w:rPr>
          <w:rFonts w:hint="eastAsia" w:ascii="仿宋" w:hAnsi="仿宋" w:eastAsia="仿宋" w:cs="仿宋"/>
          <w:color w:val="auto"/>
          <w:sz w:val="21"/>
          <w:szCs w:val="21"/>
          <w:highlight w:val="none"/>
        </w:rPr>
        <w:t>支付方式为年度支付，即</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sz w:val="21"/>
          <w:szCs w:val="21"/>
          <w:highlight w:val="none"/>
        </w:rPr>
        <w:t>万元/年，一年支付一次，具体支付时间及金额详见下表：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7"/>
        <w:gridCol w:w="1777"/>
        <w:gridCol w:w="1778"/>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8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年度</w:t>
            </w:r>
          </w:p>
        </w:tc>
        <w:tc>
          <w:tcPr>
            <w:tcW w:w="177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支付时间</w:t>
            </w:r>
          </w:p>
        </w:tc>
        <w:tc>
          <w:tcPr>
            <w:tcW w:w="1778"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支付金额</w:t>
            </w:r>
          </w:p>
        </w:tc>
        <w:tc>
          <w:tcPr>
            <w:tcW w:w="1780"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8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8"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80"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8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8"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80"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87" w:type="dxa"/>
            <w:vAlign w:val="center"/>
          </w:tcPr>
          <w:p>
            <w:pPr>
              <w:pStyle w:val="78"/>
              <w:widowControl w:val="0"/>
              <w:spacing w:after="0" w:line="288" w:lineRule="auto"/>
              <w:jc w:val="center"/>
              <w:rPr>
                <w:rFonts w:hint="eastAsia" w:ascii="仿宋" w:hAnsi="仿宋" w:eastAsia="仿宋" w:cs="仿宋"/>
                <w:color w:val="auto"/>
                <w:sz w:val="21"/>
                <w:szCs w:val="21"/>
                <w:highlight w:val="none"/>
                <w:lang w:eastAsia="zh-CN"/>
              </w:rPr>
            </w:pPr>
          </w:p>
        </w:tc>
        <w:tc>
          <w:tcPr>
            <w:tcW w:w="177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8"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80"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87" w:type="dxa"/>
            <w:vAlign w:val="center"/>
          </w:tcPr>
          <w:p>
            <w:pPr>
              <w:pStyle w:val="78"/>
              <w:widowControl w:val="0"/>
              <w:spacing w:after="0" w:line="288" w:lineRule="auto"/>
              <w:jc w:val="center"/>
              <w:rPr>
                <w:rFonts w:hint="eastAsia" w:ascii="仿宋" w:hAnsi="仿宋" w:eastAsia="仿宋" w:cs="仿宋"/>
                <w:color w:val="auto"/>
                <w:sz w:val="21"/>
                <w:szCs w:val="21"/>
                <w:highlight w:val="none"/>
                <w:lang w:eastAsia="zh-CN"/>
              </w:rPr>
            </w:pPr>
          </w:p>
        </w:tc>
        <w:tc>
          <w:tcPr>
            <w:tcW w:w="177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8"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80"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287" w:type="dxa"/>
            <w:vAlign w:val="center"/>
          </w:tcPr>
          <w:p>
            <w:pPr>
              <w:pStyle w:val="78"/>
              <w:widowControl w:val="0"/>
              <w:spacing w:after="0" w:line="288" w:lineRule="auto"/>
              <w:jc w:val="center"/>
              <w:rPr>
                <w:rFonts w:hint="eastAsia" w:ascii="仿宋" w:hAnsi="仿宋" w:eastAsia="仿宋" w:cs="仿宋"/>
                <w:color w:val="auto"/>
                <w:sz w:val="21"/>
                <w:szCs w:val="21"/>
                <w:highlight w:val="none"/>
                <w:lang w:eastAsia="zh-CN"/>
              </w:rPr>
            </w:pPr>
          </w:p>
        </w:tc>
        <w:tc>
          <w:tcPr>
            <w:tcW w:w="1777"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78"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c>
          <w:tcPr>
            <w:tcW w:w="1780" w:type="dxa"/>
            <w:vAlign w:val="center"/>
          </w:tcPr>
          <w:p>
            <w:pPr>
              <w:pStyle w:val="78"/>
              <w:widowControl w:val="0"/>
              <w:spacing w:after="0" w:line="288" w:lineRule="auto"/>
              <w:jc w:val="center"/>
              <w:rPr>
                <w:rFonts w:hint="eastAsia" w:ascii="仿宋" w:hAnsi="仿宋" w:eastAsia="仿宋" w:cs="仿宋"/>
                <w:color w:val="auto"/>
                <w:sz w:val="21"/>
                <w:szCs w:val="21"/>
                <w:highlight w:val="none"/>
              </w:rPr>
            </w:pPr>
          </w:p>
        </w:tc>
      </w:tr>
    </w:tbl>
    <w:p>
      <w:pPr>
        <w:widowControl w:val="0"/>
        <w:spacing w:after="0" w:line="288"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乙方在申请付款时需提供中标通知书复印件、合同封皮、合同盖章页及与付款相关的内容页复印件各1份。</w:t>
      </w:r>
    </w:p>
    <w:p>
      <w:pPr>
        <w:widowControl w:val="0"/>
        <w:autoSpaceDE w:val="0"/>
        <w:autoSpaceDN w:val="0"/>
        <w:adjustRightInd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rPr>
        <w:t>4.5甲方付款前，乙方应向甲方提供符合要求的税务发票，否则甲方有权延期付款且不承担任何违约责任。</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乙方收款账号为：</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账户名称：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开户行：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账号：                            </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w:t>
      </w:r>
      <w:r>
        <w:rPr>
          <w:rFonts w:hint="eastAsia" w:ascii="仿宋" w:hAnsi="仿宋" w:eastAsia="仿宋" w:cs="仿宋"/>
          <w:b/>
          <w:bCs/>
          <w:color w:val="auto"/>
          <w:sz w:val="21"/>
          <w:szCs w:val="21"/>
          <w:highlight w:val="none"/>
          <w:lang w:bidi="zh-CN"/>
        </w:rPr>
        <w:t>五</w:t>
      </w:r>
      <w:r>
        <w:rPr>
          <w:rFonts w:hint="eastAsia" w:ascii="仿宋" w:hAnsi="仿宋" w:eastAsia="仿宋" w:cs="仿宋"/>
          <w:b/>
          <w:bCs/>
          <w:color w:val="auto"/>
          <w:sz w:val="21"/>
          <w:szCs w:val="21"/>
          <w:highlight w:val="none"/>
          <w:lang w:val="zh-CN" w:bidi="zh-CN"/>
        </w:rPr>
        <w:t>节  甲方的义务</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.1 如根据相关的法律法规，或者是基于任何有权的第三方的要求，本项目的实施必须由甲方向相应的政府机构或者其他第三方申请许可、同意或者批准，甲方应当根据乙方的请求，及时申请该等许可、同意或者是批准，并在本合同期间保持其有效性。甲方也应当根据乙方的合理要求，协助其获得其他为实施本项目所必需的许可、同意或者是批准。</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.2 甲方应当根据乙方的合理要求，及时提供节能项目设计和实施所必须的资料和数据，并确保其真实、准确、完整。</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.3 提供节能项目实施所需要的现场条件和必要的协助，如清理施工现场、合理调整生产、设备试运行等。</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.4 甲方应指派相关操作人员参加培训。</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.5 甲方应提供必要的资料和协助。</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.6 甲方应根据项目方案的相关规定，及时协助乙方完成项目的验收，并提供验收文件。</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.7 合同期间，如设备发生故障、损坏和丢失，甲方应在得知此情况后及时书面通知乙方，配合乙方对设备进行维修和监管。</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.8 甲方应当按照本合同的规定，及时向乙方付款。</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.9 甲方应当将与项目有关的其内部规章制度和特殊安全规定要求及时提前告知乙方，乙方自行准备防护用品。</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5</w:t>
      </w:r>
      <w:r>
        <w:rPr>
          <w:rFonts w:hint="eastAsia" w:ascii="仿宋" w:hAnsi="仿宋" w:eastAsia="仿宋" w:cs="仿宋"/>
          <w:color w:val="auto"/>
          <w:sz w:val="21"/>
          <w:szCs w:val="21"/>
          <w:highlight w:val="none"/>
          <w:lang w:val="zh-CN" w:bidi="zh-CN"/>
        </w:rPr>
        <w:t>.10 甲方应当协助乙方向有关政府机构或者组织申请与项目相关的补助、奖励或其他可适用的优惠政策。</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b w:val="0"/>
          <w:smallCaps w:val="0"/>
          <w:color w:val="auto"/>
          <w:sz w:val="21"/>
          <w:szCs w:val="21"/>
          <w:highlight w:val="none"/>
          <w:lang w:val="zh-CN" w:eastAsia="zh-CN" w:bidi="zh-CN"/>
        </w:rPr>
        <w:t>5.11甲方原有合同能源管理范围内灯具维护合同到期后维护一并纳入本次托管项目，不再另行招标，维护费按乙方中标下浮费率计算支付。</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pacing w:val="0"/>
          <w:sz w:val="21"/>
          <w:szCs w:val="21"/>
          <w:highlight w:val="none"/>
          <w:lang w:val="zh-CN" w:bidi="zh-CN"/>
        </w:rPr>
        <w:t>5.1</w:t>
      </w:r>
      <w:r>
        <w:rPr>
          <w:rFonts w:hint="eastAsia" w:ascii="仿宋" w:hAnsi="仿宋" w:eastAsia="仿宋" w:cs="仿宋"/>
          <w:color w:val="auto"/>
          <w:spacing w:val="0"/>
          <w:sz w:val="21"/>
          <w:szCs w:val="21"/>
          <w:highlight w:val="none"/>
          <w:lang w:val="en-US" w:bidi="zh-CN"/>
        </w:rPr>
        <w:t>2</w:t>
      </w:r>
      <w:r>
        <w:rPr>
          <w:rFonts w:hint="eastAsia" w:ascii="仿宋" w:hAnsi="仿宋" w:eastAsia="仿宋" w:cs="仿宋"/>
          <w:color w:val="auto"/>
          <w:sz w:val="21"/>
          <w:szCs w:val="21"/>
          <w:highlight w:val="none"/>
          <w:lang w:val="zh-CN" w:bidi="zh-CN"/>
        </w:rPr>
        <w:t>其他</w:t>
      </w:r>
      <w:r>
        <w:rPr>
          <w:rFonts w:hint="eastAsia" w:ascii="仿宋" w:hAnsi="仿宋" w:eastAsia="仿宋" w:cs="仿宋"/>
          <w:color w:val="auto"/>
          <w:sz w:val="21"/>
          <w:szCs w:val="21"/>
          <w:highlight w:val="none"/>
          <w:u w:val="single"/>
          <w:lang w:val="zh-CN" w:bidi="zh-CN"/>
        </w:rPr>
        <w:t xml:space="preserve">    -      </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w:t>
      </w:r>
      <w:r>
        <w:rPr>
          <w:rFonts w:hint="eastAsia" w:ascii="仿宋" w:hAnsi="仿宋" w:eastAsia="仿宋" w:cs="仿宋"/>
          <w:b/>
          <w:bCs/>
          <w:color w:val="auto"/>
          <w:sz w:val="21"/>
          <w:szCs w:val="21"/>
          <w:highlight w:val="none"/>
          <w:lang w:bidi="zh-CN"/>
        </w:rPr>
        <w:t>六</w:t>
      </w:r>
      <w:r>
        <w:rPr>
          <w:rFonts w:hint="eastAsia" w:ascii="仿宋" w:hAnsi="仿宋" w:eastAsia="仿宋" w:cs="仿宋"/>
          <w:b/>
          <w:bCs/>
          <w:color w:val="auto"/>
          <w:sz w:val="21"/>
          <w:szCs w:val="21"/>
          <w:highlight w:val="none"/>
          <w:lang w:val="zh-CN" w:bidi="zh-CN"/>
        </w:rPr>
        <w:t>节  乙方的义务</w:t>
      </w:r>
    </w:p>
    <w:p>
      <w:pPr>
        <w:widowControl w:val="0"/>
        <w:spacing w:after="0" w:line="288" w:lineRule="auto"/>
        <w:jc w:val="both"/>
        <w:rPr>
          <w:rFonts w:hint="eastAsia" w:ascii="仿宋" w:hAnsi="仿宋" w:eastAsia="仿宋" w:cs="仿宋"/>
          <w:color w:val="auto"/>
          <w:sz w:val="21"/>
          <w:szCs w:val="21"/>
          <w:highlight w:val="none"/>
          <w:lang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.1 乙方应当按照项目方案文件规定的技术标准和要求以及本合同的规定，自行或者通过经甲方批准的第三方按时完成本项目的方案设计、建设、运营以及维护。</w:t>
      </w:r>
      <w:r>
        <w:rPr>
          <w:rFonts w:hint="eastAsia" w:ascii="仿宋" w:hAnsi="仿宋" w:eastAsia="仿宋" w:cs="仿宋"/>
          <w:color w:val="auto"/>
          <w:sz w:val="21"/>
          <w:szCs w:val="21"/>
          <w:highlight w:val="none"/>
          <w:lang w:bidi="zh-CN"/>
        </w:rPr>
        <w:t>乙方所有安装的智控设备需接入甲方原有系统平台。</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.2 乙方应当确保其工作人员和其聘请的第三方严格遵守甲方有关施工场所安全和卫生等方面的规定，并听从甲方合理的现场调配。</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.3 乙方应当依照相关规定，对甲方指派的管理人员进行适当的培训，以使其能承担相应的工作要求。</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.4 乙方应当根据相应的法律法规的要求，申请除必须由甲方申请之外的有关项目的许可、批准和同意。</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.5 乙方安装和调试相关设备、设施应符合国家、行业有关施工管理法律法规和与项目相对应的技术标准规范要求，以及甲方合理的特有的施工、管理要求。</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.6 在接到甲方或其他途径关于项目运行故障的通知之后，乙方应根据相关规定和要求，及时完成相关维修或设备更换。</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.7 乙方应当确保其工作人员或者其聘请的第三方在项目实施、运行的整个过程中遵守相关法律法规，以及甲方的相关规章制度。</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bidi="zh-CN"/>
        </w:rPr>
        <w:t>8</w:t>
      </w:r>
      <w:r>
        <w:rPr>
          <w:rFonts w:hint="eastAsia" w:ascii="仿宋" w:hAnsi="仿宋" w:eastAsia="仿宋" w:cs="仿宋"/>
          <w:color w:val="auto"/>
          <w:sz w:val="21"/>
          <w:szCs w:val="21"/>
          <w:highlight w:val="none"/>
          <w:lang w:val="zh-CN" w:bidi="zh-CN"/>
        </w:rPr>
        <w:t xml:space="preserve"> 项目合同周期到期前，由乙方项目负责人、甲方会同有关职能部门对所供设备进行一次全面检查，任何缺陷必须由乙方负责修理，在修复之后，乙方应将缺陷原因、修理内容、完成修理及恢复正常的时间和日期等报告给甲方。</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bidi="zh-CN"/>
        </w:rPr>
        <w:t>9</w:t>
      </w:r>
      <w:r>
        <w:rPr>
          <w:rFonts w:hint="eastAsia" w:ascii="仿宋" w:hAnsi="仿宋" w:eastAsia="仿宋" w:cs="仿宋"/>
          <w:color w:val="auto"/>
          <w:sz w:val="21"/>
          <w:szCs w:val="21"/>
          <w:highlight w:val="none"/>
          <w:lang w:val="zh-CN" w:bidi="zh-CN"/>
        </w:rPr>
        <w:t>乙方应对招标范围内的</w:t>
      </w:r>
      <w:r>
        <w:rPr>
          <w:rFonts w:hint="eastAsia" w:ascii="仿宋" w:hAnsi="仿宋" w:eastAsia="仿宋" w:cs="仿宋"/>
          <w:color w:val="auto"/>
          <w:sz w:val="21"/>
          <w:szCs w:val="21"/>
          <w:highlight w:val="none"/>
          <w:lang w:val="en-US" w:bidi="zh-CN"/>
        </w:rPr>
        <w:t>照明设备</w:t>
      </w:r>
      <w:r>
        <w:rPr>
          <w:rFonts w:hint="eastAsia" w:ascii="仿宋" w:hAnsi="仿宋" w:eastAsia="仿宋" w:cs="仿宋"/>
          <w:color w:val="auto"/>
          <w:sz w:val="21"/>
          <w:szCs w:val="21"/>
          <w:highlight w:val="none"/>
          <w:lang w:val="zh-CN" w:bidi="zh-CN"/>
        </w:rPr>
        <w:t>维护工作，在维护期内保证灯具照度按《城市道路照明设计标准》进行管理。</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6</w:t>
      </w: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0</w:t>
      </w:r>
      <w:r>
        <w:rPr>
          <w:rFonts w:hint="eastAsia" w:ascii="仿宋" w:hAnsi="仿宋" w:eastAsia="仿宋" w:cs="仿宋"/>
          <w:color w:val="auto"/>
          <w:sz w:val="21"/>
          <w:szCs w:val="21"/>
          <w:highlight w:val="none"/>
          <w:lang w:val="zh-CN" w:bidi="zh-CN"/>
        </w:rPr>
        <w:t>乙方承担本合同项目的安全生产、文明施工和环境保护职责。在合同履行期间内，乙方应严格按照国家、地方、行政主管部门和甲方规定的管理规章制度及操作规程组织实施作业。合同履行期间出现的因乙方原因造成事故的一切责任和因此发生的费用完全由乙方承担，给甲方造成经济损失的，乙方应给予赔偿。</w:t>
      </w:r>
    </w:p>
    <w:p>
      <w:pPr>
        <w:widowControl w:val="0"/>
        <w:spacing w:after="0" w:line="288" w:lineRule="auto"/>
        <w:jc w:val="both"/>
        <w:rPr>
          <w:rFonts w:hint="eastAsia" w:ascii="仿宋" w:hAnsi="仿宋" w:eastAsia="仿宋" w:cs="仿宋"/>
          <w:color w:val="auto"/>
          <w:sz w:val="21"/>
          <w:szCs w:val="21"/>
          <w:highlight w:val="none"/>
          <w:lang w:bidi="zh-CN"/>
        </w:rPr>
      </w:pPr>
      <w:r>
        <w:rPr>
          <w:rFonts w:hint="eastAsia" w:ascii="仿宋" w:hAnsi="仿宋" w:eastAsia="仿宋" w:cs="仿宋"/>
          <w:color w:val="auto"/>
          <w:sz w:val="21"/>
          <w:szCs w:val="21"/>
          <w:highlight w:val="none"/>
          <w:lang w:bidi="zh-CN"/>
        </w:rPr>
        <w:t>6.1</w:t>
      </w:r>
      <w:r>
        <w:rPr>
          <w:rFonts w:hint="eastAsia" w:ascii="仿宋" w:hAnsi="仿宋" w:eastAsia="仿宋" w:cs="仿宋"/>
          <w:color w:val="auto"/>
          <w:sz w:val="21"/>
          <w:szCs w:val="21"/>
          <w:highlight w:val="none"/>
          <w:lang w:val="en-US" w:bidi="zh-CN"/>
        </w:rPr>
        <w:t>1</w:t>
      </w:r>
      <w:r>
        <w:rPr>
          <w:rFonts w:hint="eastAsia" w:ascii="仿宋" w:hAnsi="仿宋" w:eastAsia="仿宋" w:cs="仿宋"/>
          <w:color w:val="auto"/>
          <w:sz w:val="21"/>
          <w:szCs w:val="21"/>
          <w:highlight w:val="none"/>
          <w:lang w:bidi="zh-CN"/>
        </w:rPr>
        <w:t>合同期间，乙方收到托管费用后，需及时向相关电力部门支付甲方的</w:t>
      </w:r>
      <w:r>
        <w:rPr>
          <w:rFonts w:hint="eastAsia" w:ascii="仿宋" w:hAnsi="仿宋" w:eastAsia="仿宋" w:cs="仿宋"/>
          <w:color w:val="auto"/>
          <w:sz w:val="21"/>
          <w:szCs w:val="21"/>
          <w:highlight w:val="none"/>
          <w:lang w:val="en-US" w:bidi="zh-CN"/>
        </w:rPr>
        <w:t>用能</w:t>
      </w:r>
      <w:r>
        <w:rPr>
          <w:rFonts w:hint="eastAsia" w:ascii="仿宋" w:hAnsi="仿宋" w:eastAsia="仿宋" w:cs="仿宋"/>
          <w:color w:val="auto"/>
          <w:sz w:val="21"/>
          <w:szCs w:val="21"/>
          <w:highlight w:val="none"/>
          <w:lang w:bidi="zh-CN"/>
        </w:rPr>
        <w:t>费用。</w:t>
      </w:r>
    </w:p>
    <w:p>
      <w:pPr>
        <w:widowControl w:val="0"/>
        <w:spacing w:after="0" w:line="288" w:lineRule="auto"/>
        <w:jc w:val="both"/>
        <w:rPr>
          <w:rFonts w:hint="eastAsia" w:ascii="仿宋" w:hAnsi="仿宋" w:eastAsia="仿宋" w:cs="仿宋"/>
          <w:color w:val="auto"/>
          <w:sz w:val="21"/>
          <w:szCs w:val="21"/>
          <w:highlight w:val="none"/>
          <w:lang w:bidi="zh-CN"/>
        </w:rPr>
      </w:pPr>
      <w:r>
        <w:rPr>
          <w:rFonts w:hint="eastAsia" w:ascii="仿宋" w:hAnsi="仿宋" w:eastAsia="仿宋" w:cs="仿宋"/>
          <w:color w:val="auto"/>
          <w:sz w:val="21"/>
          <w:szCs w:val="21"/>
          <w:highlight w:val="none"/>
          <w:lang w:bidi="zh-CN"/>
        </w:rPr>
        <w:t>6.1</w:t>
      </w:r>
      <w:r>
        <w:rPr>
          <w:rFonts w:hint="eastAsia" w:ascii="仿宋" w:hAnsi="仿宋" w:eastAsia="仿宋" w:cs="仿宋"/>
          <w:color w:val="auto"/>
          <w:sz w:val="21"/>
          <w:szCs w:val="21"/>
          <w:highlight w:val="none"/>
          <w:lang w:val="en-US" w:bidi="zh-CN"/>
        </w:rPr>
        <w:t>2</w:t>
      </w:r>
      <w:r>
        <w:rPr>
          <w:rFonts w:hint="eastAsia" w:ascii="仿宋" w:hAnsi="仿宋" w:eastAsia="仿宋" w:cs="仿宋"/>
          <w:color w:val="auto"/>
          <w:sz w:val="21"/>
          <w:szCs w:val="21"/>
          <w:highlight w:val="none"/>
          <w:lang w:bidi="zh-CN"/>
        </w:rPr>
        <w:t>合同期间，</w:t>
      </w:r>
      <w:r>
        <w:rPr>
          <w:rFonts w:hint="eastAsia" w:ascii="仿宋" w:hAnsi="仿宋" w:eastAsia="仿宋" w:cs="仿宋"/>
          <w:color w:val="auto"/>
          <w:sz w:val="21"/>
          <w:szCs w:val="21"/>
          <w:highlight w:val="none"/>
          <w:lang w:val="en-US" w:bidi="zh-CN"/>
        </w:rPr>
        <w:t>托管范围内的所有照明设备维护由乙方负责，甲方支付给乙方维护费</w:t>
      </w:r>
      <w:r>
        <w:rPr>
          <w:rFonts w:hint="eastAsia" w:ascii="仿宋" w:hAnsi="仿宋" w:eastAsia="仿宋" w:cs="仿宋"/>
          <w:color w:val="auto"/>
          <w:sz w:val="21"/>
          <w:szCs w:val="21"/>
          <w:highlight w:val="none"/>
          <w:lang w:bidi="zh-CN"/>
        </w:rPr>
        <w:t>。</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w:t>
      </w:r>
      <w:r>
        <w:rPr>
          <w:rFonts w:hint="eastAsia" w:ascii="仿宋" w:hAnsi="仿宋" w:eastAsia="仿宋" w:cs="仿宋"/>
          <w:b/>
          <w:bCs/>
          <w:color w:val="auto"/>
          <w:sz w:val="21"/>
          <w:szCs w:val="21"/>
          <w:highlight w:val="none"/>
          <w:lang w:bidi="zh-CN"/>
        </w:rPr>
        <w:t>七</w:t>
      </w:r>
      <w:r>
        <w:rPr>
          <w:rFonts w:hint="eastAsia" w:ascii="仿宋" w:hAnsi="仿宋" w:eastAsia="仿宋" w:cs="仿宋"/>
          <w:b/>
          <w:bCs/>
          <w:color w:val="auto"/>
          <w:sz w:val="21"/>
          <w:szCs w:val="21"/>
          <w:highlight w:val="none"/>
          <w:lang w:val="zh-CN" w:bidi="zh-CN"/>
        </w:rPr>
        <w:t>节  项目的更改</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7</w:t>
      </w:r>
      <w:r>
        <w:rPr>
          <w:rFonts w:hint="eastAsia" w:ascii="仿宋" w:hAnsi="仿宋" w:eastAsia="仿宋" w:cs="仿宋"/>
          <w:color w:val="auto"/>
          <w:sz w:val="21"/>
          <w:szCs w:val="21"/>
          <w:highlight w:val="none"/>
          <w:lang w:val="zh-CN" w:bidi="zh-CN"/>
        </w:rPr>
        <w:t>.1 项目开始运行之后，乙方项目负责人应当根据甲方要求参加工作会议，讨论与项目运行和维护有关的事宜。</w:t>
      </w:r>
    </w:p>
    <w:p>
      <w:pPr>
        <w:widowControl w:val="0"/>
        <w:spacing w:after="0" w:line="288" w:lineRule="auto"/>
        <w:jc w:val="both"/>
        <w:rPr>
          <w:rFonts w:hint="eastAsia" w:ascii="仿宋" w:hAnsi="仿宋" w:eastAsia="仿宋" w:cs="仿宋"/>
          <w:color w:val="auto"/>
          <w:sz w:val="21"/>
          <w:szCs w:val="21"/>
          <w:highlight w:val="none"/>
          <w:lang w:val="en-US" w:bidi="zh-CN"/>
        </w:rPr>
      </w:pPr>
      <w:r>
        <w:rPr>
          <w:rFonts w:hint="eastAsia" w:ascii="仿宋" w:hAnsi="仿宋" w:eastAsia="仿宋" w:cs="仿宋"/>
          <w:color w:val="auto"/>
          <w:sz w:val="21"/>
          <w:szCs w:val="21"/>
          <w:highlight w:val="none"/>
          <w:lang w:bidi="zh-CN"/>
        </w:rPr>
        <w:t>7</w:t>
      </w:r>
      <w:r>
        <w:rPr>
          <w:rFonts w:hint="eastAsia" w:ascii="仿宋" w:hAnsi="仿宋" w:eastAsia="仿宋" w:cs="仿宋"/>
          <w:color w:val="auto"/>
          <w:sz w:val="21"/>
          <w:szCs w:val="21"/>
          <w:highlight w:val="none"/>
          <w:lang w:val="zh-CN" w:bidi="zh-CN"/>
        </w:rPr>
        <w:t>.2 在本项目运行期间，征得甲方同意后，乙方有权为优化项目方案、提高节能效益对项目进行改造，包括但不限于对相关设备或设施进行添加、替换、去除、改造，或者是对相关操作、维护程序和方法进行修改。乙方应当预先将项目改造方案提交甲方审核，审核通过后才可进行改造，所有的改造费用由乙方承担。</w:t>
      </w:r>
      <w:r>
        <w:rPr>
          <w:rFonts w:hint="eastAsia" w:ascii="仿宋" w:hAnsi="仿宋" w:eastAsia="仿宋" w:cs="仿宋"/>
          <w:color w:val="auto"/>
          <w:sz w:val="21"/>
          <w:szCs w:val="21"/>
          <w:highlight w:val="none"/>
          <w:lang w:val="en-US" w:bidi="zh-CN"/>
        </w:rPr>
        <w:t>具体内容格式详见合同附件三。</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snapToGrid/>
          <w:color w:val="auto"/>
          <w:kern w:val="0"/>
          <w:sz w:val="21"/>
          <w:szCs w:val="21"/>
          <w:highlight w:val="none"/>
          <w:lang w:val="zh-CN" w:bidi="zh-CN"/>
        </w:rPr>
        <w:t>7.3托管期间，用能设备的增加、减少或变化应当由甲、乙双方书面确认，并相应地据实增加或减少托管费用</w:t>
      </w:r>
      <w:r>
        <w:rPr>
          <w:rFonts w:hint="eastAsia" w:ascii="仿宋" w:hAnsi="仿宋" w:eastAsia="仿宋" w:cs="仿宋"/>
          <w:snapToGrid/>
          <w:color w:val="auto"/>
          <w:kern w:val="0"/>
          <w:sz w:val="21"/>
          <w:szCs w:val="21"/>
          <w:highlight w:val="none"/>
          <w:lang w:val="zh-CN" w:eastAsia="zh-CN" w:bidi="zh-CN"/>
        </w:rPr>
        <w:t>。</w:t>
      </w:r>
      <w:r>
        <w:rPr>
          <w:rFonts w:hint="eastAsia" w:ascii="仿宋" w:hAnsi="仿宋" w:eastAsia="仿宋" w:cs="仿宋"/>
          <w:color w:val="auto"/>
          <w:sz w:val="21"/>
          <w:szCs w:val="21"/>
          <w:highlight w:val="none"/>
          <w:lang w:val="en-US" w:bidi="zh-CN"/>
        </w:rPr>
        <w:t>具体内容格式详见合同附件四。</w:t>
      </w:r>
    </w:p>
    <w:p>
      <w:pPr>
        <w:widowControl w:val="0"/>
        <w:spacing w:after="0" w:line="288" w:lineRule="auto"/>
        <w:jc w:val="left"/>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w:t>
      </w:r>
      <w:r>
        <w:rPr>
          <w:rFonts w:hint="eastAsia" w:ascii="仿宋" w:hAnsi="仿宋" w:eastAsia="仿宋" w:cs="仿宋"/>
          <w:b/>
          <w:bCs/>
          <w:color w:val="auto"/>
          <w:sz w:val="21"/>
          <w:szCs w:val="21"/>
          <w:highlight w:val="none"/>
          <w:lang w:bidi="zh-CN"/>
        </w:rPr>
        <w:t>八</w:t>
      </w:r>
      <w:r>
        <w:rPr>
          <w:rFonts w:hint="eastAsia" w:ascii="仿宋" w:hAnsi="仿宋" w:eastAsia="仿宋" w:cs="仿宋"/>
          <w:b/>
          <w:bCs/>
          <w:color w:val="auto"/>
          <w:sz w:val="21"/>
          <w:szCs w:val="21"/>
          <w:highlight w:val="none"/>
          <w:lang w:val="zh-CN" w:bidi="zh-CN"/>
        </w:rPr>
        <w:t>节  所有权和风险分担</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8</w:t>
      </w:r>
      <w:r>
        <w:rPr>
          <w:rFonts w:hint="eastAsia" w:ascii="仿宋" w:hAnsi="仿宋" w:eastAsia="仿宋" w:cs="仿宋"/>
          <w:color w:val="auto"/>
          <w:sz w:val="21"/>
          <w:szCs w:val="21"/>
          <w:highlight w:val="none"/>
          <w:lang w:val="zh-CN" w:bidi="zh-CN"/>
        </w:rPr>
        <w:t xml:space="preserve">.l 在本项目实施总周期到期并且甲方付清本合同项下全部款项之前，本项目下的所有设备、设施和仪器等由乙方采购并安装，项目中的设备、设施和仪器财产（简称“项目财产”）的所有权属于乙方。本项目实施总周期顺利履行完毕之后，该等项目财产的所有权归甲方所有，乙方应保证该等项目财产当期正常运行。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8.2 因</w:t>
      </w:r>
      <w:r>
        <w:rPr>
          <w:rFonts w:hint="eastAsia" w:ascii="仿宋" w:hAnsi="仿宋" w:eastAsia="仿宋" w:cs="仿宋"/>
          <w:color w:val="auto"/>
          <w:sz w:val="21"/>
          <w:szCs w:val="21"/>
          <w:highlight w:val="none"/>
          <w:lang w:bidi="zh-CN"/>
        </w:rPr>
        <w:t>甲方</w:t>
      </w:r>
      <w:r>
        <w:rPr>
          <w:rFonts w:hint="eastAsia" w:ascii="仿宋" w:hAnsi="仿宋" w:eastAsia="仿宋" w:cs="仿宋"/>
          <w:color w:val="auto"/>
          <w:sz w:val="21"/>
          <w:szCs w:val="21"/>
          <w:highlight w:val="none"/>
          <w:lang w:val="zh-CN" w:bidi="zh-CN"/>
        </w:rPr>
        <w:t>原因提出终止合同时，</w:t>
      </w:r>
      <w:r>
        <w:rPr>
          <w:rFonts w:hint="eastAsia" w:ascii="仿宋" w:hAnsi="仿宋" w:eastAsia="仿宋" w:cs="仿宋"/>
          <w:color w:val="auto"/>
          <w:sz w:val="21"/>
          <w:szCs w:val="21"/>
          <w:highlight w:val="none"/>
          <w:lang w:bidi="zh-CN"/>
        </w:rPr>
        <w:t>乙方不退还甲方前期支付的所有能源托管费用</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bidi="zh-CN"/>
        </w:rPr>
        <w:t>同时甲方需一次性支付给乙方已投入的设备费用和安装费用（详见合同附件二）</w:t>
      </w:r>
      <w:r>
        <w:rPr>
          <w:rFonts w:hint="eastAsia" w:ascii="仿宋" w:hAnsi="仿宋" w:eastAsia="仿宋" w:cs="仿宋"/>
          <w:color w:val="auto"/>
          <w:sz w:val="21"/>
          <w:szCs w:val="21"/>
          <w:highlight w:val="none"/>
          <w:lang w:val="zh-CN" w:bidi="zh-CN"/>
        </w:rPr>
        <w:t>。终止合同后，所有</w:t>
      </w:r>
      <w:r>
        <w:rPr>
          <w:rFonts w:hint="eastAsia" w:ascii="仿宋" w:hAnsi="仿宋" w:eastAsia="仿宋" w:cs="仿宋"/>
          <w:color w:val="auto"/>
          <w:sz w:val="21"/>
          <w:szCs w:val="21"/>
          <w:highlight w:val="none"/>
          <w:lang w:bidi="zh-CN"/>
        </w:rPr>
        <w:t>能源</w:t>
      </w:r>
      <w:r>
        <w:rPr>
          <w:rFonts w:hint="eastAsia" w:ascii="仿宋" w:hAnsi="仿宋" w:eastAsia="仿宋" w:cs="仿宋"/>
          <w:color w:val="auto"/>
          <w:sz w:val="21"/>
          <w:szCs w:val="21"/>
          <w:highlight w:val="none"/>
          <w:lang w:val="zh-CN" w:bidi="zh-CN"/>
        </w:rPr>
        <w:t>电费由</w:t>
      </w:r>
      <w:r>
        <w:rPr>
          <w:rFonts w:hint="eastAsia" w:ascii="仿宋" w:hAnsi="仿宋" w:eastAsia="仿宋" w:cs="仿宋"/>
          <w:color w:val="auto"/>
          <w:sz w:val="21"/>
          <w:szCs w:val="21"/>
          <w:highlight w:val="none"/>
          <w:lang w:bidi="zh-CN"/>
        </w:rPr>
        <w:t>甲方</w:t>
      </w:r>
      <w:r>
        <w:rPr>
          <w:rFonts w:hint="eastAsia" w:ascii="仿宋" w:hAnsi="仿宋" w:eastAsia="仿宋" w:cs="仿宋"/>
          <w:color w:val="auto"/>
          <w:sz w:val="21"/>
          <w:szCs w:val="21"/>
          <w:highlight w:val="none"/>
          <w:lang w:val="zh-CN" w:bidi="zh-CN"/>
        </w:rPr>
        <w:t>负责向</w:t>
      </w:r>
      <w:r>
        <w:rPr>
          <w:rFonts w:hint="eastAsia" w:ascii="仿宋" w:hAnsi="仿宋" w:eastAsia="仿宋" w:cs="仿宋"/>
          <w:color w:val="auto"/>
          <w:sz w:val="21"/>
          <w:szCs w:val="21"/>
          <w:highlight w:val="none"/>
          <w:lang w:bidi="zh-CN"/>
        </w:rPr>
        <w:t>电力部门</w:t>
      </w:r>
      <w:r>
        <w:rPr>
          <w:rFonts w:hint="eastAsia" w:ascii="仿宋" w:hAnsi="仿宋" w:eastAsia="仿宋" w:cs="仿宋"/>
          <w:color w:val="auto"/>
          <w:sz w:val="21"/>
          <w:szCs w:val="21"/>
          <w:highlight w:val="none"/>
          <w:lang w:val="zh-CN" w:bidi="zh-CN"/>
        </w:rPr>
        <w:t>支付，</w:t>
      </w:r>
      <w:r>
        <w:rPr>
          <w:rFonts w:hint="eastAsia" w:ascii="仿宋" w:hAnsi="仿宋" w:eastAsia="仿宋" w:cs="仿宋"/>
          <w:color w:val="auto"/>
          <w:sz w:val="21"/>
          <w:szCs w:val="21"/>
          <w:highlight w:val="none"/>
          <w:lang w:bidi="zh-CN"/>
        </w:rPr>
        <w:t>并且乙方</w:t>
      </w:r>
      <w:r>
        <w:rPr>
          <w:rFonts w:hint="eastAsia" w:ascii="仿宋" w:hAnsi="仿宋" w:eastAsia="仿宋" w:cs="仿宋"/>
          <w:color w:val="auto"/>
          <w:sz w:val="21"/>
          <w:szCs w:val="21"/>
          <w:highlight w:val="none"/>
          <w:lang w:val="zh-CN" w:bidi="zh-CN"/>
        </w:rPr>
        <w:t>不再提供</w:t>
      </w:r>
      <w:r>
        <w:rPr>
          <w:rFonts w:hint="eastAsia" w:ascii="仿宋" w:hAnsi="仿宋" w:eastAsia="仿宋" w:cs="仿宋"/>
          <w:color w:val="auto"/>
          <w:sz w:val="21"/>
          <w:szCs w:val="21"/>
          <w:highlight w:val="none"/>
          <w:lang w:bidi="zh-CN"/>
        </w:rPr>
        <w:t>备品</w:t>
      </w:r>
      <w:r>
        <w:rPr>
          <w:rFonts w:hint="eastAsia" w:ascii="仿宋" w:hAnsi="仿宋" w:eastAsia="仿宋" w:cs="仿宋"/>
          <w:color w:val="auto"/>
          <w:sz w:val="21"/>
          <w:szCs w:val="21"/>
          <w:highlight w:val="none"/>
          <w:lang w:val="zh-CN" w:bidi="zh-CN"/>
        </w:rPr>
        <w:t>备件</w:t>
      </w:r>
      <w:r>
        <w:rPr>
          <w:rFonts w:hint="eastAsia" w:ascii="仿宋" w:hAnsi="仿宋" w:eastAsia="仿宋" w:cs="仿宋"/>
          <w:color w:val="auto"/>
          <w:sz w:val="21"/>
          <w:szCs w:val="21"/>
          <w:highlight w:val="none"/>
          <w:lang w:bidi="zh-CN"/>
        </w:rPr>
        <w:t>及对已改造设备的维护保养</w:t>
      </w:r>
      <w:r>
        <w:rPr>
          <w:rFonts w:hint="eastAsia" w:ascii="仿宋" w:hAnsi="仿宋" w:eastAsia="仿宋" w:cs="仿宋"/>
          <w:color w:val="auto"/>
          <w:sz w:val="21"/>
          <w:szCs w:val="21"/>
          <w:highlight w:val="none"/>
          <w:lang w:val="zh-CN" w:bidi="zh-CN"/>
        </w:rPr>
        <w:t>。</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8</w:t>
      </w:r>
      <w:r>
        <w:rPr>
          <w:rFonts w:hint="eastAsia" w:ascii="仿宋" w:hAnsi="仿宋" w:eastAsia="仿宋" w:cs="仿宋"/>
          <w:color w:val="auto"/>
          <w:sz w:val="21"/>
          <w:szCs w:val="21"/>
          <w:highlight w:val="none"/>
          <w:lang w:val="zh-CN" w:bidi="zh-CN"/>
        </w:rPr>
        <w:t>.3 如是乙方原因造成本项目无法实施或者乙方中途擅自解除合同，乙方安装的所有设备归甲方所有。</w:t>
      </w:r>
    </w:p>
    <w:p>
      <w:pPr>
        <w:pStyle w:val="2"/>
        <w:widowControl w:val="0"/>
        <w:spacing w:line="288" w:lineRule="auto"/>
        <w:ind w:left="0" w:leftChars="0" w:firstLine="0" w:firstLineChars="0"/>
        <w:rPr>
          <w:rFonts w:hint="eastAsia" w:ascii="仿宋" w:hAnsi="仿宋" w:eastAsia="仿宋" w:cs="仿宋"/>
          <w:color w:val="auto"/>
          <w:highlight w:val="none"/>
          <w:lang w:val="en-US"/>
        </w:rPr>
      </w:pPr>
      <w:r>
        <w:rPr>
          <w:rFonts w:hint="eastAsia" w:ascii="仿宋" w:hAnsi="仿宋" w:eastAsia="仿宋" w:cs="仿宋"/>
          <w:color w:val="auto"/>
          <w:sz w:val="21"/>
          <w:szCs w:val="21"/>
          <w:highlight w:val="none"/>
          <w:lang w:val="en-US" w:bidi="zh-CN"/>
        </w:rPr>
        <w:t>8.4 合同签订后乙方对本项目实施节能改造，节能改造后该项目产生的碳排放交易权、知识产权等权益及相关补贴均归乙方所有，甲方需配合乙方申请并落实相关优惠政策及补贴。</w:t>
      </w:r>
    </w:p>
    <w:p>
      <w:pPr>
        <w:widowControl w:val="0"/>
        <w:spacing w:after="0" w:line="288" w:lineRule="auto"/>
        <w:jc w:val="both"/>
        <w:rPr>
          <w:rFonts w:hint="eastAsia" w:ascii="仿宋" w:hAnsi="仿宋" w:eastAsia="仿宋" w:cs="仿宋"/>
          <w:b/>
          <w:bCs/>
          <w:color w:val="auto"/>
          <w:sz w:val="21"/>
          <w:szCs w:val="21"/>
          <w:highlight w:val="none"/>
          <w:lang w:bidi="zh-CN"/>
        </w:rPr>
      </w:pPr>
      <w:r>
        <w:rPr>
          <w:rFonts w:hint="eastAsia" w:ascii="仿宋" w:hAnsi="仿宋" w:eastAsia="仿宋" w:cs="仿宋"/>
          <w:b/>
          <w:bCs/>
          <w:color w:val="auto"/>
          <w:sz w:val="21"/>
          <w:szCs w:val="21"/>
          <w:highlight w:val="none"/>
          <w:lang w:val="zh-CN" w:bidi="zh-CN"/>
        </w:rPr>
        <w:t>第</w:t>
      </w:r>
      <w:r>
        <w:rPr>
          <w:rFonts w:hint="eastAsia" w:ascii="仿宋" w:hAnsi="仿宋" w:eastAsia="仿宋" w:cs="仿宋"/>
          <w:b/>
          <w:bCs/>
          <w:color w:val="auto"/>
          <w:sz w:val="21"/>
          <w:szCs w:val="21"/>
          <w:highlight w:val="none"/>
          <w:lang w:bidi="zh-CN"/>
        </w:rPr>
        <w:t>九</w:t>
      </w:r>
      <w:r>
        <w:rPr>
          <w:rFonts w:hint="eastAsia" w:ascii="仿宋" w:hAnsi="仿宋" w:eastAsia="仿宋" w:cs="仿宋"/>
          <w:b/>
          <w:bCs/>
          <w:color w:val="auto"/>
          <w:sz w:val="21"/>
          <w:szCs w:val="21"/>
          <w:highlight w:val="none"/>
          <w:lang w:val="zh-CN" w:bidi="zh-CN"/>
        </w:rPr>
        <w:t>节  违约责任</w:t>
      </w:r>
      <w:r>
        <w:rPr>
          <w:rFonts w:hint="eastAsia" w:ascii="仿宋" w:hAnsi="仿宋" w:eastAsia="仿宋" w:cs="仿宋"/>
          <w:b/>
          <w:bCs/>
          <w:color w:val="auto"/>
          <w:sz w:val="21"/>
          <w:szCs w:val="21"/>
          <w:highlight w:val="none"/>
          <w:lang w:bidi="zh-CN"/>
        </w:rPr>
        <w:t xml:space="preserve">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9</w:t>
      </w:r>
      <w:r>
        <w:rPr>
          <w:rFonts w:hint="eastAsia" w:ascii="仿宋" w:hAnsi="仿宋" w:eastAsia="仿宋" w:cs="仿宋"/>
          <w:color w:val="auto"/>
          <w:sz w:val="21"/>
          <w:szCs w:val="21"/>
          <w:highlight w:val="none"/>
          <w:lang w:val="zh-CN" w:bidi="zh-CN"/>
        </w:rPr>
        <w:t>.1 甲方或乙方不履行本合同约定义务或者履行本合同义务不符合约定的质量标准及目标要求的，即视为违约。</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9</w:t>
      </w:r>
      <w:r>
        <w:rPr>
          <w:rFonts w:hint="eastAsia" w:ascii="仿宋" w:hAnsi="仿宋" w:eastAsia="仿宋" w:cs="仿宋"/>
          <w:color w:val="auto"/>
          <w:sz w:val="21"/>
          <w:szCs w:val="21"/>
          <w:highlight w:val="none"/>
          <w:lang w:val="zh-CN" w:bidi="zh-CN"/>
        </w:rPr>
        <w:t>.2 违约方应当承担继续履行，并采取补救措施，在履行义务或者采取补救措施后，对方还有其他经济损失的，应当赔偿经济损失。具体赔偿数额双方协商确定，协商不成的，按本合同第十一条约定执行。</w:t>
      </w:r>
    </w:p>
    <w:p>
      <w:pPr>
        <w:widowControl w:val="0"/>
        <w:spacing w:after="0" w:line="288" w:lineRule="auto"/>
        <w:jc w:val="both"/>
        <w:rPr>
          <w:rFonts w:hint="eastAsia" w:ascii="仿宋" w:hAnsi="仿宋" w:eastAsia="仿宋" w:cs="仿宋"/>
          <w:snapToGrid/>
          <w:color w:val="auto"/>
          <w:kern w:val="0"/>
          <w:sz w:val="21"/>
          <w:szCs w:val="21"/>
          <w:highlight w:val="none"/>
          <w:lang w:val="zh-CN" w:bidi="zh-CN"/>
        </w:rPr>
      </w:pPr>
      <w:r>
        <w:rPr>
          <w:rFonts w:hint="eastAsia" w:ascii="仿宋" w:hAnsi="仿宋" w:eastAsia="仿宋" w:cs="仿宋"/>
          <w:color w:val="auto"/>
          <w:sz w:val="21"/>
          <w:szCs w:val="21"/>
          <w:highlight w:val="none"/>
          <w:lang w:val="zh-CN" w:bidi="zh-CN"/>
        </w:rPr>
        <w:t>9.3甲方未遵守能源使用规章制度导致浪费，浪费的费用由甲</w:t>
      </w:r>
      <w:r>
        <w:rPr>
          <w:rFonts w:hint="eastAsia" w:ascii="仿宋" w:hAnsi="仿宋" w:eastAsia="仿宋" w:cs="仿宋"/>
          <w:color w:val="auto"/>
          <w:sz w:val="21"/>
          <w:szCs w:val="21"/>
          <w:highlight w:val="none"/>
          <w:lang w:val="en-US" w:bidi="zh-CN"/>
        </w:rPr>
        <w:t>方</w:t>
      </w:r>
      <w:r>
        <w:rPr>
          <w:rFonts w:hint="eastAsia" w:ascii="仿宋" w:hAnsi="仿宋" w:eastAsia="仿宋" w:cs="仿宋"/>
          <w:color w:val="auto"/>
          <w:sz w:val="21"/>
          <w:szCs w:val="21"/>
          <w:highlight w:val="none"/>
          <w:lang w:val="zh-CN" w:bidi="zh-CN"/>
        </w:rPr>
        <w:t>自行承担；</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snapToGrid/>
          <w:color w:val="auto"/>
          <w:kern w:val="0"/>
          <w:sz w:val="21"/>
          <w:szCs w:val="21"/>
          <w:highlight w:val="none"/>
          <w:lang w:val="zh-CN" w:bidi="zh-CN"/>
        </w:rPr>
        <w:t>9.4</w:t>
      </w:r>
      <w:r>
        <w:rPr>
          <w:rFonts w:hint="eastAsia" w:ascii="仿宋" w:hAnsi="仿宋" w:eastAsia="仿宋" w:cs="仿宋"/>
          <w:color w:val="auto"/>
          <w:sz w:val="21"/>
          <w:szCs w:val="21"/>
          <w:highlight w:val="none"/>
          <w:lang w:val="zh-CN" w:bidi="zh-CN"/>
        </w:rPr>
        <w:t>如甲方未遵守本合同附件及其他条款约定，导致乙方经济损失，甲方应当按照乙方的实际损失额向乙方赔偿。</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bidi="zh-CN"/>
        </w:rPr>
        <w:t>9</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5</w:t>
      </w:r>
      <w:r>
        <w:rPr>
          <w:rFonts w:hint="eastAsia" w:ascii="仿宋" w:hAnsi="仿宋" w:eastAsia="仿宋" w:cs="仿宋"/>
          <w:color w:val="auto"/>
          <w:sz w:val="21"/>
          <w:szCs w:val="21"/>
          <w:highlight w:val="none"/>
          <w:lang w:val="zh-CN" w:bidi="zh-CN"/>
        </w:rPr>
        <w:t xml:space="preserve"> 已完工项目在验收之前，乙方负责对已完工项目成品保护。保护期间发生损坏系乙方责任由乙方负责修复。</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第十节  不可抗力</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0</w:t>
      </w:r>
      <w:r>
        <w:rPr>
          <w:rFonts w:hint="eastAsia" w:ascii="仿宋" w:hAnsi="仿宋" w:eastAsia="仿宋" w:cs="仿宋"/>
          <w:color w:val="auto"/>
          <w:sz w:val="21"/>
          <w:szCs w:val="21"/>
          <w:highlight w:val="none"/>
          <w:lang w:val="zh-CN" w:bidi="zh-CN"/>
        </w:rPr>
        <w:t>.1 本合同下的不可抗力是指超出了相关方合理控制范围的任何行为、事件或原因，包括但不限于：</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 (a) 雷电、洪水、风暴、地震、滑坡、暴雨等自然灾害、海上危险、航行事故、战争、骚乱、暴动、全国紧急状态（无论是实际情况或法律规定的情况）、戒严令、火灾或劳工纠纷（无论是否涉及相关方的雇员）、流行病、隔离、辐射或放射性污染；</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 xml:space="preserve"> (b) 任何政府单位或非政府单位或其它主管部门（包括任何有管辖权的法院或仲裁庭以及国际机构）的行动，包括但不限于法律、法规、规章或其他有法律强制约束力的法案所规定的没收、约束、禁止、干预、征用、要求、指示或禁运。但不得包括一方资金短缺的事实。</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0</w:t>
      </w:r>
      <w:r>
        <w:rPr>
          <w:rFonts w:hint="eastAsia" w:ascii="仿宋" w:hAnsi="仿宋" w:eastAsia="仿宋" w:cs="仿宋"/>
          <w:color w:val="auto"/>
          <w:sz w:val="21"/>
          <w:szCs w:val="21"/>
          <w:highlight w:val="none"/>
          <w:lang w:val="zh-CN" w:bidi="zh-CN"/>
        </w:rPr>
        <w:t>.2 如果一方（“受影响方”）由于不可抗力事件的发生，无法或预计无法履行合同下的义务，受影响方就必须在知晓不可抗力的有关事件的5日内向另一方（“非影响方”）提交书面通知，提供不可抗力事件的细节。</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0</w:t>
      </w:r>
      <w:r>
        <w:rPr>
          <w:rFonts w:hint="eastAsia" w:ascii="仿宋" w:hAnsi="仿宋" w:eastAsia="仿宋" w:cs="仿宋"/>
          <w:color w:val="auto"/>
          <w:sz w:val="21"/>
          <w:szCs w:val="21"/>
          <w:highlight w:val="none"/>
          <w:lang w:val="zh-CN" w:bidi="zh-CN"/>
        </w:rPr>
        <w:t>.3 受影响方必须采取一切合理的措施，以消除或减轻不可抗力事件有关的影响。</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0</w:t>
      </w:r>
      <w:r>
        <w:rPr>
          <w:rFonts w:hint="eastAsia" w:ascii="仿宋" w:hAnsi="仿宋" w:eastAsia="仿宋" w:cs="仿宋"/>
          <w:color w:val="auto"/>
          <w:sz w:val="21"/>
          <w:szCs w:val="21"/>
          <w:highlight w:val="none"/>
          <w:lang w:val="zh-CN" w:bidi="zh-CN"/>
        </w:rPr>
        <w:t>.4 在不可抗力事件持续期间，受影响方的履行义务暂时中止，相应的义务履行期限和合同期限相应顺延，并将不会对由此造成的损失或损坏对非影响万承担责任。在不可抗力事件结束后，受影响方应该尽快恢复履行本合同下的义务。</w:t>
      </w:r>
    </w:p>
    <w:p>
      <w:pPr>
        <w:widowControl w:val="0"/>
        <w:spacing w:after="0" w:line="288" w:lineRule="auto"/>
        <w:jc w:val="both"/>
        <w:rPr>
          <w:rFonts w:hint="eastAsia" w:ascii="仿宋" w:hAnsi="仿宋" w:eastAsia="仿宋" w:cs="仿宋"/>
          <w:color w:val="auto"/>
          <w:highlight w:val="none"/>
          <w:lang w:val="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0</w:t>
      </w:r>
      <w:r>
        <w:rPr>
          <w:rFonts w:hint="eastAsia" w:ascii="仿宋" w:hAnsi="仿宋" w:eastAsia="仿宋" w:cs="仿宋"/>
          <w:color w:val="auto"/>
          <w:sz w:val="21"/>
          <w:szCs w:val="21"/>
          <w:highlight w:val="none"/>
          <w:lang w:val="zh-CN" w:bidi="zh-CN"/>
        </w:rPr>
        <w:t>.5 如果因为不可抗力事件的影响，受影响方不能履行本合同项下的任何义务，而且非影响方在收到不可抗力通知后，受影响方的不能履行义务持续时间达</w:t>
      </w:r>
      <w:r>
        <w:rPr>
          <w:rFonts w:hint="eastAsia" w:ascii="仿宋" w:hAnsi="仿宋" w:eastAsia="仿宋" w:cs="仿宋"/>
          <w:color w:val="auto"/>
          <w:sz w:val="21"/>
          <w:szCs w:val="21"/>
          <w:highlight w:val="none"/>
          <w:lang w:val="en-US" w:bidi="zh-CN"/>
        </w:rPr>
        <w:t>6</w:t>
      </w:r>
      <w:r>
        <w:rPr>
          <w:rFonts w:hint="eastAsia" w:ascii="仿宋" w:hAnsi="仿宋" w:eastAsia="仿宋" w:cs="仿宋"/>
          <w:color w:val="auto"/>
          <w:sz w:val="21"/>
          <w:szCs w:val="21"/>
          <w:highlight w:val="none"/>
          <w:lang w:val="zh-CN" w:bidi="zh-CN"/>
        </w:rPr>
        <w:t>0个连续日，且在此期间，双方没有能够谈判达成一项彼此可以接受的替代方式来执行本合同下的项目，任何一方可向另一方提供书面通知，解除本协议，而不用承担任何责任。</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第十</w:t>
      </w:r>
      <w:r>
        <w:rPr>
          <w:rFonts w:hint="eastAsia" w:ascii="仿宋" w:hAnsi="仿宋" w:eastAsia="仿宋" w:cs="仿宋"/>
          <w:b/>
          <w:bCs/>
          <w:color w:val="auto"/>
          <w:sz w:val="21"/>
          <w:szCs w:val="21"/>
          <w:highlight w:val="none"/>
          <w:lang w:bidi="zh-CN"/>
        </w:rPr>
        <w:t>一</w:t>
      </w:r>
      <w:r>
        <w:rPr>
          <w:rFonts w:hint="eastAsia" w:ascii="仿宋" w:hAnsi="仿宋" w:eastAsia="仿宋" w:cs="仿宋"/>
          <w:b/>
          <w:bCs/>
          <w:color w:val="auto"/>
          <w:sz w:val="21"/>
          <w:szCs w:val="21"/>
          <w:highlight w:val="none"/>
          <w:lang w:val="zh-CN" w:bidi="zh-CN"/>
        </w:rPr>
        <w:t>节  合同解除</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1</w:t>
      </w:r>
      <w:r>
        <w:rPr>
          <w:rFonts w:hint="eastAsia" w:ascii="仿宋" w:hAnsi="仿宋" w:eastAsia="仿宋" w:cs="仿宋"/>
          <w:color w:val="auto"/>
          <w:sz w:val="21"/>
          <w:szCs w:val="21"/>
          <w:highlight w:val="none"/>
          <w:lang w:val="zh-CN" w:bidi="zh-CN"/>
        </w:rPr>
        <w:t>.1 甲乙双方协商一致，可以变更、解除本合同。</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1</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2</w:t>
      </w:r>
      <w:r>
        <w:rPr>
          <w:rFonts w:hint="eastAsia" w:ascii="仿宋" w:hAnsi="仿宋" w:eastAsia="仿宋" w:cs="仿宋"/>
          <w:color w:val="auto"/>
          <w:sz w:val="21"/>
          <w:szCs w:val="21"/>
          <w:highlight w:val="none"/>
          <w:lang w:val="zh-CN" w:bidi="zh-CN"/>
        </w:rPr>
        <w:t xml:space="preserve"> 在乙方未能按照本合同第二条、第六条、第八条及投标文件中约定的项目内容、技术要求、权利义务及服务承诺等进行项目管理，全部或部分达不到约定的项目内容、技术要求、权利义务及服务承诺等且虽进行整改仍不能达到约定的项目内容、技术要求、权利义务及服务承诺等的情况下，甲方有权解除本合同。</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1</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3</w:t>
      </w:r>
      <w:r>
        <w:rPr>
          <w:rFonts w:hint="eastAsia" w:ascii="仿宋" w:hAnsi="仿宋" w:eastAsia="仿宋" w:cs="仿宋"/>
          <w:color w:val="auto"/>
          <w:sz w:val="21"/>
          <w:szCs w:val="21"/>
          <w:highlight w:val="none"/>
          <w:lang w:val="zh-CN" w:bidi="zh-CN"/>
        </w:rPr>
        <w:t xml:space="preserve"> 一方要求解除合同的，应提前 7 个工作日向对方发出解除合同的书面通知，对解除合同有争议的，可向甲方所在地的人民法院起诉。</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第十</w:t>
      </w:r>
      <w:r>
        <w:rPr>
          <w:rFonts w:hint="eastAsia" w:ascii="仿宋" w:hAnsi="仿宋" w:eastAsia="仿宋" w:cs="仿宋"/>
          <w:b/>
          <w:bCs/>
          <w:color w:val="auto"/>
          <w:sz w:val="21"/>
          <w:szCs w:val="21"/>
          <w:highlight w:val="none"/>
          <w:lang w:bidi="zh-CN"/>
        </w:rPr>
        <w:t>二</w:t>
      </w:r>
      <w:r>
        <w:rPr>
          <w:rFonts w:hint="eastAsia" w:ascii="仿宋" w:hAnsi="仿宋" w:eastAsia="仿宋" w:cs="仿宋"/>
          <w:b/>
          <w:bCs/>
          <w:color w:val="auto"/>
          <w:sz w:val="21"/>
          <w:szCs w:val="21"/>
          <w:highlight w:val="none"/>
          <w:lang w:val="zh-CN" w:bidi="zh-CN"/>
        </w:rPr>
        <w:t>节  争端的解决</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2</w:t>
      </w:r>
      <w:r>
        <w:rPr>
          <w:rFonts w:hint="eastAsia" w:ascii="仿宋" w:hAnsi="仿宋" w:eastAsia="仿宋" w:cs="仿宋"/>
          <w:color w:val="auto"/>
          <w:sz w:val="21"/>
          <w:szCs w:val="21"/>
          <w:highlight w:val="none"/>
          <w:lang w:val="zh-CN" w:bidi="zh-CN"/>
        </w:rPr>
        <w:t>.1 凡因本合同发生的争议，甲乙双方应协商解决；协商不成的，任一方均可向甲方所在地的人民法院起诉。</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2</w:t>
      </w:r>
      <w:r>
        <w:rPr>
          <w:rFonts w:hint="eastAsia" w:ascii="仿宋" w:hAnsi="仿宋" w:eastAsia="仿宋" w:cs="仿宋"/>
          <w:color w:val="auto"/>
          <w:sz w:val="21"/>
          <w:szCs w:val="21"/>
          <w:highlight w:val="none"/>
          <w:lang w:val="zh-CN" w:bidi="zh-CN"/>
        </w:rPr>
        <w:t>.2 本合同其他未尽事宜，经甲乙双方协商一致后可以签订补充合同，补充合同作为本合同不可分割的组成部分，与本合同具有同等法律效力。</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2</w:t>
      </w:r>
      <w:r>
        <w:rPr>
          <w:rFonts w:hint="eastAsia" w:ascii="仿宋" w:hAnsi="仿宋" w:eastAsia="仿宋" w:cs="仿宋"/>
          <w:color w:val="auto"/>
          <w:sz w:val="21"/>
          <w:szCs w:val="21"/>
          <w:highlight w:val="none"/>
          <w:lang w:val="zh-CN" w:bidi="zh-CN"/>
        </w:rPr>
        <w:t>.3 因服务质量问题发生争议，依据国家标准，由相关技术单位进行质量鉴定，该鉴定结论是终局的，双方应当接受，质量鉴定期间所发生的相关费用由服务质量责任方承担。</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第十</w:t>
      </w:r>
      <w:r>
        <w:rPr>
          <w:rFonts w:hint="eastAsia" w:ascii="仿宋" w:hAnsi="仿宋" w:eastAsia="仿宋" w:cs="仿宋"/>
          <w:b/>
          <w:bCs/>
          <w:color w:val="auto"/>
          <w:sz w:val="21"/>
          <w:szCs w:val="21"/>
          <w:highlight w:val="none"/>
          <w:lang w:bidi="zh-CN"/>
        </w:rPr>
        <w:t>三</w:t>
      </w:r>
      <w:r>
        <w:rPr>
          <w:rFonts w:hint="eastAsia" w:ascii="仿宋" w:hAnsi="仿宋" w:eastAsia="仿宋" w:cs="仿宋"/>
          <w:b/>
          <w:bCs/>
          <w:color w:val="auto"/>
          <w:sz w:val="21"/>
          <w:szCs w:val="21"/>
          <w:highlight w:val="none"/>
          <w:lang w:val="zh-CN" w:bidi="zh-CN"/>
        </w:rPr>
        <w:t>节  费用的分担</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3</w:t>
      </w:r>
      <w:r>
        <w:rPr>
          <w:rFonts w:hint="eastAsia" w:ascii="仿宋" w:hAnsi="仿宋" w:eastAsia="仿宋" w:cs="仿宋"/>
          <w:color w:val="auto"/>
          <w:sz w:val="21"/>
          <w:szCs w:val="21"/>
          <w:highlight w:val="none"/>
          <w:lang w:val="zh-CN" w:bidi="zh-CN"/>
        </w:rPr>
        <w:t xml:space="preserve">.1 除非本合同下的其他条款另有规定，双方应当各自承担履行本协议下义务的费用。 </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3</w:t>
      </w:r>
      <w:r>
        <w:rPr>
          <w:rFonts w:hint="eastAsia" w:ascii="仿宋" w:hAnsi="仿宋" w:eastAsia="仿宋" w:cs="仿宋"/>
          <w:color w:val="auto"/>
          <w:sz w:val="21"/>
          <w:szCs w:val="21"/>
          <w:highlight w:val="none"/>
          <w:lang w:val="zh-CN" w:bidi="zh-CN"/>
        </w:rPr>
        <w:t xml:space="preserve">.2 除非本合同下的其他条款或附件另有规定，则乙方应当负责本项目的投资，并承担本项目的方案设计、建设、运营、监测的所有费用，包括项目所需设备、设施、技术购置、更换的费用。 </w:t>
      </w:r>
    </w:p>
    <w:p>
      <w:pPr>
        <w:widowControl w:val="0"/>
        <w:spacing w:after="0" w:line="288" w:lineRule="auto"/>
        <w:jc w:val="both"/>
        <w:rPr>
          <w:rFonts w:hint="eastAsia" w:ascii="仿宋" w:hAnsi="仿宋" w:eastAsia="仿宋" w:cs="仿宋"/>
          <w:b/>
          <w:bCs/>
          <w:color w:val="auto"/>
          <w:sz w:val="21"/>
          <w:szCs w:val="21"/>
          <w:highlight w:val="none"/>
          <w:lang w:val="zh-CN" w:bidi="zh-CN"/>
        </w:rPr>
      </w:pPr>
      <w:r>
        <w:rPr>
          <w:rFonts w:hint="eastAsia" w:ascii="仿宋" w:hAnsi="仿宋" w:eastAsia="仿宋" w:cs="仿宋"/>
          <w:b/>
          <w:bCs/>
          <w:color w:val="auto"/>
          <w:sz w:val="21"/>
          <w:szCs w:val="21"/>
          <w:highlight w:val="none"/>
          <w:lang w:val="zh-CN" w:bidi="zh-CN"/>
        </w:rPr>
        <w:t>第十</w:t>
      </w:r>
      <w:r>
        <w:rPr>
          <w:rFonts w:hint="eastAsia" w:ascii="仿宋" w:hAnsi="仿宋" w:eastAsia="仿宋" w:cs="仿宋"/>
          <w:b/>
          <w:bCs/>
          <w:color w:val="auto"/>
          <w:sz w:val="21"/>
          <w:szCs w:val="21"/>
          <w:highlight w:val="none"/>
          <w:lang w:bidi="zh-CN"/>
        </w:rPr>
        <w:t>四</w:t>
      </w:r>
      <w:r>
        <w:rPr>
          <w:rFonts w:hint="eastAsia" w:ascii="仿宋" w:hAnsi="仿宋" w:eastAsia="仿宋" w:cs="仿宋"/>
          <w:b/>
          <w:bCs/>
          <w:color w:val="auto"/>
          <w:sz w:val="21"/>
          <w:szCs w:val="21"/>
          <w:highlight w:val="none"/>
          <w:lang w:val="zh-CN" w:bidi="zh-CN"/>
        </w:rPr>
        <w:t>节  合同的生效及其他</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14.1 本合同履行期满（15年）前一个月内，如乙方有重大违约行为的甲方应书面通知乙方本合同不再续签，否则本合同自动延长五年，双方不再另行签订合同。</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2</w:t>
      </w:r>
      <w:r>
        <w:rPr>
          <w:rFonts w:hint="eastAsia" w:ascii="仿宋" w:hAnsi="仿宋" w:eastAsia="仿宋" w:cs="仿宋"/>
          <w:color w:val="auto"/>
          <w:sz w:val="21"/>
          <w:szCs w:val="21"/>
          <w:highlight w:val="none"/>
          <w:lang w:val="zh-CN" w:bidi="zh-CN"/>
        </w:rPr>
        <w:t xml:space="preserve"> 一方变更项目联系人的，应在</w:t>
      </w:r>
      <w:r>
        <w:rPr>
          <w:rFonts w:hint="eastAsia" w:ascii="仿宋" w:hAnsi="仿宋" w:eastAsia="仿宋" w:cs="仿宋"/>
          <w:color w:val="auto"/>
          <w:sz w:val="21"/>
          <w:szCs w:val="21"/>
          <w:highlight w:val="none"/>
          <w:u w:val="single"/>
          <w:lang w:val="zh-CN" w:bidi="zh-CN"/>
        </w:rPr>
        <w:t xml:space="preserve"> </w:t>
      </w:r>
      <w:r>
        <w:rPr>
          <w:rFonts w:hint="eastAsia" w:ascii="仿宋" w:hAnsi="仿宋" w:eastAsia="仿宋" w:cs="仿宋"/>
          <w:color w:val="auto"/>
          <w:sz w:val="21"/>
          <w:szCs w:val="21"/>
          <w:highlight w:val="none"/>
          <w:u w:val="single"/>
          <w:lang w:val="en-US" w:bidi="zh-CN"/>
        </w:rPr>
        <w:t>五</w:t>
      </w:r>
      <w:r>
        <w:rPr>
          <w:rFonts w:hint="eastAsia" w:ascii="仿宋" w:hAnsi="仿宋" w:eastAsia="仿宋" w:cs="仿宋"/>
          <w:color w:val="auto"/>
          <w:sz w:val="21"/>
          <w:szCs w:val="21"/>
          <w:highlight w:val="none"/>
          <w:lang w:val="zh-CN" w:bidi="zh-CN"/>
        </w:rPr>
        <w:t xml:space="preserve"> 日内以书面形式通知另一方。未及时通知并影响本合同履行或造成损失的，应承担相应的责任。</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3</w:t>
      </w:r>
      <w:r>
        <w:rPr>
          <w:rFonts w:hint="eastAsia" w:ascii="仿宋" w:hAnsi="仿宋" w:eastAsia="仿宋" w:cs="仿宋"/>
          <w:color w:val="auto"/>
          <w:sz w:val="21"/>
          <w:szCs w:val="21"/>
          <w:highlight w:val="none"/>
          <w:lang w:val="zh-CN" w:bidi="zh-CN"/>
        </w:rPr>
        <w:t>本合同下的通知应当用专人递交、挂号信、快递、电报、电传、传真或者电子邮件的方式发送至本合同开头所列的地址。如该通知以口头发出，则应尽快的在合理的时间内以书面方式向对方确认。如一方联系地址改变，则应当尽速书面告知对方。本合同中所列的地址即为甲、乙双方的收件地址。</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4</w:t>
      </w:r>
      <w:r>
        <w:rPr>
          <w:rFonts w:hint="eastAsia" w:ascii="仿宋" w:hAnsi="仿宋" w:eastAsia="仿宋" w:cs="仿宋"/>
          <w:color w:val="auto"/>
          <w:sz w:val="21"/>
          <w:szCs w:val="21"/>
          <w:highlight w:val="none"/>
          <w:lang w:val="zh-CN" w:bidi="zh-CN"/>
        </w:rPr>
        <w:t xml:space="preserve"> 本合同附件是属于本合同完整的一部分，如附件部分内容如与合同正文不一致，优先适用合同附件的规定。</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5</w:t>
      </w:r>
      <w:r>
        <w:rPr>
          <w:rFonts w:hint="eastAsia" w:ascii="仿宋" w:hAnsi="仿宋" w:eastAsia="仿宋" w:cs="仿宋"/>
          <w:color w:val="auto"/>
          <w:sz w:val="21"/>
          <w:szCs w:val="21"/>
          <w:highlight w:val="none"/>
          <w:lang w:val="zh-CN" w:bidi="zh-CN"/>
        </w:rPr>
        <w:t xml:space="preserve"> 本合同的修改应采取书面方式。</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6</w:t>
      </w:r>
      <w:r>
        <w:rPr>
          <w:rFonts w:hint="eastAsia" w:ascii="仿宋" w:hAnsi="仿宋" w:eastAsia="仿宋" w:cs="仿宋"/>
          <w:color w:val="auto"/>
          <w:sz w:val="21"/>
          <w:szCs w:val="21"/>
          <w:highlight w:val="none"/>
          <w:lang w:val="zh-CN" w:bidi="zh-CN"/>
        </w:rPr>
        <w:t xml:space="preserve"> 本合同经甲乙双方盖章后生效，一式八份，甲方执四份，乙方执四份，具有同等法律效力。</w:t>
      </w:r>
    </w:p>
    <w:p>
      <w:pPr>
        <w:widowControl w:val="0"/>
        <w:spacing w:after="0" w:line="288" w:lineRule="auto"/>
        <w:jc w:val="both"/>
        <w:rPr>
          <w:rFonts w:hint="eastAsia" w:ascii="仿宋" w:hAnsi="仿宋" w:eastAsia="仿宋" w:cs="仿宋"/>
          <w:color w:val="auto"/>
          <w:sz w:val="21"/>
          <w:szCs w:val="21"/>
          <w:highlight w:val="none"/>
          <w:lang w:val="zh-CN" w:bidi="zh-CN"/>
        </w:rPr>
      </w:pPr>
      <w:r>
        <w:rPr>
          <w:rFonts w:hint="eastAsia" w:ascii="仿宋" w:hAnsi="仿宋" w:eastAsia="仿宋" w:cs="仿宋"/>
          <w:color w:val="auto"/>
          <w:sz w:val="21"/>
          <w:szCs w:val="21"/>
          <w:highlight w:val="none"/>
          <w:lang w:val="zh-CN" w:bidi="zh-CN"/>
        </w:rPr>
        <w:t>1</w:t>
      </w:r>
      <w:r>
        <w:rPr>
          <w:rFonts w:hint="eastAsia" w:ascii="仿宋" w:hAnsi="仿宋" w:eastAsia="仿宋" w:cs="仿宋"/>
          <w:color w:val="auto"/>
          <w:sz w:val="21"/>
          <w:szCs w:val="21"/>
          <w:highlight w:val="none"/>
          <w:lang w:bidi="zh-CN"/>
        </w:rPr>
        <w:t>4</w:t>
      </w:r>
      <w:r>
        <w:rPr>
          <w:rFonts w:hint="eastAsia" w:ascii="仿宋" w:hAnsi="仿宋" w:eastAsia="仿宋" w:cs="仿宋"/>
          <w:color w:val="auto"/>
          <w:sz w:val="21"/>
          <w:szCs w:val="21"/>
          <w:highlight w:val="none"/>
          <w:lang w:val="zh-CN" w:bidi="zh-CN"/>
        </w:rPr>
        <w:t>.</w:t>
      </w:r>
      <w:r>
        <w:rPr>
          <w:rFonts w:hint="eastAsia" w:ascii="仿宋" w:hAnsi="仿宋" w:eastAsia="仿宋" w:cs="仿宋"/>
          <w:color w:val="auto"/>
          <w:sz w:val="21"/>
          <w:szCs w:val="21"/>
          <w:highlight w:val="none"/>
          <w:lang w:val="en-US" w:bidi="zh-CN"/>
        </w:rPr>
        <w:t>7</w:t>
      </w:r>
      <w:r>
        <w:rPr>
          <w:rFonts w:hint="eastAsia" w:ascii="仿宋" w:hAnsi="仿宋" w:eastAsia="仿宋" w:cs="仿宋"/>
          <w:color w:val="auto"/>
          <w:sz w:val="21"/>
          <w:szCs w:val="21"/>
          <w:highlight w:val="none"/>
          <w:lang w:val="zh-CN" w:bidi="zh-CN"/>
        </w:rPr>
        <w:t xml:space="preserve"> 本合同由双方授权代表于____年___月___日在 _________ 签订。</w:t>
      </w:r>
    </w:p>
    <w:p>
      <w:pPr>
        <w:widowControl w:val="0"/>
        <w:spacing w:after="0" w:line="288" w:lineRule="auto"/>
        <w:jc w:val="both"/>
        <w:rPr>
          <w:rFonts w:hint="eastAsia" w:ascii="仿宋" w:hAnsi="仿宋" w:eastAsia="仿宋" w:cs="仿宋"/>
          <w:color w:val="auto"/>
          <w:sz w:val="21"/>
          <w:szCs w:val="21"/>
          <w:highlight w:val="none"/>
          <w:lang w:val="zh-CN" w:bidi="zh-CN"/>
        </w:rPr>
      </w:pPr>
    </w:p>
    <w:tbl>
      <w:tblPr>
        <w:tblStyle w:val="24"/>
        <w:tblpPr w:leftFromText="180" w:rightFromText="180" w:vertAnchor="text" w:horzAnchor="page" w:tblpX="1664" w:tblpY="1397"/>
        <w:tblOverlap w:val="never"/>
        <w:tblW w:w="9379" w:type="dxa"/>
        <w:tblInd w:w="0" w:type="dxa"/>
        <w:tblLayout w:type="fixed"/>
        <w:tblCellMar>
          <w:top w:w="0" w:type="dxa"/>
          <w:left w:w="108" w:type="dxa"/>
          <w:bottom w:w="0" w:type="dxa"/>
          <w:right w:w="108" w:type="dxa"/>
        </w:tblCellMar>
      </w:tblPr>
      <w:tblGrid>
        <w:gridCol w:w="4635"/>
        <w:gridCol w:w="4744"/>
      </w:tblGrid>
      <w:tr>
        <w:tblPrEx>
          <w:tblCellMar>
            <w:top w:w="0" w:type="dxa"/>
            <w:left w:w="108" w:type="dxa"/>
            <w:bottom w:w="0" w:type="dxa"/>
            <w:right w:w="108" w:type="dxa"/>
          </w:tblCellMar>
        </w:tblPrEx>
        <w:trPr>
          <w:cantSplit/>
          <w:trHeight w:val="1282" w:hRule="exact"/>
        </w:trPr>
        <w:tc>
          <w:tcPr>
            <w:tcW w:w="4635"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甲方（</w:t>
            </w:r>
            <w:r>
              <w:rPr>
                <w:rFonts w:hint="eastAsia" w:ascii="仿宋" w:hAnsi="仿宋" w:eastAsia="仿宋" w:cs="仿宋"/>
                <w:b/>
                <w:bCs/>
                <w:color w:val="auto"/>
                <w:sz w:val="24"/>
                <w:highlight w:val="none"/>
                <w:lang w:val="en-US" w:eastAsia="zh-CN"/>
              </w:rPr>
              <w:t>盖章</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 xml:space="preserve"> </w:t>
            </w:r>
            <w:r>
              <w:rPr>
                <w:rFonts w:hint="eastAsia" w:ascii="仿宋" w:hAnsi="仿宋" w:eastAsia="仿宋" w:cs="仿宋"/>
                <w:color w:val="auto"/>
                <w:sz w:val="24"/>
                <w:highlight w:val="non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p>
        </w:tc>
        <w:tc>
          <w:tcPr>
            <w:tcW w:w="4744"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乙方（</w:t>
            </w:r>
            <w:r>
              <w:rPr>
                <w:rFonts w:hint="eastAsia" w:ascii="仿宋" w:hAnsi="仿宋" w:eastAsia="仿宋" w:cs="仿宋"/>
                <w:b/>
                <w:bCs/>
                <w:color w:val="auto"/>
                <w:sz w:val="24"/>
                <w:highlight w:val="none"/>
                <w:lang w:val="en-US" w:eastAsia="zh-CN"/>
              </w:rPr>
              <w:t>盖章</w:t>
            </w:r>
            <w:r>
              <w:rPr>
                <w:rFonts w:hint="eastAsia" w:ascii="仿宋" w:hAnsi="仿宋" w:eastAsia="仿宋" w:cs="仿宋"/>
                <w:b/>
                <w:bCs/>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bCs/>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555" w:hRule="exact"/>
        </w:trPr>
        <w:tc>
          <w:tcPr>
            <w:tcW w:w="4635"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授权代表（签字）：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tc>
        <w:tc>
          <w:tcPr>
            <w:tcW w:w="4744"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授权代表（签字）：</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555" w:hRule="exact"/>
        </w:trPr>
        <w:tc>
          <w:tcPr>
            <w:tcW w:w="4635"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签订日期：</w:t>
            </w:r>
          </w:p>
        </w:tc>
        <w:tc>
          <w:tcPr>
            <w:tcW w:w="4744" w:type="dxa"/>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签订日期：</w:t>
            </w:r>
          </w:p>
        </w:tc>
      </w:tr>
    </w:tbl>
    <w:p>
      <w:pPr>
        <w:pStyle w:val="13"/>
        <w:widowControl w:val="0"/>
        <w:spacing w:after="0" w:line="288"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br w:type="page"/>
      </w:r>
    </w:p>
    <w:p>
      <w:pPr>
        <w:pStyle w:val="13"/>
        <w:widowControl w:val="0"/>
        <w:spacing w:after="0" w:line="288" w:lineRule="auto"/>
        <w:rPr>
          <w:rFonts w:hint="eastAsia" w:ascii="仿宋" w:hAnsi="仿宋" w:eastAsia="仿宋" w:cs="仿宋"/>
          <w:color w:val="auto"/>
          <w:highlight w:val="none"/>
        </w:rPr>
      </w:pPr>
      <w:r>
        <w:rPr>
          <w:rFonts w:hint="eastAsia" w:ascii="仿宋" w:hAnsi="仿宋" w:eastAsia="仿宋" w:cs="仿宋"/>
          <w:b/>
          <w:color w:val="auto"/>
          <w:sz w:val="30"/>
          <w:szCs w:val="30"/>
          <w:highlight w:val="none"/>
        </w:rPr>
        <w:t>附件一</w:t>
      </w:r>
    </w:p>
    <w:p>
      <w:pPr>
        <w:widowControl w:val="0"/>
        <w:spacing w:after="0" w:line="288" w:lineRule="auto"/>
        <w:jc w:val="center"/>
        <w:rPr>
          <w:rFonts w:hint="eastAsia" w:ascii="仿宋" w:hAnsi="仿宋" w:eastAsia="仿宋" w:cs="仿宋"/>
          <w:color w:val="auto"/>
          <w:szCs w:val="28"/>
          <w:highlight w:val="none"/>
        </w:rPr>
      </w:pPr>
    </w:p>
    <w:p>
      <w:pPr>
        <w:widowControl w:val="0"/>
        <w:spacing w:after="0" w:line="288"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托 管 范 围</w:t>
      </w:r>
    </w:p>
    <w:p>
      <w:pPr>
        <w:widowControl w:val="0"/>
        <w:spacing w:after="0" w:line="288" w:lineRule="auto"/>
        <w:rPr>
          <w:rFonts w:hint="eastAsia" w:ascii="仿宋" w:hAnsi="仿宋" w:eastAsia="仿宋" w:cs="仿宋"/>
          <w:color w:val="auto"/>
          <w:highlight w:val="none"/>
        </w:rPr>
      </w:pPr>
    </w:p>
    <w:p>
      <w:pPr>
        <w:widowControl w:val="0"/>
        <w:spacing w:after="0" w:line="288" w:lineRule="auto"/>
        <w:rPr>
          <w:rFonts w:hint="eastAsia" w:ascii="仿宋" w:hAnsi="仿宋" w:eastAsia="仿宋" w:cs="仿宋"/>
          <w:color w:val="auto"/>
          <w:highlight w:val="none"/>
        </w:rPr>
      </w:pPr>
      <w:r>
        <w:rPr>
          <w:rFonts w:hint="eastAsia" w:ascii="仿宋" w:hAnsi="仿宋" w:eastAsia="仿宋" w:cs="仿宋"/>
          <w:color w:val="auto"/>
          <w:highlight w:val="none"/>
        </w:rPr>
        <w:t>用户名称：</w:t>
      </w:r>
    </w:p>
    <w:tbl>
      <w:tblPr>
        <w:tblStyle w:val="24"/>
        <w:tblpPr w:leftFromText="180" w:rightFromText="180" w:vertAnchor="text" w:horzAnchor="page" w:tblpX="1960" w:tblpY="13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930"/>
        <w:gridCol w:w="2694"/>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843"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2930"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道路名称</w:t>
            </w:r>
          </w:p>
        </w:tc>
        <w:tc>
          <w:tcPr>
            <w:tcW w:w="2694"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电表编号</w:t>
            </w:r>
          </w:p>
        </w:tc>
        <w:tc>
          <w:tcPr>
            <w:tcW w:w="2155"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43"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2930" w:type="dxa"/>
            <w:vAlign w:val="center"/>
          </w:tcPr>
          <w:p>
            <w:pPr>
              <w:widowControl w:val="0"/>
              <w:bidi/>
              <w:spacing w:after="0" w:line="288" w:lineRule="auto"/>
              <w:jc w:val="center"/>
              <w:rPr>
                <w:rFonts w:hint="eastAsia" w:ascii="仿宋" w:hAnsi="仿宋" w:eastAsia="仿宋" w:cs="仿宋"/>
                <w:color w:val="auto"/>
                <w:highlight w:val="none"/>
              </w:rPr>
            </w:pPr>
          </w:p>
        </w:tc>
        <w:tc>
          <w:tcPr>
            <w:tcW w:w="2694" w:type="dxa"/>
            <w:vAlign w:val="center"/>
          </w:tcPr>
          <w:p>
            <w:pPr>
              <w:widowControl w:val="0"/>
              <w:bidi/>
              <w:spacing w:after="0" w:line="288" w:lineRule="auto"/>
              <w:jc w:val="center"/>
              <w:rPr>
                <w:rFonts w:hint="eastAsia" w:ascii="仿宋" w:hAnsi="仿宋" w:eastAsia="仿宋" w:cs="仿宋"/>
                <w:color w:val="auto"/>
                <w:highlight w:val="none"/>
              </w:rPr>
            </w:pPr>
          </w:p>
        </w:tc>
        <w:tc>
          <w:tcPr>
            <w:tcW w:w="2155" w:type="dxa"/>
            <w:vAlign w:val="center"/>
          </w:tcPr>
          <w:p>
            <w:pPr>
              <w:widowControl w:val="0"/>
              <w:bidi/>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43"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2930" w:type="dxa"/>
            <w:vAlign w:val="center"/>
          </w:tcPr>
          <w:p>
            <w:pPr>
              <w:widowControl w:val="0"/>
              <w:bidi/>
              <w:spacing w:after="0" w:line="288" w:lineRule="auto"/>
              <w:jc w:val="center"/>
              <w:rPr>
                <w:rFonts w:hint="eastAsia" w:ascii="仿宋" w:hAnsi="仿宋" w:eastAsia="仿宋" w:cs="仿宋"/>
                <w:color w:val="auto"/>
                <w:highlight w:val="none"/>
              </w:rPr>
            </w:pPr>
          </w:p>
        </w:tc>
        <w:tc>
          <w:tcPr>
            <w:tcW w:w="2694" w:type="dxa"/>
            <w:vAlign w:val="center"/>
          </w:tcPr>
          <w:p>
            <w:pPr>
              <w:widowControl w:val="0"/>
              <w:bidi/>
              <w:spacing w:after="0" w:line="288" w:lineRule="auto"/>
              <w:jc w:val="center"/>
              <w:rPr>
                <w:rFonts w:hint="eastAsia" w:ascii="仿宋" w:hAnsi="仿宋" w:eastAsia="仿宋" w:cs="仿宋"/>
                <w:color w:val="auto"/>
                <w:highlight w:val="none"/>
              </w:rPr>
            </w:pPr>
          </w:p>
        </w:tc>
        <w:tc>
          <w:tcPr>
            <w:tcW w:w="2155" w:type="dxa"/>
            <w:vAlign w:val="center"/>
          </w:tcPr>
          <w:p>
            <w:pPr>
              <w:widowControl w:val="0"/>
              <w:bidi/>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843"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2930" w:type="dxa"/>
            <w:vAlign w:val="center"/>
          </w:tcPr>
          <w:p>
            <w:pPr>
              <w:widowControl w:val="0"/>
              <w:bidi/>
              <w:spacing w:after="0" w:line="288" w:lineRule="auto"/>
              <w:jc w:val="center"/>
              <w:rPr>
                <w:rFonts w:hint="eastAsia" w:ascii="仿宋" w:hAnsi="仿宋" w:eastAsia="仿宋" w:cs="仿宋"/>
                <w:color w:val="auto"/>
                <w:highlight w:val="none"/>
              </w:rPr>
            </w:pPr>
          </w:p>
        </w:tc>
        <w:tc>
          <w:tcPr>
            <w:tcW w:w="2694" w:type="dxa"/>
            <w:vAlign w:val="center"/>
          </w:tcPr>
          <w:p>
            <w:pPr>
              <w:widowControl w:val="0"/>
              <w:bidi/>
              <w:spacing w:after="0" w:line="288" w:lineRule="auto"/>
              <w:jc w:val="center"/>
              <w:rPr>
                <w:rFonts w:hint="eastAsia" w:ascii="仿宋" w:hAnsi="仿宋" w:eastAsia="仿宋" w:cs="仿宋"/>
                <w:color w:val="auto"/>
                <w:highlight w:val="none"/>
              </w:rPr>
            </w:pPr>
          </w:p>
        </w:tc>
        <w:tc>
          <w:tcPr>
            <w:tcW w:w="2155" w:type="dxa"/>
            <w:vAlign w:val="center"/>
          </w:tcPr>
          <w:p>
            <w:pPr>
              <w:widowControl w:val="0"/>
              <w:bidi/>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843"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2930" w:type="dxa"/>
            <w:vAlign w:val="center"/>
          </w:tcPr>
          <w:p>
            <w:pPr>
              <w:widowControl w:val="0"/>
              <w:bidi/>
              <w:spacing w:after="0" w:line="288" w:lineRule="auto"/>
              <w:jc w:val="center"/>
              <w:rPr>
                <w:rFonts w:hint="eastAsia" w:ascii="仿宋" w:hAnsi="仿宋" w:eastAsia="仿宋" w:cs="仿宋"/>
                <w:color w:val="auto"/>
                <w:highlight w:val="none"/>
              </w:rPr>
            </w:pPr>
          </w:p>
        </w:tc>
        <w:tc>
          <w:tcPr>
            <w:tcW w:w="2694" w:type="dxa"/>
            <w:vAlign w:val="center"/>
          </w:tcPr>
          <w:p>
            <w:pPr>
              <w:widowControl w:val="0"/>
              <w:bidi/>
              <w:spacing w:after="0" w:line="288" w:lineRule="auto"/>
              <w:jc w:val="center"/>
              <w:rPr>
                <w:rFonts w:hint="eastAsia" w:ascii="仿宋" w:hAnsi="仿宋" w:eastAsia="仿宋" w:cs="仿宋"/>
                <w:color w:val="auto"/>
                <w:highlight w:val="none"/>
              </w:rPr>
            </w:pPr>
          </w:p>
        </w:tc>
        <w:tc>
          <w:tcPr>
            <w:tcW w:w="2155" w:type="dxa"/>
            <w:vAlign w:val="center"/>
          </w:tcPr>
          <w:p>
            <w:pPr>
              <w:widowControl w:val="0"/>
              <w:bidi/>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843" w:type="dxa"/>
            <w:vAlign w:val="center"/>
          </w:tcPr>
          <w:p>
            <w:pPr>
              <w:widowControl w:val="0"/>
              <w:bidi/>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2930" w:type="dxa"/>
            <w:vAlign w:val="center"/>
          </w:tcPr>
          <w:p>
            <w:pPr>
              <w:widowControl w:val="0"/>
              <w:bidi/>
              <w:spacing w:after="0" w:line="288" w:lineRule="auto"/>
              <w:jc w:val="center"/>
              <w:rPr>
                <w:rFonts w:hint="eastAsia" w:ascii="仿宋" w:hAnsi="仿宋" w:eastAsia="仿宋" w:cs="仿宋"/>
                <w:color w:val="auto"/>
                <w:highlight w:val="none"/>
              </w:rPr>
            </w:pPr>
          </w:p>
        </w:tc>
        <w:tc>
          <w:tcPr>
            <w:tcW w:w="2694" w:type="dxa"/>
            <w:vAlign w:val="center"/>
          </w:tcPr>
          <w:p>
            <w:pPr>
              <w:widowControl w:val="0"/>
              <w:bidi/>
              <w:spacing w:after="0" w:line="288" w:lineRule="auto"/>
              <w:jc w:val="center"/>
              <w:rPr>
                <w:rFonts w:hint="eastAsia" w:ascii="仿宋" w:hAnsi="仿宋" w:eastAsia="仿宋" w:cs="仿宋"/>
                <w:color w:val="auto"/>
                <w:highlight w:val="none"/>
              </w:rPr>
            </w:pPr>
          </w:p>
        </w:tc>
        <w:tc>
          <w:tcPr>
            <w:tcW w:w="2155" w:type="dxa"/>
            <w:vAlign w:val="center"/>
          </w:tcPr>
          <w:p>
            <w:pPr>
              <w:widowControl w:val="0"/>
              <w:bidi/>
              <w:spacing w:after="0" w:line="288" w:lineRule="auto"/>
              <w:jc w:val="center"/>
              <w:rPr>
                <w:rFonts w:hint="eastAsia" w:ascii="仿宋" w:hAnsi="仿宋" w:eastAsia="仿宋" w:cs="仿宋"/>
                <w:color w:val="auto"/>
                <w:highlight w:val="none"/>
              </w:rPr>
            </w:pPr>
          </w:p>
        </w:tc>
      </w:tr>
    </w:tbl>
    <w:p>
      <w:pPr>
        <w:widowControl w:val="0"/>
        <w:spacing w:after="0" w:line="288" w:lineRule="auto"/>
        <w:rPr>
          <w:rFonts w:hint="eastAsia" w:ascii="仿宋" w:hAnsi="仿宋" w:eastAsia="仿宋" w:cs="仿宋"/>
          <w:color w:val="auto"/>
          <w:highlight w:val="none"/>
        </w:rPr>
      </w:pPr>
    </w:p>
    <w:p>
      <w:pPr>
        <w:widowControl w:val="0"/>
        <w:spacing w:after="0" w:line="288"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注：具体托管范围以</w:t>
      </w:r>
      <w:r>
        <w:rPr>
          <w:rFonts w:hint="eastAsia" w:ascii="仿宋" w:hAnsi="仿宋" w:eastAsia="仿宋" w:cs="仿宋"/>
          <w:b/>
          <w:bCs/>
          <w:color w:val="auto"/>
          <w:highlight w:val="none"/>
          <w:lang w:val="en-US" w:eastAsia="zh-CN"/>
        </w:rPr>
        <w:t>实际验收</w:t>
      </w:r>
      <w:r>
        <w:rPr>
          <w:rFonts w:hint="eastAsia" w:ascii="仿宋" w:hAnsi="仿宋" w:eastAsia="仿宋" w:cs="仿宋"/>
          <w:color w:val="auto"/>
          <w:highlight w:val="none"/>
          <w:lang w:val="en-US" w:eastAsia="zh-CN"/>
        </w:rPr>
        <w:t>数量为准。</w:t>
      </w:r>
    </w:p>
    <w:p>
      <w:pPr>
        <w:pStyle w:val="13"/>
        <w:widowControl w:val="0"/>
        <w:spacing w:after="0" w:line="288" w:lineRule="auto"/>
        <w:rPr>
          <w:rFonts w:hint="eastAsia" w:ascii="仿宋" w:hAnsi="仿宋" w:eastAsia="仿宋" w:cs="仿宋"/>
          <w:color w:val="auto"/>
          <w:highlight w:val="none"/>
        </w:rPr>
      </w:pPr>
    </w:p>
    <w:p>
      <w:pPr>
        <w:widowControl w:val="0"/>
        <w:spacing w:after="0" w:line="288" w:lineRule="auto"/>
        <w:rPr>
          <w:rFonts w:hint="eastAsia" w:ascii="仿宋" w:hAnsi="仿宋" w:eastAsia="仿宋" w:cs="仿宋"/>
          <w:color w:val="auto"/>
          <w:highlight w:val="none"/>
        </w:rPr>
      </w:pPr>
    </w:p>
    <w:p>
      <w:pPr>
        <w:pStyle w:val="78"/>
        <w:widowControl w:val="0"/>
        <w:spacing w:after="0" w:line="288" w:lineRule="auto"/>
        <w:rPr>
          <w:rFonts w:hint="eastAsia" w:ascii="仿宋" w:hAnsi="仿宋" w:eastAsia="仿宋" w:cs="仿宋"/>
          <w:color w:val="auto"/>
          <w:highlight w:val="none"/>
        </w:rPr>
      </w:pPr>
    </w:p>
    <w:p>
      <w:pPr>
        <w:pStyle w:val="13"/>
        <w:widowControl w:val="0"/>
        <w:spacing w:after="0" w:line="288" w:lineRule="auto"/>
        <w:rPr>
          <w:rFonts w:hint="eastAsia" w:ascii="仿宋" w:hAnsi="仿宋" w:eastAsia="仿宋" w:cs="仿宋"/>
          <w:color w:val="auto"/>
          <w:highlight w:val="none"/>
        </w:rPr>
      </w:pPr>
    </w:p>
    <w:p>
      <w:pPr>
        <w:widowControl w:val="0"/>
        <w:spacing w:after="0" w:line="288" w:lineRule="auto"/>
        <w:rPr>
          <w:rFonts w:hint="eastAsia" w:ascii="仿宋" w:hAnsi="仿宋" w:eastAsia="仿宋" w:cs="仿宋"/>
          <w:color w:val="auto"/>
          <w:highlight w:val="none"/>
        </w:rPr>
      </w:pPr>
    </w:p>
    <w:p>
      <w:pPr>
        <w:pStyle w:val="78"/>
        <w:widowControl w:val="0"/>
        <w:spacing w:after="0" w:line="288" w:lineRule="auto"/>
        <w:rPr>
          <w:rFonts w:hint="eastAsia" w:ascii="仿宋" w:hAnsi="仿宋" w:eastAsia="仿宋" w:cs="仿宋"/>
          <w:color w:val="auto"/>
          <w:highlight w:val="none"/>
        </w:rPr>
      </w:pPr>
    </w:p>
    <w:p>
      <w:pPr>
        <w:pStyle w:val="13"/>
        <w:widowControl w:val="0"/>
        <w:spacing w:after="0" w:line="288" w:lineRule="auto"/>
        <w:rPr>
          <w:rFonts w:hint="eastAsia" w:ascii="仿宋" w:hAnsi="仿宋" w:eastAsia="仿宋" w:cs="仿宋"/>
          <w:color w:val="auto"/>
          <w:highlight w:val="none"/>
        </w:rPr>
      </w:pPr>
    </w:p>
    <w:p>
      <w:pPr>
        <w:widowControl w:val="0"/>
        <w:spacing w:after="0" w:line="288" w:lineRule="auto"/>
        <w:rPr>
          <w:rFonts w:hint="eastAsia" w:ascii="仿宋" w:hAnsi="仿宋" w:eastAsia="仿宋" w:cs="仿宋"/>
          <w:color w:val="auto"/>
          <w:highlight w:val="none"/>
        </w:rPr>
      </w:pPr>
    </w:p>
    <w:p>
      <w:pPr>
        <w:pStyle w:val="78"/>
        <w:widowControl w:val="0"/>
        <w:spacing w:after="0" w:line="288" w:lineRule="auto"/>
        <w:rPr>
          <w:rFonts w:hint="eastAsia" w:ascii="仿宋" w:hAnsi="仿宋" w:eastAsia="仿宋" w:cs="仿宋"/>
          <w:color w:val="auto"/>
          <w:highlight w:val="none"/>
        </w:rPr>
      </w:pPr>
    </w:p>
    <w:p>
      <w:pPr>
        <w:pStyle w:val="78"/>
        <w:widowControl w:val="0"/>
        <w:spacing w:after="0" w:line="288" w:lineRule="auto"/>
        <w:rPr>
          <w:rFonts w:hint="eastAsia" w:ascii="仿宋" w:hAnsi="仿宋" w:eastAsia="仿宋" w:cs="仿宋"/>
          <w:color w:val="auto"/>
          <w:highlight w:val="none"/>
        </w:rPr>
      </w:pPr>
    </w:p>
    <w:p>
      <w:pPr>
        <w:pStyle w:val="1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13"/>
        <w:widowControl w:val="0"/>
        <w:spacing w:after="0" w:line="288"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附件二</w:t>
      </w:r>
    </w:p>
    <w:p>
      <w:pPr>
        <w:widowControl w:val="0"/>
        <w:spacing w:after="0" w:line="288" w:lineRule="auto"/>
        <w:jc w:val="center"/>
        <w:rPr>
          <w:rFonts w:hint="eastAsia" w:ascii="仿宋" w:hAnsi="仿宋" w:eastAsia="仿宋" w:cs="仿宋"/>
          <w:color w:val="auto"/>
          <w:szCs w:val="28"/>
          <w:highlight w:val="none"/>
        </w:rPr>
      </w:pPr>
    </w:p>
    <w:p>
      <w:pPr>
        <w:widowControl w:val="0"/>
        <w:spacing w:after="0" w:line="288"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托管期设备费用总支出明细</w:t>
      </w:r>
    </w:p>
    <w:p>
      <w:pPr>
        <w:pStyle w:val="78"/>
        <w:widowControl w:val="0"/>
        <w:spacing w:after="0" w:line="288" w:lineRule="auto"/>
        <w:rPr>
          <w:rFonts w:hint="eastAsia" w:ascii="仿宋" w:hAnsi="仿宋" w:eastAsia="仿宋" w:cs="仿宋"/>
          <w:color w:val="auto"/>
          <w:highlight w:val="none"/>
        </w:rPr>
      </w:pPr>
    </w:p>
    <w:p>
      <w:pPr>
        <w:pStyle w:val="13"/>
        <w:widowControl w:val="0"/>
        <w:spacing w:after="0" w:line="288" w:lineRule="auto"/>
        <w:rPr>
          <w:rFonts w:hint="eastAsia" w:ascii="仿宋" w:hAnsi="仿宋" w:eastAsia="仿宋" w:cs="仿宋"/>
          <w:color w:val="auto"/>
          <w:highlight w:val="none"/>
        </w:rPr>
      </w:pPr>
    </w:p>
    <w:tbl>
      <w:tblPr>
        <w:tblStyle w:val="24"/>
        <w:tblW w:w="83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841"/>
        <w:gridCol w:w="1290"/>
        <w:gridCol w:w="1069"/>
        <w:gridCol w:w="1211"/>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序号</w:t>
            </w:r>
          </w:p>
        </w:tc>
        <w:tc>
          <w:tcPr>
            <w:tcW w:w="184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设备名称</w:t>
            </w:r>
          </w:p>
        </w:tc>
        <w:tc>
          <w:tcPr>
            <w:tcW w:w="1290"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单价</w:t>
            </w:r>
          </w:p>
        </w:tc>
        <w:tc>
          <w:tcPr>
            <w:tcW w:w="1069"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数量</w:t>
            </w:r>
          </w:p>
        </w:tc>
        <w:tc>
          <w:tcPr>
            <w:tcW w:w="121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合计  （万元）</w:t>
            </w:r>
          </w:p>
        </w:tc>
        <w:tc>
          <w:tcPr>
            <w:tcW w:w="2212"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184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LED灯具</w:t>
            </w:r>
          </w:p>
        </w:tc>
        <w:tc>
          <w:tcPr>
            <w:tcW w:w="1290" w:type="dxa"/>
            <w:vAlign w:val="center"/>
          </w:tcPr>
          <w:p>
            <w:pPr>
              <w:widowControl w:val="0"/>
              <w:spacing w:after="0" w:line="288" w:lineRule="auto"/>
              <w:jc w:val="center"/>
              <w:rPr>
                <w:rFonts w:hint="eastAsia" w:ascii="仿宋" w:hAnsi="仿宋" w:eastAsia="仿宋" w:cs="仿宋"/>
                <w:color w:val="auto"/>
                <w:highlight w:val="none"/>
              </w:rPr>
            </w:pPr>
          </w:p>
        </w:tc>
        <w:tc>
          <w:tcPr>
            <w:tcW w:w="1069" w:type="dxa"/>
            <w:vAlign w:val="center"/>
          </w:tcPr>
          <w:p>
            <w:pPr>
              <w:widowControl w:val="0"/>
              <w:spacing w:after="0" w:line="288" w:lineRule="auto"/>
              <w:jc w:val="center"/>
              <w:rPr>
                <w:rFonts w:hint="eastAsia" w:ascii="仿宋" w:hAnsi="仿宋" w:eastAsia="仿宋" w:cs="仿宋"/>
                <w:color w:val="auto"/>
                <w:highlight w:val="none"/>
              </w:rPr>
            </w:pPr>
          </w:p>
        </w:tc>
        <w:tc>
          <w:tcPr>
            <w:tcW w:w="1211" w:type="dxa"/>
            <w:vAlign w:val="center"/>
          </w:tcPr>
          <w:p>
            <w:pPr>
              <w:widowControl w:val="0"/>
              <w:spacing w:after="0" w:line="288" w:lineRule="auto"/>
              <w:jc w:val="center"/>
              <w:rPr>
                <w:rFonts w:hint="eastAsia" w:ascii="仿宋" w:hAnsi="仿宋" w:eastAsia="仿宋" w:cs="仿宋"/>
                <w:color w:val="auto"/>
                <w:highlight w:val="none"/>
              </w:rPr>
            </w:pPr>
          </w:p>
        </w:tc>
        <w:tc>
          <w:tcPr>
            <w:tcW w:w="2212" w:type="dxa"/>
            <w:vAlign w:val="center"/>
          </w:tcPr>
          <w:p>
            <w:pPr>
              <w:widowControl w:val="0"/>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184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单灯控制器</w:t>
            </w:r>
          </w:p>
        </w:tc>
        <w:tc>
          <w:tcPr>
            <w:tcW w:w="1290" w:type="dxa"/>
            <w:vAlign w:val="center"/>
          </w:tcPr>
          <w:p>
            <w:pPr>
              <w:widowControl w:val="0"/>
              <w:spacing w:after="0" w:line="288" w:lineRule="auto"/>
              <w:jc w:val="center"/>
              <w:rPr>
                <w:rFonts w:hint="eastAsia" w:ascii="仿宋" w:hAnsi="仿宋" w:eastAsia="仿宋" w:cs="仿宋"/>
                <w:color w:val="auto"/>
                <w:highlight w:val="none"/>
              </w:rPr>
            </w:pPr>
          </w:p>
        </w:tc>
        <w:tc>
          <w:tcPr>
            <w:tcW w:w="1069" w:type="dxa"/>
            <w:vAlign w:val="center"/>
          </w:tcPr>
          <w:p>
            <w:pPr>
              <w:widowControl w:val="0"/>
              <w:spacing w:after="0" w:line="288" w:lineRule="auto"/>
              <w:jc w:val="center"/>
              <w:rPr>
                <w:rFonts w:hint="eastAsia" w:ascii="仿宋" w:hAnsi="仿宋" w:eastAsia="仿宋" w:cs="仿宋"/>
                <w:color w:val="auto"/>
                <w:highlight w:val="none"/>
              </w:rPr>
            </w:pPr>
          </w:p>
        </w:tc>
        <w:tc>
          <w:tcPr>
            <w:tcW w:w="1211" w:type="dxa"/>
            <w:vAlign w:val="center"/>
          </w:tcPr>
          <w:p>
            <w:pPr>
              <w:widowControl w:val="0"/>
              <w:spacing w:after="0" w:line="288" w:lineRule="auto"/>
              <w:jc w:val="center"/>
              <w:rPr>
                <w:rFonts w:hint="eastAsia" w:ascii="仿宋" w:hAnsi="仿宋" w:eastAsia="仿宋" w:cs="仿宋"/>
                <w:color w:val="auto"/>
                <w:highlight w:val="none"/>
              </w:rPr>
            </w:pPr>
          </w:p>
        </w:tc>
        <w:tc>
          <w:tcPr>
            <w:tcW w:w="2212" w:type="dxa"/>
            <w:vAlign w:val="center"/>
          </w:tcPr>
          <w:p>
            <w:pPr>
              <w:widowControl w:val="0"/>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3</w:t>
            </w:r>
          </w:p>
        </w:tc>
        <w:tc>
          <w:tcPr>
            <w:tcW w:w="184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智能终端</w:t>
            </w:r>
          </w:p>
        </w:tc>
        <w:tc>
          <w:tcPr>
            <w:tcW w:w="1290" w:type="dxa"/>
            <w:vAlign w:val="center"/>
          </w:tcPr>
          <w:p>
            <w:pPr>
              <w:widowControl w:val="0"/>
              <w:spacing w:after="0" w:line="288" w:lineRule="auto"/>
              <w:jc w:val="center"/>
              <w:rPr>
                <w:rFonts w:hint="eastAsia" w:ascii="仿宋" w:hAnsi="仿宋" w:eastAsia="仿宋" w:cs="仿宋"/>
                <w:color w:val="auto"/>
                <w:highlight w:val="none"/>
              </w:rPr>
            </w:pPr>
          </w:p>
        </w:tc>
        <w:tc>
          <w:tcPr>
            <w:tcW w:w="1069" w:type="dxa"/>
            <w:vAlign w:val="center"/>
          </w:tcPr>
          <w:p>
            <w:pPr>
              <w:widowControl w:val="0"/>
              <w:spacing w:after="0" w:line="288" w:lineRule="auto"/>
              <w:jc w:val="center"/>
              <w:rPr>
                <w:rFonts w:hint="eastAsia" w:ascii="仿宋" w:hAnsi="仿宋" w:eastAsia="仿宋" w:cs="仿宋"/>
                <w:color w:val="auto"/>
                <w:highlight w:val="none"/>
              </w:rPr>
            </w:pPr>
          </w:p>
        </w:tc>
        <w:tc>
          <w:tcPr>
            <w:tcW w:w="1211" w:type="dxa"/>
            <w:vAlign w:val="center"/>
          </w:tcPr>
          <w:p>
            <w:pPr>
              <w:widowControl w:val="0"/>
              <w:spacing w:after="0" w:line="288" w:lineRule="auto"/>
              <w:jc w:val="center"/>
              <w:rPr>
                <w:rFonts w:hint="eastAsia" w:ascii="仿宋" w:hAnsi="仿宋" w:eastAsia="仿宋" w:cs="仿宋"/>
                <w:color w:val="auto"/>
                <w:highlight w:val="none"/>
              </w:rPr>
            </w:pPr>
          </w:p>
        </w:tc>
        <w:tc>
          <w:tcPr>
            <w:tcW w:w="2212" w:type="dxa"/>
            <w:vAlign w:val="center"/>
          </w:tcPr>
          <w:p>
            <w:pPr>
              <w:widowControl w:val="0"/>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4</w:t>
            </w:r>
          </w:p>
        </w:tc>
        <w:tc>
          <w:tcPr>
            <w:tcW w:w="184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光伏+储能</w:t>
            </w:r>
          </w:p>
        </w:tc>
        <w:tc>
          <w:tcPr>
            <w:tcW w:w="1290" w:type="dxa"/>
            <w:vAlign w:val="center"/>
          </w:tcPr>
          <w:p>
            <w:pPr>
              <w:widowControl w:val="0"/>
              <w:spacing w:after="0" w:line="288" w:lineRule="auto"/>
              <w:jc w:val="center"/>
              <w:rPr>
                <w:rFonts w:hint="eastAsia" w:ascii="仿宋" w:hAnsi="仿宋" w:eastAsia="仿宋" w:cs="仿宋"/>
                <w:color w:val="auto"/>
                <w:highlight w:val="none"/>
              </w:rPr>
            </w:pPr>
          </w:p>
        </w:tc>
        <w:tc>
          <w:tcPr>
            <w:tcW w:w="1069" w:type="dxa"/>
            <w:vAlign w:val="center"/>
          </w:tcPr>
          <w:p>
            <w:pPr>
              <w:widowControl w:val="0"/>
              <w:spacing w:after="0" w:line="288" w:lineRule="auto"/>
              <w:jc w:val="center"/>
              <w:rPr>
                <w:rFonts w:hint="eastAsia" w:ascii="仿宋" w:hAnsi="仿宋" w:eastAsia="仿宋" w:cs="仿宋"/>
                <w:color w:val="auto"/>
                <w:highlight w:val="none"/>
              </w:rPr>
            </w:pPr>
          </w:p>
        </w:tc>
        <w:tc>
          <w:tcPr>
            <w:tcW w:w="1211" w:type="dxa"/>
            <w:vAlign w:val="center"/>
          </w:tcPr>
          <w:p>
            <w:pPr>
              <w:widowControl w:val="0"/>
              <w:spacing w:after="0" w:line="288" w:lineRule="auto"/>
              <w:jc w:val="center"/>
              <w:rPr>
                <w:rFonts w:hint="eastAsia" w:ascii="仿宋" w:hAnsi="仿宋" w:eastAsia="仿宋" w:cs="仿宋"/>
                <w:color w:val="auto"/>
                <w:highlight w:val="none"/>
              </w:rPr>
            </w:pPr>
          </w:p>
        </w:tc>
        <w:tc>
          <w:tcPr>
            <w:tcW w:w="2212" w:type="dxa"/>
            <w:vAlign w:val="center"/>
          </w:tcPr>
          <w:p>
            <w:pPr>
              <w:widowControl w:val="0"/>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5</w:t>
            </w:r>
          </w:p>
        </w:tc>
        <w:tc>
          <w:tcPr>
            <w:tcW w:w="1841" w:type="dxa"/>
            <w:vAlign w:val="center"/>
          </w:tcPr>
          <w:p>
            <w:pPr>
              <w:widowControl w:val="0"/>
              <w:spacing w:after="0" w:line="288"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总计（万元）</w:t>
            </w:r>
          </w:p>
        </w:tc>
        <w:tc>
          <w:tcPr>
            <w:tcW w:w="1290" w:type="dxa"/>
            <w:vAlign w:val="center"/>
          </w:tcPr>
          <w:p>
            <w:pPr>
              <w:widowControl w:val="0"/>
              <w:spacing w:after="0" w:line="288" w:lineRule="auto"/>
              <w:jc w:val="center"/>
              <w:rPr>
                <w:rFonts w:hint="eastAsia" w:ascii="仿宋" w:hAnsi="仿宋" w:eastAsia="仿宋" w:cs="仿宋"/>
                <w:color w:val="auto"/>
                <w:highlight w:val="none"/>
              </w:rPr>
            </w:pPr>
          </w:p>
        </w:tc>
        <w:tc>
          <w:tcPr>
            <w:tcW w:w="1069" w:type="dxa"/>
            <w:vAlign w:val="center"/>
          </w:tcPr>
          <w:p>
            <w:pPr>
              <w:widowControl w:val="0"/>
              <w:spacing w:after="0" w:line="288" w:lineRule="auto"/>
              <w:jc w:val="center"/>
              <w:rPr>
                <w:rFonts w:hint="eastAsia" w:ascii="仿宋" w:hAnsi="仿宋" w:eastAsia="仿宋" w:cs="仿宋"/>
                <w:color w:val="auto"/>
                <w:highlight w:val="none"/>
              </w:rPr>
            </w:pPr>
          </w:p>
        </w:tc>
        <w:tc>
          <w:tcPr>
            <w:tcW w:w="1211" w:type="dxa"/>
            <w:vAlign w:val="center"/>
          </w:tcPr>
          <w:p>
            <w:pPr>
              <w:widowControl w:val="0"/>
              <w:spacing w:after="0" w:line="288" w:lineRule="auto"/>
              <w:jc w:val="center"/>
              <w:rPr>
                <w:rFonts w:hint="eastAsia" w:ascii="仿宋" w:hAnsi="仿宋" w:eastAsia="仿宋" w:cs="仿宋"/>
                <w:color w:val="auto"/>
                <w:highlight w:val="none"/>
              </w:rPr>
            </w:pPr>
          </w:p>
        </w:tc>
        <w:tc>
          <w:tcPr>
            <w:tcW w:w="2212" w:type="dxa"/>
            <w:vAlign w:val="center"/>
          </w:tcPr>
          <w:p>
            <w:pPr>
              <w:widowControl w:val="0"/>
              <w:spacing w:after="0" w:line="288"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66" w:type="dxa"/>
            <w:vAlign w:val="center"/>
          </w:tcPr>
          <w:p>
            <w:pPr>
              <w:widowControl w:val="0"/>
              <w:spacing w:after="0" w:line="288" w:lineRule="auto"/>
              <w:jc w:val="center"/>
              <w:rPr>
                <w:rFonts w:hint="eastAsia" w:ascii="仿宋" w:hAnsi="仿宋" w:eastAsia="仿宋" w:cs="仿宋"/>
                <w:color w:val="auto"/>
                <w:highlight w:val="none"/>
              </w:rPr>
            </w:pPr>
          </w:p>
        </w:tc>
        <w:tc>
          <w:tcPr>
            <w:tcW w:w="1841" w:type="dxa"/>
            <w:vAlign w:val="center"/>
          </w:tcPr>
          <w:p>
            <w:pPr>
              <w:widowControl w:val="0"/>
              <w:spacing w:after="0" w:line="288" w:lineRule="auto"/>
              <w:rPr>
                <w:rFonts w:hint="eastAsia" w:ascii="仿宋" w:hAnsi="仿宋" w:eastAsia="仿宋" w:cs="仿宋"/>
                <w:color w:val="auto"/>
                <w:highlight w:val="none"/>
              </w:rPr>
            </w:pPr>
          </w:p>
        </w:tc>
        <w:tc>
          <w:tcPr>
            <w:tcW w:w="1290" w:type="dxa"/>
            <w:vAlign w:val="center"/>
          </w:tcPr>
          <w:p>
            <w:pPr>
              <w:widowControl w:val="0"/>
              <w:spacing w:after="0" w:line="288" w:lineRule="auto"/>
              <w:rPr>
                <w:rFonts w:hint="eastAsia" w:ascii="仿宋" w:hAnsi="仿宋" w:eastAsia="仿宋" w:cs="仿宋"/>
                <w:color w:val="auto"/>
                <w:highlight w:val="none"/>
              </w:rPr>
            </w:pPr>
          </w:p>
        </w:tc>
        <w:tc>
          <w:tcPr>
            <w:tcW w:w="1069" w:type="dxa"/>
            <w:vAlign w:val="center"/>
          </w:tcPr>
          <w:p>
            <w:pPr>
              <w:widowControl w:val="0"/>
              <w:spacing w:after="0" w:line="288" w:lineRule="auto"/>
              <w:rPr>
                <w:rFonts w:hint="eastAsia" w:ascii="仿宋" w:hAnsi="仿宋" w:eastAsia="仿宋" w:cs="仿宋"/>
                <w:color w:val="auto"/>
                <w:highlight w:val="none"/>
              </w:rPr>
            </w:pPr>
          </w:p>
        </w:tc>
        <w:tc>
          <w:tcPr>
            <w:tcW w:w="1211" w:type="dxa"/>
            <w:vAlign w:val="center"/>
          </w:tcPr>
          <w:p>
            <w:pPr>
              <w:widowControl w:val="0"/>
              <w:spacing w:after="0" w:line="288" w:lineRule="auto"/>
              <w:rPr>
                <w:rFonts w:hint="eastAsia" w:ascii="仿宋" w:hAnsi="仿宋" w:eastAsia="仿宋" w:cs="仿宋"/>
                <w:color w:val="auto"/>
                <w:highlight w:val="none"/>
              </w:rPr>
            </w:pPr>
          </w:p>
        </w:tc>
        <w:tc>
          <w:tcPr>
            <w:tcW w:w="2212" w:type="dxa"/>
            <w:vAlign w:val="center"/>
          </w:tcPr>
          <w:p>
            <w:pPr>
              <w:widowControl w:val="0"/>
              <w:spacing w:after="0" w:line="288" w:lineRule="auto"/>
              <w:jc w:val="center"/>
              <w:rPr>
                <w:rFonts w:hint="eastAsia" w:ascii="仿宋" w:hAnsi="仿宋" w:eastAsia="仿宋" w:cs="仿宋"/>
                <w:color w:val="auto"/>
                <w:highlight w:val="none"/>
              </w:rPr>
            </w:pPr>
          </w:p>
        </w:tc>
      </w:tr>
    </w:tbl>
    <w:p>
      <w:pPr>
        <w:widowControl w:val="0"/>
        <w:spacing w:after="0" w:line="288" w:lineRule="auto"/>
        <w:rPr>
          <w:rFonts w:hint="eastAsia" w:ascii="仿宋" w:hAnsi="仿宋" w:eastAsia="仿宋" w:cs="仿宋"/>
          <w:color w:val="auto"/>
          <w:highlight w:val="none"/>
        </w:rPr>
      </w:pPr>
    </w:p>
    <w:p>
      <w:pPr>
        <w:pStyle w:val="2"/>
        <w:widowControl w:val="0"/>
        <w:spacing w:line="288" w:lineRule="auto"/>
        <w:ind w:left="0" w:leftChars="0" w:firstLine="0" w:firstLineChars="0"/>
        <w:jc w:val="left"/>
        <w:rPr>
          <w:rFonts w:hint="eastAsia" w:ascii="仿宋" w:hAnsi="仿宋" w:eastAsia="仿宋" w:cs="仿宋"/>
          <w:snapToGrid/>
          <w:color w:val="auto"/>
          <w:kern w:val="0"/>
          <w:sz w:val="24"/>
          <w:szCs w:val="24"/>
          <w:highlight w:val="none"/>
          <w:lang w:val="en-US" w:eastAsia="zh-CN" w:bidi="ar-SA"/>
        </w:rPr>
      </w:pPr>
      <w:r>
        <w:rPr>
          <w:rFonts w:hint="eastAsia" w:ascii="仿宋" w:hAnsi="仿宋" w:eastAsia="仿宋" w:cs="仿宋"/>
          <w:snapToGrid/>
          <w:color w:val="auto"/>
          <w:kern w:val="0"/>
          <w:sz w:val="24"/>
          <w:szCs w:val="24"/>
          <w:highlight w:val="none"/>
          <w:lang w:val="en-US" w:eastAsia="zh-CN" w:bidi="ar-SA"/>
        </w:rPr>
        <w:t>注：具体设备数量以实际验收数量为准。</w:t>
      </w:r>
    </w:p>
    <w:p>
      <w:pPr>
        <w:widowControl w:val="0"/>
        <w:spacing w:after="0" w:line="288" w:lineRule="auto"/>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276" w:lineRule="auto"/>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jc w:val="both"/>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附件</w:t>
      </w:r>
      <w:r>
        <w:rPr>
          <w:rFonts w:hint="eastAsia" w:ascii="仿宋" w:hAnsi="仿宋" w:eastAsia="仿宋" w:cs="仿宋"/>
          <w:b/>
          <w:color w:val="auto"/>
          <w:sz w:val="30"/>
          <w:szCs w:val="30"/>
          <w:highlight w:val="none"/>
          <w:lang w:val="en-US" w:eastAsia="zh-CN"/>
        </w:rPr>
        <w:t>三</w:t>
      </w:r>
    </w:p>
    <w:p>
      <w:pPr>
        <w:widowControl w:val="0"/>
        <w:spacing w:after="0" w:line="288"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用能设备改造方案</w:t>
      </w:r>
      <w:r>
        <w:rPr>
          <w:rFonts w:hint="eastAsia" w:ascii="仿宋" w:hAnsi="仿宋" w:eastAsia="仿宋" w:cs="仿宋"/>
          <w:b/>
          <w:color w:val="auto"/>
          <w:sz w:val="30"/>
          <w:szCs w:val="30"/>
          <w:highlight w:val="none"/>
        </w:rPr>
        <w:t>审核表</w:t>
      </w:r>
    </w:p>
    <w:p>
      <w:pPr>
        <w:spacing w:after="0"/>
        <w:jc w:val="center"/>
        <w:rPr>
          <w:rFonts w:hint="eastAsia" w:ascii="仿宋" w:hAnsi="仿宋" w:eastAsia="仿宋" w:cs="仿宋"/>
          <w:color w:val="auto"/>
          <w:sz w:val="35"/>
          <w:highlight w:val="none"/>
          <w:lang w:val="en-US" w:eastAsia="zh-CN"/>
        </w:rPr>
      </w:pPr>
      <w:r>
        <w:rPr>
          <w:rFonts w:hint="eastAsia" w:ascii="仿宋" w:hAnsi="仿宋" w:eastAsia="仿宋" w:cs="仿宋"/>
          <w:color w:val="auto"/>
          <w:sz w:val="35"/>
          <w:highlight w:val="none"/>
          <w:lang w:val="en-US" w:eastAsia="zh-CN"/>
        </w:rPr>
        <w:t xml:space="preserve">                              </w:t>
      </w:r>
    </w:p>
    <w:p>
      <w:pPr>
        <w:spacing w:after="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35"/>
          <w:highlight w:val="none"/>
          <w:lang w:val="en-US" w:eastAsia="zh-CN"/>
        </w:rPr>
        <w:t xml:space="preserve">                          </w:t>
      </w:r>
      <w:r>
        <w:rPr>
          <w:rFonts w:hint="eastAsia" w:ascii="仿宋" w:hAnsi="仿宋" w:eastAsia="仿宋" w:cs="仿宋"/>
          <w:color w:val="auto"/>
          <w:sz w:val="24"/>
          <w:szCs w:val="24"/>
          <w:highlight w:val="none"/>
          <w:lang w:val="en-US" w:eastAsia="zh-CN"/>
        </w:rPr>
        <w:t>编号:</w:t>
      </w:r>
    </w:p>
    <w:p>
      <w:pPr>
        <w:spacing w:after="0"/>
        <w:jc w:val="center"/>
        <w:rPr>
          <w:rFonts w:hint="eastAsia" w:ascii="仿宋" w:hAnsi="仿宋" w:eastAsia="仿宋" w:cs="仿宋"/>
          <w:color w:val="auto"/>
          <w:sz w:val="24"/>
          <w:highlight w:val="none"/>
          <w:lang w:val="en-US" w:eastAsia="zh-CN"/>
        </w:rPr>
      </w:pPr>
    </w:p>
    <w:tbl>
      <w:tblPr>
        <w:tblStyle w:val="24"/>
        <w:tblW w:w="9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7"/>
        <w:gridCol w:w="7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667" w:type="dxa"/>
            <w:tcBorders>
              <w:top w:val="single" w:color="auto" w:sz="8" w:space="0"/>
              <w:left w:val="single" w:color="auto" w:sz="8" w:space="0"/>
            </w:tcBorders>
            <w:noWrap w:val="0"/>
            <w:vAlign w:val="center"/>
          </w:tcPr>
          <w:p>
            <w:pPr>
              <w:spacing w:after="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项目</w:t>
            </w:r>
            <w:r>
              <w:rPr>
                <w:rFonts w:hint="eastAsia" w:ascii="仿宋" w:hAnsi="仿宋" w:eastAsia="仿宋" w:cs="仿宋"/>
                <w:color w:val="auto"/>
                <w:sz w:val="24"/>
                <w:szCs w:val="24"/>
                <w:highlight w:val="none"/>
              </w:rPr>
              <w:t>名称</w:t>
            </w:r>
          </w:p>
        </w:tc>
        <w:tc>
          <w:tcPr>
            <w:tcW w:w="7787" w:type="dxa"/>
            <w:tcBorders>
              <w:top w:val="single" w:color="auto" w:sz="8" w:space="0"/>
              <w:right w:val="single" w:color="auto" w:sz="8" w:space="0"/>
            </w:tcBorders>
            <w:noWrap w:val="0"/>
            <w:vAlign w:val="center"/>
          </w:tcPr>
          <w:p>
            <w:pPr>
              <w:spacing w:after="0"/>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8" w:hRule="atLeast"/>
          <w:jc w:val="center"/>
        </w:trPr>
        <w:tc>
          <w:tcPr>
            <w:tcW w:w="9454" w:type="dxa"/>
            <w:gridSpan w:val="2"/>
            <w:tcBorders>
              <w:left w:val="single" w:color="auto" w:sz="8" w:space="0"/>
              <w:right w:val="single" w:color="auto" w:sz="8" w:space="0"/>
            </w:tcBorders>
            <w:noWrap w:val="0"/>
            <w:vAlign w:val="top"/>
          </w:tcPr>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改造方案简述：</w:t>
            </w:r>
          </w:p>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包括</w:t>
            </w:r>
            <w:r>
              <w:rPr>
                <w:rFonts w:hint="eastAsia" w:ascii="仿宋" w:hAnsi="仿宋" w:eastAsia="仿宋" w:cs="仿宋"/>
                <w:color w:val="auto"/>
                <w:sz w:val="24"/>
                <w:szCs w:val="24"/>
                <w:highlight w:val="none"/>
              </w:rPr>
              <w:t>相关设备或设施进行添加、替换、去除、改造，或者是对相关操作、维护程序和方法进行修改</w:t>
            </w:r>
            <w:r>
              <w:rPr>
                <w:rFonts w:hint="eastAsia" w:ascii="仿宋" w:hAnsi="仿宋" w:eastAsia="仿宋" w:cs="仿宋"/>
                <w:color w:val="auto"/>
                <w:sz w:val="24"/>
                <w:szCs w:val="24"/>
                <w:highlight w:val="none"/>
                <w:lang w:val="en-US" w:eastAsia="zh-CN"/>
              </w:rPr>
              <w:t>的方案</w:t>
            </w:r>
            <w:r>
              <w:rPr>
                <w:rFonts w:hint="eastAsia" w:ascii="仿宋" w:hAnsi="仿宋" w:eastAsia="仿宋" w:cs="仿宋"/>
                <w:color w:val="auto"/>
                <w:sz w:val="24"/>
                <w:szCs w:val="24"/>
                <w:highlight w:val="none"/>
                <w:lang w:eastAsia="zh-CN"/>
              </w:rPr>
              <w:t>）</w:t>
            </w:r>
          </w:p>
          <w:p>
            <w:pPr>
              <w:spacing w:after="0"/>
              <w:rPr>
                <w:rFonts w:hint="eastAsia" w:ascii="仿宋" w:hAnsi="仿宋" w:eastAsia="仿宋" w:cs="仿宋"/>
                <w:color w:val="auto"/>
                <w:sz w:val="24"/>
                <w:szCs w:val="24"/>
                <w:highlight w:val="none"/>
              </w:rPr>
            </w:pPr>
          </w:p>
          <w:p>
            <w:pPr>
              <w:spacing w:after="0"/>
              <w:rPr>
                <w:rFonts w:hint="eastAsia" w:ascii="仿宋" w:hAnsi="仿宋" w:eastAsia="仿宋" w:cs="仿宋"/>
                <w:color w:val="auto"/>
                <w:sz w:val="24"/>
                <w:szCs w:val="24"/>
                <w:highlight w:val="none"/>
              </w:rPr>
            </w:pPr>
          </w:p>
          <w:p>
            <w:pPr>
              <w:spacing w:after="0"/>
              <w:rPr>
                <w:rFonts w:hint="eastAsia" w:ascii="仿宋" w:hAnsi="仿宋" w:eastAsia="仿宋" w:cs="仿宋"/>
                <w:color w:val="auto"/>
                <w:sz w:val="24"/>
                <w:szCs w:val="24"/>
                <w:highlight w:val="none"/>
              </w:rPr>
            </w:pPr>
          </w:p>
          <w:p>
            <w:pPr>
              <w:spacing w:after="0"/>
              <w:rPr>
                <w:rFonts w:hint="eastAsia" w:ascii="仿宋" w:hAnsi="仿宋" w:eastAsia="仿宋" w:cs="仿宋"/>
                <w:color w:val="auto"/>
                <w:sz w:val="24"/>
                <w:szCs w:val="24"/>
                <w:highlight w:val="none"/>
              </w:rPr>
            </w:pPr>
          </w:p>
          <w:p>
            <w:pPr>
              <w:spacing w:after="0"/>
              <w:rPr>
                <w:rFonts w:hint="eastAsia" w:ascii="仿宋" w:hAnsi="仿宋" w:eastAsia="仿宋" w:cs="仿宋"/>
                <w:color w:val="auto"/>
                <w:sz w:val="24"/>
                <w:szCs w:val="24"/>
                <w:highlight w:val="none"/>
              </w:rPr>
            </w:pPr>
          </w:p>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pPr>
              <w:spacing w:after="0"/>
              <w:ind w:firstLine="5520" w:firstLineChars="2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申报</w:t>
            </w:r>
            <w:r>
              <w:rPr>
                <w:rFonts w:hint="eastAsia" w:ascii="仿宋" w:hAnsi="仿宋" w:eastAsia="仿宋" w:cs="仿宋"/>
                <w:color w:val="auto"/>
                <w:sz w:val="24"/>
                <w:szCs w:val="24"/>
                <w:highlight w:val="none"/>
                <w:lang w:val="en-US" w:eastAsia="zh-CN"/>
              </w:rPr>
              <w:t>单位</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盖章</w:t>
            </w:r>
            <w:r>
              <w:rPr>
                <w:rFonts w:hint="eastAsia" w:ascii="仿宋" w:hAnsi="仿宋" w:eastAsia="仿宋" w:cs="仿宋"/>
                <w:color w:val="auto"/>
                <w:sz w:val="24"/>
                <w:szCs w:val="24"/>
                <w:highlight w:val="none"/>
                <w:lang w:eastAsia="zh-CN"/>
              </w:rPr>
              <w:t>）</w:t>
            </w:r>
          </w:p>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申报人：</w:t>
            </w:r>
          </w:p>
          <w:p>
            <w:pPr>
              <w:spacing w:after="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日期：</w:t>
            </w:r>
            <w:r>
              <w:rPr>
                <w:rFonts w:hint="eastAsia" w:ascii="仿宋" w:hAnsi="仿宋" w:eastAsia="仿宋" w:cs="仿宋"/>
                <w:color w:val="auto"/>
                <w:sz w:val="24"/>
                <w:szCs w:val="24"/>
                <w:highlight w:val="none"/>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1" w:hRule="atLeast"/>
          <w:jc w:val="center"/>
        </w:trPr>
        <w:tc>
          <w:tcPr>
            <w:tcW w:w="9454" w:type="dxa"/>
            <w:gridSpan w:val="2"/>
            <w:tcBorders>
              <w:left w:val="single" w:color="auto" w:sz="8" w:space="0"/>
              <w:right w:val="single" w:color="auto" w:sz="8" w:space="0"/>
            </w:tcBorders>
            <w:noWrap w:val="0"/>
            <w:vAlign w:val="top"/>
          </w:tcPr>
          <w:p>
            <w:pPr>
              <w:spacing w:after="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业主</w:t>
            </w:r>
            <w:r>
              <w:rPr>
                <w:rFonts w:hint="eastAsia" w:ascii="仿宋" w:hAnsi="仿宋" w:eastAsia="仿宋" w:cs="仿宋"/>
                <w:color w:val="auto"/>
                <w:sz w:val="24"/>
                <w:szCs w:val="24"/>
                <w:highlight w:val="none"/>
              </w:rPr>
              <w:t>单位审核意见：</w:t>
            </w:r>
          </w:p>
          <w:p>
            <w:pPr>
              <w:spacing w:after="0"/>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□同意</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不同意改项目改造方案</w:t>
            </w:r>
            <w:r>
              <w:rPr>
                <w:rFonts w:hint="eastAsia" w:ascii="仿宋" w:hAnsi="仿宋" w:eastAsia="仿宋" w:cs="仿宋"/>
                <w:color w:val="auto"/>
                <w:sz w:val="24"/>
                <w:szCs w:val="24"/>
                <w:highlight w:val="none"/>
              </w:rPr>
              <w:t>申报。</w:t>
            </w:r>
          </w:p>
          <w:p>
            <w:pPr>
              <w:spacing w:after="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en-US" w:eastAsia="zh-CN"/>
              </w:rPr>
              <w:t xml:space="preserve">                             </w:t>
            </w:r>
          </w:p>
          <w:p>
            <w:pPr>
              <w:spacing w:after="0"/>
              <w:ind w:firstLine="5040" w:firstLineChars="21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p>
          <w:p>
            <w:pPr>
              <w:spacing w:after="0"/>
              <w:ind w:firstLine="5040" w:firstLineChars="2100"/>
              <w:jc w:val="left"/>
              <w:rPr>
                <w:rFonts w:hint="eastAsia" w:ascii="仿宋" w:hAnsi="仿宋" w:eastAsia="仿宋" w:cs="仿宋"/>
                <w:color w:val="auto"/>
                <w:sz w:val="24"/>
                <w:szCs w:val="24"/>
                <w:highlight w:val="none"/>
                <w:lang w:val="en-US" w:eastAsia="zh-CN"/>
              </w:rPr>
            </w:pPr>
          </w:p>
          <w:p>
            <w:pPr>
              <w:spacing w:after="0"/>
              <w:ind w:firstLine="5520" w:firstLineChars="23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业主</w:t>
            </w:r>
            <w:r>
              <w:rPr>
                <w:rFonts w:hint="eastAsia" w:ascii="仿宋" w:hAnsi="仿宋" w:eastAsia="仿宋" w:cs="仿宋"/>
                <w:color w:val="auto"/>
                <w:sz w:val="24"/>
                <w:szCs w:val="24"/>
                <w:highlight w:val="none"/>
              </w:rPr>
              <w:t>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盖章</w:t>
            </w:r>
            <w:r>
              <w:rPr>
                <w:rFonts w:hint="eastAsia" w:ascii="仿宋" w:hAnsi="仿宋" w:eastAsia="仿宋" w:cs="仿宋"/>
                <w:color w:val="auto"/>
                <w:sz w:val="24"/>
                <w:szCs w:val="24"/>
                <w:highlight w:val="none"/>
                <w:lang w:eastAsia="zh-CN"/>
              </w:rPr>
              <w:t>）</w:t>
            </w:r>
          </w:p>
          <w:p>
            <w:pPr>
              <w:spacing w:after="0"/>
              <w:ind w:firstLine="5520" w:firstLineChars="230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审核人：                     </w:t>
            </w:r>
          </w:p>
          <w:p>
            <w:pPr>
              <w:spacing w:after="0"/>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日期：    年  月  日</w:t>
            </w:r>
          </w:p>
        </w:tc>
      </w:tr>
    </w:tbl>
    <w:p>
      <w:pPr>
        <w:jc w:val="both"/>
        <w:rPr>
          <w:rFonts w:hint="eastAsia" w:ascii="仿宋" w:hAnsi="仿宋" w:eastAsia="仿宋" w:cs="仿宋"/>
          <w:color w:val="auto"/>
          <w:sz w:val="24"/>
          <w:szCs w:val="24"/>
          <w:highlight w:val="none"/>
          <w:lang w:val="en-US" w:eastAsia="zh-CN"/>
        </w:rPr>
      </w:pPr>
    </w:p>
    <w:p>
      <w:pPr>
        <w:jc w:val="both"/>
        <w:rPr>
          <w:rFonts w:hint="eastAsia" w:ascii="仿宋" w:hAnsi="仿宋" w:eastAsia="仿宋" w:cs="仿宋"/>
          <w:color w:val="auto"/>
          <w:sz w:val="28"/>
          <w:szCs w:val="28"/>
          <w:highlight w:val="none"/>
          <w:lang w:val="en-US" w:eastAsia="zh-CN"/>
        </w:rPr>
      </w:pPr>
    </w:p>
    <w:p>
      <w:pPr>
        <w:jc w:val="both"/>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附件四</w:t>
      </w:r>
    </w:p>
    <w:p>
      <w:pPr>
        <w:spacing w:after="0" w:line="288" w:lineRule="auto"/>
        <w:jc w:val="cente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托管范围内用能设备及配套设施</w:t>
      </w:r>
    </w:p>
    <w:p>
      <w:pPr>
        <w:spacing w:after="0" w:line="288" w:lineRule="auto"/>
        <w:jc w:val="center"/>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lang w:val="en-US" w:eastAsia="zh-CN"/>
        </w:rPr>
        <w:t>数量、金额变更确认单</w:t>
      </w:r>
    </w:p>
    <w:p>
      <w:pPr>
        <w:spacing w:after="0" w:line="288" w:lineRule="auto"/>
        <w:jc w:val="center"/>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24"/>
          <w:szCs w:val="24"/>
          <w:highlight w:val="none"/>
          <w:lang w:val="en-US" w:eastAsia="zh-CN"/>
        </w:rPr>
        <w:t xml:space="preserve">                                               编号:</w:t>
      </w:r>
    </w:p>
    <w:tbl>
      <w:tblPr>
        <w:tblStyle w:val="24"/>
        <w:tblW w:w="952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69"/>
        <w:gridCol w:w="1211"/>
        <w:gridCol w:w="1373"/>
        <w:gridCol w:w="1235"/>
        <w:gridCol w:w="1581"/>
        <w:gridCol w:w="934"/>
        <w:gridCol w:w="1258"/>
        <w:gridCol w:w="66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项目名称</w:t>
            </w:r>
          </w:p>
        </w:tc>
        <w:tc>
          <w:tcPr>
            <w:tcW w:w="8256" w:type="dxa"/>
            <w:gridSpan w:val="7"/>
            <w:vAlign w:val="center"/>
          </w:tcPr>
          <w:p>
            <w:pPr>
              <w:spacing w:after="0"/>
              <w:jc w:val="center"/>
              <w:rPr>
                <w:rFonts w:hint="eastAsia" w:ascii="仿宋" w:hAnsi="仿宋" w:eastAsia="仿宋" w:cs="仿宋"/>
                <w:b w:val="0"/>
                <w:bCs w:val="0"/>
                <w:color w:val="auto"/>
                <w:sz w:val="24"/>
                <w:szCs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数量变更</w:t>
            </w:r>
          </w:p>
        </w:tc>
        <w:tc>
          <w:tcPr>
            <w:tcW w:w="8256" w:type="dxa"/>
            <w:gridSpan w:val="7"/>
            <w:vAlign w:val="center"/>
          </w:tcPr>
          <w:p>
            <w:pPr>
              <w:spacing w:after="0"/>
              <w:jc w:val="both"/>
              <w:rPr>
                <w:rFonts w:hint="eastAsia" w:ascii="仿宋" w:hAnsi="仿宋" w:eastAsia="仿宋" w:cs="仿宋"/>
                <w:b w:val="0"/>
                <w:bCs w:val="0"/>
                <w:color w:val="auto"/>
                <w:sz w:val="24"/>
                <w:szCs w:val="24"/>
                <w:highlight w:val="none"/>
              </w:rPr>
            </w:pPr>
            <w:r>
              <w:rPr>
                <w:rFonts w:hint="eastAsia" w:ascii="仿宋" w:hAnsi="仿宋" w:eastAsia="仿宋" w:cs="仿宋"/>
                <w:color w:val="auto"/>
                <w:sz w:val="24"/>
                <w:szCs w:val="24"/>
                <w:highlight w:val="none"/>
              </w:rPr>
              <w:sym w:font="Wingdings 2" w:char="00A3"/>
            </w:r>
            <w:r>
              <w:rPr>
                <w:rFonts w:hint="eastAsia" w:ascii="仿宋" w:hAnsi="仿宋" w:eastAsia="仿宋" w:cs="仿宋"/>
                <w:color w:val="auto"/>
                <w:sz w:val="24"/>
                <w:szCs w:val="24"/>
                <w:highlight w:val="none"/>
                <w:lang w:val="en-US" w:eastAsia="zh-CN"/>
              </w:rPr>
              <w:t>增加/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减少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变更原因</w:t>
            </w:r>
          </w:p>
        </w:tc>
        <w:tc>
          <w:tcPr>
            <w:tcW w:w="8256" w:type="dxa"/>
            <w:gridSpan w:val="7"/>
            <w:vAlign w:val="center"/>
          </w:tcPr>
          <w:p>
            <w:pPr>
              <w:spacing w:after="0"/>
              <w:jc w:val="center"/>
              <w:rPr>
                <w:rFonts w:hint="eastAsia" w:ascii="仿宋" w:hAnsi="仿宋" w:eastAsia="仿宋" w:cs="仿宋"/>
                <w:b w:val="0"/>
                <w:bCs w:val="0"/>
                <w:color w:val="auto"/>
                <w:sz w:val="24"/>
                <w:szCs w:val="24"/>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序号</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道路名称</w:t>
            </w: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设备名称</w:t>
            </w:r>
          </w:p>
        </w:tc>
        <w:tc>
          <w:tcPr>
            <w:tcW w:w="1235"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规格型号</w:t>
            </w:r>
            <w:r>
              <w:rPr>
                <w:rFonts w:hint="eastAsia" w:ascii="仿宋" w:hAnsi="仿宋" w:eastAsia="仿宋" w:cs="仿宋"/>
                <w:b w:val="0"/>
                <w:bCs w:val="0"/>
                <w:color w:val="auto"/>
                <w:sz w:val="24"/>
                <w:szCs w:val="24"/>
                <w:highlight w:val="none"/>
                <w:lang w:val="en-US" w:eastAsia="zh-CN"/>
              </w:rPr>
              <w:t>/功率</w:t>
            </w: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设备位置</w:t>
            </w: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数量</w:t>
            </w: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金额</w:t>
            </w:r>
          </w:p>
          <w:p>
            <w:pPr>
              <w:spacing w:after="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（元/年）</w:t>
            </w: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1</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35"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2</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0"/>
                <w:sz w:val="24"/>
                <w:szCs w:val="24"/>
                <w:highlight w:val="none"/>
                <w:lang w:val="en-US" w:eastAsia="zh-CN" w:bidi="ar"/>
              </w:rPr>
            </w:pP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kern w:val="0"/>
                <w:sz w:val="24"/>
                <w:szCs w:val="24"/>
                <w:highlight w:val="none"/>
                <w:lang w:val="en-US" w:eastAsia="zh-CN" w:bidi="ar"/>
              </w:rPr>
            </w:pPr>
          </w:p>
        </w:tc>
        <w:tc>
          <w:tcPr>
            <w:tcW w:w="1235" w:type="dxa"/>
            <w:vAlign w:val="center"/>
          </w:tcPr>
          <w:p>
            <w:pPr>
              <w:spacing w:after="0"/>
              <w:jc w:val="center"/>
              <w:rPr>
                <w:rFonts w:hint="eastAsia" w:ascii="仿宋" w:hAnsi="仿宋" w:eastAsia="仿宋" w:cs="仿宋"/>
                <w:b w:val="0"/>
                <w:bCs w:val="0"/>
                <w:color w:val="auto"/>
                <w:kern w:val="0"/>
                <w:sz w:val="24"/>
                <w:szCs w:val="24"/>
                <w:highlight w:val="none"/>
                <w:lang w:val="en-US" w:eastAsia="zh-CN" w:bidi="ar"/>
              </w:rPr>
            </w:pP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3</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35"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4</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35"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5</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35"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269"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6</w:t>
            </w:r>
          </w:p>
        </w:tc>
        <w:tc>
          <w:tcPr>
            <w:tcW w:w="1211"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373"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35"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581" w:type="dxa"/>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934" w:type="dxa"/>
            <w:tcBorders>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1258" w:type="dxa"/>
            <w:tcBorders>
              <w:left w:val="single" w:color="auto" w:sz="4" w:space="0"/>
              <w:righ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c>
          <w:tcPr>
            <w:tcW w:w="664" w:type="dxa"/>
            <w:tcBorders>
              <w:left w:val="single" w:color="auto" w:sz="4" w:space="0"/>
            </w:tcBorders>
            <w:vAlign w:val="center"/>
          </w:tcPr>
          <w:p>
            <w:pPr>
              <w:spacing w:after="0"/>
              <w:jc w:val="center"/>
              <w:rPr>
                <w:rFonts w:hint="eastAsia" w:ascii="仿宋" w:hAnsi="仿宋" w:eastAsia="仿宋" w:cs="仿宋"/>
                <w:b w:val="0"/>
                <w:bCs w:val="0"/>
                <w:color w:val="auto"/>
                <w:kern w:val="2"/>
                <w:sz w:val="24"/>
                <w:szCs w:val="24"/>
                <w:highlight w:val="none"/>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83" w:hRule="atLeast"/>
          <w:jc w:val="center"/>
        </w:trPr>
        <w:tc>
          <w:tcPr>
            <w:tcW w:w="9525" w:type="dxa"/>
            <w:gridSpan w:val="8"/>
            <w:vAlign w:val="center"/>
          </w:tcPr>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节能服务单位意见：</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rPr>
              <w:sym w:font="Wingdings 2" w:char="00A3"/>
            </w:r>
            <w:r>
              <w:rPr>
                <w:rFonts w:hint="eastAsia" w:ascii="仿宋" w:hAnsi="仿宋" w:eastAsia="仿宋" w:cs="仿宋"/>
                <w:b w:val="0"/>
                <w:bCs w:val="0"/>
                <w:color w:val="auto"/>
                <w:sz w:val="24"/>
                <w:szCs w:val="24"/>
                <w:highlight w:val="none"/>
                <w:lang w:val="en-US" w:eastAsia="zh-CN"/>
              </w:rPr>
              <w:t>数量、金额无误/</w:t>
            </w:r>
            <w:r>
              <w:rPr>
                <w:rFonts w:hint="eastAsia" w:ascii="仿宋" w:hAnsi="仿宋" w:eastAsia="仿宋" w:cs="仿宋"/>
                <w:color w:val="auto"/>
                <w:sz w:val="24"/>
                <w:szCs w:val="24"/>
                <w:highlight w:val="none"/>
              </w:rPr>
              <w:sym w:font="Wingdings 2" w:char="00A3"/>
            </w:r>
            <w:r>
              <w:rPr>
                <w:rFonts w:hint="eastAsia" w:ascii="仿宋" w:hAnsi="仿宋" w:eastAsia="仿宋" w:cs="仿宋"/>
                <w:b w:val="0"/>
                <w:bCs w:val="0"/>
                <w:color w:val="auto"/>
                <w:sz w:val="24"/>
                <w:szCs w:val="24"/>
                <w:highlight w:val="none"/>
                <w:lang w:val="en-US" w:eastAsia="zh-CN"/>
              </w:rPr>
              <w:t>数量、金额有误需核对。</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                                        节能服务单位：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盖章</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5280" w:firstLineChars="2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核对人：</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5280" w:firstLineChars="2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日期：</w:t>
            </w:r>
            <w:r>
              <w:rPr>
                <w:rFonts w:hint="eastAsia" w:ascii="仿宋" w:hAnsi="仿宋" w:eastAsia="仿宋" w:cs="仿宋"/>
                <w:color w:val="auto"/>
                <w:sz w:val="24"/>
                <w:szCs w:val="24"/>
                <w:highlight w:val="none"/>
              </w:rPr>
              <w:t xml:space="preserve">    年  月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7" w:hRule="atLeast"/>
          <w:jc w:val="center"/>
        </w:trPr>
        <w:tc>
          <w:tcPr>
            <w:tcW w:w="9525" w:type="dxa"/>
            <w:gridSpan w:val="8"/>
            <w:vAlign w:val="center"/>
          </w:tcPr>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业主单位意见：</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rPr>
              <w:sym w:font="Wingdings 2" w:char="00A3"/>
            </w:r>
            <w:r>
              <w:rPr>
                <w:rFonts w:hint="eastAsia" w:ascii="仿宋" w:hAnsi="仿宋" w:eastAsia="仿宋" w:cs="仿宋"/>
                <w:b w:val="0"/>
                <w:bCs w:val="0"/>
                <w:color w:val="auto"/>
                <w:sz w:val="24"/>
                <w:szCs w:val="24"/>
                <w:highlight w:val="none"/>
                <w:lang w:val="en-US" w:eastAsia="zh-CN"/>
              </w:rPr>
              <w:t>数量、金额无误/</w:t>
            </w:r>
            <w:r>
              <w:rPr>
                <w:rFonts w:hint="eastAsia" w:ascii="仿宋" w:hAnsi="仿宋" w:eastAsia="仿宋" w:cs="仿宋"/>
                <w:color w:val="auto"/>
                <w:sz w:val="24"/>
                <w:szCs w:val="24"/>
                <w:highlight w:val="none"/>
              </w:rPr>
              <w:sym w:font="Wingdings 2" w:char="00A3"/>
            </w:r>
            <w:r>
              <w:rPr>
                <w:rFonts w:hint="eastAsia" w:ascii="仿宋" w:hAnsi="仿宋" w:eastAsia="仿宋" w:cs="仿宋"/>
                <w:b w:val="0"/>
                <w:bCs w:val="0"/>
                <w:color w:val="auto"/>
                <w:sz w:val="24"/>
                <w:szCs w:val="24"/>
                <w:highlight w:val="none"/>
                <w:lang w:val="en-US" w:eastAsia="zh-CN"/>
              </w:rPr>
              <w:t>数量、金额有误需核对。</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                                        业主单位：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盖章</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5280" w:firstLineChars="2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核对人：</w:t>
            </w:r>
          </w:p>
          <w:p>
            <w:pPr>
              <w:keepNext w:val="0"/>
              <w:keepLines w:val="0"/>
              <w:pageBreakBefore w:val="0"/>
              <w:widowControl w:val="0"/>
              <w:kinsoku/>
              <w:wordWrap/>
              <w:overflowPunct/>
              <w:topLinePunct w:val="0"/>
              <w:autoSpaceDE/>
              <w:autoSpaceDN/>
              <w:bidi w:val="0"/>
              <w:adjustRightInd w:val="0"/>
              <w:snapToGrid w:val="0"/>
              <w:spacing w:after="0" w:line="288" w:lineRule="auto"/>
              <w:ind w:firstLine="5280" w:firstLineChars="2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日期：</w:t>
            </w:r>
            <w:r>
              <w:rPr>
                <w:rFonts w:hint="eastAsia" w:ascii="仿宋" w:hAnsi="仿宋" w:eastAsia="仿宋" w:cs="仿宋"/>
                <w:color w:val="auto"/>
                <w:sz w:val="24"/>
                <w:szCs w:val="24"/>
                <w:highlight w:val="none"/>
              </w:rPr>
              <w:t xml:space="preserve">    年  月  日</w:t>
            </w:r>
          </w:p>
        </w:tc>
      </w:tr>
    </w:tbl>
    <w:p>
      <w:pPr>
        <w:pStyle w:val="13"/>
        <w:widowControl w:val="0"/>
        <w:spacing w:after="0" w:line="288" w:lineRule="auto"/>
        <w:rPr>
          <w:rFonts w:hint="eastAsia" w:ascii="仿宋" w:hAnsi="仿宋" w:eastAsia="仿宋" w:cs="仿宋"/>
          <w:b/>
          <w:color w:val="auto"/>
          <w:sz w:val="24"/>
          <w:szCs w:val="24"/>
          <w:highlight w:val="none"/>
          <w:lang w:eastAsia="zh-CN"/>
        </w:rPr>
      </w:pPr>
    </w:p>
    <w:p>
      <w:pPr>
        <w:pStyle w:val="2"/>
        <w:rPr>
          <w:rFonts w:hint="eastAsia" w:ascii="仿宋" w:hAnsi="仿宋" w:eastAsia="仿宋" w:cs="仿宋"/>
          <w:color w:val="auto"/>
          <w:highlight w:val="none"/>
        </w:rPr>
      </w:pPr>
    </w:p>
    <w:p>
      <w:pPr>
        <w:pStyle w:val="3"/>
        <w:rPr>
          <w:rFonts w:hint="eastAsia" w:ascii="仿宋" w:hAnsi="仿宋" w:eastAsia="仿宋" w:cs="仿宋"/>
          <w:color w:val="auto"/>
          <w:highlight w:val="none"/>
        </w:rPr>
      </w:pPr>
      <w:r>
        <w:rPr>
          <w:rFonts w:hint="eastAsia" w:ascii="仿宋" w:hAnsi="仿宋" w:eastAsia="仿宋" w:cs="仿宋"/>
          <w:color w:val="auto"/>
          <w:highlight w:val="none"/>
        </w:rPr>
        <w:t>第六部分 应提交的有关格式范例</w:t>
      </w:r>
    </w:p>
    <w:p>
      <w:pPr>
        <w:pStyle w:val="4"/>
        <w:rPr>
          <w:rFonts w:hint="eastAsia" w:ascii="仿宋" w:hAnsi="仿宋" w:eastAsia="仿宋" w:cs="仿宋"/>
          <w:color w:val="auto"/>
          <w:highlight w:val="none"/>
        </w:rPr>
      </w:pPr>
      <w:r>
        <w:rPr>
          <w:rFonts w:hint="eastAsia" w:ascii="仿宋" w:hAnsi="仿宋" w:eastAsia="仿宋" w:cs="仿宋"/>
          <w:color w:val="auto"/>
          <w:highlight w:val="none"/>
        </w:rPr>
        <w:t>资格文件部分</w:t>
      </w:r>
    </w:p>
    <w:p>
      <w:pPr>
        <w:jc w:val="center"/>
        <w:rPr>
          <w:rFonts w:hint="eastAsia" w:ascii="仿宋" w:hAnsi="仿宋" w:eastAsia="仿宋" w:cs="仿宋"/>
          <w:b/>
          <w:color w:val="auto"/>
          <w:sz w:val="40"/>
          <w:highlight w:val="none"/>
        </w:rPr>
      </w:pPr>
      <w:r>
        <w:rPr>
          <w:rFonts w:hint="eastAsia" w:ascii="仿宋" w:hAnsi="仿宋" w:eastAsia="仿宋" w:cs="仿宋"/>
          <w:b/>
          <w:color w:val="auto"/>
          <w:sz w:val="40"/>
          <w:highlight w:val="none"/>
        </w:rPr>
        <w:t>目录</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（1）符合参加政府采购活动应当具备的一般条件的承诺函……………（</w:t>
      </w:r>
      <w:r>
        <w:rPr>
          <w:rFonts w:hint="eastAsia" w:ascii="仿宋" w:hAnsi="仿宋" w:eastAsia="仿宋" w:cs="仿宋"/>
          <w:color w:val="auto"/>
          <w:highlight w:val="none"/>
          <w:lang w:val="en-US" w:eastAsia="zh-CN"/>
        </w:rPr>
        <w:t>47</w:t>
      </w:r>
      <w:r>
        <w:rPr>
          <w:rFonts w:hint="eastAsia" w:ascii="仿宋" w:hAnsi="仿宋" w:eastAsia="仿宋" w:cs="仿宋"/>
          <w:color w:val="auto"/>
          <w:highlight w:val="none"/>
        </w:rPr>
        <w:t>）</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（2）落实政府采购政策需满足的资格要求………………………………（</w:t>
      </w:r>
      <w:r>
        <w:rPr>
          <w:rFonts w:hint="eastAsia" w:ascii="仿宋" w:hAnsi="仿宋" w:eastAsia="仿宋" w:cs="仿宋"/>
          <w:color w:val="auto"/>
          <w:highlight w:val="none"/>
          <w:lang w:val="en-US" w:eastAsia="zh-CN"/>
        </w:rPr>
        <w:t>48</w:t>
      </w:r>
      <w:r>
        <w:rPr>
          <w:rFonts w:hint="eastAsia" w:ascii="仿宋" w:hAnsi="仿宋" w:eastAsia="仿宋" w:cs="仿宋"/>
          <w:color w:val="auto"/>
          <w:highlight w:val="none"/>
        </w:rPr>
        <w:t>）</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（3）本项目的特定资格要求………………………………………………（</w:t>
      </w:r>
      <w:r>
        <w:rPr>
          <w:rFonts w:hint="eastAsia" w:ascii="仿宋" w:hAnsi="仿宋" w:eastAsia="仿宋" w:cs="仿宋"/>
          <w:color w:val="auto"/>
          <w:highlight w:val="none"/>
          <w:lang w:val="en-US" w:eastAsia="zh-CN"/>
        </w:rPr>
        <w:t>50</w:t>
      </w:r>
      <w:r>
        <w:rPr>
          <w:rFonts w:hint="eastAsia" w:ascii="仿宋" w:hAnsi="仿宋" w:eastAsia="仿宋" w:cs="仿宋"/>
          <w:color w:val="auto"/>
          <w:highlight w:val="none"/>
        </w:rPr>
        <w:t>）</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color w:val="auto"/>
          <w:highlight w:val="none"/>
        </w:rPr>
        <w:t>一、 符合参加政府采购活动应当具备的一般条件的承诺函</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（一）具备《中华人民共和国政府采购法》第二十二条第一款规定的条件：</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1、具有独立承担民事责任的能力；</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6、具有法律、行政法规规定的其他条件。</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（三）不存在以下情况：</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highlight w:val="none"/>
        </w:rPr>
      </w:pPr>
      <w:r>
        <w:rPr>
          <w:rFonts w:hint="eastAsia" w:ascii="仿宋" w:hAnsi="仿宋" w:eastAsia="仿宋" w:cs="仿宋"/>
          <w:color w:val="auto"/>
          <w:highlight w:val="none"/>
          <w:lang w:val="zh-CN"/>
        </w:rPr>
        <w:t>投标人名称(电子签名)：</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日期</w:t>
      </w:r>
      <w:r>
        <w:rPr>
          <w:rFonts w:hint="eastAsia" w:ascii="仿宋" w:hAnsi="仿宋" w:eastAsia="仿宋" w:cs="仿宋"/>
          <w:color w:val="auto"/>
          <w:highlight w:val="none"/>
        </w:rPr>
        <w:t xml:space="preserve">：  年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w:t>
      </w:r>
    </w:p>
    <w:p>
      <w:pPr>
        <w:snapToGrid w:val="0"/>
        <w:spacing w:line="360" w:lineRule="auto"/>
        <w:ind w:right="480"/>
        <w:jc w:val="center"/>
        <w:rPr>
          <w:rFonts w:hint="eastAsia" w:ascii="仿宋" w:hAnsi="仿宋" w:eastAsia="仿宋" w:cs="仿宋"/>
          <w:b/>
          <w:color w:val="auto"/>
          <w:sz w:val="32"/>
          <w:szCs w:val="32"/>
          <w:highlight w:val="none"/>
        </w:rPr>
      </w:pPr>
    </w:p>
    <w:p>
      <w:pPr>
        <w:pStyle w:val="4"/>
        <w:rPr>
          <w:rFonts w:hint="eastAsia" w:ascii="仿宋" w:hAnsi="仿宋" w:eastAsia="仿宋" w:cs="仿宋"/>
          <w:color w:val="auto"/>
          <w:highlight w:val="none"/>
        </w:rPr>
      </w:pPr>
      <w:r>
        <w:rPr>
          <w:rFonts w:hint="eastAsia" w:ascii="仿宋" w:hAnsi="仿宋" w:eastAsia="仿宋" w:cs="仿宋"/>
          <w:color w:val="auto"/>
          <w:highlight w:val="none"/>
        </w:rPr>
        <w:t>二、落实政府采购政策需满足的资格要求</w:t>
      </w:r>
    </w:p>
    <w:p>
      <w:pPr>
        <w:rPr>
          <w:rFonts w:hint="eastAsia" w:ascii="仿宋" w:hAnsi="仿宋" w:eastAsia="仿宋" w:cs="仿宋"/>
          <w:color w:val="auto"/>
          <w:highlight w:val="none"/>
        </w:rPr>
      </w:pPr>
      <w:r>
        <w:rPr>
          <w:rFonts w:hint="eastAsia" w:ascii="仿宋" w:hAnsi="仿宋" w:eastAsia="仿宋" w:cs="仿宋"/>
          <w:color w:val="auto"/>
          <w:highlight w:val="none"/>
        </w:rPr>
        <w:t>（根据招标公告落实政府采购政策需满足的资格要求选择提供相应的材料；未要求的，无需提供）</w:t>
      </w:r>
    </w:p>
    <w:p>
      <w:pPr>
        <w:rPr>
          <w:rFonts w:hint="eastAsia" w:ascii="仿宋" w:hAnsi="仿宋" w:eastAsia="仿宋" w:cs="仿宋"/>
          <w:color w:val="auto"/>
          <w:highlight w:val="none"/>
        </w:rPr>
      </w:pPr>
      <w:r>
        <w:rPr>
          <w:rFonts w:hint="eastAsia" w:ascii="仿宋" w:hAnsi="仿宋" w:eastAsia="仿宋" w:cs="仿宋"/>
          <w:b/>
          <w:color w:val="auto"/>
          <w:highlight w:val="none"/>
        </w:rPr>
        <w:t>A</w:t>
      </w:r>
      <w:r>
        <w:rPr>
          <w:rFonts w:hint="eastAsia" w:ascii="仿宋" w:hAnsi="仿宋" w:eastAsia="仿宋" w:cs="仿宋"/>
          <w:color w:val="auto"/>
          <w:highlight w:val="none"/>
        </w:rPr>
        <w:t xml:space="preserve">.专门面向中小企业，货物全部由符合政策要求的中小企业（或小微企业）制造或者服务全部由符合政策要求的中小企业（或小微企业）承接的，提供相应的中小企业声明函（附件5）。 </w:t>
      </w:r>
    </w:p>
    <w:p>
      <w:pPr>
        <w:rPr>
          <w:rFonts w:hint="eastAsia" w:ascii="仿宋" w:hAnsi="仿宋" w:eastAsia="仿宋" w:cs="仿宋"/>
          <w:color w:val="auto"/>
          <w:highlight w:val="none"/>
        </w:rPr>
      </w:pPr>
      <w:r>
        <w:rPr>
          <w:rFonts w:hint="eastAsia" w:ascii="仿宋" w:hAnsi="仿宋" w:eastAsia="仿宋" w:cs="仿宋"/>
          <w:b/>
          <w:color w:val="auto"/>
          <w:highlight w:val="none"/>
        </w:rPr>
        <w:t>B.</w:t>
      </w:r>
      <w:r>
        <w:rPr>
          <w:rFonts w:hint="eastAsia" w:ascii="仿宋" w:hAnsi="仿宋" w:eastAsia="仿宋" w:cs="仿宋"/>
          <w:color w:val="auto"/>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rPr>
          <w:rFonts w:hint="eastAsia" w:ascii="仿宋" w:hAnsi="仿宋" w:eastAsia="仿宋" w:cs="仿宋"/>
          <w:color w:val="auto"/>
          <w:highlight w:val="none"/>
        </w:rPr>
      </w:pPr>
      <w:r>
        <w:rPr>
          <w:rFonts w:hint="eastAsia" w:ascii="仿宋" w:hAnsi="仿宋" w:eastAsia="仿宋" w:cs="仿宋"/>
          <w:b/>
          <w:color w:val="auto"/>
          <w:highlight w:val="none"/>
        </w:rPr>
        <w:t>C、</w:t>
      </w:r>
      <w:r>
        <w:rPr>
          <w:rFonts w:hint="eastAsia" w:ascii="仿宋" w:hAnsi="仿宋" w:eastAsia="仿宋" w:cs="仿宋"/>
          <w:color w:val="auto"/>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jc w:val="center"/>
        <w:rPr>
          <w:rFonts w:hint="eastAsia"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lang w:val="zh-CN"/>
        </w:rPr>
        <w:t>联合协议</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（联合体所有成员名称）</w:t>
      </w:r>
      <w:r>
        <w:rPr>
          <w:rFonts w:hint="eastAsia" w:ascii="仿宋" w:hAnsi="仿宋" w:eastAsia="仿宋" w:cs="仿宋"/>
          <w:color w:val="auto"/>
          <w:highlight w:val="none"/>
        </w:rPr>
        <w:t>自愿</w:t>
      </w:r>
      <w:r>
        <w:rPr>
          <w:rFonts w:hint="eastAsia" w:ascii="仿宋" w:hAnsi="仿宋" w:eastAsia="仿宋" w:cs="仿宋"/>
          <w:color w:val="auto"/>
          <w:highlight w:val="none"/>
          <w:lang w:val="zh-CN"/>
        </w:rPr>
        <w:t>组成一个联合体，以一个投标人的身份</w:t>
      </w:r>
      <w:r>
        <w:rPr>
          <w:rFonts w:hint="eastAsia" w:ascii="仿宋" w:hAnsi="仿宋" w:eastAsia="仿宋" w:cs="仿宋"/>
          <w:color w:val="auto"/>
          <w:highlight w:val="none"/>
        </w:rPr>
        <w:t>参加（项目名称）【招标编号：（采购编号）】</w:t>
      </w:r>
      <w:r>
        <w:rPr>
          <w:rFonts w:hint="eastAsia" w:ascii="仿宋" w:hAnsi="仿宋" w:eastAsia="仿宋" w:cs="仿宋"/>
          <w:color w:val="auto"/>
          <w:highlight w:val="none"/>
          <w:lang w:val="zh-CN"/>
        </w:rPr>
        <w:t xml:space="preserve">投标。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一、各方一致决定，</w:t>
      </w:r>
      <w:r>
        <w:rPr>
          <w:rFonts w:hint="eastAsia" w:ascii="仿宋" w:hAnsi="仿宋" w:eastAsia="仿宋" w:cs="仿宋"/>
          <w:color w:val="auto"/>
          <w:highlight w:val="none"/>
          <w:u w:val="single"/>
        </w:rPr>
        <w:t>（某联合体成员名称）</w:t>
      </w:r>
      <w:r>
        <w:rPr>
          <w:rFonts w:hint="eastAsia" w:ascii="仿宋" w:hAnsi="仿宋" w:eastAsia="仿宋" w:cs="仿宋"/>
          <w:color w:val="auto"/>
          <w:highlight w:val="none"/>
        </w:rPr>
        <w:t>为联合体</w:t>
      </w:r>
      <w:r>
        <w:rPr>
          <w:rFonts w:hint="eastAsia" w:ascii="仿宋" w:hAnsi="仿宋" w:eastAsia="仿宋" w:cs="仿宋"/>
          <w:color w:val="auto"/>
          <w:highlight w:val="none"/>
          <w:lang w:val="zh-CN"/>
        </w:rPr>
        <w:t>牵头人</w:t>
      </w:r>
      <w:r>
        <w:rPr>
          <w:rFonts w:hint="eastAsia" w:ascii="仿宋" w:hAnsi="仿宋" w:eastAsia="仿宋" w:cs="仿宋"/>
          <w:color w:val="auto"/>
          <w:highlight w:val="none"/>
        </w:rPr>
        <w:t>，代表所有联合体成员负责投标和合同实施阶段的主办、协调工作</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w:t>
      </w:r>
      <w:r>
        <w:rPr>
          <w:rFonts w:hint="eastAsia" w:ascii="仿宋" w:hAnsi="仿宋" w:eastAsia="仿宋" w:cs="仿宋"/>
          <w:color w:val="auto"/>
          <w:highlight w:val="none"/>
        </w:rPr>
        <w:t>所有联合体成员各方签署授权书，授权书载明的</w:t>
      </w:r>
      <w:r>
        <w:rPr>
          <w:rFonts w:hint="eastAsia" w:ascii="仿宋" w:hAnsi="仿宋" w:eastAsia="仿宋" w:cs="仿宋"/>
          <w:color w:val="auto"/>
          <w:highlight w:val="none"/>
          <w:lang w:val="zh-CN"/>
        </w:rPr>
        <w:t>授权代表根据招标文件规定及投标内容而对采购人、采购机构所作的任何合法承诺，包括书面澄清及相应等均对联合投标各方产生约束力。</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三、本次联合投标中，分工如下：</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CN"/>
        </w:rPr>
        <w:t>；</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w:t>
      </w:r>
      <w:r>
        <w:rPr>
          <w:rFonts w:hint="eastAsia" w:ascii="仿宋" w:hAnsi="仿宋" w:eastAsia="仿宋" w:cs="仿宋"/>
          <w:color w:val="auto"/>
          <w:highlight w:val="none"/>
        </w:rPr>
        <w:t>中小企业合同金额达到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%，小微企业合同金额达到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五、如果中标，</w:t>
      </w:r>
      <w:r>
        <w:rPr>
          <w:rFonts w:hint="eastAsia" w:ascii="仿宋" w:hAnsi="仿宋" w:eastAsia="仿宋" w:cs="仿宋"/>
          <w:color w:val="auto"/>
          <w:highlight w:val="none"/>
        </w:rPr>
        <w:t>联合体各成员方共同与采购人签订合同，并就采购合同约定的事项对采购人承担连带责任。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六、有关本次联合投标的其他事宜：</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1、联合体各方不再单独参加或者与其他供应商另外组成联合体参加同一合同项下的政府采购活动。</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2、联合体中有同类资质的各方按照联合体分工承担相同工作的，按照资质等级较低的供应商确定资质等级。</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3、本协议提交采购人、采购机构后，联合体各方不得以任何形式对上述内容进行修改或撤销。</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分包意向协议</w:t>
      </w:r>
    </w:p>
    <w:p>
      <w:pPr>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b/>
          <w:color w:val="auto"/>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highlight w:val="none"/>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若成为</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的中标供应商，将依法采取分包方式履行合同。</w:t>
      </w: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rPr>
        <w:t>与</w:t>
      </w:r>
      <w:r>
        <w:rPr>
          <w:rFonts w:hint="eastAsia" w:ascii="仿宋" w:hAnsi="仿宋" w:eastAsia="仿宋" w:cs="仿宋"/>
          <w:color w:val="auto"/>
          <w:highlight w:val="none"/>
          <w:u w:val="single"/>
        </w:rPr>
        <w:t>（所有分包供应商名称）</w:t>
      </w:r>
      <w:r>
        <w:rPr>
          <w:rFonts w:hint="eastAsia" w:ascii="仿宋" w:hAnsi="仿宋" w:eastAsia="仿宋" w:cs="仿宋"/>
          <w:color w:val="auto"/>
          <w:highlight w:val="none"/>
        </w:rPr>
        <w:t>达成分包意向协议</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一、分包标的及数量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highlight w:val="none"/>
        </w:rPr>
        <w:t>分包给</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具备承</w:t>
      </w:r>
      <w:r>
        <w:rPr>
          <w:rFonts w:hint="eastAsia" w:ascii="仿宋" w:hAnsi="仿宋" w:eastAsia="仿宋" w:cs="仿宋"/>
          <w:color w:val="auto"/>
          <w:highlight w:val="none"/>
        </w:rPr>
        <w:t>担</w:t>
      </w:r>
      <w:r>
        <w:rPr>
          <w:rFonts w:hint="eastAsia" w:ascii="仿宋" w:hAnsi="仿宋" w:eastAsia="仿宋" w:cs="仿宋"/>
          <w:color w:val="auto"/>
          <w:highlight w:val="none"/>
          <w:u w:val="single"/>
          <w:lang w:val="zh-CN"/>
        </w:rPr>
        <w:t>XX工作内容</w:t>
      </w:r>
      <w:r>
        <w:rPr>
          <w:rFonts w:hint="eastAsia" w:ascii="仿宋" w:hAnsi="仿宋" w:eastAsia="仿宋" w:cs="仿宋"/>
          <w:color w:val="auto"/>
          <w:highlight w:val="none"/>
          <w:lang w:val="zh-CN"/>
        </w:rPr>
        <w:t>相应资质条件且不得再次分包；</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二、分包工作履行期限、地点、方式</w:t>
      </w:r>
    </w:p>
    <w:p>
      <w:pPr>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三、质量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四、价款或者报酬</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五、违约责任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六、争议解决的办法</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七、其他</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中小企业合同金额达到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%，小微企业合同金额达到</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r>
        <w:rPr>
          <w:rFonts w:hint="eastAsia" w:ascii="仿宋" w:hAnsi="仿宋" w:eastAsia="仿宋" w:cs="仿宋"/>
          <w:color w:val="auto"/>
          <w:highlight w:val="none"/>
          <w:lang w:val="zh-CN"/>
        </w:rPr>
        <w:t xml:space="preserve">  。                                           投标人名称(电子签名)：</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分包供应商名称：</w:t>
      </w:r>
    </w:p>
    <w:p>
      <w:pPr>
        <w:jc w:val="right"/>
        <w:rPr>
          <w:rFonts w:hint="eastAsia" w:ascii="仿宋" w:hAnsi="仿宋" w:eastAsia="仿宋" w:cs="仿宋"/>
          <w:color w:val="auto"/>
          <w:highlight w:val="none"/>
        </w:rPr>
      </w:pPr>
      <w:r>
        <w:rPr>
          <w:rFonts w:hint="eastAsia" w:ascii="仿宋" w:hAnsi="仿宋" w:eastAsia="仿宋" w:cs="仿宋"/>
          <w:color w:val="auto"/>
          <w:highlight w:val="none"/>
          <w:lang w:val="zh-CN"/>
        </w:rPr>
        <w:t>……    日期：  年  月   日</w:t>
      </w:r>
    </w:p>
    <w:p>
      <w:pPr>
        <w:pStyle w:val="4"/>
        <w:rPr>
          <w:rFonts w:hint="eastAsia" w:ascii="仿宋" w:hAnsi="仿宋" w:eastAsia="仿宋" w:cs="仿宋"/>
          <w:color w:val="auto"/>
          <w:highlight w:val="none"/>
        </w:rPr>
      </w:pPr>
      <w:r>
        <w:rPr>
          <w:rFonts w:hint="eastAsia" w:ascii="仿宋" w:hAnsi="仿宋" w:eastAsia="仿宋" w:cs="仿宋"/>
          <w:color w:val="auto"/>
          <w:highlight w:val="none"/>
        </w:rPr>
        <w:t>三、本项目的特定资格要求</w:t>
      </w:r>
    </w:p>
    <w:p>
      <w:pPr>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（根据招标公告本项目的特定资格要求提供相应的材料；未要求的，无需提供）</w:t>
      </w:r>
    </w:p>
    <w:p>
      <w:pPr>
        <w:spacing w:line="276"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br w:type="page"/>
      </w:r>
    </w:p>
    <w:p>
      <w:pPr>
        <w:pStyle w:val="2"/>
        <w:rPr>
          <w:rFonts w:hint="eastAsia" w:ascii="仿宋" w:hAnsi="仿宋" w:eastAsia="仿宋" w:cs="仿宋"/>
          <w:color w:val="auto"/>
          <w:highlight w:val="none"/>
          <w:lang w:val="en-US" w:eastAsia="zh-CN"/>
        </w:rPr>
      </w:pPr>
    </w:p>
    <w:p>
      <w:pPr>
        <w:pStyle w:val="4"/>
        <w:rPr>
          <w:rFonts w:hint="eastAsia" w:ascii="仿宋" w:hAnsi="仿宋" w:eastAsia="仿宋" w:cs="仿宋"/>
          <w:color w:val="auto"/>
          <w:highlight w:val="none"/>
        </w:rPr>
      </w:pPr>
      <w:r>
        <w:rPr>
          <w:rFonts w:hint="eastAsia" w:ascii="仿宋" w:hAnsi="仿宋" w:eastAsia="仿宋" w:cs="仿宋"/>
          <w:color w:val="auto"/>
          <w:highlight w:val="none"/>
        </w:rPr>
        <w:t>商务技术文件部分</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目录</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（1）投标函……………………………………………………………………（</w:t>
      </w:r>
      <w:r>
        <w:rPr>
          <w:rFonts w:hint="eastAsia" w:ascii="仿宋" w:hAnsi="仿宋" w:eastAsia="仿宋" w:cs="仿宋"/>
          <w:color w:val="auto"/>
          <w:highlight w:val="none"/>
          <w:lang w:val="en-US" w:eastAsia="zh-CN"/>
        </w:rPr>
        <w:t>52</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（2）授权委托书或法定代表人（单位负责人、自然人本人）身份证明…（</w:t>
      </w:r>
      <w:r>
        <w:rPr>
          <w:rFonts w:hint="eastAsia" w:ascii="仿宋" w:hAnsi="仿宋" w:eastAsia="仿宋" w:cs="仿宋"/>
          <w:color w:val="auto"/>
          <w:highlight w:val="none"/>
          <w:lang w:val="en-US" w:eastAsia="zh-CN"/>
        </w:rPr>
        <w:t>54</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（3）联合协议…………………………………………………………………（</w:t>
      </w:r>
      <w:r>
        <w:rPr>
          <w:rFonts w:hint="eastAsia" w:ascii="仿宋" w:hAnsi="仿宋" w:eastAsia="仿宋" w:cs="仿宋"/>
          <w:color w:val="auto"/>
          <w:highlight w:val="none"/>
          <w:lang w:val="en-US" w:eastAsia="zh-CN"/>
        </w:rPr>
        <w:t>56</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（4）分包意向协议……………………………………………………………（</w:t>
      </w:r>
      <w:r>
        <w:rPr>
          <w:rFonts w:hint="eastAsia" w:ascii="仿宋" w:hAnsi="仿宋" w:eastAsia="仿宋" w:cs="仿宋"/>
          <w:color w:val="auto"/>
          <w:highlight w:val="none"/>
          <w:lang w:val="en-US" w:eastAsia="zh-CN"/>
        </w:rPr>
        <w:t>57</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（5</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符合性审查资料…………………………………………………………</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58</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（6）评标标准相应的商务技术资料…………………………………………（</w:t>
      </w:r>
      <w:r>
        <w:rPr>
          <w:rFonts w:hint="eastAsia" w:ascii="仿宋" w:hAnsi="仿宋" w:eastAsia="仿宋" w:cs="仿宋"/>
          <w:color w:val="auto"/>
          <w:highlight w:val="none"/>
          <w:lang w:val="en-US" w:eastAsia="zh-CN"/>
        </w:rPr>
        <w:t>59</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）商务技术偏离表…………………………………………………………（</w:t>
      </w:r>
      <w:r>
        <w:rPr>
          <w:rFonts w:hint="eastAsia" w:ascii="仿宋" w:hAnsi="仿宋" w:eastAsia="仿宋" w:cs="仿宋"/>
          <w:color w:val="auto"/>
          <w:highlight w:val="none"/>
          <w:lang w:val="en-US" w:eastAsia="zh-CN"/>
        </w:rPr>
        <w:t>60</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61</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lang w:val="zh-CN"/>
        </w:rPr>
        <w:t>承诺书</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62</w:t>
      </w:r>
      <w:r>
        <w:rPr>
          <w:rFonts w:hint="eastAsia" w:ascii="仿宋" w:hAnsi="仿宋" w:eastAsia="仿宋" w:cs="仿宋"/>
          <w:color w:val="auto"/>
          <w:highlight w:val="none"/>
        </w:rPr>
        <w:t>）</w:t>
      </w: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color w:val="auto"/>
          <w:highlight w:val="none"/>
        </w:rPr>
        <w:t>一、投标函</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p>
    <w:p>
      <w:pPr>
        <w:rPr>
          <w:rFonts w:hint="eastAsia" w:ascii="仿宋" w:hAnsi="仿宋" w:eastAsia="仿宋" w:cs="仿宋"/>
          <w:color w:val="auto"/>
          <w:highlight w:val="none"/>
        </w:rPr>
      </w:pPr>
      <w:r>
        <w:rPr>
          <w:rFonts w:hint="eastAsia" w:ascii="仿宋" w:hAnsi="仿宋" w:eastAsia="仿宋" w:cs="仿宋"/>
          <w:color w:val="auto"/>
          <w:highlight w:val="none"/>
        </w:rPr>
        <w:t>我方参加你方组织的（项目名称）【招标编号：（采购编号）】招标的有关活动，并对此项目进行投标。为此：</w:t>
      </w:r>
    </w:p>
    <w:p>
      <w:pPr>
        <w:rPr>
          <w:rFonts w:hint="eastAsia" w:ascii="仿宋" w:hAnsi="仿宋" w:eastAsia="仿宋" w:cs="仿宋"/>
          <w:color w:val="auto"/>
          <w:highlight w:val="none"/>
        </w:rPr>
      </w:pPr>
      <w:r>
        <w:rPr>
          <w:rFonts w:hint="eastAsia" w:ascii="仿宋" w:hAnsi="仿宋" w:eastAsia="仿宋" w:cs="仿宋"/>
          <w:color w:val="auto"/>
          <w:highlight w:val="none"/>
        </w:rPr>
        <w:t>1、我方承诺投标有效期从提交投标文件的截止之日起</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天（不少于90天），本投标文件在投标有效期满之前均具有约束力。</w:t>
      </w:r>
    </w:p>
    <w:p>
      <w:pPr>
        <w:rPr>
          <w:rFonts w:hint="eastAsia" w:ascii="仿宋" w:hAnsi="仿宋" w:eastAsia="仿宋" w:cs="仿宋"/>
          <w:color w:val="auto"/>
          <w:highlight w:val="none"/>
        </w:rPr>
      </w:pPr>
      <w:r>
        <w:rPr>
          <w:rFonts w:hint="eastAsia" w:ascii="仿宋" w:hAnsi="仿宋" w:eastAsia="仿宋" w:cs="仿宋"/>
          <w:color w:val="auto"/>
          <w:highlight w:val="none"/>
        </w:rPr>
        <w:t>2、我方的投标文件包括以下内容：</w:t>
      </w:r>
    </w:p>
    <w:p>
      <w:pPr>
        <w:rPr>
          <w:rFonts w:hint="eastAsia" w:ascii="仿宋" w:hAnsi="仿宋" w:eastAsia="仿宋" w:cs="仿宋"/>
          <w:color w:val="auto"/>
          <w:highlight w:val="none"/>
        </w:rPr>
      </w:pPr>
      <w:r>
        <w:rPr>
          <w:rFonts w:hint="eastAsia" w:ascii="仿宋" w:hAnsi="仿宋" w:eastAsia="仿宋" w:cs="仿宋"/>
          <w:color w:val="auto"/>
          <w:highlight w:val="none"/>
        </w:rPr>
        <w:t>2.1资格文件：</w:t>
      </w:r>
    </w:p>
    <w:p>
      <w:pPr>
        <w:rPr>
          <w:rFonts w:hint="eastAsia" w:ascii="仿宋" w:hAnsi="仿宋" w:eastAsia="仿宋" w:cs="仿宋"/>
          <w:color w:val="auto"/>
          <w:highlight w:val="none"/>
        </w:rPr>
      </w:pPr>
      <w:r>
        <w:rPr>
          <w:rFonts w:hint="eastAsia" w:ascii="仿宋" w:hAnsi="仿宋" w:eastAsia="仿宋" w:cs="仿宋"/>
          <w:color w:val="auto"/>
          <w:highlight w:val="none"/>
        </w:rPr>
        <w:t>2.1.1承诺函；</w:t>
      </w:r>
    </w:p>
    <w:p>
      <w:pPr>
        <w:rPr>
          <w:rFonts w:hint="eastAsia" w:ascii="仿宋" w:hAnsi="仿宋" w:eastAsia="仿宋" w:cs="仿宋"/>
          <w:color w:val="auto"/>
          <w:highlight w:val="none"/>
        </w:rPr>
      </w:pPr>
      <w:r>
        <w:rPr>
          <w:rFonts w:hint="eastAsia" w:ascii="仿宋" w:hAnsi="仿宋" w:eastAsia="仿宋" w:cs="仿宋"/>
          <w:color w:val="auto"/>
          <w:highlight w:val="none"/>
        </w:rPr>
        <w:t>2.1.2落实政府采购政策需满足的资格要求（如果有）；</w:t>
      </w:r>
    </w:p>
    <w:p>
      <w:pPr>
        <w:rPr>
          <w:rFonts w:hint="eastAsia" w:ascii="仿宋" w:hAnsi="仿宋" w:eastAsia="仿宋" w:cs="仿宋"/>
          <w:color w:val="auto"/>
          <w:highlight w:val="none"/>
        </w:rPr>
      </w:pPr>
      <w:r>
        <w:rPr>
          <w:rFonts w:hint="eastAsia" w:ascii="仿宋" w:hAnsi="仿宋" w:eastAsia="仿宋" w:cs="仿宋"/>
          <w:color w:val="auto"/>
          <w:highlight w:val="none"/>
        </w:rPr>
        <w:t>2.1.3本项目的特定资格要求（如果有）。</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2</w:t>
      </w:r>
      <w:r>
        <w:rPr>
          <w:rFonts w:hint="eastAsia" w:ascii="仿宋" w:hAnsi="仿宋" w:eastAsia="仿宋" w:cs="仿宋"/>
          <w:color w:val="auto"/>
          <w:highlight w:val="none"/>
          <w:lang w:val="zh-CN"/>
        </w:rPr>
        <w:t>.</w:t>
      </w:r>
      <w:r>
        <w:rPr>
          <w:rFonts w:hint="eastAsia" w:ascii="仿宋" w:hAnsi="仿宋" w:eastAsia="仿宋" w:cs="仿宋"/>
          <w:color w:val="auto"/>
          <w:highlight w:val="none"/>
        </w:rPr>
        <w:t>2</w:t>
      </w:r>
      <w:r>
        <w:rPr>
          <w:rFonts w:hint="eastAsia" w:ascii="仿宋" w:hAnsi="仿宋" w:eastAsia="仿宋" w:cs="仿宋"/>
          <w:color w:val="auto"/>
          <w:highlight w:val="none"/>
          <w:lang w:val="zh-CN"/>
        </w:rPr>
        <w:t xml:space="preserve"> </w:t>
      </w:r>
      <w:r>
        <w:rPr>
          <w:rFonts w:hint="eastAsia" w:ascii="仿宋" w:hAnsi="仿宋" w:eastAsia="仿宋" w:cs="仿宋"/>
          <w:color w:val="auto"/>
          <w:highlight w:val="none"/>
        </w:rPr>
        <w:t>商务技术</w:t>
      </w:r>
      <w:r>
        <w:rPr>
          <w:rFonts w:hint="eastAsia" w:ascii="仿宋" w:hAnsi="仿宋" w:eastAsia="仿宋" w:cs="仿宋"/>
          <w:color w:val="auto"/>
          <w:highlight w:val="none"/>
          <w:lang w:val="zh-CN"/>
        </w:rPr>
        <w:t>文件：</w:t>
      </w:r>
    </w:p>
    <w:p>
      <w:pPr>
        <w:rPr>
          <w:rFonts w:hint="eastAsia" w:ascii="仿宋" w:hAnsi="仿宋" w:eastAsia="仿宋" w:cs="仿宋"/>
          <w:color w:val="auto"/>
          <w:highlight w:val="none"/>
        </w:rPr>
      </w:pPr>
      <w:r>
        <w:rPr>
          <w:rFonts w:hint="eastAsia" w:ascii="仿宋" w:hAnsi="仿宋" w:eastAsia="仿宋" w:cs="仿宋"/>
          <w:color w:val="auto"/>
          <w:highlight w:val="none"/>
        </w:rPr>
        <w:t>2.2.1投标函；</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rPr>
      </w:pPr>
      <w:r>
        <w:rPr>
          <w:rFonts w:hint="eastAsia" w:ascii="仿宋" w:hAnsi="仿宋" w:eastAsia="仿宋" w:cs="仿宋"/>
          <w:color w:val="auto"/>
          <w:highlight w:val="none"/>
        </w:rPr>
        <w:t>2.2.2授权委托书或法定代表人（单位负责人）身份证明；</w:t>
      </w:r>
    </w:p>
    <w:p>
      <w:pPr>
        <w:rPr>
          <w:rFonts w:hint="eastAsia" w:ascii="仿宋" w:hAnsi="仿宋" w:eastAsia="仿宋" w:cs="仿宋"/>
          <w:color w:val="auto"/>
          <w:highlight w:val="none"/>
        </w:rPr>
      </w:pPr>
      <w:r>
        <w:rPr>
          <w:rFonts w:hint="eastAsia" w:ascii="仿宋" w:hAnsi="仿宋" w:eastAsia="仿宋" w:cs="仿宋"/>
          <w:color w:val="auto"/>
          <w:highlight w:val="none"/>
        </w:rPr>
        <w:t>2.2.3联合协议（如果有）；</w:t>
      </w:r>
    </w:p>
    <w:p>
      <w:pPr>
        <w:rPr>
          <w:rFonts w:hint="eastAsia" w:ascii="仿宋" w:hAnsi="仿宋" w:eastAsia="仿宋" w:cs="仿宋"/>
          <w:color w:val="auto"/>
          <w:highlight w:val="none"/>
        </w:rPr>
      </w:pPr>
      <w:r>
        <w:rPr>
          <w:rFonts w:hint="eastAsia" w:ascii="仿宋" w:hAnsi="仿宋" w:eastAsia="仿宋" w:cs="仿宋"/>
          <w:color w:val="auto"/>
          <w:highlight w:val="none"/>
        </w:rPr>
        <w:t>2.2.4分包意向协议（如果有）；</w:t>
      </w:r>
    </w:p>
    <w:p>
      <w:pPr>
        <w:rPr>
          <w:rFonts w:hint="eastAsia" w:ascii="仿宋" w:hAnsi="仿宋" w:eastAsia="仿宋" w:cs="仿宋"/>
          <w:color w:val="auto"/>
          <w:highlight w:val="none"/>
        </w:rPr>
      </w:pPr>
      <w:r>
        <w:rPr>
          <w:rFonts w:hint="eastAsia" w:ascii="仿宋" w:hAnsi="仿宋" w:eastAsia="仿宋" w:cs="仿宋"/>
          <w:color w:val="auto"/>
          <w:highlight w:val="none"/>
        </w:rPr>
        <w:t>2.2.5符合性审查资料；</w:t>
      </w:r>
    </w:p>
    <w:p>
      <w:pPr>
        <w:rPr>
          <w:rFonts w:hint="eastAsia" w:ascii="仿宋" w:hAnsi="仿宋" w:eastAsia="仿宋" w:cs="仿宋"/>
          <w:color w:val="auto"/>
          <w:highlight w:val="none"/>
        </w:rPr>
      </w:pPr>
      <w:r>
        <w:rPr>
          <w:rFonts w:hint="eastAsia" w:ascii="仿宋" w:hAnsi="仿宋" w:eastAsia="仿宋" w:cs="仿宋"/>
          <w:color w:val="auto"/>
          <w:highlight w:val="none"/>
        </w:rPr>
        <w:t>2.2.6评标标准相应的商务技术资料；</w:t>
      </w:r>
    </w:p>
    <w:p>
      <w:pPr>
        <w:rPr>
          <w:rFonts w:hint="eastAsia" w:ascii="仿宋" w:hAnsi="仿宋" w:eastAsia="仿宋" w:cs="仿宋"/>
          <w:color w:val="auto"/>
          <w:highlight w:val="none"/>
        </w:rPr>
      </w:pPr>
      <w:r>
        <w:rPr>
          <w:rFonts w:hint="eastAsia" w:ascii="仿宋" w:hAnsi="仿宋" w:eastAsia="仿宋" w:cs="仿宋"/>
          <w:color w:val="auto"/>
          <w:highlight w:val="none"/>
        </w:rPr>
        <w:t>2.2.7商务技术偏离表；</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2.2.8</w:t>
      </w:r>
      <w:r>
        <w:rPr>
          <w:rFonts w:hint="eastAsia" w:ascii="仿宋" w:hAnsi="仿宋" w:eastAsia="仿宋" w:cs="仿宋"/>
          <w:color w:val="auto"/>
          <w:highlight w:val="none"/>
          <w:lang w:val="zh-CN"/>
        </w:rPr>
        <w:t>政府采购供应商廉洁自律承诺书；</w:t>
      </w:r>
    </w:p>
    <w:p>
      <w:pPr>
        <w:rPr>
          <w:rFonts w:hint="eastAsia" w:ascii="仿宋" w:hAnsi="仿宋" w:eastAsia="仿宋" w:cs="仿宋"/>
          <w:color w:val="auto"/>
          <w:highlight w:val="none"/>
          <w:lang w:val="zh-CN"/>
        </w:rPr>
      </w:pPr>
      <w:r>
        <w:rPr>
          <w:rFonts w:hint="eastAsia" w:ascii="仿宋" w:hAnsi="仿宋" w:eastAsia="仿宋" w:cs="仿宋"/>
          <w:color w:val="auto"/>
          <w:highlight w:val="none"/>
        </w:rPr>
        <w:t>2.2.</w:t>
      </w:r>
      <w:r>
        <w:rPr>
          <w:rFonts w:hint="eastAsia" w:ascii="仿宋" w:hAnsi="仿宋" w:eastAsia="仿宋" w:cs="仿宋"/>
          <w:color w:val="auto"/>
          <w:highlight w:val="none"/>
          <w:lang w:val="en-US" w:eastAsia="zh-CN"/>
        </w:rPr>
        <w:t>9投标</w:t>
      </w:r>
      <w:r>
        <w:rPr>
          <w:rFonts w:hint="eastAsia" w:ascii="仿宋" w:hAnsi="仿宋" w:eastAsia="仿宋" w:cs="仿宋"/>
          <w:color w:val="auto"/>
          <w:highlight w:val="none"/>
          <w:lang w:val="zh-CN"/>
        </w:rPr>
        <w:t>承诺书；</w:t>
      </w:r>
    </w:p>
    <w:p>
      <w:pPr>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zh-CN"/>
        </w:rPr>
        <w:t>.</w:t>
      </w:r>
      <w:r>
        <w:rPr>
          <w:rFonts w:hint="eastAsia" w:ascii="仿宋" w:hAnsi="仿宋" w:eastAsia="仿宋" w:cs="仿宋"/>
          <w:color w:val="auto"/>
          <w:highlight w:val="none"/>
        </w:rPr>
        <w:t>3报价文件</w:t>
      </w:r>
    </w:p>
    <w:p>
      <w:pPr>
        <w:rPr>
          <w:rFonts w:hint="eastAsia" w:ascii="仿宋" w:hAnsi="仿宋" w:eastAsia="仿宋" w:cs="仿宋"/>
          <w:color w:val="auto"/>
          <w:highlight w:val="none"/>
        </w:rPr>
      </w:pPr>
      <w:r>
        <w:rPr>
          <w:rFonts w:hint="eastAsia" w:ascii="仿宋" w:hAnsi="仿宋" w:eastAsia="仿宋" w:cs="仿宋"/>
          <w:color w:val="auto"/>
          <w:highlight w:val="none"/>
        </w:rPr>
        <w:t>2.3.1开标一览表（报价表）；</w:t>
      </w:r>
    </w:p>
    <w:p>
      <w:pPr>
        <w:rPr>
          <w:rFonts w:hint="eastAsia" w:ascii="仿宋" w:hAnsi="仿宋" w:eastAsia="仿宋" w:cs="仿宋"/>
          <w:color w:val="auto"/>
          <w:highlight w:val="none"/>
        </w:rPr>
      </w:pPr>
      <w:r>
        <w:rPr>
          <w:rFonts w:hint="eastAsia" w:ascii="仿宋" w:hAnsi="仿宋" w:eastAsia="仿宋" w:cs="仿宋"/>
          <w:color w:val="auto"/>
          <w:highlight w:val="none"/>
        </w:rPr>
        <w:t>2.3.2中小企业声明函（如果有）。</w:t>
      </w:r>
    </w:p>
    <w:p>
      <w:pPr>
        <w:rPr>
          <w:rFonts w:hint="eastAsia" w:ascii="仿宋" w:hAnsi="仿宋" w:eastAsia="仿宋" w:cs="仿宋"/>
          <w:color w:val="auto"/>
          <w:highlight w:val="none"/>
        </w:rPr>
      </w:pPr>
      <w:r>
        <w:rPr>
          <w:rFonts w:hint="eastAsia" w:ascii="仿宋" w:hAnsi="仿宋" w:eastAsia="仿宋" w:cs="仿宋"/>
          <w:color w:val="auto"/>
          <w:highlight w:val="none"/>
        </w:rPr>
        <w:t>3、我方承诺除商务技术偏离表列出的偏离外，我方响应招标文件的全部要求。</w:t>
      </w:r>
    </w:p>
    <w:p>
      <w:pPr>
        <w:rPr>
          <w:rFonts w:hint="eastAsia" w:ascii="仿宋" w:hAnsi="仿宋" w:eastAsia="仿宋" w:cs="仿宋"/>
          <w:color w:val="auto"/>
          <w:highlight w:val="none"/>
        </w:rPr>
      </w:pPr>
      <w:r>
        <w:rPr>
          <w:rFonts w:hint="eastAsia" w:ascii="仿宋" w:hAnsi="仿宋" w:eastAsia="仿宋" w:cs="仿宋"/>
          <w:color w:val="auto"/>
          <w:highlight w:val="none"/>
        </w:rPr>
        <w:t>4、如我方中标，我方承诺：</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4.1在收到中标通知书后，在中标通知书规定的期限内与你方签订合同； </w:t>
      </w:r>
    </w:p>
    <w:p>
      <w:pPr>
        <w:rPr>
          <w:rFonts w:hint="eastAsia" w:ascii="仿宋" w:hAnsi="仿宋" w:eastAsia="仿宋" w:cs="仿宋"/>
          <w:color w:val="auto"/>
          <w:highlight w:val="none"/>
        </w:rPr>
      </w:pPr>
      <w:r>
        <w:rPr>
          <w:rFonts w:hint="eastAsia" w:ascii="仿宋" w:hAnsi="仿宋" w:eastAsia="仿宋" w:cs="仿宋"/>
          <w:color w:val="auto"/>
          <w:highlight w:val="none"/>
        </w:rPr>
        <w:t>4.2在</w:t>
      </w:r>
      <w:r>
        <w:rPr>
          <w:rFonts w:hint="eastAsia" w:ascii="仿宋" w:hAnsi="仿宋" w:eastAsia="仿宋" w:cs="仿宋"/>
          <w:color w:val="auto"/>
          <w:highlight w:val="none"/>
          <w:lang w:val="en-US" w:eastAsia="zh-CN"/>
        </w:rPr>
        <w:t>签订</w:t>
      </w:r>
      <w:r>
        <w:rPr>
          <w:rFonts w:hint="eastAsia" w:ascii="仿宋" w:hAnsi="仿宋" w:eastAsia="仿宋" w:cs="仿宋"/>
          <w:color w:val="auto"/>
          <w:highlight w:val="none"/>
        </w:rPr>
        <w:t xml:space="preserve">合同时不向你方提出附加条件；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4.3按照招标文件要求提交履约保证金；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4.4在合同约定的期限内完成合同规定的全部义务。 </w:t>
      </w:r>
    </w:p>
    <w:p>
      <w:pPr>
        <w:rPr>
          <w:rFonts w:hint="eastAsia" w:ascii="仿宋" w:hAnsi="仿宋" w:eastAsia="仿宋" w:cs="仿宋"/>
          <w:color w:val="auto"/>
          <w:highlight w:val="none"/>
        </w:rPr>
      </w:pPr>
      <w:r>
        <w:rPr>
          <w:rFonts w:hint="eastAsia" w:ascii="仿宋" w:hAnsi="仿宋" w:eastAsia="仿宋" w:cs="仿宋"/>
          <w:color w:val="auto"/>
          <w:highlight w:val="none"/>
        </w:rPr>
        <w:t>5、其他补充说明:</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投标人名称（电子签名）：                          </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日期：  年   月   日</w:t>
      </w:r>
    </w:p>
    <w:p>
      <w:pPr>
        <w:rPr>
          <w:rFonts w:hint="eastAsia" w:ascii="仿宋" w:hAnsi="仿宋" w:eastAsia="仿宋" w:cs="仿宋"/>
          <w:color w:val="auto"/>
          <w:highlight w:val="none"/>
          <w:u w:val="single"/>
        </w:rPr>
      </w:pP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二、授权委托书或法定代表人（单位负责人、自然人本人）身份证明</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                                </w:t>
      </w:r>
    </w:p>
    <w:p>
      <w:pPr>
        <w:snapToGrid w:val="0"/>
        <w:spacing w:line="360" w:lineRule="auto"/>
        <w:jc w:val="center"/>
        <w:rPr>
          <w:rFonts w:hint="eastAsia" w:ascii="仿宋" w:hAnsi="仿宋" w:eastAsia="仿宋" w:cs="仿宋"/>
          <w:color w:val="auto"/>
          <w:highlight w:val="none"/>
        </w:rPr>
      </w:pPr>
      <w:r>
        <w:rPr>
          <w:rFonts w:hint="eastAsia" w:ascii="仿宋" w:hAnsi="仿宋" w:eastAsia="仿宋" w:cs="仿宋"/>
          <w:b/>
          <w:color w:val="auto"/>
          <w:sz w:val="32"/>
          <w:szCs w:val="32"/>
          <w:highlight w:val="none"/>
          <w:lang w:val="zh-CN"/>
        </w:rPr>
        <w:t>授权委托书（适用于非联合体投标）</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rPr>
      </w:pPr>
      <w:r>
        <w:rPr>
          <w:rFonts w:hint="eastAsia" w:ascii="仿宋" w:hAnsi="仿宋" w:eastAsia="仿宋" w:cs="仿宋"/>
          <w:color w:val="auto"/>
          <w:highlight w:val="none"/>
        </w:rPr>
        <w:t>现</w:t>
      </w:r>
      <w:r>
        <w:rPr>
          <w:rFonts w:hint="eastAsia" w:ascii="仿宋" w:hAnsi="仿宋" w:eastAsia="仿宋" w:cs="仿宋"/>
          <w:color w:val="auto"/>
          <w:highlight w:val="none"/>
          <w:lang w:val="zh-CN"/>
        </w:rPr>
        <w:t>委托</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（姓名）为我方代理人（身份证号码：</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，手机：</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），以我方名义处理</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政府采购投标的一切事项，其法律后果由我方承担。</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委托期限</w:t>
      </w:r>
      <w:r>
        <w:rPr>
          <w:rFonts w:hint="eastAsia" w:ascii="仿宋" w:hAnsi="仿宋" w:eastAsia="仿宋" w:cs="仿宋"/>
          <w:color w:val="auto"/>
          <w:highlight w:val="none"/>
        </w:rPr>
        <w:t>：</w:t>
      </w:r>
      <w:r>
        <w:rPr>
          <w:rFonts w:hint="eastAsia" w:ascii="仿宋" w:hAnsi="仿宋" w:eastAsia="仿宋" w:cs="仿宋"/>
          <w:color w:val="auto"/>
          <w:highlight w:val="none"/>
          <w:lang w:val="zh-CN"/>
        </w:rPr>
        <w:t>自</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日起至</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日止。</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特此告知。</w:t>
      </w:r>
    </w:p>
    <w:p>
      <w:pPr>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投标人名称(电子签名)：</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签发日期：  年  月   日</w:t>
      </w:r>
    </w:p>
    <w:p>
      <w:pPr>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zh-CN"/>
        </w:rPr>
        <w:t>授权委托书（适用于联合体投标）</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rPr>
      </w:pPr>
      <w:r>
        <w:rPr>
          <w:rFonts w:hint="eastAsia" w:ascii="仿宋" w:hAnsi="仿宋" w:eastAsia="仿宋" w:cs="仿宋"/>
          <w:color w:val="auto"/>
          <w:highlight w:val="none"/>
        </w:rPr>
        <w:t>现</w:t>
      </w:r>
      <w:r>
        <w:rPr>
          <w:rFonts w:hint="eastAsia" w:ascii="仿宋" w:hAnsi="仿宋" w:eastAsia="仿宋" w:cs="仿宋"/>
          <w:color w:val="auto"/>
          <w:highlight w:val="none"/>
          <w:lang w:val="zh-CN"/>
        </w:rPr>
        <w:t>委托</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（姓名）为我方代理人（身份证号码：</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，手机：</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），以我方名义处理</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政府采购投标的一切事项，其法律后果由我方承担。</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委托期限</w:t>
      </w:r>
      <w:r>
        <w:rPr>
          <w:rFonts w:hint="eastAsia" w:ascii="仿宋" w:hAnsi="仿宋" w:eastAsia="仿宋" w:cs="仿宋"/>
          <w:color w:val="auto"/>
          <w:highlight w:val="none"/>
        </w:rPr>
        <w:t>：</w:t>
      </w:r>
      <w:r>
        <w:rPr>
          <w:rFonts w:hint="eastAsia" w:ascii="仿宋" w:hAnsi="仿宋" w:eastAsia="仿宋" w:cs="仿宋"/>
          <w:color w:val="auto"/>
          <w:highlight w:val="none"/>
          <w:lang w:val="zh-CN"/>
        </w:rPr>
        <w:t>自</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日起至</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年</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日止。</w:t>
      </w:r>
    </w:p>
    <w:p>
      <w:pPr>
        <w:rPr>
          <w:rFonts w:hint="eastAsia" w:ascii="仿宋" w:hAnsi="仿宋" w:eastAsia="仿宋" w:cs="仿宋"/>
          <w:color w:val="auto"/>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特此告知。</w:t>
      </w:r>
    </w:p>
    <w:p>
      <w:pPr>
        <w:rPr>
          <w:rFonts w:hint="eastAsia" w:ascii="仿宋" w:hAnsi="仿宋" w:eastAsia="仿宋" w:cs="仿宋"/>
          <w:color w:val="auto"/>
          <w:highlight w:val="none"/>
        </w:rPr>
      </w:pP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spacing w:line="276" w:lineRule="auto"/>
        <w:rPr>
          <w:rFonts w:hint="eastAsia" w:ascii="仿宋" w:hAnsi="仿宋" w:eastAsia="仿宋" w:cs="仿宋"/>
          <w:b/>
          <w:color w:val="auto"/>
          <w:sz w:val="32"/>
          <w:szCs w:val="32"/>
          <w:highlight w:val="none"/>
          <w:lang w:val="zh-CN"/>
        </w:rPr>
      </w:pPr>
      <w:r>
        <w:rPr>
          <w:rFonts w:hint="eastAsia" w:ascii="仿宋" w:hAnsi="仿宋" w:eastAsia="仿宋" w:cs="仿宋"/>
          <w:b/>
          <w:color w:val="auto"/>
          <w:sz w:val="32"/>
          <w:szCs w:val="32"/>
          <w:highlight w:val="none"/>
          <w:lang w:val="zh-CN"/>
        </w:rPr>
        <w:br w:type="page"/>
      </w:r>
    </w:p>
    <w:p>
      <w:pPr>
        <w:autoSpaceDE w:val="0"/>
        <w:autoSpaceDN w:val="0"/>
        <w:spacing w:line="360" w:lineRule="auto"/>
        <w:jc w:val="center"/>
        <w:rPr>
          <w:rFonts w:hint="eastAsia" w:ascii="仿宋" w:hAnsi="仿宋" w:eastAsia="仿宋" w:cs="仿宋"/>
          <w:b/>
          <w:color w:val="auto"/>
          <w:highlight w:val="none"/>
        </w:rPr>
      </w:pPr>
      <w:r>
        <w:rPr>
          <w:rFonts w:hint="eastAsia" w:ascii="仿宋" w:hAnsi="仿宋" w:eastAsia="仿宋" w:cs="仿宋"/>
          <w:b/>
          <w:color w:val="auto"/>
          <w:sz w:val="32"/>
          <w:szCs w:val="32"/>
          <w:highlight w:val="none"/>
          <w:lang w:val="zh-CN"/>
        </w:rPr>
        <w:t>法定代表人、单位负责人或自然人本人</w:t>
      </w:r>
      <w:r>
        <w:rPr>
          <w:rFonts w:hint="eastAsia" w:ascii="仿宋" w:hAnsi="仿宋" w:eastAsia="仿宋" w:cs="仿宋"/>
          <w:b/>
          <w:color w:val="auto"/>
          <w:sz w:val="30"/>
          <w:szCs w:val="30"/>
          <w:highlight w:val="none"/>
        </w:rPr>
        <w:t>的身份证明（适用于法定代表人、单位负责人或者自然人本人代表投标人参加投标）</w:t>
      </w:r>
    </w:p>
    <w:p>
      <w:pPr>
        <w:pStyle w:val="74"/>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身份证件扫描件：</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74"/>
              <w:adjustRightIn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正面：                                 反面：</w:t>
            </w:r>
          </w:p>
          <w:p>
            <w:pPr>
              <w:pStyle w:val="74"/>
              <w:adjustRightInd w:val="0"/>
              <w:spacing w:line="360" w:lineRule="auto"/>
              <w:rPr>
                <w:rFonts w:hint="eastAsia" w:ascii="仿宋" w:hAnsi="仿宋" w:eastAsia="仿宋" w:cs="仿宋"/>
                <w:bCs/>
                <w:color w:val="auto"/>
                <w:sz w:val="24"/>
                <w:highlight w:val="none"/>
              </w:rPr>
            </w:pPr>
          </w:p>
        </w:tc>
      </w:tr>
    </w:tbl>
    <w:p>
      <w:pPr>
        <w:snapToGrid w:val="0"/>
        <w:spacing w:line="360" w:lineRule="auto"/>
        <w:ind w:firstLine="576"/>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w:t>
      </w:r>
    </w:p>
    <w:p>
      <w:pPr>
        <w:snapToGrid w:val="0"/>
        <w:spacing w:line="360" w:lineRule="auto"/>
        <w:ind w:firstLine="576"/>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投标人名称(电子签名)：                              </w:t>
      </w:r>
    </w:p>
    <w:p>
      <w:pPr>
        <w:spacing w:line="360" w:lineRule="auto"/>
        <w:jc w:val="cente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spacing w:line="276"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br w:type="page"/>
      </w:r>
    </w:p>
    <w:p>
      <w:pPr>
        <w:pStyle w:val="4"/>
        <w:rPr>
          <w:rFonts w:hint="eastAsia" w:ascii="仿宋" w:hAnsi="仿宋" w:eastAsia="仿宋" w:cs="仿宋"/>
          <w:color w:val="auto"/>
          <w:highlight w:val="none"/>
          <w:lang w:val="zh-CN"/>
        </w:rPr>
      </w:pPr>
      <w:r>
        <w:rPr>
          <w:rFonts w:hint="eastAsia" w:ascii="仿宋" w:hAnsi="仿宋" w:eastAsia="仿宋" w:cs="仿宋"/>
          <w:color w:val="auto"/>
          <w:highlight w:val="none"/>
        </w:rPr>
        <w:t>三、</w:t>
      </w:r>
      <w:r>
        <w:rPr>
          <w:rFonts w:hint="eastAsia" w:ascii="仿宋" w:hAnsi="仿宋" w:eastAsia="仿宋" w:cs="仿宋"/>
          <w:color w:val="auto"/>
          <w:highlight w:val="none"/>
          <w:lang w:val="zh-CN"/>
        </w:rPr>
        <w:t>联合协议</w:t>
      </w:r>
    </w:p>
    <w:p>
      <w:pPr>
        <w:rPr>
          <w:rFonts w:hint="eastAsia" w:ascii="仿宋" w:hAnsi="仿宋" w:eastAsia="仿宋" w:cs="仿宋"/>
          <w:color w:val="auto"/>
          <w:highlight w:val="none"/>
        </w:rPr>
      </w:pPr>
      <w:r>
        <w:rPr>
          <w:rFonts w:hint="eastAsia" w:ascii="仿宋" w:hAnsi="仿宋" w:eastAsia="仿宋" w:cs="仿宋"/>
          <w:color w:val="auto"/>
          <w:highlight w:val="none"/>
        </w:rPr>
        <w:t>（以联合体形式投标的，提供联合协议；本项目不接受联合体投标或者投标人不以联合体形式投标的，则不需要提供）</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（联合体所有成员名称）</w:t>
      </w:r>
      <w:r>
        <w:rPr>
          <w:rFonts w:hint="eastAsia" w:ascii="仿宋" w:hAnsi="仿宋" w:eastAsia="仿宋" w:cs="仿宋"/>
          <w:color w:val="auto"/>
          <w:highlight w:val="none"/>
        </w:rPr>
        <w:t>自愿</w:t>
      </w:r>
      <w:r>
        <w:rPr>
          <w:rFonts w:hint="eastAsia" w:ascii="仿宋" w:hAnsi="仿宋" w:eastAsia="仿宋" w:cs="仿宋"/>
          <w:color w:val="auto"/>
          <w:highlight w:val="none"/>
          <w:lang w:val="zh-CN"/>
        </w:rPr>
        <w:t>组成一个联合体，以一个投标人的身份</w:t>
      </w:r>
      <w:r>
        <w:rPr>
          <w:rFonts w:hint="eastAsia" w:ascii="仿宋" w:hAnsi="仿宋" w:eastAsia="仿宋" w:cs="仿宋"/>
          <w:color w:val="auto"/>
          <w:highlight w:val="none"/>
        </w:rPr>
        <w:t>参加（项目名称）【招标编号：（采购编号）】</w:t>
      </w:r>
      <w:r>
        <w:rPr>
          <w:rFonts w:hint="eastAsia" w:ascii="仿宋" w:hAnsi="仿宋" w:eastAsia="仿宋" w:cs="仿宋"/>
          <w:color w:val="auto"/>
          <w:highlight w:val="none"/>
          <w:lang w:val="zh-CN"/>
        </w:rPr>
        <w:t xml:space="preserve">投标。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一、各方一致决定，</w:t>
      </w:r>
      <w:r>
        <w:rPr>
          <w:rFonts w:hint="eastAsia" w:ascii="仿宋" w:hAnsi="仿宋" w:eastAsia="仿宋" w:cs="仿宋"/>
          <w:color w:val="auto"/>
          <w:highlight w:val="none"/>
          <w:u w:val="single"/>
        </w:rPr>
        <w:t>（某联合体成员名称）</w:t>
      </w:r>
      <w:r>
        <w:rPr>
          <w:rFonts w:hint="eastAsia" w:ascii="仿宋" w:hAnsi="仿宋" w:eastAsia="仿宋" w:cs="仿宋"/>
          <w:color w:val="auto"/>
          <w:highlight w:val="none"/>
        </w:rPr>
        <w:t>为联合体</w:t>
      </w:r>
      <w:r>
        <w:rPr>
          <w:rFonts w:hint="eastAsia" w:ascii="仿宋" w:hAnsi="仿宋" w:eastAsia="仿宋" w:cs="仿宋"/>
          <w:color w:val="auto"/>
          <w:highlight w:val="none"/>
          <w:lang w:val="zh-CN"/>
        </w:rPr>
        <w:t>牵头人</w:t>
      </w:r>
      <w:r>
        <w:rPr>
          <w:rFonts w:hint="eastAsia" w:ascii="仿宋" w:hAnsi="仿宋" w:eastAsia="仿宋" w:cs="仿宋"/>
          <w:color w:val="auto"/>
          <w:highlight w:val="none"/>
        </w:rPr>
        <w:t>，代表所有联合体成员负责投标和合同实施阶段的主办、协调工作</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w:t>
      </w:r>
      <w:r>
        <w:rPr>
          <w:rFonts w:hint="eastAsia" w:ascii="仿宋" w:hAnsi="仿宋" w:eastAsia="仿宋" w:cs="仿宋"/>
          <w:color w:val="auto"/>
          <w:highlight w:val="none"/>
        </w:rPr>
        <w:t>所有联合体成员各方签署授权书，授权书载明的</w:t>
      </w:r>
      <w:r>
        <w:rPr>
          <w:rFonts w:hint="eastAsia" w:ascii="仿宋" w:hAnsi="仿宋" w:eastAsia="仿宋" w:cs="仿宋"/>
          <w:color w:val="auto"/>
          <w:highlight w:val="none"/>
          <w:lang w:val="zh-CN"/>
        </w:rPr>
        <w:t>授权代表根据招标文件规定及投标内容而对采购人、采购机构所作的任何合法承诺，包括书面澄清及相应等均对联合投标各方产生约束力。</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三、本次联合投标中，分工如下：</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w:t>
      </w:r>
      <w:r>
        <w:rPr>
          <w:rFonts w:hint="eastAsia" w:ascii="仿宋" w:hAnsi="仿宋" w:eastAsia="仿宋" w:cs="仿宋"/>
          <w:color w:val="auto"/>
          <w:highlight w:val="none"/>
          <w:u w:val="single"/>
        </w:rPr>
        <w:t>（联合体其中一方成员名称）</w:t>
      </w:r>
      <w:r>
        <w:rPr>
          <w:rFonts w:hint="eastAsia" w:ascii="仿宋" w:hAnsi="仿宋" w:eastAsia="仿宋" w:cs="仿宋"/>
          <w:color w:val="auto"/>
          <w:highlight w:val="none"/>
        </w:rPr>
        <w:t>提供的全部货物由小微企业制造，其合同份额占到合同总金额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%以上；</w:t>
      </w:r>
      <w:r>
        <w:rPr>
          <w:rFonts w:hint="eastAsia" w:ascii="仿宋" w:hAnsi="仿宋" w:eastAsia="仿宋" w:cs="仿宋"/>
          <w:color w:val="auto"/>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五、如果中标，</w:t>
      </w:r>
      <w:r>
        <w:rPr>
          <w:rFonts w:hint="eastAsia" w:ascii="仿宋" w:hAnsi="仿宋" w:eastAsia="仿宋" w:cs="仿宋"/>
          <w:color w:val="auto"/>
          <w:highlight w:val="none"/>
        </w:rPr>
        <w:t>联合体各成员方共同与采购人签订合同，并就采购合同约定的事项对采购人承担连带责任。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六、有关本次联合投标的其他事宜：</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1、联合体各方不再单独参加或者与其他</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lang w:val="zh-CN"/>
        </w:rPr>
        <w:t>另外组成联合体参加同一合同项下的政府采购活动。</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2、联合体中有同类资质的各方按照联合体分工承担相同工作的，按照资质等级较低的</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lang w:val="zh-CN"/>
        </w:rPr>
        <w:t>确定资质等级。</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3、本协议提交采购人、采购机构后，联合体各方不得以任何形式对上述内容进行修改或撤销。</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联合体成员名称(电子签名/公章)：</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color w:val="auto"/>
          <w:highlight w:val="none"/>
        </w:rPr>
        <w:t>四、分包意向协议</w:t>
      </w:r>
    </w:p>
    <w:p>
      <w:pPr>
        <w:rPr>
          <w:rFonts w:hint="eastAsia" w:ascii="仿宋" w:hAnsi="仿宋" w:eastAsia="仿宋" w:cs="仿宋"/>
          <w:b/>
          <w:color w:val="auto"/>
          <w:highlight w:val="none"/>
        </w:rPr>
      </w:pPr>
      <w:r>
        <w:rPr>
          <w:rFonts w:hint="eastAsia" w:ascii="仿宋" w:hAnsi="仿宋" w:eastAsia="仿宋" w:cs="仿宋"/>
          <w:b/>
          <w:color w:val="auto"/>
          <w:highlight w:val="none"/>
        </w:rPr>
        <w:t>（中标后以分包方式履行合同的，提供分包意向协议；采购人不同意分包或者投标人中标后不以分包方式履行合同的，则不需要提供。）</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若成为</w:t>
      </w:r>
      <w:r>
        <w:rPr>
          <w:rFonts w:hint="eastAsia" w:ascii="仿宋" w:hAnsi="仿宋" w:eastAsia="仿宋" w:cs="仿宋"/>
          <w:color w:val="auto"/>
          <w:highlight w:val="none"/>
        </w:rPr>
        <w:t>（项目名称）【招标编号：（采购编号）】</w:t>
      </w:r>
      <w:r>
        <w:rPr>
          <w:rFonts w:hint="eastAsia" w:ascii="仿宋" w:hAnsi="仿宋" w:eastAsia="仿宋" w:cs="仿宋"/>
          <w:color w:val="auto"/>
          <w:highlight w:val="none"/>
          <w:lang w:val="zh-CN"/>
        </w:rPr>
        <w:t>的中标供应商，将依法采取分包方式履行合同。</w:t>
      </w: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rPr>
        <w:t>与</w:t>
      </w:r>
      <w:r>
        <w:rPr>
          <w:rFonts w:hint="eastAsia" w:ascii="仿宋" w:hAnsi="仿宋" w:eastAsia="仿宋" w:cs="仿宋"/>
          <w:color w:val="auto"/>
          <w:highlight w:val="none"/>
          <w:u w:val="single"/>
        </w:rPr>
        <w:t>（所有分包供应商名称）</w:t>
      </w:r>
      <w:r>
        <w:rPr>
          <w:rFonts w:hint="eastAsia" w:ascii="仿宋" w:hAnsi="仿宋" w:eastAsia="仿宋" w:cs="仿宋"/>
          <w:color w:val="auto"/>
          <w:highlight w:val="none"/>
        </w:rPr>
        <w:t>达成分包意向协议</w:t>
      </w:r>
      <w:r>
        <w:rPr>
          <w:rFonts w:hint="eastAsia" w:ascii="仿宋" w:hAnsi="仿宋" w:eastAsia="仿宋" w:cs="仿宋"/>
          <w:color w:val="auto"/>
          <w:highlight w:val="none"/>
          <w:lang w:val="zh-CN"/>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一、分包标的及数量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（投标人名称）</w:t>
      </w:r>
      <w:r>
        <w:rPr>
          <w:rFonts w:hint="eastAsia" w:ascii="仿宋" w:hAnsi="仿宋" w:eastAsia="仿宋" w:cs="仿宋"/>
          <w:color w:val="auto"/>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highlight w:val="none"/>
        </w:rPr>
        <w:t>分包给</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w:t>
      </w:r>
      <w:r>
        <w:rPr>
          <w:rFonts w:hint="eastAsia" w:ascii="仿宋" w:hAnsi="仿宋" w:eastAsia="仿宋" w:cs="仿宋"/>
          <w:color w:val="auto"/>
          <w:highlight w:val="none"/>
          <w:u w:val="single"/>
        </w:rPr>
        <w:t>（某分包供应商名称），</w:t>
      </w:r>
      <w:r>
        <w:rPr>
          <w:rFonts w:hint="eastAsia" w:ascii="仿宋" w:hAnsi="仿宋" w:eastAsia="仿宋" w:cs="仿宋"/>
          <w:color w:val="auto"/>
          <w:highlight w:val="none"/>
          <w:lang w:val="zh-CN"/>
        </w:rPr>
        <w:t>具备承</w:t>
      </w:r>
      <w:r>
        <w:rPr>
          <w:rFonts w:hint="eastAsia" w:ascii="仿宋" w:hAnsi="仿宋" w:eastAsia="仿宋" w:cs="仿宋"/>
          <w:color w:val="auto"/>
          <w:highlight w:val="none"/>
        </w:rPr>
        <w:t>担</w:t>
      </w:r>
      <w:r>
        <w:rPr>
          <w:rFonts w:hint="eastAsia" w:ascii="仿宋" w:hAnsi="仿宋" w:eastAsia="仿宋" w:cs="仿宋"/>
          <w:color w:val="auto"/>
          <w:highlight w:val="none"/>
          <w:u w:val="single"/>
          <w:lang w:val="zh-CN"/>
        </w:rPr>
        <w:t>XX工作内容</w:t>
      </w:r>
      <w:r>
        <w:rPr>
          <w:rFonts w:hint="eastAsia" w:ascii="仿宋" w:hAnsi="仿宋" w:eastAsia="仿宋" w:cs="仿宋"/>
          <w:color w:val="auto"/>
          <w:highlight w:val="none"/>
          <w:lang w:val="zh-CN"/>
        </w:rPr>
        <w:t>相应资质条件且不得再次分包；</w:t>
      </w:r>
    </w:p>
    <w:p>
      <w:pPr>
        <w:rPr>
          <w:rFonts w:hint="eastAsia" w:ascii="仿宋" w:hAnsi="仿宋" w:eastAsia="仿宋" w:cs="仿宋"/>
          <w:color w:val="auto"/>
          <w:highlight w:val="none"/>
        </w:rPr>
      </w:pPr>
      <w:r>
        <w:rPr>
          <w:rFonts w:hint="eastAsia" w:ascii="仿宋" w:hAnsi="仿宋" w:eastAsia="仿宋" w:cs="仿宋"/>
          <w:color w:val="auto"/>
          <w:highlight w:val="none"/>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二、分包工作履行期限、地点、方式</w:t>
      </w:r>
    </w:p>
    <w:p>
      <w:pPr>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三、质量</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四、价款或者报酬</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五、违约责任</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六、争议解决的办法</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 xml:space="preserve">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七、其他</w:t>
      </w:r>
    </w:p>
    <w:p>
      <w:pPr>
        <w:rPr>
          <w:rFonts w:hint="eastAsia" w:ascii="仿宋" w:hAnsi="仿宋" w:eastAsia="仿宋" w:cs="仿宋"/>
          <w:color w:val="auto"/>
          <w:highlight w:val="none"/>
          <w:lang w:val="zh-CN"/>
        </w:rPr>
      </w:pPr>
      <w:r>
        <w:rPr>
          <w:rFonts w:hint="eastAsia" w:ascii="仿宋" w:hAnsi="仿宋" w:eastAsia="仿宋" w:cs="仿宋"/>
          <w:color w:val="auto"/>
          <w:highlight w:val="none"/>
          <w:u w:val="single"/>
        </w:rPr>
        <w:t>（分包供应商名称）提供的货物全部由小微企业制造，</w:t>
      </w:r>
      <w:r>
        <w:rPr>
          <w:rFonts w:hint="eastAsia" w:ascii="仿宋" w:hAnsi="仿宋" w:eastAsia="仿宋" w:cs="仿宋"/>
          <w:color w:val="auto"/>
          <w:highlight w:val="none"/>
        </w:rPr>
        <w:t>其合同份额占到合同总金额</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%以上。</w:t>
      </w:r>
      <w:r>
        <w:rPr>
          <w:rFonts w:hint="eastAsia" w:ascii="仿宋" w:hAnsi="仿宋" w:eastAsia="仿宋" w:cs="仿宋"/>
          <w:color w:val="auto"/>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30%以上的，对大中型企业的报价给予6%的扣除）</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投标人名称(电子签名)：</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分包供应商名称：</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  年  月   日</w:t>
      </w: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pStyle w:val="4"/>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五、符合性审查资料</w:t>
      </w:r>
    </w:p>
    <w:tbl>
      <w:tblPr>
        <w:tblStyle w:val="24"/>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140"/>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4140"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实质性要求</w:t>
            </w:r>
          </w:p>
        </w:tc>
        <w:tc>
          <w:tcPr>
            <w:tcW w:w="2410"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需要提供的符合性审查资料</w:t>
            </w:r>
          </w:p>
        </w:tc>
        <w:tc>
          <w:tcPr>
            <w:tcW w:w="1701" w:type="dxa"/>
            <w:vAlign w:val="center"/>
          </w:tcPr>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投标文件中的</w:t>
            </w:r>
          </w:p>
          <w:p>
            <w:pPr>
              <w:snapToGrid w:val="0"/>
              <w:spacing w:line="240" w:lineRule="atLeast"/>
              <w:jc w:val="center"/>
              <w:rPr>
                <w:rFonts w:hint="eastAsia" w:ascii="仿宋" w:hAnsi="仿宋" w:eastAsia="仿宋" w:cs="仿宋"/>
                <w:b/>
                <w:color w:val="auto"/>
                <w:highlight w:val="none"/>
              </w:rPr>
            </w:pPr>
            <w:r>
              <w:rPr>
                <w:rFonts w:hint="eastAsia" w:ascii="仿宋" w:hAnsi="仿宋" w:eastAsia="仿宋" w:cs="仿宋"/>
                <w:b/>
                <w:color w:val="auto"/>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4140" w:type="dxa"/>
          </w:tcPr>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投标文件按照招标文件要求签署、盖章。</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需要使用电子签名或者签字盖章的投标文件的组成部分</w:t>
            </w:r>
          </w:p>
        </w:tc>
        <w:tc>
          <w:tcPr>
            <w:tcW w:w="1701" w:type="dxa"/>
          </w:tcPr>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p>
        </w:tc>
        <w:tc>
          <w:tcPr>
            <w:tcW w:w="4140" w:type="dxa"/>
          </w:tcPr>
          <w:p>
            <w:pPr>
              <w:rPr>
                <w:rFonts w:hint="eastAsia" w:ascii="仿宋" w:hAnsi="仿宋" w:eastAsia="仿宋" w:cs="仿宋"/>
                <w:color w:val="auto"/>
                <w:highlight w:val="none"/>
              </w:rPr>
            </w:pPr>
            <w:r>
              <w:rPr>
                <w:rFonts w:hint="eastAsia" w:ascii="仿宋" w:hAnsi="仿宋" w:eastAsia="仿宋" w:cs="仿宋"/>
                <w:color w:val="auto"/>
                <w:highlight w:val="none"/>
              </w:rPr>
              <w:t>投标文件中承诺的投标有效期不少于招标文件中载明的投标有效期。</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投标函</w:t>
            </w:r>
          </w:p>
        </w:tc>
        <w:tc>
          <w:tcPr>
            <w:tcW w:w="1701" w:type="dxa"/>
          </w:tcPr>
          <w:p>
            <w:pPr>
              <w:rPr>
                <w:rFonts w:hint="eastAsia" w:ascii="仿宋" w:hAnsi="仿宋" w:eastAsia="仿宋" w:cs="仿宋"/>
                <w:color w:val="auto"/>
                <w:highlight w:val="none"/>
              </w:rPr>
            </w:pPr>
            <w:r>
              <w:rPr>
                <w:rFonts w:hint="eastAsia" w:ascii="仿宋" w:hAnsi="仿宋" w:eastAsia="仿宋" w:cs="仿宋"/>
                <w:color w:val="auto"/>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3</w:t>
            </w:r>
          </w:p>
        </w:tc>
        <w:tc>
          <w:tcPr>
            <w:tcW w:w="4140" w:type="dxa"/>
          </w:tcPr>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投标文件满足招标文件的其它实质性要求。</w:t>
            </w:r>
          </w:p>
        </w:tc>
        <w:tc>
          <w:tcPr>
            <w:tcW w:w="2410" w:type="dxa"/>
            <w:vAlign w:val="center"/>
          </w:tcPr>
          <w:p>
            <w:pPr>
              <w:rPr>
                <w:rFonts w:hint="eastAsia" w:ascii="仿宋" w:hAnsi="仿宋" w:eastAsia="仿宋" w:cs="仿宋"/>
                <w:color w:val="auto"/>
                <w:highlight w:val="none"/>
              </w:rPr>
            </w:pPr>
            <w:r>
              <w:rPr>
                <w:rFonts w:hint="eastAsia" w:ascii="仿宋" w:hAnsi="仿宋" w:eastAsia="仿宋" w:cs="仿宋"/>
                <w:color w:val="auto"/>
                <w:highlight w:val="none"/>
              </w:rPr>
              <w:t>招标文件其它实质性要求相应的材料（“▲” 系指实质性要求条款，招标文件无其它实质性要求的，无需提供）</w:t>
            </w:r>
          </w:p>
        </w:tc>
        <w:tc>
          <w:tcPr>
            <w:tcW w:w="1701" w:type="dxa"/>
          </w:tcPr>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见投标文件</w:t>
            </w:r>
          </w:p>
          <w:p>
            <w:pPr>
              <w:rPr>
                <w:rFonts w:hint="eastAsia" w:ascii="仿宋" w:hAnsi="仿宋" w:eastAsia="仿宋" w:cs="仿宋"/>
                <w:color w:val="auto"/>
                <w:highlight w:val="none"/>
              </w:rPr>
            </w:pPr>
            <w:r>
              <w:rPr>
                <w:rFonts w:hint="eastAsia" w:ascii="仿宋" w:hAnsi="仿宋" w:eastAsia="仿宋" w:cs="仿宋"/>
                <w:color w:val="auto"/>
                <w:highlight w:val="none"/>
              </w:rPr>
              <w:t>第</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页</w:t>
            </w:r>
          </w:p>
        </w:tc>
      </w:tr>
    </w:tbl>
    <w:p>
      <w:pPr>
        <w:rPr>
          <w:rFonts w:hint="eastAsia" w:ascii="仿宋" w:hAnsi="仿宋" w:eastAsia="仿宋" w:cs="仿宋"/>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color w:val="auto"/>
          <w:highlight w:val="none"/>
        </w:rPr>
        <w:t>六、评标标准相应的商务技术资料</w:t>
      </w:r>
    </w:p>
    <w:p>
      <w:pPr>
        <w:snapToGrid w:val="0"/>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（按招标文件第四部分评标办法前附表中“投标文件中评标标准相应的商务技术资料目录”提供资料。）</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七</w:t>
      </w:r>
      <w:r>
        <w:rPr>
          <w:rFonts w:hint="eastAsia" w:ascii="仿宋" w:hAnsi="仿宋" w:eastAsia="仿宋" w:cs="仿宋"/>
          <w:color w:val="auto"/>
          <w:highlight w:val="none"/>
        </w:rPr>
        <w:t>、商务技术偏离表</w:t>
      </w:r>
    </w:p>
    <w:tbl>
      <w:tblPr>
        <w:tblStyle w:val="25"/>
        <w:tblW w:w="9464" w:type="dxa"/>
        <w:tblInd w:w="-5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序号</w:t>
            </w:r>
          </w:p>
        </w:tc>
        <w:tc>
          <w:tcPr>
            <w:tcW w:w="3683"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招标文件章节及具体内容</w:t>
            </w:r>
          </w:p>
        </w:tc>
        <w:tc>
          <w:tcPr>
            <w:tcW w:w="3546"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投标文件章节及具体内容</w:t>
            </w:r>
          </w:p>
        </w:tc>
        <w:tc>
          <w:tcPr>
            <w:tcW w:w="1276" w:type="dxa"/>
          </w:tcPr>
          <w:p>
            <w:pPr>
              <w:spacing w:after="0"/>
              <w:jc w:val="center"/>
              <w:rPr>
                <w:rFonts w:hint="eastAsia" w:ascii="仿宋" w:hAnsi="仿宋" w:eastAsia="仿宋" w:cs="仿宋"/>
                <w:b/>
                <w:bCs/>
                <w:color w:val="auto"/>
                <w:highlight w:val="none"/>
              </w:rPr>
            </w:pPr>
            <w:r>
              <w:rPr>
                <w:rFonts w:hint="eastAsia" w:ascii="仿宋" w:hAnsi="仿宋" w:eastAsia="仿宋" w:cs="仿宋"/>
                <w:b/>
                <w:bCs/>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1</w:t>
            </w:r>
          </w:p>
        </w:tc>
        <w:tc>
          <w:tcPr>
            <w:tcW w:w="3683" w:type="dxa"/>
          </w:tcPr>
          <w:p>
            <w:pPr>
              <w:spacing w:after="0"/>
              <w:jc w:val="center"/>
              <w:rPr>
                <w:rFonts w:hint="eastAsia" w:ascii="仿宋" w:hAnsi="仿宋" w:eastAsia="仿宋" w:cs="仿宋"/>
                <w:b/>
                <w:color w:val="auto"/>
                <w:sz w:val="32"/>
                <w:szCs w:val="32"/>
                <w:highlight w:val="none"/>
              </w:rPr>
            </w:pPr>
          </w:p>
        </w:tc>
        <w:tc>
          <w:tcPr>
            <w:tcW w:w="3546" w:type="dxa"/>
          </w:tcPr>
          <w:p>
            <w:pPr>
              <w:spacing w:after="0"/>
              <w:jc w:val="center"/>
              <w:rPr>
                <w:rFonts w:hint="eastAsia" w:ascii="仿宋" w:hAnsi="仿宋" w:eastAsia="仿宋" w:cs="仿宋"/>
                <w:b/>
                <w:color w:val="auto"/>
                <w:sz w:val="32"/>
                <w:szCs w:val="32"/>
                <w:highlight w:val="none"/>
              </w:rPr>
            </w:pPr>
          </w:p>
        </w:tc>
        <w:tc>
          <w:tcPr>
            <w:tcW w:w="1276" w:type="dxa"/>
          </w:tcPr>
          <w:p>
            <w:pPr>
              <w:spacing w:after="0"/>
              <w:jc w:val="center"/>
              <w:rPr>
                <w:rFonts w:hint="eastAsia" w:ascii="仿宋" w:hAnsi="仿宋" w:eastAsia="仿宋" w:cs="仿宋"/>
                <w:b/>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2</w:t>
            </w:r>
          </w:p>
        </w:tc>
        <w:tc>
          <w:tcPr>
            <w:tcW w:w="3683" w:type="dxa"/>
          </w:tcPr>
          <w:p>
            <w:pPr>
              <w:spacing w:after="0"/>
              <w:jc w:val="center"/>
              <w:rPr>
                <w:rFonts w:hint="eastAsia" w:ascii="仿宋" w:hAnsi="仿宋" w:eastAsia="仿宋" w:cs="仿宋"/>
                <w:b/>
                <w:color w:val="auto"/>
                <w:sz w:val="32"/>
                <w:szCs w:val="32"/>
                <w:highlight w:val="none"/>
              </w:rPr>
            </w:pPr>
          </w:p>
        </w:tc>
        <w:tc>
          <w:tcPr>
            <w:tcW w:w="3546" w:type="dxa"/>
          </w:tcPr>
          <w:p>
            <w:pPr>
              <w:spacing w:after="0"/>
              <w:jc w:val="center"/>
              <w:rPr>
                <w:rFonts w:hint="eastAsia" w:ascii="仿宋" w:hAnsi="仿宋" w:eastAsia="仿宋" w:cs="仿宋"/>
                <w:b/>
                <w:color w:val="auto"/>
                <w:sz w:val="32"/>
                <w:szCs w:val="32"/>
                <w:highlight w:val="none"/>
              </w:rPr>
            </w:pPr>
          </w:p>
        </w:tc>
        <w:tc>
          <w:tcPr>
            <w:tcW w:w="1276" w:type="dxa"/>
          </w:tcPr>
          <w:p>
            <w:pPr>
              <w:spacing w:after="0"/>
              <w:jc w:val="center"/>
              <w:rPr>
                <w:rFonts w:hint="eastAsia" w:ascii="仿宋" w:hAnsi="仿宋" w:eastAsia="仿宋" w:cs="仿宋"/>
                <w:b/>
                <w:color w:val="auto"/>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after="0"/>
              <w:jc w:val="center"/>
              <w:rPr>
                <w:rFonts w:hint="eastAsia" w:ascii="仿宋" w:hAnsi="仿宋" w:eastAsia="仿宋" w:cs="仿宋"/>
                <w:color w:val="auto"/>
                <w:highlight w:val="none"/>
              </w:rPr>
            </w:pPr>
            <w:r>
              <w:rPr>
                <w:rFonts w:hint="eastAsia" w:ascii="仿宋" w:hAnsi="仿宋" w:eastAsia="仿宋" w:cs="仿宋"/>
                <w:color w:val="auto"/>
                <w:highlight w:val="none"/>
              </w:rPr>
              <w:t>……</w:t>
            </w:r>
          </w:p>
        </w:tc>
        <w:tc>
          <w:tcPr>
            <w:tcW w:w="3683" w:type="dxa"/>
          </w:tcPr>
          <w:p>
            <w:pPr>
              <w:spacing w:after="0"/>
              <w:jc w:val="center"/>
              <w:rPr>
                <w:rFonts w:hint="eastAsia" w:ascii="仿宋" w:hAnsi="仿宋" w:eastAsia="仿宋" w:cs="仿宋"/>
                <w:b/>
                <w:color w:val="auto"/>
                <w:sz w:val="32"/>
                <w:szCs w:val="32"/>
                <w:highlight w:val="none"/>
              </w:rPr>
            </w:pPr>
          </w:p>
        </w:tc>
        <w:tc>
          <w:tcPr>
            <w:tcW w:w="3546" w:type="dxa"/>
          </w:tcPr>
          <w:p>
            <w:pPr>
              <w:spacing w:after="0"/>
              <w:jc w:val="center"/>
              <w:rPr>
                <w:rFonts w:hint="eastAsia" w:ascii="仿宋" w:hAnsi="仿宋" w:eastAsia="仿宋" w:cs="仿宋"/>
                <w:b/>
                <w:color w:val="auto"/>
                <w:sz w:val="32"/>
                <w:szCs w:val="32"/>
                <w:highlight w:val="none"/>
              </w:rPr>
            </w:pPr>
          </w:p>
        </w:tc>
        <w:tc>
          <w:tcPr>
            <w:tcW w:w="1276" w:type="dxa"/>
          </w:tcPr>
          <w:p>
            <w:pPr>
              <w:spacing w:after="0"/>
              <w:jc w:val="center"/>
              <w:rPr>
                <w:rFonts w:hint="eastAsia" w:ascii="仿宋" w:hAnsi="仿宋" w:eastAsia="仿宋" w:cs="仿宋"/>
                <w:b/>
                <w:color w:val="auto"/>
                <w:sz w:val="32"/>
                <w:szCs w:val="32"/>
                <w:highlight w:val="none"/>
              </w:rPr>
            </w:pPr>
          </w:p>
        </w:tc>
      </w:tr>
    </w:tbl>
    <w:p>
      <w:pPr>
        <w:keepNext w:val="0"/>
        <w:keepLines w:val="0"/>
        <w:pageBreakBefore w:val="0"/>
        <w:widowControl/>
        <w:kinsoku/>
        <w:wordWrap/>
        <w:overflowPunct/>
        <w:topLinePunct w:val="0"/>
        <w:autoSpaceDE/>
        <w:autoSpaceDN/>
        <w:bidi w:val="0"/>
        <w:adjustRightInd/>
        <w:snapToGrid/>
        <w:spacing w:after="0"/>
        <w:textAlignment w:val="auto"/>
        <w:rPr>
          <w:rFonts w:hint="eastAsia" w:ascii="仿宋" w:hAnsi="仿宋" w:eastAsia="仿宋" w:cs="仿宋"/>
          <w:color w:val="auto"/>
          <w:highlight w:val="none"/>
        </w:rPr>
      </w:pPr>
      <w:r>
        <w:rPr>
          <w:rFonts w:hint="eastAsia" w:ascii="仿宋" w:hAnsi="仿宋" w:eastAsia="仿宋" w:cs="仿宋"/>
          <w:color w:val="auto"/>
          <w:highlight w:val="none"/>
        </w:rPr>
        <w:t>投标人保证：除商务技术偏离表列出的偏离外，投标人响应招标文件的全部要求</w:t>
      </w:r>
    </w:p>
    <w:p>
      <w:pPr>
        <w:keepNext w:val="0"/>
        <w:keepLines w:val="0"/>
        <w:pageBreakBefore w:val="0"/>
        <w:widowControl/>
        <w:kinsoku/>
        <w:wordWrap/>
        <w:overflowPunct/>
        <w:topLinePunct w:val="0"/>
        <w:autoSpaceDE/>
        <w:autoSpaceDN/>
        <w:bidi w:val="0"/>
        <w:adjustRightInd/>
        <w:snapToGrid/>
        <w:spacing w:after="0" w:line="360" w:lineRule="auto"/>
        <w:ind w:right="420"/>
        <w:textAlignment w:val="auto"/>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keepNext w:val="0"/>
        <w:keepLines w:val="0"/>
        <w:pageBreakBefore w:val="0"/>
        <w:widowControl/>
        <w:kinsoku/>
        <w:wordWrap/>
        <w:overflowPunct/>
        <w:topLinePunct w:val="0"/>
        <w:autoSpaceDE/>
        <w:autoSpaceDN/>
        <w:bidi w:val="0"/>
        <w:adjustRightInd/>
        <w:snapToGrid/>
        <w:spacing w:after="0" w:line="360" w:lineRule="auto"/>
        <w:ind w:right="42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招标文件第三部分</w:t>
      </w:r>
      <w:r>
        <w:rPr>
          <w:rFonts w:hint="eastAsia" w:ascii="仿宋" w:hAnsi="仿宋" w:eastAsia="仿宋" w:cs="仿宋"/>
          <w:color w:val="auto"/>
          <w:highlight w:val="none"/>
          <w:lang w:eastAsia="zh-CN"/>
        </w:rPr>
        <w:t>采购需求</w:t>
      </w:r>
      <w:r>
        <w:rPr>
          <w:rFonts w:hint="eastAsia" w:ascii="仿宋" w:hAnsi="仿宋" w:eastAsia="仿宋" w:cs="仿宋"/>
          <w:color w:val="auto"/>
          <w:highlight w:val="none"/>
          <w:lang w:val="en-US" w:eastAsia="zh-CN"/>
        </w:rPr>
        <w:t>第四条技术要求</w:t>
      </w:r>
      <w:r>
        <w:rPr>
          <w:rFonts w:hint="eastAsia" w:ascii="仿宋" w:hAnsi="仿宋" w:eastAsia="仿宋" w:cs="仿宋"/>
          <w:color w:val="auto"/>
          <w:spacing w:val="0"/>
          <w:sz w:val="24"/>
          <w:szCs w:val="24"/>
          <w:highlight w:val="none"/>
          <w:lang w:val="en-US" w:eastAsia="zh-CN"/>
        </w:rPr>
        <w:t>2.3.21</w:t>
      </w:r>
      <w:r>
        <w:rPr>
          <w:rFonts w:hint="eastAsia" w:ascii="仿宋" w:hAnsi="仿宋" w:eastAsia="仿宋" w:cs="仿宋"/>
          <w:color w:val="auto"/>
          <w:highlight w:val="none"/>
        </w:rPr>
        <w:t>“▲” 系指实质性要求条款</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投标人须按要求提供承诺书，若不提供按无效标处理。</w:t>
      </w:r>
    </w:p>
    <w:p>
      <w:pPr>
        <w:pStyle w:val="2"/>
        <w:rPr>
          <w:rFonts w:hint="eastAsia" w:ascii="仿宋" w:hAnsi="仿宋" w:eastAsia="仿宋" w:cs="仿宋"/>
          <w:color w:val="auto"/>
          <w:highlight w:val="none"/>
        </w:rPr>
      </w:pP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bCs/>
          <w:color w:val="auto"/>
          <w:highlight w:val="none"/>
          <w:lang w:val="en-US" w:eastAsia="zh-CN"/>
        </w:rPr>
        <w:t>八</w:t>
      </w:r>
      <w:r>
        <w:rPr>
          <w:rFonts w:hint="eastAsia" w:ascii="仿宋" w:hAnsi="仿宋" w:eastAsia="仿宋" w:cs="仿宋"/>
          <w:color w:val="auto"/>
          <w:highlight w:val="none"/>
        </w:rPr>
        <w:t>、</w:t>
      </w:r>
      <w:r>
        <w:rPr>
          <w:rFonts w:hint="eastAsia" w:ascii="仿宋" w:hAnsi="仿宋" w:eastAsia="仿宋" w:cs="仿宋"/>
          <w:color w:val="auto"/>
          <w:highlight w:val="none"/>
          <w:lang w:val="zh-CN"/>
        </w:rPr>
        <w:t>政府采购供应商廉洁自律承诺书</w:t>
      </w:r>
    </w:p>
    <w:p>
      <w:pPr>
        <w:rPr>
          <w:rFonts w:hint="eastAsia" w:ascii="仿宋" w:hAnsi="仿宋" w:eastAsia="仿宋" w:cs="仿宋"/>
          <w:color w:val="auto"/>
          <w:highlight w:val="none"/>
        </w:rPr>
      </w:pPr>
      <w:r>
        <w:rPr>
          <w:rFonts w:hint="eastAsia" w:ascii="仿宋" w:hAnsi="仿宋" w:eastAsia="仿宋" w:cs="仿宋"/>
          <w:color w:val="auto"/>
          <w:highlight w:val="none"/>
        </w:rPr>
        <w:t>（采购人）、（采购代理机构）</w:t>
      </w:r>
      <w:r>
        <w:rPr>
          <w:rFonts w:hint="eastAsia" w:ascii="仿宋" w:hAnsi="仿宋" w:eastAsia="仿宋" w:cs="仿宋"/>
          <w:color w:val="auto"/>
          <w:highlight w:val="none"/>
          <w:lang w:val="zh-CN"/>
        </w:rPr>
        <w:t>：</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我单位响应你</w:t>
      </w:r>
      <w:r>
        <w:rPr>
          <w:rFonts w:hint="eastAsia" w:ascii="仿宋" w:hAnsi="仿宋" w:eastAsia="仿宋" w:cs="仿宋"/>
          <w:color w:val="auto"/>
          <w:highlight w:val="none"/>
        </w:rPr>
        <w:t>单位</w:t>
      </w:r>
      <w:r>
        <w:rPr>
          <w:rFonts w:hint="eastAsia" w:ascii="仿宋" w:hAnsi="仿宋" w:eastAsia="仿宋" w:cs="仿宋"/>
          <w:color w:val="auto"/>
          <w:highlight w:val="none"/>
          <w:lang w:val="zh-CN"/>
        </w:rPr>
        <w:t>项目招标要求参加投标。在这次投标过程中和中标后，我们将严格遵守国家法律法规要求，并郑重承诺：</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一、不向项目有关人员及部门赠送礼金礼物、有价证券、回扣以及中介费、介绍费、咨询费等好处费；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二、不为项目有关人员及部门报销应由你方单位或个人支付的费用；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三、不向项目有关人员及部门提供有可能影响公正的宴请和健身娱乐等活动；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四、不为项目有关人员及部门出国（境）、旅游等提供方便；</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五、不为项目有关人员个人装修住房、婚丧嫁娶、配偶子女工作安排等提供</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好处；</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六、严格遵守《中华人民共和国政府采购法》《中华人民共和国招标投标</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法》《中华人民共和国民法典》等法律法规，诚实守信，合法经营，坚决抵制各种违法违纪行为。 </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如违反上述承诺，你</w:t>
      </w:r>
      <w:r>
        <w:rPr>
          <w:rFonts w:hint="eastAsia" w:ascii="仿宋" w:hAnsi="仿宋" w:eastAsia="仿宋" w:cs="仿宋"/>
          <w:color w:val="auto"/>
          <w:highlight w:val="none"/>
        </w:rPr>
        <w:t>单位</w:t>
      </w:r>
      <w:r>
        <w:rPr>
          <w:rFonts w:hint="eastAsia" w:ascii="仿宋" w:hAnsi="仿宋" w:eastAsia="仿宋" w:cs="仿宋"/>
          <w:color w:val="auto"/>
          <w:highlight w:val="none"/>
          <w:lang w:val="zh-CN"/>
        </w:rPr>
        <w:t>有权立即取消我单位投标、中标或在建项目的建设资格，有权拒绝我单位在一定时期内进入你</w:t>
      </w:r>
      <w:r>
        <w:rPr>
          <w:rFonts w:hint="eastAsia" w:ascii="仿宋" w:hAnsi="仿宋" w:eastAsia="仿宋" w:cs="仿宋"/>
          <w:color w:val="auto"/>
          <w:highlight w:val="none"/>
        </w:rPr>
        <w:t>单位</w:t>
      </w:r>
      <w:r>
        <w:rPr>
          <w:rFonts w:hint="eastAsia" w:ascii="仿宋" w:hAnsi="仿宋" w:eastAsia="仿宋" w:cs="仿宋"/>
          <w:color w:val="auto"/>
          <w:highlight w:val="none"/>
          <w:lang w:val="zh-CN"/>
        </w:rPr>
        <w:t>进行项目建设或其他经营活动，并通报市财政局。由此引起的相应损失均由我单位承担。</w:t>
      </w:r>
    </w:p>
    <w:p>
      <w:pPr>
        <w:rPr>
          <w:rFonts w:hint="eastAsia" w:ascii="仿宋" w:hAnsi="仿宋" w:eastAsia="仿宋" w:cs="仿宋"/>
          <w:color w:val="auto"/>
          <w:highlight w:val="none"/>
          <w:lang w:val="zh-CN"/>
        </w:rPr>
      </w:pPr>
    </w:p>
    <w:p>
      <w:pPr>
        <w:rPr>
          <w:rFonts w:hint="eastAsia" w:ascii="仿宋" w:hAnsi="仿宋" w:eastAsia="仿宋" w:cs="仿宋"/>
          <w:color w:val="auto"/>
          <w:highlight w:val="none"/>
          <w:lang w:val="zh-CN"/>
        </w:rPr>
      </w:pPr>
    </w:p>
    <w:p>
      <w:pPr>
        <w:jc w:val="righ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投标人名称（</w:t>
      </w:r>
      <w:r>
        <w:rPr>
          <w:rFonts w:hint="eastAsia" w:ascii="仿宋" w:hAnsi="仿宋" w:eastAsia="仿宋" w:cs="仿宋"/>
          <w:color w:val="auto"/>
          <w:highlight w:val="none"/>
        </w:rPr>
        <w:t>电子签名</w:t>
      </w:r>
      <w:r>
        <w:rPr>
          <w:rFonts w:hint="eastAsia" w:ascii="仿宋" w:hAnsi="仿宋" w:eastAsia="仿宋" w:cs="仿宋"/>
          <w:color w:val="auto"/>
          <w:highlight w:val="none"/>
          <w:lang w:val="zh-CN"/>
        </w:rPr>
        <w:t xml:space="preserve">）： </w:t>
      </w:r>
    </w:p>
    <w:p>
      <w:pPr>
        <w:jc w:val="right"/>
        <w:rPr>
          <w:rFonts w:hint="eastAsia" w:ascii="仿宋" w:hAnsi="仿宋" w:eastAsia="仿宋" w:cs="仿宋"/>
          <w:color w:val="auto"/>
          <w:highlight w:val="none"/>
        </w:rPr>
      </w:pPr>
      <w:r>
        <w:rPr>
          <w:rFonts w:hint="eastAsia" w:ascii="仿宋" w:hAnsi="仿宋" w:eastAsia="仿宋" w:cs="仿宋"/>
          <w:color w:val="auto"/>
          <w:highlight w:val="none"/>
          <w:lang w:val="zh-CN"/>
        </w:rPr>
        <w:t>日期</w:t>
      </w:r>
      <w:r>
        <w:rPr>
          <w:rFonts w:hint="eastAsia" w:ascii="仿宋" w:hAnsi="仿宋" w:eastAsia="仿宋" w:cs="仿宋"/>
          <w:color w:val="auto"/>
          <w:highlight w:val="none"/>
        </w:rPr>
        <w:t>：</w:t>
      </w:r>
      <w:r>
        <w:rPr>
          <w:rFonts w:hint="eastAsia" w:ascii="仿宋" w:hAnsi="仿宋" w:eastAsia="仿宋" w:cs="仿宋"/>
          <w:color w:val="auto"/>
          <w:highlight w:val="none"/>
          <w:lang w:val="zh-CN"/>
        </w:rPr>
        <w:t xml:space="preserve">   年   月   日</w:t>
      </w:r>
    </w:p>
    <w:p>
      <w:pPr>
        <w:rPr>
          <w:rFonts w:hint="eastAsia" w:ascii="仿宋" w:hAnsi="仿宋" w:eastAsia="仿宋" w:cs="仿宋"/>
          <w:b/>
          <w:bCs/>
          <w:color w:val="auto"/>
          <w:highlight w:val="none"/>
        </w:rPr>
      </w:pPr>
    </w:p>
    <w:p>
      <w:pPr>
        <w:rPr>
          <w:rFonts w:hint="eastAsia" w:ascii="仿宋" w:hAnsi="仿宋" w:eastAsia="仿宋" w:cs="仿宋"/>
          <w:color w:val="auto"/>
          <w:highlight w:val="none"/>
        </w:rPr>
      </w:pPr>
      <w:r>
        <w:rPr>
          <w:rFonts w:hint="eastAsia" w:ascii="仿宋" w:hAnsi="仿宋" w:eastAsia="仿宋" w:cs="仿宋"/>
          <w:color w:val="auto"/>
          <w:highlight w:val="none"/>
        </w:rPr>
        <w:t>注：按本格式和要求提供。</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numPr>
          <w:ilvl w:val="0"/>
          <w:numId w:val="12"/>
        </w:numPr>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投标</w:t>
      </w:r>
      <w:r>
        <w:rPr>
          <w:rFonts w:hint="eastAsia" w:ascii="仿宋" w:hAnsi="仿宋" w:eastAsia="仿宋" w:cs="仿宋"/>
          <w:color w:val="auto"/>
          <w:highlight w:val="none"/>
          <w:lang w:val="zh-CN"/>
        </w:rPr>
        <w:t>承诺书</w:t>
      </w:r>
    </w:p>
    <w:p>
      <w:pPr>
        <w:numPr>
          <w:ilvl w:val="0"/>
          <w:numId w:val="0"/>
        </w:num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snapToGrid w:val="0"/>
          <w:color w:val="auto"/>
          <w:kern w:val="28"/>
          <w:sz w:val="28"/>
          <w:szCs w:val="20"/>
          <w:highlight w:val="none"/>
          <w:lang w:val="zh-CN" w:eastAsia="zh-CN" w:bidi="ar-SA"/>
        </w:rPr>
      </w:pPr>
      <w:r>
        <w:rPr>
          <w:rFonts w:hint="eastAsia" w:ascii="仿宋" w:hAnsi="仿宋" w:eastAsia="仿宋" w:cs="仿宋"/>
          <w:snapToGrid w:val="0"/>
          <w:color w:val="auto"/>
          <w:kern w:val="28"/>
          <w:sz w:val="28"/>
          <w:szCs w:val="20"/>
          <w:highlight w:val="none"/>
          <w:lang w:val="zh-CN" w:eastAsia="zh-CN" w:bidi="ar-SA"/>
        </w:rPr>
        <w:t>（采购人）、（采购代理机构）：</w:t>
      </w:r>
    </w:p>
    <w:p>
      <w:pPr>
        <w:pStyle w:val="2"/>
        <w:keepNext w:val="0"/>
        <w:keepLines w:val="0"/>
        <w:pageBreakBefore w:val="0"/>
        <w:widowControl/>
        <w:kinsoku/>
        <w:wordWrap/>
        <w:overflowPunct/>
        <w:topLinePunct w:val="0"/>
        <w:autoSpaceDE/>
        <w:autoSpaceDN/>
        <w:bidi w:val="0"/>
        <w:adjustRightInd w:val="0"/>
        <w:snapToGrid w:val="0"/>
        <w:spacing w:line="360" w:lineRule="auto"/>
        <w:ind w:firstLine="567"/>
        <w:textAlignment w:val="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zh-CN"/>
        </w:rPr>
        <w:t>我单位</w:t>
      </w:r>
      <w:r>
        <w:rPr>
          <w:rFonts w:hint="eastAsia" w:ascii="仿宋" w:hAnsi="仿宋" w:eastAsia="仿宋" w:cs="仿宋"/>
          <w:color w:val="auto"/>
          <w:highlight w:val="none"/>
          <w:lang w:val="en-US" w:eastAsia="zh-CN"/>
        </w:rPr>
        <w:t>决定参加贵方</w:t>
      </w:r>
      <w:r>
        <w:rPr>
          <w:rFonts w:hint="eastAsia" w:ascii="仿宋" w:hAnsi="仿宋" w:eastAsia="仿宋" w:cs="仿宋"/>
          <w:color w:val="auto"/>
          <w:highlight w:val="none"/>
          <w:u w:val="single"/>
        </w:rPr>
        <w:t>杭州市萧山区市政绿化养护保障中心能源托管</w:t>
      </w:r>
      <w:r>
        <w:rPr>
          <w:rFonts w:hint="eastAsia" w:ascii="仿宋" w:hAnsi="仿宋" w:eastAsia="仿宋" w:cs="仿宋"/>
          <w:color w:val="auto"/>
          <w:highlight w:val="none"/>
        </w:rPr>
        <w:t>项目</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并完全接受贵方招标文件中的所有内容及要求。为此，我方作出如下承诺：</w:t>
      </w:r>
    </w:p>
    <w:p>
      <w:pPr>
        <w:pStyle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若我方中标，我方承诺我方路灯智慧系统与萧山区市政绿化养护保障中心智慧市政绿化管理路灯智慧系统平台相兼容运作并满足其它各项招标需求。</w:t>
      </w:r>
    </w:p>
    <w:p>
      <w:pPr>
        <w:pStyle w:val="2"/>
        <w:rPr>
          <w:rFonts w:hint="eastAsia" w:ascii="仿宋" w:hAnsi="仿宋" w:eastAsia="仿宋" w:cs="仿宋"/>
          <w:color w:val="auto"/>
          <w:highlight w:val="none"/>
          <w:lang w:val="en-US" w:eastAsia="zh-CN"/>
        </w:rPr>
      </w:pPr>
    </w:p>
    <w:p>
      <w:pPr>
        <w:pStyle w:val="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特此承诺！</w:t>
      </w:r>
    </w:p>
    <w:p>
      <w:pPr>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lang w:val="en-US" w:eastAsia="zh-CN"/>
        </w:rPr>
      </w:pPr>
    </w:p>
    <w:p>
      <w:pPr>
        <w:pStyle w:val="2"/>
        <w:rPr>
          <w:rFonts w:hint="eastAsia" w:ascii="仿宋" w:hAnsi="仿宋" w:eastAsia="仿宋" w:cs="仿宋"/>
          <w:color w:val="auto"/>
          <w:highlight w:val="none"/>
          <w:lang w:val="en-US" w:eastAsia="zh-CN"/>
        </w:rPr>
      </w:pPr>
    </w:p>
    <w:p>
      <w:pPr>
        <w:rPr>
          <w:rFonts w:hint="eastAsia" w:ascii="仿宋" w:hAnsi="仿宋" w:eastAsia="仿宋" w:cs="仿宋"/>
          <w:snapToGrid w:val="0"/>
          <w:color w:val="auto"/>
          <w:kern w:val="28"/>
          <w:sz w:val="28"/>
          <w:szCs w:val="20"/>
          <w:highlight w:val="none"/>
          <w:lang w:val="en-US" w:eastAsia="zh-CN" w:bidi="ar-SA"/>
        </w:rPr>
      </w:pPr>
    </w:p>
    <w:p>
      <w:pPr>
        <w:jc w:val="right"/>
        <w:rPr>
          <w:rFonts w:hint="eastAsia" w:ascii="仿宋" w:hAnsi="仿宋" w:eastAsia="仿宋" w:cs="仿宋"/>
          <w:snapToGrid w:val="0"/>
          <w:color w:val="auto"/>
          <w:kern w:val="28"/>
          <w:sz w:val="28"/>
          <w:szCs w:val="20"/>
          <w:highlight w:val="none"/>
          <w:lang w:val="zh-CN" w:eastAsia="zh-CN" w:bidi="ar-SA"/>
        </w:rPr>
      </w:pPr>
      <w:r>
        <w:rPr>
          <w:rFonts w:hint="eastAsia" w:ascii="仿宋" w:hAnsi="仿宋" w:eastAsia="仿宋" w:cs="仿宋"/>
          <w:snapToGrid w:val="0"/>
          <w:color w:val="auto"/>
          <w:kern w:val="28"/>
          <w:sz w:val="28"/>
          <w:szCs w:val="20"/>
          <w:highlight w:val="none"/>
          <w:lang w:val="zh-CN" w:eastAsia="zh-CN" w:bidi="ar-SA"/>
        </w:rPr>
        <w:t>投标人名称（</w:t>
      </w:r>
      <w:r>
        <w:rPr>
          <w:rFonts w:hint="eastAsia" w:ascii="仿宋" w:hAnsi="仿宋" w:eastAsia="仿宋" w:cs="仿宋"/>
          <w:snapToGrid w:val="0"/>
          <w:color w:val="auto"/>
          <w:kern w:val="28"/>
          <w:sz w:val="28"/>
          <w:szCs w:val="20"/>
          <w:highlight w:val="none"/>
          <w:lang w:val="en-US" w:eastAsia="zh-CN" w:bidi="ar-SA"/>
        </w:rPr>
        <w:t>电子签名</w:t>
      </w:r>
      <w:r>
        <w:rPr>
          <w:rFonts w:hint="eastAsia" w:ascii="仿宋" w:hAnsi="仿宋" w:eastAsia="仿宋" w:cs="仿宋"/>
          <w:snapToGrid w:val="0"/>
          <w:color w:val="auto"/>
          <w:kern w:val="28"/>
          <w:sz w:val="28"/>
          <w:szCs w:val="20"/>
          <w:highlight w:val="none"/>
          <w:lang w:val="zh-CN" w:eastAsia="zh-CN" w:bidi="ar-SA"/>
        </w:rPr>
        <w:t xml:space="preserve">）： </w:t>
      </w:r>
    </w:p>
    <w:p>
      <w:pPr>
        <w:jc w:val="right"/>
        <w:rPr>
          <w:rFonts w:hint="eastAsia" w:ascii="仿宋" w:hAnsi="仿宋" w:eastAsia="仿宋" w:cs="仿宋"/>
          <w:snapToGrid w:val="0"/>
          <w:color w:val="auto"/>
          <w:kern w:val="28"/>
          <w:sz w:val="28"/>
          <w:szCs w:val="20"/>
          <w:highlight w:val="none"/>
          <w:lang w:val="en-US" w:eastAsia="zh-CN" w:bidi="ar-SA"/>
        </w:rPr>
      </w:pPr>
      <w:r>
        <w:rPr>
          <w:rFonts w:hint="eastAsia" w:ascii="仿宋" w:hAnsi="仿宋" w:eastAsia="仿宋" w:cs="仿宋"/>
          <w:snapToGrid w:val="0"/>
          <w:color w:val="auto"/>
          <w:kern w:val="28"/>
          <w:sz w:val="28"/>
          <w:szCs w:val="20"/>
          <w:highlight w:val="none"/>
          <w:lang w:val="zh-CN" w:eastAsia="zh-CN" w:bidi="ar-SA"/>
        </w:rPr>
        <w:t>日期</w:t>
      </w:r>
      <w:r>
        <w:rPr>
          <w:rFonts w:hint="eastAsia" w:ascii="仿宋" w:hAnsi="仿宋" w:eastAsia="仿宋" w:cs="仿宋"/>
          <w:snapToGrid w:val="0"/>
          <w:color w:val="auto"/>
          <w:kern w:val="28"/>
          <w:sz w:val="28"/>
          <w:szCs w:val="20"/>
          <w:highlight w:val="none"/>
          <w:lang w:val="en-US" w:eastAsia="zh-CN" w:bidi="ar-SA"/>
        </w:rPr>
        <w:t>：</w:t>
      </w:r>
      <w:r>
        <w:rPr>
          <w:rFonts w:hint="eastAsia" w:ascii="仿宋" w:hAnsi="仿宋" w:eastAsia="仿宋" w:cs="仿宋"/>
          <w:snapToGrid w:val="0"/>
          <w:color w:val="auto"/>
          <w:kern w:val="28"/>
          <w:sz w:val="28"/>
          <w:szCs w:val="20"/>
          <w:highlight w:val="none"/>
          <w:lang w:val="zh-CN" w:eastAsia="zh-CN" w:bidi="ar-SA"/>
        </w:rPr>
        <w:t xml:space="preserve">   年   月   日</w:t>
      </w:r>
    </w:p>
    <w:p>
      <w:pPr>
        <w:pStyle w:val="2"/>
        <w:rPr>
          <w:rFonts w:hint="eastAsia" w:ascii="仿宋" w:hAnsi="仿宋" w:eastAsia="仿宋" w:cs="仿宋"/>
          <w:color w:val="auto"/>
          <w:highlight w:val="none"/>
          <w:lang w:val="en-US" w:eastAsia="zh-CN"/>
        </w:rPr>
      </w:pPr>
    </w:p>
    <w:p>
      <w:pPr>
        <w:pStyle w:val="2"/>
        <w:rPr>
          <w:rFonts w:hint="eastAsia" w:ascii="仿宋" w:hAnsi="仿宋" w:eastAsia="仿宋" w:cs="仿宋"/>
          <w:color w:val="auto"/>
          <w:highlight w:val="none"/>
          <w:lang w:val="en-US" w:eastAsia="zh-CN"/>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pStyle w:val="2"/>
        <w:ind w:left="0" w:leftChars="0" w:firstLine="0" w:firstLine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4"/>
        <w:rPr>
          <w:rFonts w:hint="eastAsia" w:ascii="仿宋" w:hAnsi="仿宋" w:eastAsia="仿宋" w:cs="仿宋"/>
          <w:color w:val="auto"/>
          <w:highlight w:val="none"/>
        </w:rPr>
      </w:pPr>
      <w:r>
        <w:rPr>
          <w:rFonts w:hint="eastAsia" w:ascii="仿宋" w:hAnsi="仿宋" w:eastAsia="仿宋" w:cs="仿宋"/>
          <w:color w:val="auto"/>
          <w:highlight w:val="none"/>
        </w:rPr>
        <w:t>报价文件部分</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目录</w:t>
      </w:r>
    </w:p>
    <w:p>
      <w:pPr>
        <w:rPr>
          <w:rFonts w:hint="eastAsia" w:ascii="仿宋" w:hAnsi="仿宋" w:eastAsia="仿宋" w:cs="仿宋"/>
          <w:color w:val="auto"/>
          <w:highlight w:val="none"/>
        </w:rPr>
      </w:pPr>
      <w:r>
        <w:rPr>
          <w:rFonts w:hint="eastAsia" w:ascii="仿宋" w:hAnsi="仿宋" w:eastAsia="仿宋" w:cs="仿宋"/>
          <w:color w:val="auto"/>
          <w:highlight w:val="none"/>
        </w:rPr>
        <w:t>（1）开标一览表（报价表）…………………………………………………（</w:t>
      </w:r>
      <w:r>
        <w:rPr>
          <w:rFonts w:hint="eastAsia" w:ascii="仿宋" w:hAnsi="仿宋" w:eastAsia="仿宋" w:cs="仿宋"/>
          <w:color w:val="auto"/>
          <w:highlight w:val="none"/>
          <w:lang w:val="en-US" w:eastAsia="zh-CN"/>
        </w:rPr>
        <w:t>64</w:t>
      </w:r>
      <w:r>
        <w:rPr>
          <w:rFonts w:hint="eastAsia" w:ascii="仿宋" w:hAnsi="仿宋" w:eastAsia="仿宋" w:cs="仿宋"/>
          <w:color w:val="auto"/>
          <w:highlight w:val="none"/>
        </w:rPr>
        <w:t>）</w:t>
      </w:r>
    </w:p>
    <w:p>
      <w:pPr>
        <w:rPr>
          <w:rFonts w:hint="eastAsia" w:ascii="仿宋" w:hAnsi="仿宋" w:eastAsia="仿宋" w:cs="仿宋"/>
          <w:color w:val="auto"/>
          <w:highlight w:val="none"/>
        </w:rPr>
      </w:pPr>
      <w:r>
        <w:rPr>
          <w:rFonts w:hint="eastAsia" w:ascii="仿宋" w:hAnsi="仿宋" w:eastAsia="仿宋" w:cs="仿宋"/>
          <w:color w:val="auto"/>
          <w:highlight w:val="none"/>
        </w:rPr>
        <w:t>（2）中小企业声明函…………………………………………………………（</w:t>
      </w:r>
      <w:r>
        <w:rPr>
          <w:rFonts w:hint="eastAsia" w:ascii="仿宋" w:hAnsi="仿宋" w:eastAsia="仿宋" w:cs="仿宋"/>
          <w:color w:val="auto"/>
          <w:highlight w:val="none"/>
          <w:lang w:val="en-US" w:eastAsia="zh-CN"/>
        </w:rPr>
        <w:t>65</w:t>
      </w:r>
      <w:r>
        <w:rPr>
          <w:rFonts w:hint="eastAsia" w:ascii="仿宋" w:hAnsi="仿宋" w:eastAsia="仿宋" w:cs="仿宋"/>
          <w:color w:val="auto"/>
          <w:highlight w:val="none"/>
        </w:rPr>
        <w:t>）</w:t>
      </w:r>
    </w:p>
    <w:p>
      <w:pPr>
        <w:snapToGrid w:val="0"/>
        <w:spacing w:line="360" w:lineRule="auto"/>
        <w:ind w:right="480"/>
        <w:jc w:val="center"/>
        <w:rPr>
          <w:rFonts w:hint="eastAsia" w:ascii="仿宋" w:hAnsi="仿宋" w:eastAsia="仿宋" w:cs="仿宋"/>
          <w:b/>
          <w:color w:val="auto"/>
          <w:sz w:val="32"/>
          <w:szCs w:val="32"/>
          <w:highlight w:val="none"/>
        </w:rPr>
      </w:pPr>
    </w:p>
    <w:p>
      <w:pPr>
        <w:pStyle w:val="7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7" w:type="default"/>
          <w:pgSz w:w="11906" w:h="16838"/>
          <w:pgMar w:top="1440" w:right="1700" w:bottom="1440" w:left="1800" w:header="851" w:footer="992" w:gutter="0"/>
          <w:cols w:space="425" w:num="1"/>
          <w:docGrid w:type="lines" w:linePitch="312" w:charSpace="0"/>
        </w:sectPr>
      </w:pPr>
    </w:p>
    <w:p>
      <w:pPr>
        <w:pStyle w:val="4"/>
        <w:rPr>
          <w:rFonts w:hint="eastAsia" w:ascii="仿宋" w:hAnsi="仿宋" w:eastAsia="仿宋" w:cs="仿宋"/>
          <w:color w:val="auto"/>
          <w:highlight w:val="none"/>
        </w:rPr>
      </w:pPr>
      <w:r>
        <w:rPr>
          <w:rFonts w:hint="eastAsia" w:ascii="仿宋" w:hAnsi="仿宋" w:eastAsia="仿宋" w:cs="仿宋"/>
          <w:color w:val="auto"/>
          <w:highlight w:val="none"/>
        </w:rPr>
        <w:t>一、开标一览表（报价表）</w:t>
      </w:r>
    </w:p>
    <w:p>
      <w:pPr>
        <w:spacing w:line="360" w:lineRule="auto"/>
        <w:ind w:firstLine="482" w:firstLineChars="200"/>
        <w:rPr>
          <w:rFonts w:hint="eastAsia" w:ascii="仿宋" w:hAnsi="仿宋" w:eastAsia="仿宋" w:cs="仿宋"/>
          <w:b/>
          <w:color w:val="auto"/>
          <w:highlight w:val="none"/>
        </w:rPr>
      </w:pPr>
    </w:p>
    <w:p>
      <w:pPr>
        <w:pStyle w:val="2"/>
        <w:wordWrap w:val="0"/>
        <w:spacing w:line="360" w:lineRule="auto"/>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项目编号：</w:t>
      </w:r>
    </w:p>
    <w:tbl>
      <w:tblPr>
        <w:tblStyle w:val="24"/>
        <w:tblW w:w="84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6"/>
        <w:gridCol w:w="1790"/>
        <w:gridCol w:w="2020"/>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5" w:hRule="atLeast"/>
        </w:trPr>
        <w:tc>
          <w:tcPr>
            <w:tcW w:w="2716" w:type="dxa"/>
            <w:noWrap w:val="0"/>
            <w:vAlign w:val="center"/>
          </w:tcPr>
          <w:p>
            <w:pPr>
              <w:pStyle w:val="15"/>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标项1</w:t>
            </w:r>
          </w:p>
        </w:tc>
        <w:tc>
          <w:tcPr>
            <w:tcW w:w="1790" w:type="dxa"/>
            <w:noWrap w:val="0"/>
            <w:vAlign w:val="center"/>
          </w:tcPr>
          <w:p>
            <w:pPr>
              <w:pStyle w:val="15"/>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托管服务时间（年）</w:t>
            </w:r>
          </w:p>
        </w:tc>
        <w:tc>
          <w:tcPr>
            <w:tcW w:w="2020" w:type="dxa"/>
            <w:noWrap w:val="0"/>
            <w:vAlign w:val="center"/>
          </w:tcPr>
          <w:p>
            <w:pPr>
              <w:pStyle w:val="15"/>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年费用报价</w:t>
            </w:r>
          </w:p>
        </w:tc>
        <w:tc>
          <w:tcPr>
            <w:tcW w:w="1880" w:type="dxa"/>
            <w:noWrap w:val="0"/>
            <w:vAlign w:val="center"/>
          </w:tcPr>
          <w:p>
            <w:pPr>
              <w:pStyle w:val="15"/>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2716" w:type="dxa"/>
            <w:noWrap w:val="0"/>
            <w:vAlign w:val="center"/>
          </w:tcPr>
          <w:p>
            <w:pPr>
              <w:pStyle w:val="13"/>
              <w:snapToGrid w:val="0"/>
              <w:spacing w:after="0" w:line="312" w:lineRule="auto"/>
              <w:jc w:val="both"/>
              <w:rPr>
                <w:rFonts w:hint="eastAsia" w:ascii="仿宋" w:hAnsi="仿宋" w:eastAsia="仿宋" w:cs="仿宋"/>
                <w:color w:val="auto"/>
                <w:szCs w:val="21"/>
                <w:highlight w:val="none"/>
              </w:rPr>
            </w:pPr>
            <w:r>
              <w:rPr>
                <w:rFonts w:hint="eastAsia" w:ascii="仿宋" w:hAnsi="仿宋" w:eastAsia="仿宋" w:cs="仿宋"/>
                <w:snapToGrid w:val="0"/>
                <w:color w:val="auto"/>
                <w:kern w:val="2"/>
                <w:sz w:val="21"/>
                <w:szCs w:val="21"/>
                <w:highlight w:val="none"/>
                <w:lang w:val="en-US" w:eastAsia="zh-CN" w:bidi="ar-SA"/>
              </w:rPr>
              <w:t>杭州市萧山区市政绿化养护保障中心能源托管项目</w:t>
            </w:r>
          </w:p>
        </w:tc>
        <w:tc>
          <w:tcPr>
            <w:tcW w:w="1790" w:type="dxa"/>
            <w:noWrap w:val="0"/>
            <w:vAlign w:val="center"/>
          </w:tcPr>
          <w:p>
            <w:pPr>
              <w:pStyle w:val="15"/>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15</w:t>
            </w:r>
          </w:p>
        </w:tc>
        <w:tc>
          <w:tcPr>
            <w:tcW w:w="2020" w:type="dxa"/>
            <w:noWrap w:val="0"/>
            <w:vAlign w:val="center"/>
          </w:tcPr>
          <w:p>
            <w:pPr>
              <w:pStyle w:val="15"/>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元/年</w:t>
            </w:r>
          </w:p>
        </w:tc>
        <w:tc>
          <w:tcPr>
            <w:tcW w:w="1880" w:type="dxa"/>
            <w:noWrap w:val="0"/>
            <w:vAlign w:val="center"/>
          </w:tcPr>
          <w:p>
            <w:pPr>
              <w:pStyle w:val="15"/>
              <w:jc w:val="center"/>
              <w:rPr>
                <w:rFonts w:hint="eastAsia" w:ascii="仿宋" w:hAnsi="仿宋" w:eastAsia="仿宋" w:cs="仿宋"/>
                <w:color w:val="auto"/>
                <w:highlight w:val="none"/>
                <w:lang w:val="en-US" w:eastAsia="zh-CN"/>
              </w:rPr>
            </w:pPr>
          </w:p>
        </w:tc>
      </w:tr>
    </w:tbl>
    <w:p>
      <w:pPr>
        <w:spacing w:line="276" w:lineRule="auto"/>
        <w:rPr>
          <w:rFonts w:hint="eastAsia" w:ascii="仿宋" w:hAnsi="仿宋" w:eastAsia="仿宋" w:cs="仿宋"/>
          <w:b/>
          <w:bCs/>
          <w:color w:val="auto"/>
          <w:sz w:val="24"/>
          <w:szCs w:val="24"/>
          <w:highlight w:val="none"/>
        </w:rPr>
      </w:pP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仿宋" w:hAnsi="仿宋" w:eastAsia="仿宋" w:cs="仿宋"/>
          <w:color w:val="auto"/>
          <w:szCs w:val="21"/>
          <w:highlight w:val="none"/>
          <w:u w:val="none"/>
        </w:rPr>
      </w:pPr>
      <w:r>
        <w:rPr>
          <w:rFonts w:hint="eastAsia" w:ascii="仿宋" w:hAnsi="仿宋" w:eastAsia="仿宋" w:cs="仿宋"/>
          <w:b/>
          <w:bCs/>
          <w:color w:val="auto"/>
          <w:sz w:val="24"/>
          <w:szCs w:val="24"/>
          <w:highlight w:val="none"/>
        </w:rPr>
        <w:t>注</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u w:val="none"/>
        </w:rPr>
        <w:t>不提供此表的报价，视为没有实质性响应采购文件要求。</w:t>
      </w:r>
    </w:p>
    <w:p>
      <w:pPr>
        <w:keepNext w:val="0"/>
        <w:keepLines w:val="0"/>
        <w:pageBreakBefore w:val="0"/>
        <w:widowControl/>
        <w:kinsoku/>
        <w:wordWrap/>
        <w:overflowPunct/>
        <w:topLinePunct w:val="0"/>
        <w:autoSpaceDE/>
        <w:autoSpaceDN/>
        <w:bidi w:val="0"/>
        <w:adjustRightInd/>
        <w:snapToGrid/>
        <w:spacing w:after="0" w:line="240" w:lineRule="auto"/>
        <w:ind w:firstLine="480" w:firstLineChars="200"/>
        <w:textAlignment w:val="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tabs>
          <w:tab w:val="left" w:pos="4635"/>
        </w:tabs>
        <w:spacing w:line="360" w:lineRule="auto"/>
        <w:ind w:left="4373" w:leftChars="1822" w:right="840"/>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tabs>
          <w:tab w:val="left" w:pos="4635"/>
        </w:tabs>
        <w:spacing w:line="360" w:lineRule="auto"/>
        <w:ind w:left="4373" w:leftChars="1822" w:right="84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全称（</w:t>
      </w:r>
      <w:r>
        <w:rPr>
          <w:rFonts w:hint="eastAsia" w:ascii="仿宋" w:hAnsi="仿宋" w:eastAsia="仿宋" w:cs="仿宋"/>
          <w:color w:val="auto"/>
          <w:highlight w:val="none"/>
          <w:lang w:val="en-US" w:eastAsia="zh-CN"/>
        </w:rPr>
        <w:t>电子签名</w:t>
      </w:r>
      <w:r>
        <w:rPr>
          <w:rFonts w:hint="eastAsia" w:ascii="仿宋" w:hAnsi="仿宋" w:eastAsia="仿宋" w:cs="仿宋"/>
          <w:color w:val="auto"/>
          <w:highlight w:val="none"/>
        </w:rPr>
        <w:t>）：</w:t>
      </w:r>
    </w:p>
    <w:p>
      <w:pPr>
        <w:tabs>
          <w:tab w:val="left" w:pos="4635"/>
        </w:tabs>
        <w:spacing w:line="360" w:lineRule="auto"/>
        <w:ind w:left="4373" w:leftChars="1822"/>
        <w:rPr>
          <w:rFonts w:hint="eastAsia" w:ascii="仿宋" w:hAnsi="仿宋" w:eastAsia="仿宋" w:cs="仿宋"/>
          <w:color w:val="auto"/>
          <w:highlight w:val="none"/>
        </w:rPr>
      </w:pPr>
      <w:r>
        <w:rPr>
          <w:rFonts w:hint="eastAsia" w:ascii="仿宋" w:hAnsi="仿宋" w:eastAsia="仿宋" w:cs="仿宋"/>
          <w:color w:val="auto"/>
          <w:szCs w:val="22"/>
          <w:highlight w:val="none"/>
        </w:rPr>
        <w:t xml:space="preserve">日      </w:t>
      </w:r>
      <w:r>
        <w:rPr>
          <w:rFonts w:hint="eastAsia" w:ascii="仿宋" w:hAnsi="仿宋" w:eastAsia="仿宋" w:cs="仿宋"/>
          <w:color w:val="auto"/>
          <w:highlight w:val="none"/>
        </w:rPr>
        <w:t>期：</w:t>
      </w:r>
    </w:p>
    <w:p>
      <w:pPr>
        <w:pStyle w:val="2"/>
        <w:rPr>
          <w:rFonts w:hint="eastAsia" w:ascii="仿宋" w:hAnsi="仿宋" w:eastAsia="仿宋" w:cs="仿宋"/>
          <w:color w:val="auto"/>
          <w:highlight w:val="none"/>
        </w:rPr>
        <w:sectPr>
          <w:pgSz w:w="11906" w:h="16838"/>
          <w:pgMar w:top="1440" w:right="1700" w:bottom="1440" w:left="1800" w:header="851" w:footer="992" w:gutter="0"/>
          <w:cols w:space="425" w:num="1"/>
          <w:docGrid w:type="lines" w:linePitch="326" w:charSpace="0"/>
        </w:sectPr>
      </w:pPr>
    </w:p>
    <w:p>
      <w:pPr>
        <w:pStyle w:val="4"/>
        <w:rPr>
          <w:rFonts w:hint="eastAsia" w:ascii="仿宋" w:hAnsi="仿宋" w:eastAsia="仿宋" w:cs="仿宋"/>
          <w:color w:val="auto"/>
          <w:highlight w:val="none"/>
        </w:rPr>
      </w:pPr>
      <w:r>
        <w:rPr>
          <w:rFonts w:hint="eastAsia" w:ascii="仿宋" w:hAnsi="仿宋" w:eastAsia="仿宋" w:cs="仿宋"/>
          <w:color w:val="auto"/>
          <w:kern w:val="2"/>
          <w:highlight w:val="none"/>
        </w:rPr>
        <w:t>二、</w:t>
      </w:r>
      <w:r>
        <w:rPr>
          <w:rFonts w:hint="eastAsia" w:ascii="仿宋" w:hAnsi="仿宋" w:eastAsia="仿宋" w:cs="仿宋"/>
          <w:color w:val="auto"/>
          <w:highlight w:val="none"/>
        </w:rPr>
        <w:t>中小企业声明函</w:t>
      </w:r>
    </w:p>
    <w:p>
      <w:pPr>
        <w:spacing w:line="360" w:lineRule="auto"/>
        <w:ind w:firstLine="120" w:firstLineChars="50"/>
        <w:rPr>
          <w:rFonts w:hint="eastAsia" w:ascii="仿宋" w:hAnsi="仿宋" w:eastAsia="仿宋" w:cs="仿宋"/>
          <w:b/>
          <w:color w:val="auto"/>
          <w:highlight w:val="none"/>
        </w:rPr>
      </w:pPr>
      <w:r>
        <w:rPr>
          <w:rFonts w:hint="eastAsia" w:ascii="仿宋" w:hAnsi="仿宋" w:eastAsia="仿宋" w:cs="仿宋"/>
          <w:b/>
          <w:color w:val="auto"/>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rPr>
          <w:rFonts w:hint="eastAsia" w:ascii="仿宋" w:hAnsi="仿宋" w:eastAsia="仿宋" w:cs="仿宋"/>
          <w:color w:val="auto"/>
          <w:highlight w:val="none"/>
        </w:rPr>
      </w:pPr>
      <w:r>
        <w:rPr>
          <w:rFonts w:hint="eastAsia" w:ascii="仿宋" w:hAnsi="仿宋" w:eastAsia="仿宋" w:cs="仿宋"/>
          <w:color w:val="auto"/>
          <w:highlight w:val="none"/>
        </w:rPr>
        <w:t>政府采购支持中小企业信用融资相关事项通知</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为贯彻落实中央、省、市关于支持民营经济健康发展有关精神，发挥政府采购在促进中小企业发展中的政策引导作用，缓解中小企业融资难、融资贵问题，杭州市财政局、</w:t>
      </w:r>
    </w:p>
    <w:p>
      <w:pPr>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中国银保监会浙江监管局、杭州市地方金融监督管理局、杭州市经济和信息化局制定《杭州市政府采购支持中小企业信用融资管理办法》。相关事项通知如下：</w:t>
      </w:r>
    </w:p>
    <w:p>
      <w:pPr>
        <w:rPr>
          <w:rFonts w:hint="eastAsia" w:ascii="仿宋" w:hAnsi="仿宋" w:eastAsia="仿宋" w:cs="仿宋"/>
          <w:b/>
          <w:color w:val="auto"/>
          <w:highlight w:val="none"/>
        </w:rPr>
      </w:pPr>
      <w:r>
        <w:rPr>
          <w:rFonts w:hint="eastAsia" w:ascii="仿宋" w:hAnsi="仿宋" w:eastAsia="仿宋" w:cs="仿宋"/>
          <w:b/>
          <w:color w:val="auto"/>
          <w:highlight w:val="none"/>
        </w:rPr>
        <w:t>一、适用对象</w:t>
      </w:r>
    </w:p>
    <w:p>
      <w:pPr>
        <w:rPr>
          <w:rFonts w:hint="eastAsia" w:ascii="仿宋" w:hAnsi="仿宋" w:eastAsia="仿宋" w:cs="仿宋"/>
          <w:color w:val="auto"/>
          <w:highlight w:val="none"/>
        </w:rPr>
      </w:pPr>
      <w:r>
        <w:rPr>
          <w:rFonts w:hint="eastAsia" w:ascii="仿宋" w:hAnsi="仿宋" w:eastAsia="仿宋" w:cs="仿宋"/>
          <w:color w:val="auto"/>
          <w:highlight w:val="none"/>
        </w:rPr>
        <w:t>凡已在浙江政府采购网上注册入库，并取得杭州市政府采购合同的中小企业供应商（以下简称“供应商”），均可申请政府采购信用融资。</w:t>
      </w:r>
    </w:p>
    <w:p>
      <w:pPr>
        <w:rPr>
          <w:rFonts w:hint="eastAsia" w:ascii="仿宋" w:hAnsi="仿宋" w:eastAsia="仿宋" w:cs="仿宋"/>
          <w:b/>
          <w:color w:val="auto"/>
          <w:highlight w:val="none"/>
        </w:rPr>
      </w:pPr>
      <w:r>
        <w:rPr>
          <w:rFonts w:hint="eastAsia" w:ascii="仿宋" w:hAnsi="仿宋" w:eastAsia="仿宋" w:cs="仿宋"/>
          <w:b/>
          <w:color w:val="auto"/>
          <w:highlight w:val="none"/>
        </w:rPr>
        <w:t>二、相关信息获取方式</w:t>
      </w:r>
    </w:p>
    <w:p>
      <w:pPr>
        <w:rPr>
          <w:rFonts w:hint="eastAsia" w:ascii="仿宋" w:hAnsi="仿宋" w:eastAsia="仿宋" w:cs="仿宋"/>
          <w:color w:val="auto"/>
          <w:highlight w:val="none"/>
        </w:rPr>
      </w:pPr>
      <w:r>
        <w:rPr>
          <w:rFonts w:hint="eastAsia" w:ascii="仿宋" w:hAnsi="仿宋" w:eastAsia="仿宋" w:cs="仿宋"/>
          <w:color w:val="auto"/>
          <w:highlight w:val="none"/>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pPr>
        <w:rPr>
          <w:rFonts w:hint="eastAsia" w:ascii="仿宋" w:hAnsi="仿宋" w:eastAsia="仿宋" w:cs="仿宋"/>
          <w:b/>
          <w:color w:val="auto"/>
          <w:highlight w:val="none"/>
        </w:rPr>
      </w:pPr>
      <w:r>
        <w:rPr>
          <w:rFonts w:hint="eastAsia" w:ascii="仿宋" w:hAnsi="仿宋" w:eastAsia="仿宋" w:cs="仿宋"/>
          <w:b/>
          <w:color w:val="auto"/>
          <w:highlight w:val="none"/>
        </w:rPr>
        <w:t>三、　政府采购信用融资操作流程：</w:t>
      </w:r>
    </w:p>
    <w:p>
      <w:pPr>
        <w:rPr>
          <w:rFonts w:hint="eastAsia" w:ascii="仿宋" w:hAnsi="仿宋" w:eastAsia="仿宋" w:cs="仿宋"/>
          <w:color w:val="auto"/>
          <w:highlight w:val="none"/>
        </w:rPr>
      </w:pPr>
      <w:r>
        <w:rPr>
          <w:rFonts w:hint="eastAsia" w:ascii="仿宋" w:hAnsi="仿宋" w:eastAsia="仿宋" w:cs="仿宋"/>
          <w:color w:val="auto"/>
          <w:highlight w:val="none"/>
        </w:rPr>
        <w:t>（一）线上融资模式：</w:t>
      </w:r>
    </w:p>
    <w:p>
      <w:pPr>
        <w:rPr>
          <w:rFonts w:hint="eastAsia" w:ascii="仿宋" w:hAnsi="仿宋" w:eastAsia="仿宋" w:cs="仿宋"/>
          <w:color w:val="auto"/>
          <w:highlight w:val="none"/>
        </w:rPr>
      </w:pPr>
      <w:r>
        <w:rPr>
          <w:rFonts w:hint="eastAsia" w:ascii="仿宋" w:hAnsi="仿宋" w:eastAsia="仿宋" w:cs="仿宋"/>
          <w:color w:val="auto"/>
          <w:highlight w:val="none"/>
        </w:rPr>
        <w:t>　　1.供应商根据合作银行提供的方案，自行选择金融产品，并办理开户等手续；</w:t>
      </w:r>
    </w:p>
    <w:p>
      <w:pPr>
        <w:rPr>
          <w:rFonts w:hint="eastAsia" w:ascii="仿宋" w:hAnsi="仿宋" w:eastAsia="仿宋" w:cs="仿宋"/>
          <w:color w:val="auto"/>
          <w:highlight w:val="none"/>
        </w:rPr>
      </w:pPr>
      <w:r>
        <w:rPr>
          <w:rFonts w:hint="eastAsia" w:ascii="仿宋" w:hAnsi="仿宋" w:eastAsia="仿宋" w:cs="仿宋"/>
          <w:color w:val="auto"/>
          <w:highlight w:val="none"/>
        </w:rPr>
        <w:t>　　2.供应商中标后，可通过杭州市政府采购网或“浙里办”测算授信额度；</w:t>
      </w:r>
    </w:p>
    <w:p>
      <w:pPr>
        <w:rPr>
          <w:rFonts w:hint="eastAsia" w:ascii="仿宋" w:hAnsi="仿宋" w:eastAsia="仿宋" w:cs="仿宋"/>
          <w:color w:val="auto"/>
          <w:highlight w:val="none"/>
        </w:rPr>
      </w:pPr>
      <w:r>
        <w:rPr>
          <w:rFonts w:hint="eastAsia" w:ascii="仿宋" w:hAnsi="仿宋" w:eastAsia="仿宋" w:cs="仿宋"/>
          <w:color w:val="auto"/>
          <w:highlight w:val="none"/>
        </w:rPr>
        <w:t>　　3.采购合同签订后，供应商在杭州市政府采购网或“浙里办”向合作银行发出融资申请；</w:t>
      </w:r>
    </w:p>
    <w:p>
      <w:pPr>
        <w:rPr>
          <w:rFonts w:hint="eastAsia" w:ascii="仿宋" w:hAnsi="仿宋" w:eastAsia="仿宋" w:cs="仿宋"/>
          <w:color w:val="auto"/>
          <w:highlight w:val="none"/>
        </w:rPr>
      </w:pPr>
      <w:r>
        <w:rPr>
          <w:rFonts w:hint="eastAsia" w:ascii="仿宋" w:hAnsi="仿宋" w:eastAsia="仿宋" w:cs="仿宋"/>
          <w:color w:val="auto"/>
          <w:highlight w:val="none"/>
        </w:rPr>
        <w:t>　　4.审批通过后，在线办理放贷手续。</w:t>
      </w:r>
    </w:p>
    <w:p>
      <w:pPr>
        <w:rPr>
          <w:rFonts w:hint="eastAsia" w:ascii="仿宋" w:hAnsi="仿宋" w:eastAsia="仿宋" w:cs="仿宋"/>
          <w:color w:val="auto"/>
          <w:highlight w:val="none"/>
        </w:rPr>
      </w:pPr>
      <w:r>
        <w:rPr>
          <w:rFonts w:hint="eastAsia" w:ascii="仿宋" w:hAnsi="仿宋" w:eastAsia="仿宋" w:cs="仿宋"/>
          <w:color w:val="auto"/>
          <w:highlight w:val="none"/>
        </w:rPr>
        <w:t>　　（二）线下融资模式：</w:t>
      </w:r>
    </w:p>
    <w:p>
      <w:pPr>
        <w:rPr>
          <w:rFonts w:hint="eastAsia" w:ascii="仿宋" w:hAnsi="仿宋" w:eastAsia="仿宋" w:cs="仿宋"/>
          <w:color w:val="auto"/>
          <w:highlight w:val="none"/>
        </w:rPr>
      </w:pPr>
      <w:r>
        <w:rPr>
          <w:rFonts w:hint="eastAsia" w:ascii="仿宋" w:hAnsi="仿宋" w:eastAsia="仿宋" w:cs="仿宋"/>
          <w:color w:val="auto"/>
          <w:highlight w:val="none"/>
        </w:rPr>
        <w:t>　　1.供应商根据合作银行提供的方案，自行选择金融产品，向合作银行提出信用资格预审，并办理开户等手续；</w:t>
      </w:r>
    </w:p>
    <w:p>
      <w:pPr>
        <w:rPr>
          <w:rFonts w:hint="eastAsia" w:ascii="仿宋" w:hAnsi="仿宋" w:eastAsia="仿宋" w:cs="仿宋"/>
          <w:color w:val="auto"/>
          <w:highlight w:val="none"/>
        </w:rPr>
      </w:pPr>
      <w:r>
        <w:rPr>
          <w:rFonts w:hint="eastAsia" w:ascii="仿宋" w:hAnsi="仿宋" w:eastAsia="仿宋" w:cs="仿宋"/>
          <w:color w:val="auto"/>
          <w:highlight w:val="none"/>
        </w:rPr>
        <w:t>　　2.采购合同签订后，供应商在杭州市政府采购网或“浙里办”向合作银行发出融资申请；</w:t>
      </w:r>
    </w:p>
    <w:p>
      <w:pPr>
        <w:rPr>
          <w:rFonts w:hint="eastAsia" w:ascii="仿宋" w:hAnsi="仿宋" w:eastAsia="仿宋" w:cs="仿宋"/>
          <w:color w:val="auto"/>
          <w:highlight w:val="none"/>
        </w:rPr>
      </w:pPr>
      <w:r>
        <w:rPr>
          <w:rFonts w:hint="eastAsia" w:ascii="仿宋" w:hAnsi="仿宋" w:eastAsia="仿宋" w:cs="仿宋"/>
          <w:color w:val="auto"/>
          <w:highlight w:val="none"/>
        </w:rPr>
        <w:t>　　3.合作银行在信用融资模块受理申请后，供应商提供审批材料。合作银行应对申请信用融资的供应商及备案的政府采购合同信息进行核对和审查；</w:t>
      </w:r>
    </w:p>
    <w:p>
      <w:pPr>
        <w:rPr>
          <w:rFonts w:hint="eastAsia" w:ascii="仿宋" w:hAnsi="仿宋" w:eastAsia="仿宋" w:cs="仿宋"/>
          <w:color w:val="auto"/>
          <w:highlight w:val="none"/>
        </w:rPr>
      </w:pPr>
      <w:r>
        <w:rPr>
          <w:rFonts w:hint="eastAsia" w:ascii="仿宋" w:hAnsi="仿宋" w:eastAsia="仿宋" w:cs="仿宋"/>
          <w:color w:val="auto"/>
          <w:highlight w:val="none"/>
        </w:rPr>
        <w:t>　　4.审批通过后，合作银行应按照合作备忘录中约定的审批放款期限和优惠利率及时予以放款。</w:t>
      </w:r>
    </w:p>
    <w:p>
      <w:pPr>
        <w:rPr>
          <w:rFonts w:hint="eastAsia" w:ascii="仿宋" w:hAnsi="仿宋" w:eastAsia="仿宋" w:cs="仿宋"/>
          <w:b/>
          <w:bCs/>
          <w:color w:val="auto"/>
          <w:highlight w:val="none"/>
        </w:rPr>
      </w:pPr>
      <w:r>
        <w:rPr>
          <w:rFonts w:hint="eastAsia" w:ascii="仿宋" w:hAnsi="仿宋" w:eastAsia="仿宋" w:cs="仿宋"/>
          <w:color w:val="auto"/>
          <w:highlight w:val="none"/>
        </w:rPr>
        <w:t>（三）杭州e融平台申请融资</w:t>
      </w:r>
    </w:p>
    <w:p>
      <w:pPr>
        <w:rPr>
          <w:rFonts w:hint="eastAsia" w:ascii="仿宋" w:hAnsi="仿宋" w:eastAsia="仿宋" w:cs="仿宋"/>
          <w:b/>
          <w:bCs/>
          <w:color w:val="auto"/>
          <w:highlight w:val="none"/>
        </w:rPr>
      </w:pPr>
      <w:r>
        <w:rPr>
          <w:rFonts w:hint="eastAsia" w:ascii="仿宋" w:hAnsi="仿宋" w:eastAsia="仿宋" w:cs="仿宋"/>
          <w:color w:val="auto"/>
          <w:highlight w:val="none"/>
        </w:rPr>
        <w:t>供应商通过杭州e融平台政采贷专区，自行选择金融产品，按规定手续办理贷款流程。</w:t>
      </w:r>
    </w:p>
    <w:p>
      <w:pPr>
        <w:rPr>
          <w:rFonts w:hint="eastAsia" w:ascii="仿宋" w:hAnsi="仿宋" w:eastAsia="仿宋" w:cs="仿宋"/>
          <w:b/>
          <w:color w:val="auto"/>
          <w:highlight w:val="none"/>
        </w:rPr>
      </w:pPr>
      <w:r>
        <w:rPr>
          <w:rFonts w:hint="eastAsia" w:ascii="仿宋" w:hAnsi="仿宋" w:eastAsia="仿宋" w:cs="仿宋"/>
          <w:b/>
          <w:color w:val="auto"/>
          <w:highlight w:val="none"/>
        </w:rPr>
        <w:t>四、注意事项</w:t>
      </w:r>
    </w:p>
    <w:p>
      <w:pPr>
        <w:rPr>
          <w:rFonts w:hint="eastAsia" w:ascii="仿宋" w:hAnsi="仿宋" w:eastAsia="仿宋" w:cs="仿宋"/>
          <w:color w:val="auto"/>
          <w:highlight w:val="none"/>
        </w:rPr>
      </w:pPr>
      <w:r>
        <w:rPr>
          <w:rFonts w:hint="eastAsia" w:ascii="仿宋" w:hAnsi="仿宋" w:eastAsia="仿宋" w:cs="仿宋"/>
          <w:color w:val="auto"/>
          <w:highlight w:val="none"/>
        </w:rPr>
        <w:t>1、对拟用于信用融资的政府采购合同，供应商在签订合同时应当在合同中注明融资银行名称及账号，作为在该银行的唯一收款账号。</w:t>
      </w:r>
    </w:p>
    <w:p>
      <w:pPr>
        <w:rPr>
          <w:rFonts w:hint="eastAsia" w:ascii="仿宋" w:hAnsi="仿宋" w:eastAsia="仿宋" w:cs="仿宋"/>
          <w:color w:val="auto"/>
          <w:highlight w:val="none"/>
        </w:rPr>
      </w:pPr>
      <w:r>
        <w:rPr>
          <w:rFonts w:hint="eastAsia" w:ascii="仿宋" w:hAnsi="仿宋" w:eastAsia="仿宋" w:cs="仿宋"/>
          <w:color w:val="auto"/>
          <w:highlight w:val="none"/>
        </w:rPr>
        <w:t>2、供应商弄虚作假或以伪造政府采购合同等方式违规获取政府采购信用融资，或不及时还款，或出现其他违反本办法规定情形的，按融资合同约定承担违约责任；涉嫌犯罪的，移送司法机关处理。</w:t>
      </w:r>
    </w:p>
    <w:p>
      <w:pPr>
        <w:spacing w:line="360" w:lineRule="auto"/>
        <w:ind w:left="5060" w:hanging="5060" w:hangingChars="2100"/>
        <w:rPr>
          <w:rFonts w:hint="eastAsia" w:ascii="仿宋" w:hAnsi="仿宋" w:eastAsia="仿宋" w:cs="仿宋"/>
          <w:b/>
          <w:bCs/>
          <w:color w:val="auto"/>
          <w:highlight w:val="none"/>
        </w:rPr>
      </w:pPr>
    </w:p>
    <w:p>
      <w:pPr>
        <w:spacing w:line="360" w:lineRule="auto"/>
        <w:ind w:firstLine="120" w:firstLineChars="50"/>
        <w:rPr>
          <w:rFonts w:hint="eastAsia" w:ascii="仿宋" w:hAnsi="仿宋" w:eastAsia="仿宋" w:cs="仿宋"/>
          <w:b/>
          <w:color w:val="auto"/>
          <w:highlight w:val="none"/>
        </w:rPr>
      </w:pPr>
    </w:p>
    <w:p>
      <w:pPr>
        <w:spacing w:line="360" w:lineRule="auto"/>
        <w:ind w:firstLine="482" w:firstLineChars="200"/>
        <w:rPr>
          <w:rFonts w:hint="eastAsia" w:ascii="仿宋" w:hAnsi="仿宋" w:eastAsia="仿宋" w:cs="仿宋"/>
          <w:b/>
          <w:color w:val="auto"/>
          <w:highlight w:val="none"/>
        </w:rPr>
      </w:pPr>
    </w:p>
    <w:p>
      <w:pPr>
        <w:pStyle w:val="75"/>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3"/>
        <w:rPr>
          <w:rFonts w:hint="eastAsia" w:ascii="仿宋" w:hAnsi="仿宋" w:eastAsia="仿宋" w:cs="仿宋"/>
          <w:color w:val="auto"/>
          <w:highlight w:val="none"/>
        </w:rPr>
      </w:pPr>
      <w:bookmarkStart w:id="370" w:name="_Toc465665161"/>
      <w:r>
        <w:rPr>
          <w:rFonts w:hint="eastAsia" w:ascii="仿宋" w:hAnsi="仿宋" w:eastAsia="仿宋" w:cs="仿宋"/>
          <w:color w:val="auto"/>
          <w:highlight w:val="none"/>
        </w:rPr>
        <w:t>附件</w:t>
      </w:r>
      <w:bookmarkEnd w:id="370"/>
    </w:p>
    <w:p>
      <w:pPr>
        <w:pStyle w:val="4"/>
        <w:jc w:val="left"/>
        <w:rPr>
          <w:rFonts w:hint="eastAsia" w:ascii="仿宋" w:hAnsi="仿宋" w:eastAsia="仿宋" w:cs="仿宋"/>
          <w:color w:val="auto"/>
          <w:highlight w:val="none"/>
        </w:rPr>
      </w:pPr>
      <w:r>
        <w:rPr>
          <w:rFonts w:hint="eastAsia" w:ascii="仿宋" w:hAnsi="仿宋" w:eastAsia="仿宋" w:cs="仿宋"/>
          <w:color w:val="auto"/>
          <w:highlight w:val="none"/>
        </w:rPr>
        <w:t>附件1：残疾人福利性单位声明函</w:t>
      </w:r>
    </w:p>
    <w:p>
      <w:pPr>
        <w:spacing w:line="360" w:lineRule="auto"/>
        <w:jc w:val="center"/>
        <w:rPr>
          <w:rFonts w:hint="eastAsia" w:ascii="仿宋" w:hAnsi="仿宋" w:eastAsia="仿宋" w:cs="仿宋"/>
          <w:b/>
          <w:color w:val="auto"/>
          <w:spacing w:val="6"/>
          <w:sz w:val="32"/>
          <w:szCs w:val="32"/>
          <w:highlight w:val="none"/>
        </w:rPr>
      </w:pPr>
      <w:bookmarkStart w:id="371" w:name="OLE_LINK14"/>
      <w:bookmarkStart w:id="372" w:name="OLE_LINK13"/>
      <w:r>
        <w:rPr>
          <w:rFonts w:hint="eastAsia" w:ascii="仿宋" w:hAnsi="仿宋" w:eastAsia="仿宋" w:cs="仿宋"/>
          <w:b/>
          <w:color w:val="auto"/>
          <w:spacing w:val="6"/>
          <w:sz w:val="32"/>
          <w:szCs w:val="32"/>
          <w:highlight w:val="none"/>
        </w:rPr>
        <w:t>残疾人福利性单位声明函</w:t>
      </w:r>
    </w:p>
    <w:bookmarkEnd w:id="371"/>
    <w:bookmarkEnd w:id="372"/>
    <w:p>
      <w:pPr>
        <w:spacing w:line="360" w:lineRule="auto"/>
        <w:rPr>
          <w:rFonts w:hint="eastAsia" w:ascii="仿宋" w:hAnsi="仿宋" w:eastAsia="仿宋" w:cs="仿宋"/>
          <w:b/>
          <w:color w:val="auto"/>
          <w:spacing w:val="6"/>
          <w:sz w:val="30"/>
          <w:szCs w:val="30"/>
          <w:highlight w:val="none"/>
        </w:rPr>
      </w:pPr>
    </w:p>
    <w:p>
      <w:pPr>
        <w:pStyle w:val="60"/>
        <w:rPr>
          <w:rFonts w:hint="eastAsia" w:ascii="仿宋" w:hAnsi="仿宋" w:eastAsia="仿宋" w:cs="仿宋"/>
          <w:color w:val="auto"/>
          <w:highlight w:val="none"/>
        </w:rPr>
      </w:pPr>
      <w:r>
        <w:rPr>
          <w:rFonts w:hint="eastAsia" w:ascii="仿宋" w:hAnsi="仿宋" w:eastAsia="仿宋" w:cs="仿宋"/>
          <w:color w:val="auto"/>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本单位对上述声明的真实性负责。如有虚假，将依法承担相应责任。</w:t>
      </w:r>
    </w:p>
    <w:p>
      <w:pPr>
        <w:pStyle w:val="60"/>
        <w:rPr>
          <w:rFonts w:hint="eastAsia" w:ascii="仿宋" w:hAnsi="仿宋" w:eastAsia="仿宋" w:cs="仿宋"/>
          <w:color w:val="auto"/>
          <w:highlight w:val="none"/>
        </w:rPr>
      </w:pPr>
    </w:p>
    <w:p>
      <w:pPr>
        <w:pStyle w:val="60"/>
        <w:rPr>
          <w:rFonts w:hint="eastAsia" w:ascii="仿宋" w:hAnsi="仿宋" w:eastAsia="仿宋" w:cs="仿宋"/>
          <w:color w:val="auto"/>
          <w:highlight w:val="none"/>
        </w:rPr>
      </w:pPr>
    </w:p>
    <w:p>
      <w:pPr>
        <w:pStyle w:val="60"/>
        <w:jc w:val="right"/>
        <w:rPr>
          <w:rFonts w:hint="eastAsia" w:ascii="仿宋" w:hAnsi="仿宋" w:eastAsia="仿宋" w:cs="仿宋"/>
          <w:color w:val="auto"/>
          <w:highlight w:val="none"/>
        </w:rPr>
      </w:pPr>
      <w:r>
        <w:rPr>
          <w:rFonts w:hint="eastAsia" w:ascii="仿宋" w:hAnsi="仿宋" w:eastAsia="仿宋" w:cs="仿宋"/>
          <w:color w:val="auto"/>
          <w:highlight w:val="none"/>
        </w:rPr>
        <w:t>投标人名称（电子签名）：</w:t>
      </w:r>
    </w:p>
    <w:p>
      <w:pPr>
        <w:pStyle w:val="60"/>
        <w:jc w:val="right"/>
        <w:rPr>
          <w:rFonts w:hint="eastAsia" w:ascii="仿宋" w:hAnsi="仿宋" w:eastAsia="仿宋" w:cs="仿宋"/>
          <w:color w:val="auto"/>
          <w:highlight w:val="none"/>
        </w:rPr>
      </w:pPr>
      <w:r>
        <w:rPr>
          <w:rFonts w:hint="eastAsia" w:ascii="仿宋" w:hAnsi="仿宋" w:eastAsia="仿宋" w:cs="仿宋"/>
          <w:color w:val="auto"/>
          <w:highlight w:val="none"/>
        </w:rPr>
        <w:t>日  期：</w:t>
      </w:r>
    </w:p>
    <w:p>
      <w:pPr>
        <w:spacing w:line="276" w:lineRule="auto"/>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jc w:val="left"/>
        <w:rPr>
          <w:rFonts w:hint="eastAsia" w:ascii="仿宋" w:hAnsi="仿宋" w:eastAsia="仿宋" w:cs="仿宋"/>
          <w:color w:val="auto"/>
          <w:highlight w:val="none"/>
        </w:rPr>
      </w:pPr>
      <w:r>
        <w:rPr>
          <w:rFonts w:hint="eastAsia" w:ascii="仿宋" w:hAnsi="仿宋" w:eastAsia="仿宋" w:cs="仿宋"/>
          <w:color w:val="auto"/>
          <w:highlight w:val="none"/>
        </w:rPr>
        <w:t>附件2：质疑函范本及制作说明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一、质疑供应商基本信息</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质疑供应商：</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地址：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授权代表：</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 xml:space="preserve">地址： </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二、质疑项目基本情况</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质疑项目的名称：</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质疑项目的编号：</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包号：</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采购人名称：</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采购文件获取日期：</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三、质疑事项具体内容</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质疑事项1：</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事实依据：</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法律依据：</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质疑事项2</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四、与质疑事项相关的质疑请求</w:t>
      </w:r>
    </w:p>
    <w:p>
      <w:pPr>
        <w:pStyle w:val="60"/>
        <w:rPr>
          <w:rFonts w:hint="eastAsia" w:ascii="仿宋" w:hAnsi="仿宋" w:eastAsia="仿宋" w:cs="仿宋"/>
          <w:color w:val="auto"/>
          <w:highlight w:val="none"/>
          <w:u w:val="dotted"/>
        </w:rPr>
      </w:pPr>
      <w:r>
        <w:rPr>
          <w:rFonts w:hint="eastAsia" w:ascii="仿宋" w:hAnsi="仿宋" w:eastAsia="仿宋" w:cs="仿宋"/>
          <w:color w:val="auto"/>
          <w:highlight w:val="none"/>
        </w:rPr>
        <w:t>请求：</w:t>
      </w:r>
      <w:r>
        <w:rPr>
          <w:rFonts w:hint="eastAsia" w:ascii="仿宋" w:hAnsi="仿宋" w:eastAsia="仿宋" w:cs="仿宋"/>
          <w:color w:val="auto"/>
          <w:highlight w:val="none"/>
          <w:u w:val="dotted"/>
        </w:rPr>
        <w:t xml:space="preserve">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 xml:space="preserve">签字(签章)：                   公章：                      </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 xml:space="preserve">日期：    </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质疑函制作说明：</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1.供应商提出质疑时，应提交质疑函和必要的证明材料。</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3.质疑供应商若对项目的某一分包进行质疑，质疑函中应列明具体分包号。</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4.质疑函的质疑事项应具体、明确，并有必要的事实依据和法律依据。</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5.质疑函的质疑请求应与质疑事项相关。</w:t>
      </w:r>
    </w:p>
    <w:p>
      <w:pPr>
        <w:pStyle w:val="60"/>
        <w:rPr>
          <w:rFonts w:hint="eastAsia" w:ascii="仿宋" w:hAnsi="仿宋" w:eastAsia="仿宋" w:cs="仿宋"/>
          <w:color w:val="auto"/>
          <w:highlight w:val="none"/>
        </w:rPr>
      </w:pPr>
      <w:r>
        <w:rPr>
          <w:rFonts w:hint="eastAsia" w:ascii="仿宋" w:hAnsi="仿宋" w:eastAsia="仿宋" w:cs="仿宋"/>
          <w:color w:val="auto"/>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ind w:firstLine="600" w:firstLineChars="200"/>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pStyle w:val="4"/>
        <w:jc w:val="left"/>
        <w:rPr>
          <w:rFonts w:hint="eastAsia" w:ascii="仿宋" w:hAnsi="仿宋" w:eastAsia="仿宋" w:cs="仿宋"/>
          <w:color w:val="auto"/>
          <w:highlight w:val="none"/>
        </w:rPr>
      </w:pPr>
      <w:r>
        <w:rPr>
          <w:rFonts w:hint="eastAsia" w:ascii="仿宋" w:hAnsi="仿宋" w:eastAsia="仿宋" w:cs="仿宋"/>
          <w:color w:val="auto"/>
          <w:highlight w:val="none"/>
        </w:rPr>
        <w:t>附件3：投诉书范本及制作说明</w:t>
      </w:r>
    </w:p>
    <w:p>
      <w:pPr>
        <w:spacing w:line="360" w:lineRule="auto"/>
        <w:jc w:val="center"/>
        <w:rPr>
          <w:rFonts w:hint="eastAsia" w:ascii="仿宋" w:hAnsi="仿宋" w:eastAsia="仿宋" w:cs="仿宋"/>
          <w:b/>
          <w:color w:val="auto"/>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一、投诉相关主体基本情况</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投诉人：</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tabs>
          <w:tab w:val="left" w:pos="6510"/>
        </w:tabs>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法定代表人/主要负责人：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tabs>
          <w:tab w:val="left" w:pos="6510"/>
        </w:tabs>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授权代表：</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被投诉人1：</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被投诉人2</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相关供应商：</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地     址：</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邮编：</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联系人：</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联系电话：</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二、投诉项目基本情况</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采购项目名称：</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采购项目编号：</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包号：</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采购人名称：</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u w:val="singl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代理机构名称：</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采购文件公告:</w:t>
      </w:r>
      <w:r>
        <w:rPr>
          <w:rFonts w:hint="eastAsia" w:ascii="仿宋" w:hAnsi="仿宋" w:eastAsia="仿宋" w:cs="仿宋"/>
          <w:color w:val="auto"/>
          <w:highlight w:val="none"/>
          <w:u w:val="dotted"/>
        </w:rPr>
        <w:t xml:space="preserve">是/否 </w:t>
      </w:r>
      <w:r>
        <w:rPr>
          <w:rFonts w:hint="eastAsia" w:ascii="仿宋" w:hAnsi="仿宋" w:eastAsia="仿宋" w:cs="仿宋"/>
          <w:color w:val="auto"/>
          <w:highlight w:val="none"/>
        </w:rPr>
        <w:t>公告期限：</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采购结果公告:</w:t>
      </w:r>
      <w:r>
        <w:rPr>
          <w:rFonts w:hint="eastAsia" w:ascii="仿宋" w:hAnsi="仿宋" w:eastAsia="仿宋" w:cs="仿宋"/>
          <w:color w:val="auto"/>
          <w:highlight w:val="none"/>
          <w:u w:val="dotted"/>
        </w:rPr>
        <w:t xml:space="preserve">是/否 </w:t>
      </w:r>
      <w:r>
        <w:rPr>
          <w:rFonts w:hint="eastAsia" w:ascii="仿宋" w:hAnsi="仿宋" w:eastAsia="仿宋" w:cs="仿宋"/>
          <w:color w:val="auto"/>
          <w:highlight w:val="none"/>
        </w:rPr>
        <w:t>公告期限：</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三、质疑基本情况</w:t>
      </w:r>
    </w:p>
    <w:p>
      <w:pPr>
        <w:spacing w:line="360" w:lineRule="auto"/>
        <w:ind w:firstLine="480" w:firstLineChars="200"/>
        <w:rPr>
          <w:rFonts w:hint="eastAsia" w:ascii="仿宋" w:hAnsi="仿宋" w:eastAsia="仿宋" w:cs="仿宋"/>
          <w:color w:val="auto"/>
          <w:highlight w:val="none"/>
          <w:u w:val="dotted"/>
        </w:rPr>
      </w:pPr>
      <w:r>
        <w:rPr>
          <w:rFonts w:hint="eastAsia" w:ascii="仿宋" w:hAnsi="仿宋" w:eastAsia="仿宋" w:cs="仿宋"/>
          <w:color w:val="auto"/>
          <w:highlight w:val="none"/>
        </w:rPr>
        <w:t>投诉人于</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日,向</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提出质疑，质疑事项为：</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u w:val="dotted"/>
        </w:rPr>
        <w:t>采购人/代理机构</w:t>
      </w:r>
      <w:r>
        <w:rPr>
          <w:rFonts w:hint="eastAsia" w:ascii="仿宋" w:hAnsi="仿宋" w:eastAsia="仿宋" w:cs="仿宋"/>
          <w:color w:val="auto"/>
          <w:highlight w:val="none"/>
        </w:rPr>
        <w:t>于</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日,就质疑事项作出了答复/没有在法定期限内作出答复。</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四、投诉事项具体内容</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投诉事项 1：</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事实依据：</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法律依据：</w:t>
      </w: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u w:val="dotted"/>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投诉事项2</w:t>
      </w:r>
    </w:p>
    <w:p>
      <w:pPr>
        <w:spacing w:line="360" w:lineRule="auto"/>
        <w:rPr>
          <w:rFonts w:hint="eastAsia" w:ascii="仿宋" w:hAnsi="仿宋" w:eastAsia="仿宋" w:cs="仿宋"/>
          <w:color w:val="auto"/>
          <w:highlight w:val="none"/>
          <w:u w:val="dotted"/>
        </w:rPr>
      </w:pP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五、与投诉事项相关的投诉请求</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请求：</w:t>
      </w:r>
      <w:r>
        <w:rPr>
          <w:rFonts w:hint="eastAsia" w:ascii="仿宋" w:hAnsi="仿宋" w:eastAsia="仿宋" w:cs="仿宋"/>
          <w:color w:val="auto"/>
          <w:highlight w:val="none"/>
          <w:u w:val="dotted"/>
        </w:rPr>
        <w:t xml:space="preserve">                                              </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u w:val="single"/>
        </w:rPr>
      </w:pP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签字(签章)：                   公章：                      </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 xml:space="preserve">日期：    </w:t>
      </w:r>
    </w:p>
    <w:p>
      <w:pPr>
        <w:spacing w:line="360" w:lineRule="auto"/>
        <w:rPr>
          <w:rFonts w:hint="eastAsia" w:ascii="仿宋" w:hAnsi="仿宋" w:eastAsia="仿宋" w:cs="仿宋"/>
          <w:b/>
          <w:color w:val="auto"/>
          <w:highlight w:val="none"/>
        </w:rPr>
      </w:pPr>
    </w:p>
    <w:p>
      <w:pPr>
        <w:spacing w:line="360" w:lineRule="auto"/>
        <w:rPr>
          <w:rFonts w:hint="eastAsia" w:ascii="仿宋" w:hAnsi="仿宋" w:eastAsia="仿宋" w:cs="仿宋"/>
          <w:b/>
          <w:color w:val="auto"/>
          <w:highlight w:val="none"/>
        </w:rPr>
      </w:pP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投诉书制作说明：</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1.投诉人提起投诉时，应当提交投诉书和必要的证明材料，并按照被投诉人和与投诉事项有关的供应商数量提供投诉书副本。</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投诉人若委托代理人进行投诉的，投诉书应按照要求列明“授权代表”的有关内容，并在附件中提交由投诉人签署的授权委托书。授权委托书应当载明代理人的姓名或者名称、代理事项、具体权限、期限和相关事项。</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3.投诉人若对项目的某一分包进行投诉，投诉书应列明具体分包号。</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4.投诉书应简要列明质疑事项，质疑函、质疑答复等作为附件材料提供。</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5.投诉书的投诉事项应具体、明确，并有必要的事实依据和法律依据。</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6.投诉书的投诉请求应与投诉事项相关。</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7.投诉人为自然人的，投诉书应当由本人签字；投诉人为法人或者其他组织的，投诉书应当由法定代表人、主要负责人，或者其授权代表签字或者盖章，并加盖公章。</w:t>
      </w:r>
    </w:p>
    <w:p>
      <w:pPr>
        <w:spacing w:line="276" w:lineRule="auto"/>
        <w:rPr>
          <w:rFonts w:hint="eastAsia" w:ascii="仿宋" w:hAnsi="仿宋" w:eastAsia="仿宋" w:cs="仿宋"/>
          <w:b/>
          <w:color w:val="auto"/>
          <w:highlight w:val="none"/>
        </w:rPr>
      </w:pPr>
      <w:r>
        <w:rPr>
          <w:rFonts w:hint="eastAsia" w:ascii="仿宋" w:hAnsi="仿宋" w:eastAsia="仿宋" w:cs="仿宋"/>
          <w:b/>
          <w:color w:val="auto"/>
          <w:highlight w:val="none"/>
        </w:rPr>
        <w:br w:type="page"/>
      </w:r>
    </w:p>
    <w:p>
      <w:pPr>
        <w:pStyle w:val="4"/>
        <w:jc w:val="left"/>
        <w:rPr>
          <w:rFonts w:hint="eastAsia" w:ascii="仿宋" w:hAnsi="仿宋" w:eastAsia="仿宋" w:cs="仿宋"/>
          <w:color w:val="auto"/>
          <w:highlight w:val="none"/>
        </w:rPr>
      </w:pPr>
      <w:r>
        <w:rPr>
          <w:rFonts w:hint="eastAsia" w:ascii="仿宋" w:hAnsi="仿宋" w:eastAsia="仿宋" w:cs="仿宋"/>
          <w:color w:val="auto"/>
          <w:spacing w:val="6"/>
          <w:highlight w:val="none"/>
        </w:rPr>
        <w:t>附件4：</w:t>
      </w:r>
      <w:r>
        <w:rPr>
          <w:rFonts w:hint="eastAsia" w:ascii="仿宋" w:hAnsi="仿宋" w:eastAsia="仿宋" w:cs="仿宋"/>
          <w:color w:val="auto"/>
          <w:highlight w:val="none"/>
        </w:rPr>
        <w:t>业务专用章使用说明函</w:t>
      </w:r>
    </w:p>
    <w:p>
      <w:pPr>
        <w:spacing w:line="276" w:lineRule="auto"/>
        <w:jc w:val="center"/>
        <w:rPr>
          <w:rFonts w:hint="eastAsia" w:ascii="仿宋" w:hAnsi="仿宋" w:eastAsia="仿宋" w:cs="仿宋"/>
          <w:b/>
          <w:smallCaps/>
          <w:color w:val="auto"/>
          <w:spacing w:val="6"/>
          <w:sz w:val="36"/>
          <w:szCs w:val="28"/>
          <w:highlight w:val="none"/>
        </w:rPr>
      </w:pPr>
      <w:r>
        <w:rPr>
          <w:rFonts w:hint="eastAsia" w:ascii="仿宋" w:hAnsi="仿宋" w:eastAsia="仿宋" w:cs="仿宋"/>
          <w:b/>
          <w:color w:val="auto"/>
          <w:sz w:val="32"/>
          <w:highlight w:val="none"/>
        </w:rPr>
        <w:t>业务专用章使用说明函</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u w:val="single"/>
        </w:rPr>
        <w:t>（采购人）、（采购代理机构）</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zh-CN"/>
        </w:rPr>
        <w:t>我方</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rPr>
        <w:t>(投标人全称)是中华人民共和国依法登记注册的合法企业，</w:t>
      </w:r>
      <w:r>
        <w:rPr>
          <w:rFonts w:hint="eastAsia" w:ascii="仿宋" w:hAnsi="仿宋" w:eastAsia="仿宋" w:cs="仿宋"/>
          <w:bCs/>
          <w:color w:val="auto"/>
          <w:highlight w:val="none"/>
        </w:rPr>
        <w:t>在参加</w:t>
      </w:r>
      <w:r>
        <w:rPr>
          <w:rFonts w:hint="eastAsia" w:ascii="仿宋" w:hAnsi="仿宋" w:eastAsia="仿宋" w:cs="仿宋"/>
          <w:color w:val="auto"/>
          <w:highlight w:val="none"/>
        </w:rPr>
        <w:t>你方组织的（项目名称）项目【招标编号：（采购编号）】</w:t>
      </w:r>
      <w:r>
        <w:rPr>
          <w:rFonts w:hint="eastAsia" w:ascii="仿宋" w:hAnsi="仿宋" w:eastAsia="仿宋" w:cs="仿宋"/>
          <w:bCs/>
          <w:color w:val="auto"/>
          <w:highlight w:val="none"/>
        </w:rPr>
        <w:t>投标活动中作如下说明：</w:t>
      </w:r>
      <w:r>
        <w:rPr>
          <w:rFonts w:hint="eastAsia" w:ascii="仿宋" w:hAnsi="仿宋" w:eastAsia="仿宋" w:cs="仿宋"/>
          <w:color w:val="auto"/>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特此说明。</w:t>
      </w:r>
    </w:p>
    <w:p>
      <w:pPr>
        <w:spacing w:line="360" w:lineRule="auto"/>
        <w:ind w:firstLine="494"/>
        <w:rPr>
          <w:rFonts w:hint="eastAsia" w:ascii="仿宋" w:hAnsi="仿宋" w:eastAsia="仿宋" w:cs="仿宋"/>
          <w:color w:val="auto"/>
          <w:highlight w:val="none"/>
        </w:rPr>
      </w:pPr>
    </w:p>
    <w:p>
      <w:pPr>
        <w:spacing w:line="360" w:lineRule="auto"/>
        <w:ind w:firstLine="494"/>
        <w:rPr>
          <w:rFonts w:hint="eastAsia" w:ascii="仿宋" w:hAnsi="仿宋" w:eastAsia="仿宋" w:cs="仿宋"/>
          <w:color w:val="auto"/>
          <w:highlight w:val="none"/>
        </w:rPr>
      </w:pPr>
    </w:p>
    <w:p>
      <w:pPr>
        <w:spacing w:line="360" w:lineRule="auto"/>
        <w:ind w:firstLine="494"/>
        <w:rPr>
          <w:rFonts w:hint="eastAsia" w:ascii="仿宋" w:hAnsi="仿宋" w:eastAsia="仿宋" w:cs="仿宋"/>
          <w:color w:val="auto"/>
          <w:highlight w:val="none"/>
        </w:rPr>
      </w:pPr>
    </w:p>
    <w:p>
      <w:pPr>
        <w:spacing w:line="360" w:lineRule="auto"/>
        <w:ind w:firstLine="494"/>
        <w:rPr>
          <w:rFonts w:hint="eastAsia" w:ascii="仿宋" w:hAnsi="仿宋" w:eastAsia="仿宋" w:cs="仿宋"/>
          <w:color w:val="auto"/>
          <w:highlight w:val="none"/>
        </w:rPr>
      </w:pPr>
    </w:p>
    <w:p>
      <w:pPr>
        <w:spacing w:line="360" w:lineRule="auto"/>
        <w:ind w:right="480" w:firstLine="4080" w:firstLineChars="1700"/>
        <w:rPr>
          <w:rFonts w:hint="eastAsia" w:ascii="仿宋" w:hAnsi="仿宋" w:eastAsia="仿宋" w:cs="仿宋"/>
          <w:color w:val="auto"/>
          <w:highlight w:val="none"/>
        </w:rPr>
      </w:pPr>
      <w:r>
        <w:rPr>
          <w:rFonts w:hint="eastAsia" w:ascii="仿宋" w:hAnsi="仿宋" w:eastAsia="仿宋" w:cs="仿宋"/>
          <w:color w:val="auto"/>
          <w:highlight w:val="none"/>
        </w:rPr>
        <w:t>投标单位（法定名称章）：</w:t>
      </w:r>
    </w:p>
    <w:p>
      <w:pPr>
        <w:ind w:right="1440" w:firstLine="494"/>
        <w:jc w:val="center"/>
        <w:rPr>
          <w:rFonts w:hint="eastAsia" w:ascii="仿宋" w:hAnsi="仿宋" w:eastAsia="仿宋" w:cs="仿宋"/>
          <w:color w:val="auto"/>
          <w:highlight w:val="none"/>
        </w:rPr>
      </w:pPr>
      <w:r>
        <w:rPr>
          <w:rFonts w:hint="eastAsia" w:ascii="仿宋" w:hAnsi="仿宋" w:eastAsia="仿宋" w:cs="仿宋"/>
          <w:color w:val="auto"/>
          <w:highlight w:val="none"/>
        </w:rPr>
        <w:t xml:space="preserve">                              日期：       年     月     日</w:t>
      </w:r>
    </w:p>
    <w:p>
      <w:pPr>
        <w:rPr>
          <w:rFonts w:hint="eastAsia" w:ascii="仿宋" w:hAnsi="仿宋" w:eastAsia="仿宋" w:cs="仿宋"/>
          <w:color w:val="auto"/>
          <w:highlight w:val="none"/>
        </w:rPr>
      </w:pPr>
      <w:r>
        <w:rPr>
          <w:rFonts w:hint="eastAsia" w:ascii="仿宋" w:hAnsi="仿宋" w:eastAsia="仿宋" w:cs="仿宋"/>
          <w:b/>
          <w:bCs/>
          <w:color w:val="auto"/>
          <w:highlight w:val="none"/>
        </w:rPr>
        <w:t>附：</w:t>
      </w:r>
    </w:p>
    <w:p>
      <w:pPr>
        <w:spacing w:line="360" w:lineRule="auto"/>
        <w:rPr>
          <w:rFonts w:hint="eastAsia" w:ascii="仿宋" w:hAnsi="仿宋" w:eastAsia="仿宋" w:cs="仿宋"/>
          <w:bCs/>
          <w:color w:val="auto"/>
          <w:highlight w:val="none"/>
        </w:rPr>
      </w:pPr>
      <w:r>
        <w:rPr>
          <w:rFonts w:hint="eastAsia" w:ascii="仿宋" w:hAnsi="仿宋" w:eastAsia="仿宋" w:cs="仿宋"/>
          <w:b/>
          <w:bCs/>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 AQAADwAAAGRycy9kb3ducmV2LnhtbE2PzU7DMBCE70i8g7VI3KjtAk0JcSoB4oKqVISqZzc2iUW8 tmL3h7dnOcFxNKOZb6rV2Y/saKfkAiqQMwHMYheMw17B9uP1ZgksZY1GjwGtgm+bYFVfXlS6NOGE 7/bY5p5RCaZSKxhyjiXnqRus12kWokXyPsPkdSY59dxM+kTlfuRzIRbca4e0MOhonwfbfbUHr2AX Uch1E3PTvs0366eN2700TqnrKykegWV7zn9h+MUndKiJaR8OaBIbFdwVBaFnBfcLCYwCD+K2ALYn R0oBvK74/wv1D1BLAwQUAAAACACHTuJAyCw/ti8CAAB/BAAADgAAAGRycy9lMm9Eb2MueG1srVTB btswDL0P2D8Iui+O3SRdjTpFkSDDgG4r1u0DFFmOhUmiRilxsq8fLbtd2u3Qw3wwRJN6eu+R8vXN 0Rp2UBg0uIrnkylnykmotdtV/Pu3zbv3nIUoXC0MOFXxkwr8Zvn2zXXnS1VAC6ZWyAjEhbLzFW9j 9GWWBdkqK8IEvHKUbACtiBTiLqtRdIRuTVZMp4usA6w9glQh0Nf1kOQjIr4GEJpGS7UGubfKxQEV lRGRJIVW+8CXiW3TKBm/NE1QkZmKk9KY3nQIrbf9O1tei3KHwrdajhTEayi80GSFdnToE9RaRMH2 qP+CsloiBGjiRILNBiHJEVKRT19489AKr5IWsjr4J9PD/4OVnw/3yHRd8QvOnLDU8K9kmnA7o1h+ 2fvT+VBS2YO/x15h8HcgfwTmYNVSmbpFhK5VoiZWeV+fPdvQB4G2sm33CWqCF/sIyapjg7YHJBPY MXXk9NQRdYxM0sficjqbLeacScoVxfxikc/TGaJ83O4xxA8KLOsXFUdin+DF4S7Eno4oH0sSfTC6 3mhjUoC77cogOwgaj016RvRwXmYc6yp+NS/mCflZLpxDTNPzLwirI90aoy3JOC8ybjSs92jwOh63 x9H2LdQnsg5hmFu6tbRoAX9x1tHMVjz83AtUnJmPjuy/ymezfshTMJtfFhTgeWZ7nhFOElTFI2fD chWHi7H3qHctnZQnuQ5uqWWNTmb27RxYjbxpLpPH4x3qB/88TlV//hvL3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PWQDz/YAAAACgEAAA8AAAAAAAAAAQAgAAAAIgAAAGRycy9kb3ducmV2LnhtbFBL AQIUABQAAAAIAIdO4kDILD+2LwIAAH8EAAAOAAAAAAAAAAEAIAAAACcBAABkcnMvZTJvRG9jLnht bFBLBQYAAAAABgAGAFkBAADIBQAAAAA= ">
                <v:fill on="t" focussize="0,0"/>
                <v:stroke color="#000000" miterlimit="2" joinstyle="miter"/>
                <v:imagedata o:title=""/>
                <o:lock v:ext="edit" aspectratio="f"/>
                <v:textbox>
                  <w:txbxContent>
                    <w:p>
                      <w:pPr>
                        <w:jc w:val="center"/>
                      </w:pPr>
                    </w:p>
                  </w:txbxContent>
                </v:textbox>
              </v:rect>
            </w:pict>
          </mc:Fallback>
        </mc:AlternateContent>
      </w:r>
      <w:r>
        <w:rPr>
          <w:rFonts w:hint="eastAsia" w:ascii="仿宋" w:hAnsi="仿宋" w:eastAsia="仿宋" w:cs="仿宋"/>
          <w:b/>
          <w:bCs/>
          <w:color w:val="auto"/>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 AQAADwAAAGRycy9kb3ducmV2LnhtbE2Py2rDMBBF94X+g5hCd4kk45jiWg6kpZsSHOqUrBVLtUWs kbGUR/++01W7u8Mc7pyp1jc/soudowuoQC4FMItdMA57BZ/7t8UTsJg0Gj0GtAq+bYR1fX9X6dKE K37YS5t6RiUYS61gSGkqOY/dYL2OyzBZpN1XmL1ONM49N7O+UrkfeSZEwb12SBcGPdmXwXan9uwV HCYUcttMqWnfs912s3OH18Yp9fggxTOwZG/pD4ZffVKHmpyO4YwmslHBQuY5oQoKUQAjIBcZhSMF uVoBryv+/4X6B1BLAwQUAAAACACHTuJASi97gy8CAAB/BAAADgAAAGRycy9lMm9Eb2MueG1srVTB btswDL0P2D8Iui+OvSRdjTpF0SLDgG4t1u0DFFmOhUmiRilxuq8fLbuZ2+3Qw3wwRJN6eu+R8sXl 0Rp2UBg0uIrnszlnykmotdtV/Pu3zbsPnIUoXC0MOFXxRxX45frtm4vOl6qAFkytkBGIC2XnK97G 6MssC7JVVoQZeOUo2QBaESnEXVaj6AjdmqyYz1dZB1h7BKlCoK83Q5KPiPgaQGgaLdUNyL1VLg6o qIyIJCm02ge+TmybRsl41zRBRWYqTkpjetMhtN7272x9IcodCt9qOVIQr6HwQpMV2tGhJ6gbEQXb o/4LymqJEKCJMwk2G4QkR0hFPn/hzUMrvEpayOrgT6aH/wcrvxzukem64gvOnLDU8K9kmnA7o1i+ 6v3pfCip7MHfY68w+FuQPwJzcN1SmbpChK5VoiZWeV+fPdvQB4G2sm33GWqCF/sIyapjg7YHJBPY MXXk8dQRdYxM0sditTg7X1KzJOWKYvl+lS/TGaJ82u4xxI8KLOsXFUdin+DF4TbEno4on0oSfTC6 3mhjUoC77bVBdhA0Hpv0jOhhWmYc6yp+viyWCflZLkwh5un5F4TVkW6N0ZZkTIuMGw3rPRq8jsft cbR9C/UjWYcwzC3dWlq0gL8462hmKx5+7gUqzswnR/af54tFP+QpWCzPCgpwmtlOM8JJgqp45GxY XsfhYuw96l1LJ+VJroMralmjk5l9OwdWI2+ay+TxeIf6wZ/GqerPf2P9G1BLAwQKAAAAAACHTuJA AAAAAAAAAAAAAAAABgAAAF9yZWxzL1BLAwQUAAAACACHTuJAihRmPNEAAACUAQAACwAAAF9yZWxz Ly5yZWxzpZDBasMwDIbvg72D0X1xmsMYo04vo9Br6R7A2IpjGltGMtn69vMOg2X0tqN+oe8T//7w mRa1IkukbGDX9aAwO/IxBwPvl+PTCyipNnu7UEYDNxQ4jI8P+zMutrYjmWMR1ShZDMy1lletxc2Y rHRUMLfNRJxsbSMHXay72oB66Ptnzb8ZMG6Y6uQN8MkPoC630sx/2Ck6JqGpdo6SpmmK7h5VB7Zl ju7INuEbuUazHLAa8CwaB2pZ134EfV+/+6fe00c+47rVfoeM649Xb7ocvwBQSwMEFAAAAAgAh07i QH7m5SD3AAAA4QEAABMAAABbQ29udGVudF9UeXBlc10ueG1slZFBTsMwEEX3SNzB8hYlTrtACCXp grRLQKgcYGRPEotkbHlMaG+Pk7YbRJFY2jP/vye73BzGQUwY2Dqq5CovpEDSzljqKvm+32UPUnAE MjA4wkoekeWmvr0p90ePLFKauJJ9jP5RKdY9jsC580hp0rowQkzH0CkP+gM6VOuiuFfaUUSKWZw7 ZF022MLnEMX2kK5PJgEHluLptDizKgneD1ZDTKZqIvODkp0JeUouO9xbz3dJQ6pfCfPkOuCce0lP E6xB8QohPsOYNJQJrIz7ooBT/nfJbDly5trWasybwE2KveF0sbrWjmvXOP3f8u2SunSr5YPqb1BL AQIUABQAAAAIAIdO4kB+5uUg9wAAAOEBAAATAAAAAAAAAAEAIAAAAKAEAABbQ29udGVudF9UeXBl c10ueG1sUEsBAhQACgAAAAAAh07iQAAAAAAAAAAAAAAAAAYAAAAAAAAAAAAQAAAAggMAAF9yZWxz L1BLAQIUABQAAAAIAIdO4kCKFGY80QAAAJQBAAALAAAAAAAAAAEAIAAAAKYDAABfcmVscy8ucmVs c1BLAQIUAAoAAAAAAIdO4kAAAAAAAAAAAAAAAAAEAAAAAAAAAAAAEAAAAAAAAABkcnMvUEsBAhQA FAAAAAgAh07iQBmMR6bYAAAACgEAAA8AAAAAAAAAAQAgAAAAIgAAAGRycy9kb3ducmV2LnhtbFBL AQIUABQAAAAIAIdO4kBKL3uDLwIAAH8EAAAOAAAAAAAAAAEAIAAAACcBAABkcnMvZTJvRG9jLnht bFBLBQYAAAAABgAGAFkBAADIBQAAAAA= ">
                <v:fill on="t" focussize="0,0"/>
                <v:stroke color="#000000" miterlimit="2" joinstyle="miter"/>
                <v:imagedata o:title=""/>
                <o:lock v:ext="edit" aspectratio="f"/>
                <v:textbox>
                  <w:txbxContent>
                    <w:p>
                      <w:pPr>
                        <w:jc w:val="center"/>
                      </w:pPr>
                    </w:p>
                  </w:txbxContent>
                </v:textbox>
              </v:rect>
            </w:pict>
          </mc:Fallback>
        </mc:AlternateContent>
      </w:r>
      <w:r>
        <w:rPr>
          <w:rFonts w:hint="eastAsia" w:ascii="仿宋" w:hAnsi="仿宋" w:eastAsia="仿宋" w:cs="仿宋"/>
          <w:color w:val="auto"/>
          <w:highlight w:val="none"/>
        </w:rPr>
        <w:t>投标单位法定名称章（印模）                投标单位“XX专用章”（印模）</w:t>
      </w:r>
    </w:p>
    <w:p>
      <w:pPr>
        <w:spacing w:line="276" w:lineRule="auto"/>
        <w:rPr>
          <w:rFonts w:hint="eastAsia" w:ascii="仿宋" w:hAnsi="仿宋" w:eastAsia="仿宋" w:cs="仿宋"/>
          <w:b/>
          <w:color w:val="auto"/>
          <w:spacing w:val="6"/>
          <w:sz w:val="32"/>
          <w:szCs w:val="32"/>
          <w:highlight w:val="none"/>
        </w:rPr>
      </w:pPr>
    </w:p>
    <w:p>
      <w:pPr>
        <w:spacing w:line="276" w:lineRule="auto"/>
        <w:rPr>
          <w:rFonts w:hint="eastAsia" w:ascii="仿宋" w:hAnsi="仿宋" w:eastAsia="仿宋" w:cs="仿宋"/>
          <w:b/>
          <w:smallCaps/>
          <w:color w:val="auto"/>
          <w:spacing w:val="6"/>
          <w:sz w:val="28"/>
          <w:szCs w:val="28"/>
          <w:highlight w:val="none"/>
        </w:rPr>
      </w:pPr>
    </w:p>
    <w:p>
      <w:pPr>
        <w:spacing w:line="276" w:lineRule="auto"/>
        <w:rPr>
          <w:rFonts w:hint="eastAsia" w:ascii="仿宋" w:hAnsi="仿宋" w:eastAsia="仿宋" w:cs="仿宋"/>
          <w:b/>
          <w:smallCaps/>
          <w:color w:val="auto"/>
          <w:spacing w:val="6"/>
          <w:sz w:val="28"/>
          <w:szCs w:val="28"/>
          <w:highlight w:val="none"/>
        </w:rPr>
      </w:pPr>
      <w:r>
        <w:rPr>
          <w:rFonts w:hint="eastAsia" w:ascii="仿宋" w:hAnsi="仿宋" w:eastAsia="仿宋" w:cs="仿宋"/>
          <w:color w:val="auto"/>
          <w:spacing w:val="6"/>
          <w:highlight w:val="none"/>
        </w:rPr>
        <w:br w:type="page"/>
      </w:r>
    </w:p>
    <w:p>
      <w:pPr>
        <w:pStyle w:val="4"/>
        <w:rPr>
          <w:rFonts w:hint="eastAsia" w:ascii="仿宋" w:hAnsi="仿宋" w:eastAsia="仿宋" w:cs="仿宋"/>
          <w:bCs/>
          <w:color w:val="auto"/>
          <w:highlight w:val="none"/>
        </w:rPr>
      </w:pPr>
      <w:r>
        <w:rPr>
          <w:rFonts w:hint="eastAsia" w:ascii="仿宋" w:hAnsi="仿宋" w:eastAsia="仿宋" w:cs="仿宋"/>
          <w:color w:val="auto"/>
          <w:spacing w:val="6"/>
          <w:highlight w:val="none"/>
        </w:rPr>
        <w:t>附件5：</w:t>
      </w:r>
      <w:r>
        <w:rPr>
          <w:rFonts w:hint="eastAsia" w:ascii="仿宋" w:hAnsi="仿宋" w:eastAsia="仿宋" w:cs="仿宋"/>
          <w:color w:val="auto"/>
          <w:highlight w:val="none"/>
        </w:rPr>
        <w:t>中小企业声明函</w:t>
      </w:r>
    </w:p>
    <w:p>
      <w:pPr>
        <w:spacing w:line="360" w:lineRule="auto"/>
        <w:jc w:val="center"/>
        <w:rPr>
          <w:rFonts w:hint="eastAsia" w:ascii="仿宋" w:hAnsi="仿宋" w:eastAsia="仿宋" w:cs="仿宋"/>
          <w:color w:val="auto"/>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highlight w:val="none"/>
          <w:u w:val="single"/>
        </w:rPr>
        <w:t xml:space="preserve">（单位名称） </w:t>
      </w:r>
      <w:r>
        <w:rPr>
          <w:rFonts w:hint="eastAsia" w:ascii="仿宋" w:hAnsi="仿宋" w:eastAsia="仿宋" w:cs="仿宋"/>
          <w:color w:val="auto"/>
          <w:highlight w:val="none"/>
        </w:rPr>
        <w:t xml:space="preserve">的 </w:t>
      </w:r>
      <w:r>
        <w:rPr>
          <w:rFonts w:hint="eastAsia" w:ascii="仿宋" w:hAnsi="仿宋" w:eastAsia="仿宋" w:cs="仿宋"/>
          <w:color w:val="auto"/>
          <w:highlight w:val="none"/>
          <w:u w:val="single"/>
        </w:rPr>
        <w:t>（项目名称）</w:t>
      </w:r>
      <w:r>
        <w:rPr>
          <w:rFonts w:hint="eastAsia" w:ascii="仿宋" w:hAnsi="仿宋" w:eastAsia="仿宋" w:cs="仿宋"/>
          <w:color w:val="auto"/>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 ，属于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行业 ；</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为</w:t>
      </w:r>
      <w:r>
        <w:rPr>
          <w:rFonts w:hint="eastAsia" w:ascii="仿宋" w:hAnsi="仿宋" w:eastAsia="仿宋" w:cs="仿宋"/>
          <w:color w:val="auto"/>
          <w:highlight w:val="none"/>
          <w:u w:val="single"/>
        </w:rPr>
        <w:t xml:space="preserve"> （企业名称）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w:t>
      </w:r>
      <w:r>
        <w:rPr>
          <w:rFonts w:hint="eastAsia" w:ascii="仿宋" w:hAnsi="仿宋" w:eastAsia="仿宋" w:cs="仿宋"/>
          <w:color w:val="auto"/>
          <w:highlight w:val="none"/>
        </w:rPr>
        <w:t xml:space="preserve"> ；</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 ，属于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行业 ；</w:t>
      </w:r>
      <w:r>
        <w:rPr>
          <w:rFonts w:hint="eastAsia" w:ascii="仿宋" w:hAnsi="仿宋" w:eastAsia="仿宋" w:cs="仿宋"/>
          <w:color w:val="auto"/>
          <w:highlight w:val="none"/>
          <w:lang w:val="en-US" w:eastAsia="zh-CN"/>
        </w:rPr>
        <w:t>投标人</w:t>
      </w:r>
      <w:r>
        <w:rPr>
          <w:rFonts w:hint="eastAsia" w:ascii="仿宋" w:hAnsi="仿宋" w:eastAsia="仿宋" w:cs="仿宋"/>
          <w:color w:val="auto"/>
          <w:highlight w:val="none"/>
        </w:rPr>
        <w:t>为</w:t>
      </w:r>
      <w:r>
        <w:rPr>
          <w:rFonts w:hint="eastAsia" w:ascii="仿宋" w:hAnsi="仿宋" w:eastAsia="仿宋" w:cs="仿宋"/>
          <w:color w:val="auto"/>
          <w:highlight w:val="none"/>
          <w:u w:val="single"/>
        </w:rPr>
        <w:t xml:space="preserve"> （企业名称）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w:t>
      </w:r>
      <w:r>
        <w:rPr>
          <w:rFonts w:hint="eastAsia" w:ascii="仿宋" w:hAnsi="仿宋" w:eastAsia="仿宋" w:cs="仿宋"/>
          <w:color w:val="auto"/>
          <w:highlight w:val="none"/>
        </w:rPr>
        <w:t xml:space="preserve"> ；</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highlight w:val="none"/>
        </w:rPr>
      </w:pPr>
      <w:r>
        <w:rPr>
          <w:rFonts w:hint="eastAsia" w:ascii="仿宋" w:hAnsi="仿宋" w:eastAsia="仿宋" w:cs="仿宋"/>
          <w:color w:val="auto"/>
          <w:highlight w:val="none"/>
          <w:lang w:val="zh-CN"/>
        </w:rPr>
        <w:t>投标人名称(电子签名)：</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日期</w:t>
      </w:r>
      <w:r>
        <w:rPr>
          <w:rFonts w:hint="eastAsia" w:ascii="仿宋" w:hAnsi="仿宋" w:eastAsia="仿宋" w:cs="仿宋"/>
          <w:color w:val="auto"/>
          <w:highlight w:val="none"/>
        </w:rPr>
        <w:t xml:space="preserve">：  年  </w:t>
      </w:r>
      <w:r>
        <w:rPr>
          <w:rFonts w:hint="eastAsia" w:ascii="仿宋" w:hAnsi="仿宋" w:eastAsia="仿宋" w:cs="仿宋"/>
          <w:color w:val="auto"/>
          <w:highlight w:val="none"/>
          <w:lang w:val="zh-CN"/>
        </w:rPr>
        <w:t>月</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日</w:t>
      </w:r>
    </w:p>
    <w:p>
      <w:pPr>
        <w:spacing w:line="360" w:lineRule="auto"/>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注：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276"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中小企业声明函（工程、服务）</w:t>
      </w:r>
    </w:p>
    <w:p>
      <w:pPr>
        <w:spacing w:line="360" w:lineRule="auto"/>
        <w:rPr>
          <w:rFonts w:hint="eastAsia" w:ascii="仿宋" w:hAnsi="仿宋" w:eastAsia="仿宋" w:cs="仿宋"/>
          <w:color w:val="auto"/>
          <w:highlight w:val="none"/>
        </w:rPr>
      </w:pPr>
    </w:p>
    <w:p>
      <w:pPr>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highlight w:val="none"/>
          <w:u w:val="single"/>
        </w:rPr>
        <w:t xml:space="preserve">（单位名称） </w:t>
      </w:r>
      <w:r>
        <w:rPr>
          <w:rFonts w:hint="eastAsia" w:ascii="仿宋" w:hAnsi="仿宋" w:eastAsia="仿宋" w:cs="仿宋"/>
          <w:color w:val="auto"/>
          <w:highlight w:val="none"/>
        </w:rPr>
        <w:t>的</w:t>
      </w:r>
      <w:r>
        <w:rPr>
          <w:rFonts w:hint="eastAsia" w:ascii="仿宋" w:hAnsi="仿宋" w:eastAsia="仿宋" w:cs="仿宋"/>
          <w:color w:val="auto"/>
          <w:highlight w:val="none"/>
          <w:u w:val="single"/>
        </w:rPr>
        <w:t xml:space="preserve"> （项目名称） </w:t>
      </w:r>
      <w:r>
        <w:rPr>
          <w:rFonts w:hint="eastAsia" w:ascii="仿宋" w:hAnsi="仿宋" w:eastAsia="仿宋" w:cs="仿宋"/>
          <w:color w:val="auto"/>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1.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 xml:space="preserve"> ；承建（承接）企业为 </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 </w:t>
      </w: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 xml:space="preserve">2. </w:t>
      </w:r>
      <w:r>
        <w:rPr>
          <w:rFonts w:hint="eastAsia" w:ascii="仿宋" w:hAnsi="仿宋" w:eastAsia="仿宋" w:cs="仿宋"/>
          <w:color w:val="auto"/>
          <w:highlight w:val="none"/>
          <w:u w:val="single"/>
        </w:rPr>
        <w:t>（标的名称）</w:t>
      </w:r>
      <w:r>
        <w:rPr>
          <w:rFonts w:hint="eastAsia" w:ascii="仿宋" w:hAnsi="仿宋" w:eastAsia="仿宋" w:cs="仿宋"/>
          <w:color w:val="auto"/>
          <w:highlight w:val="none"/>
        </w:rPr>
        <w:t xml:space="preserve">，属于 </w:t>
      </w:r>
      <w:r>
        <w:rPr>
          <w:rFonts w:hint="eastAsia" w:ascii="仿宋" w:hAnsi="仿宋" w:eastAsia="仿宋" w:cs="仿宋"/>
          <w:color w:val="auto"/>
          <w:highlight w:val="none"/>
          <w:u w:val="single"/>
        </w:rPr>
        <w:t>（采购文件中明确的所属行业）</w:t>
      </w:r>
      <w:r>
        <w:rPr>
          <w:rFonts w:hint="eastAsia" w:ascii="仿宋" w:hAnsi="仿宋" w:eastAsia="仿宋" w:cs="仿宋"/>
          <w:color w:val="auto"/>
          <w:highlight w:val="none"/>
        </w:rPr>
        <w:t xml:space="preserve"> ；承建（承接）企业为 </w:t>
      </w:r>
      <w:r>
        <w:rPr>
          <w:rFonts w:hint="eastAsia" w:ascii="仿宋" w:hAnsi="仿宋" w:eastAsia="仿宋" w:cs="仿宋"/>
          <w:color w:val="auto"/>
          <w:highlight w:val="none"/>
          <w:u w:val="single"/>
        </w:rPr>
        <w:t>（企业名称）</w:t>
      </w:r>
      <w:r>
        <w:rPr>
          <w:rFonts w:hint="eastAsia" w:ascii="仿宋" w:hAnsi="仿宋" w:eastAsia="仿宋" w:cs="仿宋"/>
          <w:color w:val="auto"/>
          <w:highlight w:val="none"/>
        </w:rPr>
        <w:t xml:space="preserve"> ，从业人员</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人，营业收入为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万元，资产总额为</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万元属于</w:t>
      </w:r>
      <w:r>
        <w:rPr>
          <w:rFonts w:hint="eastAsia" w:ascii="仿宋" w:hAnsi="仿宋" w:eastAsia="仿宋" w:cs="仿宋"/>
          <w:color w:val="auto"/>
          <w:highlight w:val="none"/>
          <w:u w:val="single"/>
        </w:rPr>
        <w:t xml:space="preserve"> （中型企业、小型企业、微型企业） </w:t>
      </w: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highlight w:val="none"/>
        </w:rPr>
      </w:pPr>
      <w:r>
        <w:rPr>
          <w:rFonts w:hint="eastAsia" w:ascii="仿宋" w:hAnsi="仿宋" w:eastAsia="仿宋" w:cs="仿宋"/>
          <w:color w:val="auto"/>
          <w:highlight w:val="none"/>
        </w:rPr>
        <w:t>投标人名称（电子签名）：</w:t>
      </w:r>
    </w:p>
    <w:p>
      <w:pPr>
        <w:spacing w:line="360" w:lineRule="auto"/>
        <w:ind w:right="1120" w:firstLine="4680" w:firstLineChars="1950"/>
        <w:rPr>
          <w:rFonts w:hint="eastAsia" w:ascii="仿宋" w:hAnsi="仿宋" w:eastAsia="仿宋" w:cs="仿宋"/>
          <w:color w:val="auto"/>
          <w:highlight w:val="none"/>
        </w:rPr>
      </w:pPr>
      <w:r>
        <w:rPr>
          <w:rFonts w:hint="eastAsia" w:ascii="仿宋" w:hAnsi="仿宋" w:eastAsia="仿宋" w:cs="仿宋"/>
          <w:color w:val="auto"/>
          <w:highlight w:val="none"/>
        </w:rPr>
        <w:t>日 期：</w:t>
      </w:r>
    </w:p>
    <w:p>
      <w:pPr>
        <w:spacing w:line="360" w:lineRule="auto"/>
        <w:ind w:firstLine="354" w:firstLineChars="147"/>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r>
        <w:rPr>
          <w:rFonts w:hint="eastAsia" w:ascii="仿宋" w:hAnsi="仿宋" w:eastAsia="仿宋" w:cs="仿宋"/>
          <w:color w:val="auto"/>
          <w:highlight w:val="none"/>
        </w:rPr>
        <w:t xml:space="preserve">   注：</w:t>
      </w:r>
    </w:p>
    <w:p>
      <w:pPr>
        <w:spacing w:line="360" w:lineRule="auto"/>
        <w:ind w:right="42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highlight w:val="none"/>
        </w:rPr>
      </w:pPr>
      <w:r>
        <w:rPr>
          <w:rFonts w:hint="eastAsia" w:ascii="仿宋" w:hAnsi="仿宋" w:eastAsia="仿宋" w:cs="仿宋"/>
          <w:color w:val="auto"/>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4"/>
        <w:jc w:val="left"/>
        <w:rPr>
          <w:rFonts w:hint="eastAsia" w:ascii="仿宋" w:hAnsi="仿宋" w:eastAsia="仿宋" w:cs="仿宋"/>
          <w:color w:val="auto"/>
          <w:sz w:val="24"/>
          <w:highlight w:val="none"/>
        </w:rPr>
      </w:pPr>
      <w:r>
        <w:rPr>
          <w:rFonts w:hint="eastAsia" w:ascii="仿宋" w:hAnsi="仿宋" w:eastAsia="仿宋" w:cs="仿宋"/>
          <w:color w:val="auto"/>
          <w:highlight w:val="none"/>
        </w:rPr>
        <w:t>附件6样品（演示）授权委托书</w:t>
      </w:r>
    </w:p>
    <w:p>
      <w:pPr>
        <w:jc w:val="center"/>
        <w:rPr>
          <w:rFonts w:hint="eastAsia" w:ascii="仿宋" w:hAnsi="仿宋" w:eastAsia="仿宋" w:cs="仿宋"/>
          <w:color w:val="auto"/>
          <w:sz w:val="40"/>
          <w:highlight w:val="none"/>
        </w:rPr>
      </w:pPr>
      <w:r>
        <w:rPr>
          <w:rFonts w:hint="eastAsia" w:ascii="仿宋" w:hAnsi="仿宋" w:eastAsia="仿宋" w:cs="仿宋"/>
          <w:color w:val="auto"/>
          <w:sz w:val="40"/>
          <w:highlight w:val="none"/>
        </w:rPr>
        <w:t>样品（演示）授权委托书</w:t>
      </w:r>
    </w:p>
    <w:p>
      <w:pPr>
        <w:jc w:val="center"/>
        <w:rPr>
          <w:rFonts w:hint="eastAsia" w:ascii="仿宋" w:hAnsi="仿宋" w:eastAsia="仿宋" w:cs="仿宋"/>
          <w:color w:val="auto"/>
          <w:sz w:val="40"/>
          <w:highlight w:val="none"/>
        </w:rPr>
      </w:pP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XXX（单位名称或采购机构名称）</w:t>
      </w:r>
      <w:r>
        <w:rPr>
          <w:rFonts w:hint="eastAsia" w:ascii="仿宋" w:hAnsi="仿宋" w:eastAsia="仿宋" w:cs="仿宋"/>
          <w:color w:val="auto"/>
          <w:highlight w:val="none"/>
          <w:lang w:val="zh-CN"/>
        </w:rPr>
        <w:t>：</w:t>
      </w:r>
    </w:p>
    <w:p>
      <w:pPr>
        <w:snapToGrid w:val="0"/>
        <w:spacing w:line="360" w:lineRule="auto"/>
        <w:ind w:left="290" w:leftChars="121" w:firstLine="480" w:firstLineChars="200"/>
        <w:rPr>
          <w:rFonts w:hint="eastAsia" w:ascii="仿宋" w:hAnsi="仿宋" w:eastAsia="仿宋" w:cs="仿宋"/>
          <w:color w:val="auto"/>
          <w:highlight w:val="none"/>
          <w:u w:val="single"/>
          <w:lang w:val="zh-CN"/>
        </w:rPr>
      </w:pPr>
      <w:r>
        <w:rPr>
          <w:rFonts w:hint="eastAsia" w:ascii="仿宋" w:hAnsi="仿宋" w:eastAsia="仿宋" w:cs="仿宋"/>
          <w:color w:val="auto"/>
          <w:highlight w:val="none"/>
          <w:lang w:val="zh-CN"/>
        </w:rPr>
        <w:t>兹委派</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先生/女士，身份证号：</w:t>
      </w:r>
      <w:r>
        <w:rPr>
          <w:rFonts w:hint="eastAsia" w:ascii="仿宋" w:hAnsi="仿宋" w:eastAsia="仿宋" w:cs="仿宋"/>
          <w:color w:val="auto"/>
          <w:highlight w:val="none"/>
          <w:u w:val="single"/>
          <w:lang w:val="zh-CN"/>
        </w:rPr>
        <w:t xml:space="preserve">                   </w:t>
      </w:r>
    </w:p>
    <w:p>
      <w:pPr>
        <w:snapToGrid w:val="0"/>
        <w:spacing w:line="360" w:lineRule="auto"/>
        <w:ind w:left="290" w:leftChars="121" w:firstLine="480" w:firstLineChars="200"/>
        <w:rPr>
          <w:rFonts w:hint="eastAsia" w:ascii="仿宋" w:hAnsi="仿宋" w:eastAsia="仿宋" w:cs="仿宋"/>
          <w:color w:val="auto"/>
          <w:highlight w:val="none"/>
        </w:rPr>
      </w:pPr>
      <w:r>
        <w:rPr>
          <w:rFonts w:hint="eastAsia" w:ascii="仿宋" w:hAnsi="仿宋" w:eastAsia="仿宋" w:cs="仿宋"/>
          <w:color w:val="auto"/>
          <w:highlight w:val="none"/>
          <w:lang w:val="zh-CN"/>
        </w:rPr>
        <w:t>手机：</w:t>
      </w:r>
      <w:r>
        <w:rPr>
          <w:rFonts w:hint="eastAsia" w:ascii="仿宋" w:hAnsi="仿宋" w:eastAsia="仿宋" w:cs="仿宋"/>
          <w:color w:val="auto"/>
          <w:highlight w:val="none"/>
          <w:u w:val="single"/>
          <w:lang w:val="zh-CN"/>
        </w:rPr>
        <w:t xml:space="preserve">             </w:t>
      </w:r>
      <w:r>
        <w:rPr>
          <w:rFonts w:hint="eastAsia" w:ascii="仿宋" w:hAnsi="仿宋" w:eastAsia="仿宋" w:cs="仿宋"/>
          <w:color w:val="auto"/>
          <w:highlight w:val="none"/>
          <w:lang w:val="zh-CN"/>
        </w:rPr>
        <w:t>，代表我公司前来递交</w:t>
      </w:r>
      <w:r>
        <w:rPr>
          <w:rFonts w:hint="eastAsia" w:ascii="仿宋" w:hAnsi="仿宋" w:eastAsia="仿宋" w:cs="仿宋"/>
          <w:color w:val="auto"/>
          <w:highlight w:val="none"/>
          <w:u w:val="single"/>
          <w:lang w:val="zh-CN"/>
        </w:rPr>
        <w:t xml:space="preserve">                           采购项目</w:t>
      </w:r>
      <w:r>
        <w:rPr>
          <w:rFonts w:hint="eastAsia" w:ascii="仿宋" w:hAnsi="仿宋" w:eastAsia="仿宋" w:cs="仿宋"/>
          <w:color w:val="auto"/>
          <w:highlight w:val="none"/>
          <w:lang w:val="zh-CN"/>
        </w:rPr>
        <w:t>【项目编号：              】（标项号：  ）投标样品或参加演示，并全权负责标后取回样品等其他处理事宜。</w:t>
      </w:r>
    </w:p>
    <w:p>
      <w:pPr>
        <w:snapToGrid w:val="0"/>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 xml:space="preserve">  </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特此告知。</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投标人名称(公章)：</w:t>
      </w:r>
    </w:p>
    <w:p>
      <w:pPr>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360" w:lineRule="auto"/>
        <w:ind w:right="240"/>
        <w:jc w:val="right"/>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签发日期：  年  月   日</w:t>
      </w:r>
    </w:p>
    <w:p>
      <w:pPr>
        <w:snapToGrid w:val="0"/>
        <w:spacing w:line="360" w:lineRule="auto"/>
        <w:ind w:right="240"/>
        <w:jc w:val="right"/>
        <w:rPr>
          <w:rFonts w:hint="eastAsia" w:ascii="仿宋" w:hAnsi="仿宋" w:eastAsia="仿宋" w:cs="仿宋"/>
          <w:color w:val="auto"/>
          <w:highlight w:val="none"/>
          <w:lang w:val="zh-CN"/>
        </w:rPr>
      </w:pPr>
    </w:p>
    <w:p>
      <w:pPr>
        <w:snapToGrid w:val="0"/>
        <w:spacing w:line="360" w:lineRule="auto"/>
        <w:ind w:right="1920"/>
        <w:rPr>
          <w:rFonts w:hint="eastAsia" w:ascii="仿宋" w:hAnsi="仿宋" w:eastAsia="仿宋" w:cs="仿宋"/>
          <w:color w:val="auto"/>
          <w:highlight w:val="none"/>
          <w:lang w:val="zh-CN"/>
        </w:rPr>
      </w:pPr>
    </w:p>
    <w:p>
      <w:pPr>
        <w:snapToGrid w:val="0"/>
        <w:spacing w:line="360" w:lineRule="auto"/>
        <w:ind w:right="240"/>
        <w:jc w:val="right"/>
        <w:rPr>
          <w:rFonts w:hint="eastAsia" w:ascii="仿宋" w:hAnsi="仿宋" w:eastAsia="仿宋" w:cs="仿宋"/>
          <w:color w:val="auto"/>
          <w:highlight w:val="none"/>
          <w:lang w:val="zh-CN"/>
        </w:rPr>
      </w:pPr>
    </w:p>
    <w:p>
      <w:pPr>
        <w:snapToGrid w:val="0"/>
        <w:spacing w:line="360" w:lineRule="auto"/>
        <w:ind w:right="240"/>
        <w:rPr>
          <w:rFonts w:hint="eastAsia" w:ascii="仿宋" w:hAnsi="仿宋" w:eastAsia="仿宋" w:cs="仿宋"/>
          <w:color w:val="auto"/>
          <w:highlight w:val="none"/>
          <w:lang w:val="zh-CN"/>
        </w:rPr>
      </w:pPr>
      <w:r>
        <w:rPr>
          <w:rFonts w:hint="eastAsia" w:ascii="仿宋" w:hAnsi="仿宋" w:eastAsia="仿宋" w:cs="仿宋"/>
          <w:color w:val="auto"/>
          <w:highlight w:val="none"/>
        </w:rPr>
        <w:t>受委托人</w:t>
      </w:r>
      <w:r>
        <w:rPr>
          <w:rFonts w:hint="eastAsia" w:ascii="仿宋" w:hAnsi="仿宋" w:eastAsia="仿宋" w:cs="仿宋"/>
          <w:color w:val="auto"/>
          <w:highlight w:val="none"/>
          <w:lang w:val="zh-CN"/>
        </w:rPr>
        <w:t>身份证复印件：</w:t>
      </w:r>
    </w:p>
    <w:p>
      <w:pPr>
        <w:snapToGrid w:val="0"/>
        <w:spacing w:line="360" w:lineRule="auto"/>
        <w:ind w:right="240"/>
        <w:rPr>
          <w:rFonts w:hint="eastAsia" w:ascii="仿宋" w:hAnsi="仿宋" w:eastAsia="仿宋" w:cs="仿宋"/>
          <w:color w:val="auto"/>
          <w:highlight w:val="none"/>
          <w:lang w:val="zh-CN"/>
        </w:rPr>
      </w:pPr>
    </w:p>
    <w:p>
      <w:pPr>
        <w:snapToGrid w:val="0"/>
        <w:spacing w:line="360" w:lineRule="auto"/>
        <w:ind w:right="240"/>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说明：本委托书在有样品或演示时由受委托人携带至指定地点。</w:t>
      </w:r>
    </w:p>
    <w:p>
      <w:pPr>
        <w:spacing w:line="360" w:lineRule="auto"/>
        <w:rPr>
          <w:rFonts w:hint="eastAsia" w:ascii="仿宋" w:hAnsi="仿宋" w:eastAsia="仿宋" w:cs="仿宋"/>
          <w:b/>
          <w:color w:val="auto"/>
          <w:highlight w:val="none"/>
        </w:rPr>
      </w:pPr>
      <w:r>
        <w:rPr>
          <w:rFonts w:hint="eastAsia" w:ascii="仿宋" w:hAnsi="仿宋" w:eastAsia="仿宋" w:cs="仿宋"/>
          <w:b/>
          <w:color w:val="auto"/>
          <w:highlight w:val="none"/>
        </w:rPr>
        <w:t>同时有样品和演示的，可委托不同人员。</w:t>
      </w:r>
    </w:p>
    <w:p>
      <w:pPr>
        <w:pStyle w:val="2"/>
        <w:rPr>
          <w:rFonts w:hint="eastAsia" w:ascii="仿宋" w:hAnsi="仿宋" w:eastAsia="仿宋" w:cs="仿宋"/>
          <w:b/>
          <w:color w:val="auto"/>
          <w:highlight w:val="none"/>
        </w:rPr>
      </w:pPr>
    </w:p>
    <w:p>
      <w:pPr>
        <w:keepNext w:val="0"/>
        <w:keepLines w:val="0"/>
        <w:pageBreakBefore w:val="0"/>
        <w:widowControl/>
        <w:kinsoku/>
        <w:wordWrap/>
        <w:overflowPunct/>
        <w:topLinePunct w:val="0"/>
        <w:autoSpaceDE/>
        <w:autoSpaceDN/>
        <w:bidi w:val="0"/>
        <w:adjustRightInd/>
        <w:snapToGrid w:val="0"/>
        <w:spacing w:after="0" w:line="240" w:lineRule="auto"/>
        <w:jc w:val="both"/>
        <w:textAlignment w:val="auto"/>
        <w:rPr>
          <w:rFonts w:hint="eastAsia" w:ascii="仿宋" w:hAnsi="仿宋" w:eastAsia="仿宋" w:cs="仿宋"/>
          <w:color w:val="auto"/>
          <w:sz w:val="24"/>
          <w:szCs w:val="24"/>
          <w:highlight w:val="none"/>
        </w:rPr>
      </w:pPr>
      <w:r>
        <w:rPr>
          <w:rFonts w:hint="eastAsia" w:ascii="仿宋" w:hAnsi="仿宋" w:eastAsia="仿宋" w:cs="仿宋"/>
          <w:b/>
          <w:smallCaps/>
          <w:color w:val="auto"/>
          <w:spacing w:val="6"/>
          <w:sz w:val="28"/>
          <w:szCs w:val="28"/>
          <w:highlight w:val="none"/>
          <w:lang w:val="en-US" w:eastAsia="zh-CN" w:bidi="ar-SA"/>
        </w:rPr>
        <w:t>附件7：托管范围清单</w:t>
      </w:r>
    </w:p>
    <w:p>
      <w:pPr>
        <w:pStyle w:val="2"/>
        <w:rPr>
          <w:rFonts w:hint="eastAsia" w:ascii="仿宋" w:hAnsi="仿宋" w:eastAsia="仿宋" w:cs="仿宋"/>
          <w:color w:val="auto"/>
          <w:highlight w:val="none"/>
          <w:lang w:val="en-US" w:eastAsia="zh-CN"/>
        </w:rPr>
      </w:pPr>
    </w:p>
    <w:p>
      <w:pPr>
        <w:pStyle w:val="2"/>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ascii="仿宋" w:hAnsi="仿宋" w:eastAsia="仿宋" w:cs="仿宋"/>
          <w:b/>
          <w:bCs/>
          <w:i w:val="0"/>
          <w:iCs w:val="0"/>
          <w:color w:val="auto"/>
          <w:kern w:val="0"/>
          <w:sz w:val="28"/>
          <w:szCs w:val="28"/>
          <w:highlight w:val="none"/>
          <w:u w:val="none"/>
          <w:lang w:val="en-US" w:eastAsia="zh-CN" w:bidi="ar"/>
        </w:rPr>
      </w:pPr>
      <w:r>
        <w:rPr>
          <w:rFonts w:hint="eastAsia" w:ascii="仿宋" w:hAnsi="仿宋" w:eastAsia="仿宋" w:cs="仿宋"/>
          <w:b/>
          <w:bCs/>
          <w:i w:val="0"/>
          <w:iCs w:val="0"/>
          <w:color w:val="auto"/>
          <w:kern w:val="0"/>
          <w:sz w:val="28"/>
          <w:szCs w:val="28"/>
          <w:highlight w:val="none"/>
          <w:u w:val="none"/>
          <w:lang w:val="en-US" w:eastAsia="zh-CN" w:bidi="ar"/>
        </w:rPr>
        <w:t>道路路灯：</w:t>
      </w:r>
    </w:p>
    <w:tbl>
      <w:tblPr>
        <w:tblStyle w:val="24"/>
        <w:tblW w:w="84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9"/>
        <w:gridCol w:w="3123"/>
        <w:gridCol w:w="1701"/>
        <w:gridCol w:w="1167"/>
        <w:gridCol w:w="1122"/>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序号</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道路名称</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路灯类型</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路灯数量</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灯头类型</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84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left"/>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道路路灯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12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螺东路</w:t>
            </w:r>
          </w:p>
        </w:tc>
        <w:tc>
          <w:tcPr>
            <w:tcW w:w="1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环城东路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蜀山路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亚太路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风情大道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潘水路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道源路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nil"/>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晨辉路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潘右路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文杰路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城桥路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体育路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nil"/>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永久路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永久路北伸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北干一苑路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3123"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北干山南路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洄澜路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洄澜北路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双桐路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商城河路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商城路北</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站前路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江寺路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百尺溇路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品文街</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萧绍东路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萧明线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衙前路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工人路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城北路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萧棉路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海塘路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海塘路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煤场路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山阴路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山阴路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新城路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金城路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红枫路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城河街</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河滨路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休博路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乐园路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沈家里路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西河路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人民路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崇化路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03省道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蜀惠路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岳阳路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惠业路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金鸡路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金惠路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博奥路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392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金山路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永金路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开元路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新康路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彩虹高架</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彩虹大道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通城高架路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361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海塘路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通货路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站通路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黎端路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郎家路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滨水路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蓝天路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拱秀路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拱秀路东伸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仙家里路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下湘湖路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下湘湖路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湘湖路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小白线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吉利路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环新路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章潘桥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宁税路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建设四路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496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梅花弄</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金家桥路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鸿宁路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心意路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老工人路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纵二路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湘浦路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罗婆路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B24路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罗婆路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罗婆路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崇明路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崇化路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崇化路西</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向旭路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向旭路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向旭支路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向旭支路南伸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萧金路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萧金路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文化路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大弄</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五道路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同和公寓支路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西湘弄</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裴家埭路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(辰良路)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堰下</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机场城市大道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博学路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博学路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纵十路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湘西路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建设三路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建设四路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纵一路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兴议路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横一路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萧邮路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朝辉小学门口</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北二路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336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规划二路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纵七路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B12路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南四路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蒙山路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南三路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曹家桥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扬帆路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三益线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三益线</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古塘路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兴五路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山阴路支路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大通路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柳桥路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文化路东伸</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博裕路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166</w:t>
            </w:r>
          </w:p>
        </w:tc>
        <w:tc>
          <w:tcPr>
            <w:tcW w:w="31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萧然西路</w:t>
            </w:r>
          </w:p>
        </w:tc>
        <w:tc>
          <w:tcPr>
            <w:tcW w:w="1701"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双叉</w:t>
            </w:r>
          </w:p>
        </w:tc>
        <w:tc>
          <w:tcPr>
            <w:tcW w:w="11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nil"/>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848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left"/>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道路中杆灯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3123"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晨辉路</w:t>
            </w:r>
          </w:p>
        </w:tc>
        <w:tc>
          <w:tcPr>
            <w:tcW w:w="1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LED</w:t>
            </w:r>
          </w:p>
        </w:tc>
        <w:tc>
          <w:tcPr>
            <w:tcW w:w="700" w:type="dxa"/>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nil"/>
              <w:left w:val="single" w:color="000000" w:sz="4" w:space="0"/>
              <w:bottom w:val="single" w:color="auto"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LED</w:t>
            </w:r>
          </w:p>
        </w:tc>
        <w:tc>
          <w:tcPr>
            <w:tcW w:w="700"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nil"/>
              <w:left w:val="single" w:color="000000" w:sz="4" w:space="0"/>
              <w:bottom w:val="single" w:color="000000" w:sz="4" w:space="0"/>
              <w:right w:val="single" w:color="auto"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auto" w:sz="4" w:space="0"/>
              <w:left w:val="single" w:color="000000" w:sz="4" w:space="0"/>
              <w:bottom w:val="single" w:color="auto"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auto" w:sz="4" w:space="0"/>
              <w:left w:val="single" w:color="000000"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南秀路</w:t>
            </w:r>
          </w:p>
        </w:tc>
        <w:tc>
          <w:tcPr>
            <w:tcW w:w="170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文杰路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螺东路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环城东路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蜀山路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潘水路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22"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auto" w:sz="4" w:space="0"/>
              <w:left w:val="single" w:color="000000"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萧然西路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10</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11</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商城中路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拱秀路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auto" w:sz="4" w:space="0"/>
              <w:left w:val="single" w:color="000000" w:sz="4" w:space="0"/>
              <w:bottom w:val="single" w:color="auto" w:sz="4" w:space="0"/>
              <w:right w:val="single" w:color="auto"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萧然东路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新城路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人民路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萧然南路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20</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西河路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21</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体育路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江寺路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03省道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山南路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风情大道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30</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乐园路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31</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工人路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山阴路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金惠路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建设四路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永久路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39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崇化路（西）</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40</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向旭路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2"/>
                <w:szCs w:val="22"/>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41</w:t>
            </w:r>
          </w:p>
        </w:tc>
        <w:tc>
          <w:tcPr>
            <w:tcW w:w="31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山阴路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r>
              <w:rPr>
                <w:rFonts w:hint="eastAsia" w:ascii="仿宋" w:hAnsi="仿宋" w:eastAsia="仿宋" w:cs="仿宋"/>
                <w:i w:val="0"/>
                <w:iCs w:val="0"/>
                <w:color w:val="auto"/>
                <w:kern w:val="0"/>
                <w:sz w:val="21"/>
                <w:szCs w:val="21"/>
                <w:highlight w:val="none"/>
                <w:u w:val="none"/>
                <w:lang w:val="en-US" w:eastAsia="zh-CN" w:bidi="ar"/>
              </w:rPr>
              <w:t>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建设三路（风情大道-博奥路）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兴议路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横一路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萧邮路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市心南路（南秀路-03省道）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市心南路（潘水路-南秀路）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市心南路（萧绍路-潘水路）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机场城市大道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通惠北路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扬帆路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南四路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r>
              <w:rPr>
                <w:rFonts w:hint="eastAsia" w:ascii="仿宋" w:hAnsi="仿宋" w:eastAsia="仿宋" w:cs="仿宋"/>
                <w:i w:val="0"/>
                <w:iCs w:val="0"/>
                <w:color w:val="auto"/>
                <w:kern w:val="0"/>
                <w:sz w:val="21"/>
                <w:szCs w:val="21"/>
                <w:highlight w:val="none"/>
                <w:u w:val="none"/>
                <w:lang w:val="en-US" w:eastAsia="zh-CN" w:bidi="ar"/>
              </w:rPr>
              <w:t>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规划二路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r>
              <w:rPr>
                <w:rFonts w:hint="eastAsia" w:ascii="仿宋" w:hAnsi="仿宋" w:eastAsia="仿宋" w:cs="仿宋"/>
                <w:i w:val="0"/>
                <w:iCs w:val="0"/>
                <w:color w:val="auto"/>
                <w:kern w:val="0"/>
                <w:sz w:val="21"/>
                <w:szCs w:val="21"/>
                <w:highlight w:val="none"/>
                <w:u w:val="none"/>
                <w:lang w:val="en-US" w:eastAsia="zh-CN" w:bidi="ar"/>
              </w:rPr>
              <w:t>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B12路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4</w:t>
            </w:r>
            <w:r>
              <w:rPr>
                <w:rFonts w:hint="eastAsia" w:ascii="仿宋" w:hAnsi="仿宋" w:eastAsia="仿宋" w:cs="仿宋"/>
                <w:i w:val="0"/>
                <w:iCs w:val="0"/>
                <w:color w:val="auto"/>
                <w:kern w:val="0"/>
                <w:sz w:val="21"/>
                <w:szCs w:val="21"/>
                <w:highlight w:val="none"/>
                <w:u w:val="none"/>
                <w:lang w:val="en-US" w:eastAsia="zh-CN" w:bidi="ar"/>
              </w:rPr>
              <w:t>火</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55</w:t>
            </w:r>
          </w:p>
        </w:tc>
        <w:tc>
          <w:tcPr>
            <w:tcW w:w="31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朝辉小学门口</w:t>
            </w:r>
          </w:p>
        </w:tc>
        <w:tc>
          <w:tcPr>
            <w:tcW w:w="1701"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2</w:t>
            </w:r>
            <w:r>
              <w:rPr>
                <w:rFonts w:hint="eastAsia" w:ascii="仿宋" w:hAnsi="仿宋" w:eastAsia="仿宋" w:cs="仿宋"/>
                <w:i w:val="0"/>
                <w:iCs w:val="0"/>
                <w:color w:val="auto"/>
                <w:kern w:val="0"/>
                <w:sz w:val="21"/>
                <w:szCs w:val="21"/>
                <w:highlight w:val="none"/>
                <w:u w:val="none"/>
                <w:lang w:val="en-US" w:eastAsia="zh-CN" w:bidi="ar"/>
              </w:rPr>
              <w:t>火</w:t>
            </w:r>
          </w:p>
        </w:tc>
        <w:tc>
          <w:tcPr>
            <w:tcW w:w="116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2"/>
                <w:szCs w:val="22"/>
                <w:highlight w:val="none"/>
                <w:u w:val="none"/>
              </w:rPr>
            </w:pPr>
            <w:r>
              <w:rPr>
                <w:rFonts w:hint="eastAsia" w:ascii="仿宋" w:hAnsi="仿宋" w:eastAsia="仿宋" w:cs="仿宋"/>
                <w:i w:val="0"/>
                <w:iCs w:val="0"/>
                <w:color w:val="auto"/>
                <w:kern w:val="0"/>
                <w:sz w:val="22"/>
                <w:szCs w:val="22"/>
                <w:highlight w:val="none"/>
                <w:u w:val="none"/>
                <w:lang w:val="en-US" w:eastAsia="zh-CN"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nil"/>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3792"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after="0"/>
              <w:jc w:val="left"/>
              <w:textAlignment w:val="center"/>
              <w:rPr>
                <w:rFonts w:hint="eastAsia" w:ascii="仿宋" w:hAnsi="仿宋" w:eastAsia="仿宋" w:cs="仿宋"/>
                <w:b/>
                <w:bCs/>
                <w:i w:val="0"/>
                <w:iCs w:val="0"/>
                <w:color w:val="auto"/>
                <w:sz w:val="22"/>
                <w:szCs w:val="22"/>
                <w:highlight w:val="none"/>
                <w:u w:val="none"/>
              </w:rPr>
            </w:pPr>
            <w:r>
              <w:rPr>
                <w:rFonts w:hint="eastAsia" w:ascii="仿宋" w:hAnsi="仿宋" w:eastAsia="仿宋" w:cs="仿宋"/>
                <w:b/>
                <w:bCs/>
                <w:i w:val="0"/>
                <w:iCs w:val="0"/>
                <w:color w:val="auto"/>
                <w:kern w:val="0"/>
                <w:sz w:val="22"/>
                <w:szCs w:val="22"/>
                <w:highlight w:val="none"/>
                <w:u w:val="none"/>
                <w:lang w:val="en-US" w:eastAsia="zh-CN" w:bidi="ar"/>
              </w:rPr>
              <w:t>城市下穿、隧道</w:t>
            </w:r>
          </w:p>
        </w:tc>
        <w:tc>
          <w:tcPr>
            <w:tcW w:w="1701"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2"/>
                <w:szCs w:val="22"/>
                <w:highlight w:val="none"/>
                <w:u w:val="none"/>
              </w:rPr>
            </w:pPr>
          </w:p>
        </w:tc>
        <w:tc>
          <w:tcPr>
            <w:tcW w:w="1167"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2"/>
                <w:szCs w:val="22"/>
                <w:highlight w:val="none"/>
                <w:u w:val="none"/>
              </w:rPr>
            </w:pPr>
          </w:p>
        </w:tc>
        <w:tc>
          <w:tcPr>
            <w:tcW w:w="1122"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700" w:type="dxa"/>
            <w:tcBorders>
              <w:top w:val="single" w:color="000000" w:sz="4" w:space="0"/>
              <w:left w:val="nil"/>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b/>
                <w:bCs/>
                <w:i w:val="0"/>
                <w:iCs w:val="0"/>
                <w:color w:val="auto"/>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12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市心路下穿</w:t>
            </w:r>
          </w:p>
        </w:tc>
        <w:tc>
          <w:tcPr>
            <w:tcW w:w="1701"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572</w:t>
            </w:r>
          </w:p>
        </w:tc>
        <w:tc>
          <w:tcPr>
            <w:tcW w:w="1122"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nil"/>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潘水路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桥灯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kern w:val="0"/>
                <w:sz w:val="21"/>
                <w:szCs w:val="21"/>
                <w:highlight w:val="none"/>
                <w:u w:val="none"/>
                <w:lang w:val="en-US" w:eastAsia="zh-CN" w:bidi="ar"/>
              </w:rPr>
            </w:pPr>
            <w:r>
              <w:rPr>
                <w:rFonts w:hint="eastAsia" w:ascii="仿宋" w:hAnsi="仿宋" w:eastAsia="仿宋" w:cs="仿宋"/>
                <w:i w:val="0"/>
                <w:iCs w:val="0"/>
                <w:color w:val="auto"/>
                <w:kern w:val="0"/>
                <w:sz w:val="21"/>
                <w:szCs w:val="21"/>
                <w:highlight w:val="none"/>
                <w:u w:val="none"/>
                <w:lang w:val="en-US" w:eastAsia="zh-CN" w:bidi="ar"/>
              </w:rPr>
              <w:t>萧西路与湘湖路交叉口</w:t>
            </w:r>
          </w:p>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蜀山路与亚太路交叉口</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梅花灯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风情大道下穿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永久隧道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376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人民路下穿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晨晖路公铁立交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投光灯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西山隧道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西山立交</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727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桥侧景观灯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384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LED彩带</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桥下绿化景观灯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安全指示牌</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地铁隧道灯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市心路人行下穿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地铁隧道灯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人民路人行下穿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隧道灯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新城路萧绍路下穿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新城路隧道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736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新城路金城路下穿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金城路铁路立交下金城路泵站</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香悦公馆门口</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金城路潇潇铁路立交下大润发</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育才路铁路立交下</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站通路立交下</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育才路隧道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育才路萧绍路下穿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育才路萧绍路下穿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指路牌</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安全出口</w:t>
            </w: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城东泵站</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南门江大桥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4200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203</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涝湖村下穿</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31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拱秀路下穿</w:t>
            </w:r>
          </w:p>
        </w:tc>
        <w:tc>
          <w:tcPr>
            <w:tcW w:w="1701" w:type="dxa"/>
            <w:tcBorders>
              <w:top w:val="single" w:color="000000" w:sz="4" w:space="0"/>
              <w:left w:val="single" w:color="000000" w:sz="4" w:space="0"/>
              <w:bottom w:val="nil"/>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nil"/>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31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湘湖岭隧道</w:t>
            </w:r>
          </w:p>
        </w:tc>
        <w:tc>
          <w:tcPr>
            <w:tcW w:w="1701" w:type="dxa"/>
            <w:tcBorders>
              <w:top w:val="single" w:color="000000" w:sz="4" w:space="0"/>
              <w:left w:val="single" w:color="000000" w:sz="4" w:space="0"/>
              <w:bottom w:val="nil"/>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280</w:t>
            </w:r>
          </w:p>
        </w:tc>
        <w:tc>
          <w:tcPr>
            <w:tcW w:w="112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nil"/>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31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湘湖浅埋隧道</w:t>
            </w:r>
          </w:p>
        </w:tc>
        <w:tc>
          <w:tcPr>
            <w:tcW w:w="1701" w:type="dxa"/>
            <w:tcBorders>
              <w:top w:val="single" w:color="000000" w:sz="4" w:space="0"/>
              <w:left w:val="single" w:color="000000" w:sz="4" w:space="0"/>
              <w:bottom w:val="nil"/>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c>
          <w:tcPr>
            <w:tcW w:w="1167"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3500</w:t>
            </w:r>
          </w:p>
        </w:tc>
        <w:tc>
          <w:tcPr>
            <w:tcW w:w="1122"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nil"/>
              <w:right w:val="single" w:color="000000" w:sz="4" w:space="0"/>
            </w:tcBorders>
            <w:shd w:val="clear" w:color="auto" w:fill="auto"/>
            <w:noWrap/>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3792"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after="0"/>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桥梁</w:t>
            </w:r>
          </w:p>
        </w:tc>
        <w:tc>
          <w:tcPr>
            <w:tcW w:w="1701"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1167"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1122"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700" w:type="dxa"/>
            <w:tcBorders>
              <w:top w:val="single" w:color="000000" w:sz="4" w:space="0"/>
              <w:left w:val="nil"/>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123"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育才路</w:t>
            </w:r>
          </w:p>
        </w:tc>
        <w:tc>
          <w:tcPr>
            <w:tcW w:w="170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nil"/>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道源路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新城路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高桥支路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萧绍路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工人路桥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03省道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金卤灯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大浦桥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望月桥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东城入口</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4200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商河桥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育春桥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新桥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黄家桥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金家河桥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文源桥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竹林桥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泰和桥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文汇桥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供电所桥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博奥路北塘河桥</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点光源</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450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线条灯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洗墙灯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1250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廊桥（桥上、桥下）</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瓦楞灯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664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瓦楞灯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亭内宫灯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亭柱景观灯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桥侧线条灯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3792"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spacing w:after="0"/>
              <w:jc w:val="left"/>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社区</w:t>
            </w:r>
          </w:p>
        </w:tc>
        <w:tc>
          <w:tcPr>
            <w:tcW w:w="1701"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1167"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1122" w:type="dxa"/>
            <w:tcBorders>
              <w:top w:val="single" w:color="000000" w:sz="4" w:space="0"/>
              <w:left w:val="nil"/>
              <w:bottom w:val="single" w:color="000000" w:sz="4" w:space="0"/>
              <w:right w:val="nil"/>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c>
          <w:tcPr>
            <w:tcW w:w="700" w:type="dxa"/>
            <w:tcBorders>
              <w:top w:val="single" w:color="000000" w:sz="4" w:space="0"/>
              <w:left w:val="nil"/>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b/>
                <w:bCs/>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藕湖浜社区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103</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东阳桥社区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陈公桥社区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回澜北苑社区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百尺溇社区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育才东社区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7</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江寺社区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高桥小区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275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通达小区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30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红枫小区一期</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红枫小区二期</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红枫小区小路</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钠灯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发展公寓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西河路社区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90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崇化社区与俊良社区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146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84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16</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南门江社区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17</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潘水北苑</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206</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潘水南苑</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19</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杭齿厂社区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万寿桥社区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15</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21</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太平弄社区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132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22</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牛角湾社区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18</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23</w:t>
            </w:r>
          </w:p>
        </w:tc>
        <w:tc>
          <w:tcPr>
            <w:tcW w:w="31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里横河社区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LED</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31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24</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城北新村</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54</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25</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南江公寓</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庭院灯</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26</w:t>
            </w:r>
          </w:p>
        </w:tc>
        <w:tc>
          <w:tcPr>
            <w:tcW w:w="31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广宁小区</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单叉</w:t>
            </w:r>
          </w:p>
        </w:tc>
        <w:tc>
          <w:tcPr>
            <w:tcW w:w="11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10</w:t>
            </w:r>
          </w:p>
        </w:tc>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0"/>
              <w:jc w:val="center"/>
              <w:textAlignment w:val="center"/>
              <w:rPr>
                <w:rFonts w:hint="eastAsia" w:ascii="仿宋" w:hAnsi="仿宋" w:eastAsia="仿宋" w:cs="仿宋"/>
                <w:i w:val="0"/>
                <w:iCs w:val="0"/>
                <w:color w:val="auto"/>
                <w:sz w:val="21"/>
                <w:szCs w:val="21"/>
                <w:highlight w:val="none"/>
                <w:u w:val="none"/>
              </w:rPr>
            </w:pPr>
            <w:r>
              <w:rPr>
                <w:rFonts w:hint="eastAsia" w:ascii="仿宋" w:hAnsi="仿宋" w:eastAsia="仿宋" w:cs="仿宋"/>
                <w:i w:val="0"/>
                <w:iCs w:val="0"/>
                <w:color w:val="auto"/>
                <w:kern w:val="0"/>
                <w:sz w:val="21"/>
                <w:szCs w:val="21"/>
                <w:highlight w:val="none"/>
                <w:u w:val="none"/>
                <w:lang w:val="en-US" w:eastAsia="zh-CN" w:bidi="ar"/>
              </w:rPr>
              <w:t>节能灯</w:t>
            </w:r>
          </w:p>
        </w:tc>
        <w:tc>
          <w:tcPr>
            <w:tcW w:w="7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0"/>
              <w:jc w:val="center"/>
              <w:rPr>
                <w:rFonts w:hint="eastAsia" w:ascii="仿宋" w:hAnsi="仿宋" w:eastAsia="仿宋" w:cs="仿宋"/>
                <w:i w:val="0"/>
                <w:iCs w:val="0"/>
                <w:color w:val="auto"/>
                <w:sz w:val="21"/>
                <w:szCs w:val="21"/>
                <w:highlight w:val="none"/>
                <w:u w:val="none"/>
              </w:rPr>
            </w:pPr>
          </w:p>
        </w:tc>
      </w:tr>
    </w:tbl>
    <w:p>
      <w:pPr>
        <w:rPr>
          <w:rFonts w:hint="eastAsia" w:ascii="仿宋" w:hAnsi="仿宋" w:eastAsia="仿宋" w:cs="仿宋"/>
          <w:b/>
          <w:bCs/>
          <w:color w:val="auto"/>
          <w:highlight w:val="none"/>
          <w:lang w:val="en-US" w:eastAsia="zh-CN"/>
        </w:rPr>
      </w:pPr>
    </w:p>
    <w:p>
      <w:pP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注：1.具体数量以实际验收数量为准。</w:t>
      </w:r>
    </w:p>
    <w:p>
      <w:pPr>
        <w:ind w:firstLine="482" w:firstLineChars="200"/>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2.光源灯具功率需投标人中标后现场调研。</w:t>
      </w:r>
    </w:p>
    <w:p>
      <w:pPr>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ind w:left="0" w:leftChars="0" w:firstLine="0" w:firstLineChars="0"/>
        <w:rPr>
          <w:rFonts w:hint="eastAsia" w:ascii="仿宋" w:hAnsi="仿宋" w:eastAsia="仿宋" w:cs="仿宋"/>
          <w:color w:val="auto"/>
          <w:highlight w:val="none"/>
        </w:rPr>
      </w:pPr>
    </w:p>
    <w:tbl>
      <w:tblPr>
        <w:tblStyle w:val="24"/>
        <w:tblW w:w="822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56"/>
        <w:gridCol w:w="2653"/>
        <w:gridCol w:w="2682"/>
        <w:gridCol w:w="21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b/>
                <w:bCs/>
                <w:color w:val="auto"/>
                <w:highlight w:val="none"/>
                <w:lang w:val="en-US" w:eastAsia="zh-CN"/>
              </w:rPr>
              <w:t>配电箱：</w:t>
            </w:r>
            <w:r>
              <w:rPr>
                <w:rFonts w:hint="eastAsia" w:ascii="仿宋" w:hAnsi="仿宋" w:eastAsia="仿宋" w:cs="仿宋"/>
                <w:i w:val="0"/>
                <w:iCs w:val="0"/>
                <w:color w:val="auto"/>
                <w:kern w:val="0"/>
                <w:sz w:val="24"/>
                <w:szCs w:val="24"/>
                <w:highlight w:val="none"/>
                <w:u w:val="none"/>
                <w:lang w:val="en-US" w:eastAsia="zh-CN" w:bidi="ar"/>
              </w:rPr>
              <w:t>序号</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具体位置</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控制箱照片</w:t>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5"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建设四路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231775</wp:posOffset>
                  </wp:positionH>
                  <wp:positionV relativeFrom="paragraph">
                    <wp:posOffset>16510</wp:posOffset>
                  </wp:positionV>
                  <wp:extent cx="1266825" cy="1256030"/>
                  <wp:effectExtent l="0" t="0" r="3175" b="1270"/>
                  <wp:wrapNone/>
                  <wp:docPr id="15" name="图片_1"/>
                  <wp:cNvGraphicFramePr/>
                  <a:graphic xmlns:a="http://schemas.openxmlformats.org/drawingml/2006/main">
                    <a:graphicData uri="http://schemas.openxmlformats.org/drawingml/2006/picture">
                      <pic:pic xmlns:pic="http://schemas.openxmlformats.org/drawingml/2006/picture">
                        <pic:nvPicPr>
                          <pic:cNvPr id="15" name="图片_1"/>
                          <pic:cNvPicPr/>
                        </pic:nvPicPr>
                        <pic:blipFill>
                          <a:blip r:embed="rId9"/>
                          <a:stretch>
                            <a:fillRect/>
                          </a:stretch>
                        </pic:blipFill>
                        <pic:spPr>
                          <a:xfrm>
                            <a:off x="0" y="0"/>
                            <a:ext cx="1266825" cy="12560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建设三路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123190</wp:posOffset>
                  </wp:positionV>
                  <wp:extent cx="816610" cy="931545"/>
                  <wp:effectExtent l="0" t="0" r="8890" b="8255"/>
                  <wp:wrapNone/>
                  <wp:docPr id="18" name="图片_2"/>
                  <wp:cNvGraphicFramePr/>
                  <a:graphic xmlns:a="http://schemas.openxmlformats.org/drawingml/2006/main">
                    <a:graphicData uri="http://schemas.openxmlformats.org/drawingml/2006/picture">
                      <pic:pic xmlns:pic="http://schemas.openxmlformats.org/drawingml/2006/picture">
                        <pic:nvPicPr>
                          <pic:cNvPr id="18" name="图片_2"/>
                          <pic:cNvPicPr/>
                        </pic:nvPicPr>
                        <pic:blipFill>
                          <a:blip r:embed="rId10"/>
                          <a:stretch>
                            <a:fillRect/>
                          </a:stretch>
                        </pic:blipFill>
                        <pic:spPr>
                          <a:xfrm>
                            <a:off x="0" y="0"/>
                            <a:ext cx="816610" cy="93154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建设一路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419100</wp:posOffset>
                  </wp:positionH>
                  <wp:positionV relativeFrom="paragraph">
                    <wp:posOffset>142875</wp:posOffset>
                  </wp:positionV>
                  <wp:extent cx="809625" cy="942975"/>
                  <wp:effectExtent l="0" t="0" r="3175" b="9525"/>
                  <wp:wrapNone/>
                  <wp:docPr id="19" name="图片_3"/>
                  <wp:cNvGraphicFramePr/>
                  <a:graphic xmlns:a="http://schemas.openxmlformats.org/drawingml/2006/main">
                    <a:graphicData uri="http://schemas.openxmlformats.org/drawingml/2006/picture">
                      <pic:pic xmlns:pic="http://schemas.openxmlformats.org/drawingml/2006/picture">
                        <pic:nvPicPr>
                          <pic:cNvPr id="19" name="图片_3"/>
                          <pic:cNvPicPr/>
                        </pic:nvPicPr>
                        <pic:blipFill>
                          <a:blip r:embed="rId11"/>
                          <a:stretch>
                            <a:fillRect/>
                          </a:stretch>
                        </pic:blipFill>
                        <pic:spPr>
                          <a:xfrm>
                            <a:off x="0" y="0"/>
                            <a:ext cx="809625" cy="94297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兴议路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409575</wp:posOffset>
                  </wp:positionH>
                  <wp:positionV relativeFrom="paragraph">
                    <wp:posOffset>161925</wp:posOffset>
                  </wp:positionV>
                  <wp:extent cx="809625" cy="971550"/>
                  <wp:effectExtent l="0" t="0" r="3175" b="6350"/>
                  <wp:wrapNone/>
                  <wp:docPr id="16" name="图片_4"/>
                  <wp:cNvGraphicFramePr/>
                  <a:graphic xmlns:a="http://schemas.openxmlformats.org/drawingml/2006/main">
                    <a:graphicData uri="http://schemas.openxmlformats.org/drawingml/2006/picture">
                      <pic:pic xmlns:pic="http://schemas.openxmlformats.org/drawingml/2006/picture">
                        <pic:nvPicPr>
                          <pic:cNvPr id="16" name="图片_4"/>
                          <pic:cNvPicPr/>
                        </pic:nvPicPr>
                        <pic:blipFill>
                          <a:blip r:embed="rId12"/>
                          <a:stretch>
                            <a:fillRect/>
                          </a:stretch>
                        </pic:blipFill>
                        <pic:spPr>
                          <a:xfrm>
                            <a:off x="0" y="0"/>
                            <a:ext cx="809625" cy="97155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博奥路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225425</wp:posOffset>
                  </wp:positionV>
                  <wp:extent cx="810260" cy="739140"/>
                  <wp:effectExtent l="0" t="0" r="2540" b="10160"/>
                  <wp:wrapNone/>
                  <wp:docPr id="17" name="图片_5"/>
                  <wp:cNvGraphicFramePr/>
                  <a:graphic xmlns:a="http://schemas.openxmlformats.org/drawingml/2006/main">
                    <a:graphicData uri="http://schemas.openxmlformats.org/drawingml/2006/picture">
                      <pic:pic xmlns:pic="http://schemas.openxmlformats.org/drawingml/2006/picture">
                        <pic:nvPicPr>
                          <pic:cNvPr id="17" name="图片_5"/>
                          <pic:cNvPicPr/>
                        </pic:nvPicPr>
                        <pic:blipFill>
                          <a:blip r:embed="rId13"/>
                          <a:stretch>
                            <a:fillRect/>
                          </a:stretch>
                        </pic:blipFill>
                        <pic:spPr>
                          <a:xfrm>
                            <a:off x="0" y="0"/>
                            <a:ext cx="810260" cy="73914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博奥路与金城路交叉口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95250</wp:posOffset>
                  </wp:positionV>
                  <wp:extent cx="810260" cy="1002030"/>
                  <wp:effectExtent l="0" t="0" r="2540" b="1270"/>
                  <wp:wrapNone/>
                  <wp:docPr id="21" name="图片_6"/>
                  <wp:cNvGraphicFramePr/>
                  <a:graphic xmlns:a="http://schemas.openxmlformats.org/drawingml/2006/main">
                    <a:graphicData uri="http://schemas.openxmlformats.org/drawingml/2006/picture">
                      <pic:pic xmlns:pic="http://schemas.openxmlformats.org/drawingml/2006/picture">
                        <pic:nvPicPr>
                          <pic:cNvPr id="21" name="图片_6"/>
                          <pic:cNvPicPr/>
                        </pic:nvPicPr>
                        <pic:blipFill>
                          <a:blip r:embed="rId14"/>
                          <a:stretch>
                            <a:fillRect/>
                          </a:stretch>
                        </pic:blipFill>
                        <pic:spPr>
                          <a:xfrm>
                            <a:off x="0" y="0"/>
                            <a:ext cx="810260" cy="10020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金鸡路桥下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402590</wp:posOffset>
                  </wp:positionH>
                  <wp:positionV relativeFrom="paragraph">
                    <wp:posOffset>95250</wp:posOffset>
                  </wp:positionV>
                  <wp:extent cx="810260" cy="934085"/>
                  <wp:effectExtent l="0" t="0" r="2540" b="5715"/>
                  <wp:wrapNone/>
                  <wp:docPr id="13" name="图片_7"/>
                  <wp:cNvGraphicFramePr/>
                  <a:graphic xmlns:a="http://schemas.openxmlformats.org/drawingml/2006/main">
                    <a:graphicData uri="http://schemas.openxmlformats.org/drawingml/2006/picture">
                      <pic:pic xmlns:pic="http://schemas.openxmlformats.org/drawingml/2006/picture">
                        <pic:nvPicPr>
                          <pic:cNvPr id="13" name="图片_7"/>
                          <pic:cNvPicPr/>
                        </pic:nvPicPr>
                        <pic:blipFill>
                          <a:blip r:embed="rId15"/>
                          <a:stretch>
                            <a:fillRect/>
                          </a:stretch>
                        </pic:blipFill>
                        <pic:spPr>
                          <a:xfrm>
                            <a:off x="0" y="0"/>
                            <a:ext cx="810260" cy="93408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惠学路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412115</wp:posOffset>
                  </wp:positionH>
                  <wp:positionV relativeFrom="paragraph">
                    <wp:posOffset>180975</wp:posOffset>
                  </wp:positionV>
                  <wp:extent cx="809625" cy="962660"/>
                  <wp:effectExtent l="0" t="0" r="3175" b="2540"/>
                  <wp:wrapNone/>
                  <wp:docPr id="11" name="图片_8"/>
                  <wp:cNvGraphicFramePr/>
                  <a:graphic xmlns:a="http://schemas.openxmlformats.org/drawingml/2006/main">
                    <a:graphicData uri="http://schemas.openxmlformats.org/drawingml/2006/picture">
                      <pic:pic xmlns:pic="http://schemas.openxmlformats.org/drawingml/2006/picture">
                        <pic:nvPicPr>
                          <pic:cNvPr id="11" name="图片_8"/>
                          <pic:cNvPicPr/>
                        </pic:nvPicPr>
                        <pic:blipFill>
                          <a:blip r:embed="rId16"/>
                          <a:stretch>
                            <a:fillRect/>
                          </a:stretch>
                        </pic:blipFill>
                        <pic:spPr>
                          <a:xfrm>
                            <a:off x="0" y="0"/>
                            <a:ext cx="809625" cy="9626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工人路北塘河桥下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387985</wp:posOffset>
                  </wp:positionH>
                  <wp:positionV relativeFrom="paragraph">
                    <wp:posOffset>166370</wp:posOffset>
                  </wp:positionV>
                  <wp:extent cx="810260" cy="975995"/>
                  <wp:effectExtent l="0" t="0" r="2540" b="1905"/>
                  <wp:wrapNone/>
                  <wp:docPr id="20" name="图片_9"/>
                  <wp:cNvGraphicFramePr/>
                  <a:graphic xmlns:a="http://schemas.openxmlformats.org/drawingml/2006/main">
                    <a:graphicData uri="http://schemas.openxmlformats.org/drawingml/2006/picture">
                      <pic:pic xmlns:pic="http://schemas.openxmlformats.org/drawingml/2006/picture">
                        <pic:nvPicPr>
                          <pic:cNvPr id="20" name="图片_9"/>
                          <pic:cNvPicPr/>
                        </pic:nvPicPr>
                        <pic:blipFill>
                          <a:blip r:embed="rId17"/>
                          <a:stretch>
                            <a:fillRect/>
                          </a:stretch>
                        </pic:blipFill>
                        <pic:spPr>
                          <a:xfrm>
                            <a:off x="0" y="0"/>
                            <a:ext cx="810260" cy="97599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西山立交下穿电梯口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376555</wp:posOffset>
                  </wp:positionH>
                  <wp:positionV relativeFrom="paragraph">
                    <wp:posOffset>91440</wp:posOffset>
                  </wp:positionV>
                  <wp:extent cx="810260" cy="981075"/>
                  <wp:effectExtent l="0" t="0" r="2540" b="9525"/>
                  <wp:wrapNone/>
                  <wp:docPr id="22" name="图片_10"/>
                  <wp:cNvGraphicFramePr/>
                  <a:graphic xmlns:a="http://schemas.openxmlformats.org/drawingml/2006/main">
                    <a:graphicData uri="http://schemas.openxmlformats.org/drawingml/2006/picture">
                      <pic:pic xmlns:pic="http://schemas.openxmlformats.org/drawingml/2006/picture">
                        <pic:nvPicPr>
                          <pic:cNvPr id="22" name="图片_10"/>
                          <pic:cNvPicPr/>
                        </pic:nvPicPr>
                        <pic:blipFill>
                          <a:blip r:embed="rId18"/>
                          <a:stretch>
                            <a:fillRect/>
                          </a:stretch>
                        </pic:blipFill>
                        <pic:spPr>
                          <a:xfrm>
                            <a:off x="0" y="0"/>
                            <a:ext cx="810260" cy="98107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潘水停车场内</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383540</wp:posOffset>
                  </wp:positionH>
                  <wp:positionV relativeFrom="paragraph">
                    <wp:posOffset>138430</wp:posOffset>
                  </wp:positionV>
                  <wp:extent cx="809625" cy="1003300"/>
                  <wp:effectExtent l="0" t="0" r="3175" b="0"/>
                  <wp:wrapNone/>
                  <wp:docPr id="14" name="图片_11"/>
                  <wp:cNvGraphicFramePr/>
                  <a:graphic xmlns:a="http://schemas.openxmlformats.org/drawingml/2006/main">
                    <a:graphicData uri="http://schemas.openxmlformats.org/drawingml/2006/picture">
                      <pic:pic xmlns:pic="http://schemas.openxmlformats.org/drawingml/2006/picture">
                        <pic:nvPicPr>
                          <pic:cNvPr id="14" name="图片_11"/>
                          <pic:cNvPicPr/>
                        </pic:nvPicPr>
                        <pic:blipFill>
                          <a:blip r:embed="rId19"/>
                          <a:stretch>
                            <a:fillRect/>
                          </a:stretch>
                        </pic:blipFill>
                        <pic:spPr>
                          <a:xfrm>
                            <a:off x="0" y="0"/>
                            <a:ext cx="809625" cy="10033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萧邮路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140970</wp:posOffset>
                  </wp:positionV>
                  <wp:extent cx="810260" cy="966470"/>
                  <wp:effectExtent l="0" t="0" r="2540" b="11430"/>
                  <wp:wrapNone/>
                  <wp:docPr id="23" name="图片_12"/>
                  <wp:cNvGraphicFramePr/>
                  <a:graphic xmlns:a="http://schemas.openxmlformats.org/drawingml/2006/main">
                    <a:graphicData uri="http://schemas.openxmlformats.org/drawingml/2006/picture">
                      <pic:pic xmlns:pic="http://schemas.openxmlformats.org/drawingml/2006/picture">
                        <pic:nvPicPr>
                          <pic:cNvPr id="23" name="图片_12"/>
                          <pic:cNvPicPr/>
                        </pic:nvPicPr>
                        <pic:blipFill>
                          <a:blip r:embed="rId20"/>
                          <a:stretch>
                            <a:fillRect/>
                          </a:stretch>
                        </pic:blipFill>
                        <pic:spPr>
                          <a:xfrm>
                            <a:off x="0" y="0"/>
                            <a:ext cx="810260"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永兴公园</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384175</wp:posOffset>
                  </wp:positionH>
                  <wp:positionV relativeFrom="paragraph">
                    <wp:posOffset>154940</wp:posOffset>
                  </wp:positionV>
                  <wp:extent cx="809625" cy="938530"/>
                  <wp:effectExtent l="0" t="0" r="3175" b="1270"/>
                  <wp:wrapNone/>
                  <wp:docPr id="24" name="图片_13"/>
                  <wp:cNvGraphicFramePr/>
                  <a:graphic xmlns:a="http://schemas.openxmlformats.org/drawingml/2006/main">
                    <a:graphicData uri="http://schemas.openxmlformats.org/drawingml/2006/picture">
                      <pic:pic xmlns:pic="http://schemas.openxmlformats.org/drawingml/2006/picture">
                        <pic:nvPicPr>
                          <pic:cNvPr id="24" name="图片_13"/>
                          <pic:cNvPicPr/>
                        </pic:nvPicPr>
                        <pic:blipFill>
                          <a:blip r:embed="rId21"/>
                          <a:stretch>
                            <a:fillRect/>
                          </a:stretch>
                        </pic:blipFill>
                        <pic:spPr>
                          <a:xfrm>
                            <a:off x="0" y="0"/>
                            <a:ext cx="809625" cy="9385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萧棉路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390525</wp:posOffset>
                  </wp:positionH>
                  <wp:positionV relativeFrom="paragraph">
                    <wp:posOffset>120650</wp:posOffset>
                  </wp:positionV>
                  <wp:extent cx="810260" cy="980440"/>
                  <wp:effectExtent l="0" t="0" r="2540" b="10160"/>
                  <wp:wrapNone/>
                  <wp:docPr id="25" name="图片_14"/>
                  <wp:cNvGraphicFramePr/>
                  <a:graphic xmlns:a="http://schemas.openxmlformats.org/drawingml/2006/main">
                    <a:graphicData uri="http://schemas.openxmlformats.org/drawingml/2006/picture">
                      <pic:pic xmlns:pic="http://schemas.openxmlformats.org/drawingml/2006/picture">
                        <pic:nvPicPr>
                          <pic:cNvPr id="25" name="图片_14"/>
                          <pic:cNvPicPr/>
                        </pic:nvPicPr>
                        <pic:blipFill>
                          <a:blip r:embed="rId22"/>
                          <a:stretch>
                            <a:fillRect/>
                          </a:stretch>
                        </pic:blipFill>
                        <pic:spPr>
                          <a:xfrm>
                            <a:off x="0" y="0"/>
                            <a:ext cx="810260" cy="98044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市心中路泵站内</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376555</wp:posOffset>
                  </wp:positionH>
                  <wp:positionV relativeFrom="paragraph">
                    <wp:posOffset>120015</wp:posOffset>
                  </wp:positionV>
                  <wp:extent cx="810260" cy="952500"/>
                  <wp:effectExtent l="0" t="0" r="2540" b="0"/>
                  <wp:wrapNone/>
                  <wp:docPr id="26" name="图片_15"/>
                  <wp:cNvGraphicFramePr/>
                  <a:graphic xmlns:a="http://schemas.openxmlformats.org/drawingml/2006/main">
                    <a:graphicData uri="http://schemas.openxmlformats.org/drawingml/2006/picture">
                      <pic:pic xmlns:pic="http://schemas.openxmlformats.org/drawingml/2006/picture">
                        <pic:nvPicPr>
                          <pic:cNvPr id="26" name="图片_15"/>
                          <pic:cNvPicPr/>
                        </pic:nvPicPr>
                        <pic:blipFill>
                          <a:blip r:embed="rId23"/>
                          <a:stretch>
                            <a:fillRect/>
                          </a:stretch>
                        </pic:blipFill>
                        <pic:spPr>
                          <a:xfrm>
                            <a:off x="0" y="0"/>
                            <a:ext cx="810260" cy="9525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西山立交下萧杭路口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389890</wp:posOffset>
                  </wp:positionH>
                  <wp:positionV relativeFrom="paragraph">
                    <wp:posOffset>106045</wp:posOffset>
                  </wp:positionV>
                  <wp:extent cx="810260" cy="966470"/>
                  <wp:effectExtent l="0" t="0" r="2540" b="11430"/>
                  <wp:wrapNone/>
                  <wp:docPr id="10" name="图片_16"/>
                  <wp:cNvGraphicFramePr/>
                  <a:graphic xmlns:a="http://schemas.openxmlformats.org/drawingml/2006/main">
                    <a:graphicData uri="http://schemas.openxmlformats.org/drawingml/2006/picture">
                      <pic:pic xmlns:pic="http://schemas.openxmlformats.org/drawingml/2006/picture">
                        <pic:nvPicPr>
                          <pic:cNvPr id="10" name="图片_16"/>
                          <pic:cNvPicPr/>
                        </pic:nvPicPr>
                        <pic:blipFill>
                          <a:blip r:embed="rId24"/>
                          <a:stretch>
                            <a:fillRect/>
                          </a:stretch>
                        </pic:blipFill>
                        <pic:spPr>
                          <a:xfrm>
                            <a:off x="0" y="0"/>
                            <a:ext cx="810260"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工人路金城路东北角</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398145</wp:posOffset>
                  </wp:positionH>
                  <wp:positionV relativeFrom="paragraph">
                    <wp:posOffset>120015</wp:posOffset>
                  </wp:positionV>
                  <wp:extent cx="809625" cy="923925"/>
                  <wp:effectExtent l="0" t="0" r="3175" b="3175"/>
                  <wp:wrapNone/>
                  <wp:docPr id="27" name="图片_17"/>
                  <wp:cNvGraphicFramePr/>
                  <a:graphic xmlns:a="http://schemas.openxmlformats.org/drawingml/2006/main">
                    <a:graphicData uri="http://schemas.openxmlformats.org/drawingml/2006/picture">
                      <pic:pic xmlns:pic="http://schemas.openxmlformats.org/drawingml/2006/picture">
                        <pic:nvPicPr>
                          <pic:cNvPr id="27" name="图片_17"/>
                          <pic:cNvPicPr/>
                        </pic:nvPicPr>
                        <pic:blipFill>
                          <a:blip r:embed="rId25"/>
                          <a:stretch>
                            <a:fillRect/>
                          </a:stretch>
                        </pic:blipFill>
                        <pic:spPr>
                          <a:xfrm>
                            <a:off x="0" y="0"/>
                            <a:ext cx="809625" cy="92392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金鸡路高运锦园</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412115</wp:posOffset>
                  </wp:positionH>
                  <wp:positionV relativeFrom="paragraph">
                    <wp:posOffset>154940</wp:posOffset>
                  </wp:positionV>
                  <wp:extent cx="809625" cy="923925"/>
                  <wp:effectExtent l="0" t="0" r="3175" b="3175"/>
                  <wp:wrapNone/>
                  <wp:docPr id="12" name="图片_18"/>
                  <wp:cNvGraphicFramePr/>
                  <a:graphic xmlns:a="http://schemas.openxmlformats.org/drawingml/2006/main">
                    <a:graphicData uri="http://schemas.openxmlformats.org/drawingml/2006/picture">
                      <pic:pic xmlns:pic="http://schemas.openxmlformats.org/drawingml/2006/picture">
                        <pic:nvPicPr>
                          <pic:cNvPr id="12" name="图片_18"/>
                          <pic:cNvPicPr/>
                        </pic:nvPicPr>
                        <pic:blipFill>
                          <a:blip r:embed="rId26"/>
                          <a:stretch>
                            <a:fillRect/>
                          </a:stretch>
                        </pic:blipFill>
                        <pic:spPr>
                          <a:xfrm>
                            <a:off x="0" y="0"/>
                            <a:ext cx="809625" cy="92392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博奥路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383540</wp:posOffset>
                  </wp:positionH>
                  <wp:positionV relativeFrom="paragraph">
                    <wp:posOffset>95250</wp:posOffset>
                  </wp:positionV>
                  <wp:extent cx="809625" cy="1050290"/>
                  <wp:effectExtent l="0" t="0" r="3175" b="3810"/>
                  <wp:wrapNone/>
                  <wp:docPr id="43" name="图片_20"/>
                  <wp:cNvGraphicFramePr/>
                  <a:graphic xmlns:a="http://schemas.openxmlformats.org/drawingml/2006/main">
                    <a:graphicData uri="http://schemas.openxmlformats.org/drawingml/2006/picture">
                      <pic:pic xmlns:pic="http://schemas.openxmlformats.org/drawingml/2006/picture">
                        <pic:nvPicPr>
                          <pic:cNvPr id="43" name="图片_20"/>
                          <pic:cNvPicPr/>
                        </pic:nvPicPr>
                        <pic:blipFill>
                          <a:blip r:embed="rId27"/>
                          <a:stretch>
                            <a:fillRect/>
                          </a:stretch>
                        </pic:blipFill>
                        <pic:spPr>
                          <a:xfrm>
                            <a:off x="0" y="0"/>
                            <a:ext cx="809625" cy="105029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萧杭路公铁立交泵站内</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425450</wp:posOffset>
                  </wp:positionH>
                  <wp:positionV relativeFrom="paragraph">
                    <wp:posOffset>120650</wp:posOffset>
                  </wp:positionV>
                  <wp:extent cx="810260" cy="979170"/>
                  <wp:effectExtent l="0" t="0" r="2540" b="11430"/>
                  <wp:wrapNone/>
                  <wp:docPr id="39" name="图片_19"/>
                  <wp:cNvGraphicFramePr/>
                  <a:graphic xmlns:a="http://schemas.openxmlformats.org/drawingml/2006/main">
                    <a:graphicData uri="http://schemas.openxmlformats.org/drawingml/2006/picture">
                      <pic:pic xmlns:pic="http://schemas.openxmlformats.org/drawingml/2006/picture">
                        <pic:nvPicPr>
                          <pic:cNvPr id="39" name="图片_19"/>
                          <pic:cNvPicPr/>
                        </pic:nvPicPr>
                        <pic:blipFill>
                          <a:blip r:embed="rId28"/>
                          <a:stretch>
                            <a:fillRect/>
                          </a:stretch>
                        </pic:blipFill>
                        <pic:spPr>
                          <a:xfrm>
                            <a:off x="0" y="0"/>
                            <a:ext cx="810260" cy="9791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市心南路晨晖路交叉口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427355</wp:posOffset>
                  </wp:positionH>
                  <wp:positionV relativeFrom="paragraph">
                    <wp:posOffset>138430</wp:posOffset>
                  </wp:positionV>
                  <wp:extent cx="809625" cy="950595"/>
                  <wp:effectExtent l="0" t="0" r="3175" b="1905"/>
                  <wp:wrapNone/>
                  <wp:docPr id="40" name="图片_21"/>
                  <wp:cNvGraphicFramePr/>
                  <a:graphic xmlns:a="http://schemas.openxmlformats.org/drawingml/2006/main">
                    <a:graphicData uri="http://schemas.openxmlformats.org/drawingml/2006/picture">
                      <pic:pic xmlns:pic="http://schemas.openxmlformats.org/drawingml/2006/picture">
                        <pic:nvPicPr>
                          <pic:cNvPr id="40" name="图片_21"/>
                          <pic:cNvPicPr/>
                        </pic:nvPicPr>
                        <pic:blipFill>
                          <a:blip r:embed="rId29"/>
                          <a:stretch>
                            <a:fillRect/>
                          </a:stretch>
                        </pic:blipFill>
                        <pic:spPr>
                          <a:xfrm>
                            <a:off x="0" y="0"/>
                            <a:ext cx="809625" cy="95059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市心南路朝阳公交站边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434340</wp:posOffset>
                  </wp:positionH>
                  <wp:positionV relativeFrom="paragraph">
                    <wp:posOffset>92075</wp:posOffset>
                  </wp:positionV>
                  <wp:extent cx="810260" cy="938530"/>
                  <wp:effectExtent l="0" t="0" r="2540" b="1270"/>
                  <wp:wrapNone/>
                  <wp:docPr id="41" name="图片_22"/>
                  <wp:cNvGraphicFramePr/>
                  <a:graphic xmlns:a="http://schemas.openxmlformats.org/drawingml/2006/main">
                    <a:graphicData uri="http://schemas.openxmlformats.org/drawingml/2006/picture">
                      <pic:pic xmlns:pic="http://schemas.openxmlformats.org/drawingml/2006/picture">
                        <pic:nvPicPr>
                          <pic:cNvPr id="41" name="图片_22"/>
                          <pic:cNvPicPr/>
                        </pic:nvPicPr>
                        <pic:blipFill>
                          <a:blip r:embed="rId30"/>
                          <a:stretch>
                            <a:fillRect/>
                          </a:stretch>
                        </pic:blipFill>
                        <pic:spPr>
                          <a:xfrm>
                            <a:off x="0" y="0"/>
                            <a:ext cx="810260" cy="9385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市心南路人民医院西侧</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444500</wp:posOffset>
                  </wp:positionH>
                  <wp:positionV relativeFrom="paragraph">
                    <wp:posOffset>95250</wp:posOffset>
                  </wp:positionV>
                  <wp:extent cx="810260" cy="1087755"/>
                  <wp:effectExtent l="0" t="0" r="2540" b="4445"/>
                  <wp:wrapNone/>
                  <wp:docPr id="36" name="图片_23"/>
                  <wp:cNvGraphicFramePr/>
                  <a:graphic xmlns:a="http://schemas.openxmlformats.org/drawingml/2006/main">
                    <a:graphicData uri="http://schemas.openxmlformats.org/drawingml/2006/picture">
                      <pic:pic xmlns:pic="http://schemas.openxmlformats.org/drawingml/2006/picture">
                        <pic:nvPicPr>
                          <pic:cNvPr id="36" name="图片_23"/>
                          <pic:cNvPicPr/>
                        </pic:nvPicPr>
                        <pic:blipFill>
                          <a:blip r:embed="rId31"/>
                          <a:stretch>
                            <a:fillRect/>
                          </a:stretch>
                        </pic:blipFill>
                        <pic:spPr>
                          <a:xfrm>
                            <a:off x="0" y="0"/>
                            <a:ext cx="810260" cy="108775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金惠路荣星南苑</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433070</wp:posOffset>
                  </wp:positionH>
                  <wp:positionV relativeFrom="paragraph">
                    <wp:posOffset>149225</wp:posOffset>
                  </wp:positionV>
                  <wp:extent cx="810260" cy="962660"/>
                  <wp:effectExtent l="0" t="0" r="2540" b="2540"/>
                  <wp:wrapNone/>
                  <wp:docPr id="42" name="图片_24"/>
                  <wp:cNvGraphicFramePr/>
                  <a:graphic xmlns:a="http://schemas.openxmlformats.org/drawingml/2006/main">
                    <a:graphicData uri="http://schemas.openxmlformats.org/drawingml/2006/picture">
                      <pic:pic xmlns:pic="http://schemas.openxmlformats.org/drawingml/2006/picture">
                        <pic:nvPicPr>
                          <pic:cNvPr id="42" name="图片_24"/>
                          <pic:cNvPicPr/>
                        </pic:nvPicPr>
                        <pic:blipFill>
                          <a:blip r:embed="rId32"/>
                          <a:stretch>
                            <a:fillRect/>
                          </a:stretch>
                        </pic:blipFill>
                        <pic:spPr>
                          <a:xfrm>
                            <a:off x="0" y="0"/>
                            <a:ext cx="810260" cy="9626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南秀路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454660</wp:posOffset>
                  </wp:positionH>
                  <wp:positionV relativeFrom="paragraph">
                    <wp:posOffset>118745</wp:posOffset>
                  </wp:positionV>
                  <wp:extent cx="810260" cy="952500"/>
                  <wp:effectExtent l="0" t="0" r="2540" b="0"/>
                  <wp:wrapNone/>
                  <wp:docPr id="44" name="图片_26"/>
                  <wp:cNvGraphicFramePr/>
                  <a:graphic xmlns:a="http://schemas.openxmlformats.org/drawingml/2006/main">
                    <a:graphicData uri="http://schemas.openxmlformats.org/drawingml/2006/picture">
                      <pic:pic xmlns:pic="http://schemas.openxmlformats.org/drawingml/2006/picture">
                        <pic:nvPicPr>
                          <pic:cNvPr id="44" name="图片_26"/>
                          <pic:cNvPicPr/>
                        </pic:nvPicPr>
                        <pic:blipFill>
                          <a:blip r:embed="rId33"/>
                          <a:stretch>
                            <a:fillRect/>
                          </a:stretch>
                        </pic:blipFill>
                        <pic:spPr>
                          <a:xfrm>
                            <a:off x="0" y="0"/>
                            <a:ext cx="810260" cy="9525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金惠路博奥路口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810260" cy="966470"/>
                  <wp:effectExtent l="0" t="0" r="2540" b="11430"/>
                  <wp:wrapNone/>
                  <wp:docPr id="46" name="图片_25"/>
                  <wp:cNvGraphicFramePr/>
                  <a:graphic xmlns:a="http://schemas.openxmlformats.org/drawingml/2006/main">
                    <a:graphicData uri="http://schemas.openxmlformats.org/drawingml/2006/picture">
                      <pic:pic xmlns:pic="http://schemas.openxmlformats.org/drawingml/2006/picture">
                        <pic:nvPicPr>
                          <pic:cNvPr id="46" name="图片_25"/>
                          <pic:cNvPicPr/>
                        </pic:nvPicPr>
                        <pic:blipFill>
                          <a:blip r:embed="rId34"/>
                          <a:stretch>
                            <a:fillRect/>
                          </a:stretch>
                        </pic:blipFill>
                        <pic:spPr>
                          <a:xfrm>
                            <a:off x="0" y="0"/>
                            <a:ext cx="810260"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章潘桥</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412115</wp:posOffset>
                  </wp:positionH>
                  <wp:positionV relativeFrom="paragraph">
                    <wp:posOffset>133985</wp:posOffset>
                  </wp:positionV>
                  <wp:extent cx="810260" cy="952500"/>
                  <wp:effectExtent l="0" t="0" r="2540" b="0"/>
                  <wp:wrapNone/>
                  <wp:docPr id="37" name="图片_27"/>
                  <wp:cNvGraphicFramePr/>
                  <a:graphic xmlns:a="http://schemas.openxmlformats.org/drawingml/2006/main">
                    <a:graphicData uri="http://schemas.openxmlformats.org/drawingml/2006/picture">
                      <pic:pic xmlns:pic="http://schemas.openxmlformats.org/drawingml/2006/picture">
                        <pic:nvPicPr>
                          <pic:cNvPr id="37" name="图片_27"/>
                          <pic:cNvPicPr/>
                        </pic:nvPicPr>
                        <pic:blipFill>
                          <a:blip r:embed="rId35"/>
                          <a:stretch>
                            <a:fillRect/>
                          </a:stretch>
                        </pic:blipFill>
                        <pic:spPr>
                          <a:xfrm>
                            <a:off x="0" y="0"/>
                            <a:ext cx="810260" cy="9525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小白线22号灯杆</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454660</wp:posOffset>
                  </wp:positionH>
                  <wp:positionV relativeFrom="paragraph">
                    <wp:posOffset>0</wp:posOffset>
                  </wp:positionV>
                  <wp:extent cx="810260" cy="980440"/>
                  <wp:effectExtent l="0" t="0" r="2540" b="10160"/>
                  <wp:wrapNone/>
                  <wp:docPr id="48" name="图片_28"/>
                  <wp:cNvGraphicFramePr/>
                  <a:graphic xmlns:a="http://schemas.openxmlformats.org/drawingml/2006/main">
                    <a:graphicData uri="http://schemas.openxmlformats.org/drawingml/2006/picture">
                      <pic:pic xmlns:pic="http://schemas.openxmlformats.org/drawingml/2006/picture">
                        <pic:nvPicPr>
                          <pic:cNvPr id="48" name="图片_28"/>
                          <pic:cNvPicPr/>
                        </pic:nvPicPr>
                        <pic:blipFill>
                          <a:blip r:embed="rId36"/>
                          <a:stretch>
                            <a:fillRect/>
                          </a:stretch>
                        </pic:blipFill>
                        <pic:spPr>
                          <a:xfrm>
                            <a:off x="0" y="0"/>
                            <a:ext cx="810260" cy="98044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风情大道黄家桥</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454660</wp:posOffset>
                  </wp:positionH>
                  <wp:positionV relativeFrom="paragraph">
                    <wp:posOffset>0</wp:posOffset>
                  </wp:positionV>
                  <wp:extent cx="810260" cy="980440"/>
                  <wp:effectExtent l="0" t="0" r="2540" b="10160"/>
                  <wp:wrapNone/>
                  <wp:docPr id="38" name="图片_31"/>
                  <wp:cNvGraphicFramePr/>
                  <a:graphic xmlns:a="http://schemas.openxmlformats.org/drawingml/2006/main">
                    <a:graphicData uri="http://schemas.openxmlformats.org/drawingml/2006/picture">
                      <pic:pic xmlns:pic="http://schemas.openxmlformats.org/drawingml/2006/picture">
                        <pic:nvPicPr>
                          <pic:cNvPr id="38" name="图片_31"/>
                          <pic:cNvPicPr/>
                        </pic:nvPicPr>
                        <pic:blipFill>
                          <a:blip r:embed="rId37"/>
                          <a:stretch>
                            <a:fillRect/>
                          </a:stretch>
                        </pic:blipFill>
                        <pic:spPr>
                          <a:xfrm>
                            <a:off x="0" y="0"/>
                            <a:ext cx="810260" cy="98044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风情大道南六路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525780</wp:posOffset>
                  </wp:positionH>
                  <wp:positionV relativeFrom="paragraph">
                    <wp:posOffset>114300</wp:posOffset>
                  </wp:positionV>
                  <wp:extent cx="810260" cy="962660"/>
                  <wp:effectExtent l="0" t="0" r="2540" b="2540"/>
                  <wp:wrapNone/>
                  <wp:docPr id="45" name="图片_30"/>
                  <wp:cNvGraphicFramePr/>
                  <a:graphic xmlns:a="http://schemas.openxmlformats.org/drawingml/2006/main">
                    <a:graphicData uri="http://schemas.openxmlformats.org/drawingml/2006/picture">
                      <pic:pic xmlns:pic="http://schemas.openxmlformats.org/drawingml/2006/picture">
                        <pic:nvPicPr>
                          <pic:cNvPr id="45" name="图片_30"/>
                          <pic:cNvPicPr/>
                        </pic:nvPicPr>
                        <pic:blipFill>
                          <a:blip r:embed="rId38"/>
                          <a:stretch>
                            <a:fillRect/>
                          </a:stretch>
                        </pic:blipFill>
                        <pic:spPr>
                          <a:xfrm>
                            <a:off x="0" y="0"/>
                            <a:ext cx="810260" cy="9626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风情大道小白线交叉口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454660</wp:posOffset>
                  </wp:positionH>
                  <wp:positionV relativeFrom="paragraph">
                    <wp:posOffset>27940</wp:posOffset>
                  </wp:positionV>
                  <wp:extent cx="810260" cy="1005205"/>
                  <wp:effectExtent l="0" t="0" r="2540" b="10795"/>
                  <wp:wrapNone/>
                  <wp:docPr id="47" name="图片_32"/>
                  <wp:cNvGraphicFramePr/>
                  <a:graphic xmlns:a="http://schemas.openxmlformats.org/drawingml/2006/main">
                    <a:graphicData uri="http://schemas.openxmlformats.org/drawingml/2006/picture">
                      <pic:pic xmlns:pic="http://schemas.openxmlformats.org/drawingml/2006/picture">
                        <pic:nvPicPr>
                          <pic:cNvPr id="47" name="图片_32"/>
                          <pic:cNvPicPr/>
                        </pic:nvPicPr>
                        <pic:blipFill>
                          <a:blip r:embed="rId39"/>
                          <a:stretch>
                            <a:fillRect/>
                          </a:stretch>
                        </pic:blipFill>
                        <pic:spPr>
                          <a:xfrm>
                            <a:off x="0" y="0"/>
                            <a:ext cx="810260" cy="100520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风情大道与向旭路交叉口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492760</wp:posOffset>
                  </wp:positionH>
                  <wp:positionV relativeFrom="paragraph">
                    <wp:posOffset>47625</wp:posOffset>
                  </wp:positionV>
                  <wp:extent cx="810260" cy="1014730"/>
                  <wp:effectExtent l="0" t="0" r="2540" b="1270"/>
                  <wp:wrapNone/>
                  <wp:docPr id="49" name="图片_33"/>
                  <wp:cNvGraphicFramePr/>
                  <a:graphic xmlns:a="http://schemas.openxmlformats.org/drawingml/2006/main">
                    <a:graphicData uri="http://schemas.openxmlformats.org/drawingml/2006/picture">
                      <pic:pic xmlns:pic="http://schemas.openxmlformats.org/drawingml/2006/picture">
                        <pic:nvPicPr>
                          <pic:cNvPr id="49" name="图片_33"/>
                          <pic:cNvPicPr/>
                        </pic:nvPicPr>
                        <pic:blipFill>
                          <a:blip r:embed="rId40"/>
                          <a:stretch>
                            <a:fillRect/>
                          </a:stretch>
                        </pic:blipFill>
                        <pic:spPr>
                          <a:xfrm>
                            <a:off x="0" y="0"/>
                            <a:ext cx="810260" cy="10147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风情大道湘湖隧道口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454660</wp:posOffset>
                  </wp:positionH>
                  <wp:positionV relativeFrom="paragraph">
                    <wp:posOffset>42545</wp:posOffset>
                  </wp:positionV>
                  <wp:extent cx="810260" cy="948055"/>
                  <wp:effectExtent l="0" t="0" r="2540" b="4445"/>
                  <wp:wrapNone/>
                  <wp:docPr id="2" name="图片_34"/>
                  <wp:cNvGraphicFramePr/>
                  <a:graphic xmlns:a="http://schemas.openxmlformats.org/drawingml/2006/main">
                    <a:graphicData uri="http://schemas.openxmlformats.org/drawingml/2006/picture">
                      <pic:pic xmlns:pic="http://schemas.openxmlformats.org/drawingml/2006/picture">
                        <pic:nvPicPr>
                          <pic:cNvPr id="2" name="图片_34"/>
                          <pic:cNvPicPr/>
                        </pic:nvPicPr>
                        <pic:blipFill>
                          <a:blip r:embed="rId41"/>
                          <a:stretch>
                            <a:fillRect/>
                          </a:stretch>
                        </pic:blipFill>
                        <pic:spPr>
                          <a:xfrm>
                            <a:off x="0" y="0"/>
                            <a:ext cx="810260" cy="94805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风情大道妇保边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468630</wp:posOffset>
                  </wp:positionH>
                  <wp:positionV relativeFrom="paragraph">
                    <wp:posOffset>27940</wp:posOffset>
                  </wp:positionV>
                  <wp:extent cx="810260" cy="976630"/>
                  <wp:effectExtent l="0" t="0" r="2540" b="1270"/>
                  <wp:wrapNone/>
                  <wp:docPr id="9" name="图片_35"/>
                  <wp:cNvGraphicFramePr/>
                  <a:graphic xmlns:a="http://schemas.openxmlformats.org/drawingml/2006/main">
                    <a:graphicData uri="http://schemas.openxmlformats.org/drawingml/2006/picture">
                      <pic:pic xmlns:pic="http://schemas.openxmlformats.org/drawingml/2006/picture">
                        <pic:nvPicPr>
                          <pic:cNvPr id="9" name="图片_35"/>
                          <pic:cNvPicPr/>
                        </pic:nvPicPr>
                        <pic:blipFill>
                          <a:blip r:embed="rId42"/>
                          <a:stretch>
                            <a:fillRect/>
                          </a:stretch>
                        </pic:blipFill>
                        <pic:spPr>
                          <a:xfrm>
                            <a:off x="0" y="0"/>
                            <a:ext cx="810260" cy="9766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风情大道与崇化支路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454660</wp:posOffset>
                  </wp:positionH>
                  <wp:positionV relativeFrom="paragraph">
                    <wp:posOffset>13970</wp:posOffset>
                  </wp:positionV>
                  <wp:extent cx="810260" cy="1004570"/>
                  <wp:effectExtent l="0" t="0" r="2540" b="11430"/>
                  <wp:wrapNone/>
                  <wp:docPr id="5" name="图片_36"/>
                  <wp:cNvGraphicFramePr/>
                  <a:graphic xmlns:a="http://schemas.openxmlformats.org/drawingml/2006/main">
                    <a:graphicData uri="http://schemas.openxmlformats.org/drawingml/2006/picture">
                      <pic:pic xmlns:pic="http://schemas.openxmlformats.org/drawingml/2006/picture">
                        <pic:nvPicPr>
                          <pic:cNvPr id="5" name="图片_36"/>
                          <pic:cNvPicPr/>
                        </pic:nvPicPr>
                        <pic:blipFill>
                          <a:blip r:embed="rId43"/>
                          <a:stretch>
                            <a:fillRect/>
                          </a:stretch>
                        </pic:blipFill>
                        <pic:spPr>
                          <a:xfrm>
                            <a:off x="0" y="0"/>
                            <a:ext cx="810260" cy="10045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亚太路湘湖农庄边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440690</wp:posOffset>
                  </wp:positionH>
                  <wp:positionV relativeFrom="paragraph">
                    <wp:posOffset>0</wp:posOffset>
                  </wp:positionV>
                  <wp:extent cx="809625" cy="990600"/>
                  <wp:effectExtent l="0" t="0" r="3175" b="0"/>
                  <wp:wrapNone/>
                  <wp:docPr id="6" name="图片_37"/>
                  <wp:cNvGraphicFramePr/>
                  <a:graphic xmlns:a="http://schemas.openxmlformats.org/drawingml/2006/main">
                    <a:graphicData uri="http://schemas.openxmlformats.org/drawingml/2006/picture">
                      <pic:pic xmlns:pic="http://schemas.openxmlformats.org/drawingml/2006/picture">
                        <pic:nvPicPr>
                          <pic:cNvPr id="6" name="图片_37"/>
                          <pic:cNvPicPr/>
                        </pic:nvPicPr>
                        <pic:blipFill>
                          <a:blip r:embed="rId44"/>
                          <a:stretch>
                            <a:fillRect/>
                          </a:stretch>
                        </pic:blipFill>
                        <pic:spPr>
                          <a:xfrm>
                            <a:off x="0" y="0"/>
                            <a:ext cx="809625" cy="9906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亚太路湖东村路口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412115</wp:posOffset>
                  </wp:positionH>
                  <wp:positionV relativeFrom="paragraph">
                    <wp:posOffset>13970</wp:posOffset>
                  </wp:positionV>
                  <wp:extent cx="809625" cy="966470"/>
                  <wp:effectExtent l="0" t="0" r="3175" b="11430"/>
                  <wp:wrapNone/>
                  <wp:docPr id="7" name="图片_38"/>
                  <wp:cNvGraphicFramePr/>
                  <a:graphic xmlns:a="http://schemas.openxmlformats.org/drawingml/2006/main">
                    <a:graphicData uri="http://schemas.openxmlformats.org/drawingml/2006/picture">
                      <pic:pic xmlns:pic="http://schemas.openxmlformats.org/drawingml/2006/picture">
                        <pic:nvPicPr>
                          <pic:cNvPr id="7" name="图片_38"/>
                          <pic:cNvPicPr/>
                        </pic:nvPicPr>
                        <pic:blipFill>
                          <a:blip r:embed="rId45"/>
                          <a:stretch>
                            <a:fillRect/>
                          </a:stretch>
                        </pic:blipFill>
                        <pic:spPr>
                          <a:xfrm>
                            <a:off x="0" y="0"/>
                            <a:ext cx="809625"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亚太路119号灯杆边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383540</wp:posOffset>
                  </wp:positionH>
                  <wp:positionV relativeFrom="paragraph">
                    <wp:posOffset>0</wp:posOffset>
                  </wp:positionV>
                  <wp:extent cx="810260" cy="966470"/>
                  <wp:effectExtent l="0" t="0" r="2540" b="11430"/>
                  <wp:wrapNone/>
                  <wp:docPr id="8" name="图片_39"/>
                  <wp:cNvGraphicFramePr/>
                  <a:graphic xmlns:a="http://schemas.openxmlformats.org/drawingml/2006/main">
                    <a:graphicData uri="http://schemas.openxmlformats.org/drawingml/2006/picture">
                      <pic:pic xmlns:pic="http://schemas.openxmlformats.org/drawingml/2006/picture">
                        <pic:nvPicPr>
                          <pic:cNvPr id="8" name="图片_39"/>
                          <pic:cNvPicPr/>
                        </pic:nvPicPr>
                        <pic:blipFill>
                          <a:blip r:embed="rId46"/>
                          <a:stretch>
                            <a:fillRect/>
                          </a:stretch>
                        </pic:blipFill>
                        <pic:spPr>
                          <a:xfrm>
                            <a:off x="0" y="0"/>
                            <a:ext cx="810260"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亚太路黄家庄</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383540</wp:posOffset>
                  </wp:positionH>
                  <wp:positionV relativeFrom="paragraph">
                    <wp:posOffset>0</wp:posOffset>
                  </wp:positionV>
                  <wp:extent cx="810260" cy="1018540"/>
                  <wp:effectExtent l="0" t="0" r="2540" b="10160"/>
                  <wp:wrapNone/>
                  <wp:docPr id="1" name="图片_40"/>
                  <wp:cNvGraphicFramePr/>
                  <a:graphic xmlns:a="http://schemas.openxmlformats.org/drawingml/2006/main">
                    <a:graphicData uri="http://schemas.openxmlformats.org/drawingml/2006/picture">
                      <pic:pic xmlns:pic="http://schemas.openxmlformats.org/drawingml/2006/picture">
                        <pic:nvPicPr>
                          <pic:cNvPr id="1" name="图片_40"/>
                          <pic:cNvPicPr/>
                        </pic:nvPicPr>
                        <pic:blipFill>
                          <a:blip r:embed="rId47"/>
                          <a:stretch>
                            <a:fillRect/>
                          </a:stretch>
                        </pic:blipFill>
                        <pic:spPr>
                          <a:xfrm>
                            <a:off x="0" y="0"/>
                            <a:ext cx="810260" cy="101854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向旭路与蜀山路东南角</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383540</wp:posOffset>
                  </wp:positionH>
                  <wp:positionV relativeFrom="paragraph">
                    <wp:posOffset>42545</wp:posOffset>
                  </wp:positionV>
                  <wp:extent cx="810260" cy="948055"/>
                  <wp:effectExtent l="0" t="0" r="2540" b="4445"/>
                  <wp:wrapNone/>
                  <wp:docPr id="30" name="图片_41"/>
                  <wp:cNvGraphicFramePr/>
                  <a:graphic xmlns:a="http://schemas.openxmlformats.org/drawingml/2006/main">
                    <a:graphicData uri="http://schemas.openxmlformats.org/drawingml/2006/picture">
                      <pic:pic xmlns:pic="http://schemas.openxmlformats.org/drawingml/2006/picture">
                        <pic:nvPicPr>
                          <pic:cNvPr id="30" name="图片_41"/>
                          <pic:cNvPicPr/>
                        </pic:nvPicPr>
                        <pic:blipFill>
                          <a:blip r:embed="rId48"/>
                          <a:stretch>
                            <a:fillRect/>
                          </a:stretch>
                        </pic:blipFill>
                        <pic:spPr>
                          <a:xfrm>
                            <a:off x="0" y="0"/>
                            <a:ext cx="810260" cy="94805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晨晖路与蜀山路东边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451485</wp:posOffset>
                  </wp:positionH>
                  <wp:positionV relativeFrom="paragraph">
                    <wp:posOffset>125095</wp:posOffset>
                  </wp:positionV>
                  <wp:extent cx="607695" cy="1005205"/>
                  <wp:effectExtent l="0" t="0" r="1905" b="10795"/>
                  <wp:wrapNone/>
                  <wp:docPr id="31" name="图片_42"/>
                  <wp:cNvGraphicFramePr/>
                  <a:graphic xmlns:a="http://schemas.openxmlformats.org/drawingml/2006/main">
                    <a:graphicData uri="http://schemas.openxmlformats.org/drawingml/2006/picture">
                      <pic:pic xmlns:pic="http://schemas.openxmlformats.org/drawingml/2006/picture">
                        <pic:nvPicPr>
                          <pic:cNvPr id="31" name="图片_42"/>
                          <pic:cNvPicPr/>
                        </pic:nvPicPr>
                        <pic:blipFill>
                          <a:blip r:embed="rId49"/>
                          <a:stretch>
                            <a:fillRect/>
                          </a:stretch>
                        </pic:blipFill>
                        <pic:spPr>
                          <a:xfrm>
                            <a:off x="0" y="0"/>
                            <a:ext cx="607695" cy="100520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晨晖路与蜀山路西边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464185</wp:posOffset>
                  </wp:positionH>
                  <wp:positionV relativeFrom="paragraph">
                    <wp:posOffset>133350</wp:posOffset>
                  </wp:positionV>
                  <wp:extent cx="810260" cy="978535"/>
                  <wp:effectExtent l="0" t="0" r="2540" b="12065"/>
                  <wp:wrapNone/>
                  <wp:docPr id="32" name="图片_43"/>
                  <wp:cNvGraphicFramePr/>
                  <a:graphic xmlns:a="http://schemas.openxmlformats.org/drawingml/2006/main">
                    <a:graphicData uri="http://schemas.openxmlformats.org/drawingml/2006/picture">
                      <pic:pic xmlns:pic="http://schemas.openxmlformats.org/drawingml/2006/picture">
                        <pic:nvPicPr>
                          <pic:cNvPr id="32" name="图片_43"/>
                          <pic:cNvPicPr/>
                        </pic:nvPicPr>
                        <pic:blipFill>
                          <a:blip r:embed="rId50"/>
                          <a:stretch>
                            <a:fillRect/>
                          </a:stretch>
                        </pic:blipFill>
                        <pic:spPr>
                          <a:xfrm>
                            <a:off x="0" y="0"/>
                            <a:ext cx="810260" cy="97853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萧西路口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66675</wp:posOffset>
                  </wp:positionV>
                  <wp:extent cx="810260" cy="979170"/>
                  <wp:effectExtent l="0" t="0" r="2540" b="11430"/>
                  <wp:wrapNone/>
                  <wp:docPr id="33" name="图片_44"/>
                  <wp:cNvGraphicFramePr/>
                  <a:graphic xmlns:a="http://schemas.openxmlformats.org/drawingml/2006/main">
                    <a:graphicData uri="http://schemas.openxmlformats.org/drawingml/2006/picture">
                      <pic:pic xmlns:pic="http://schemas.openxmlformats.org/drawingml/2006/picture">
                        <pic:nvPicPr>
                          <pic:cNvPr id="33" name="图片_44"/>
                          <pic:cNvPicPr/>
                        </pic:nvPicPr>
                        <pic:blipFill>
                          <a:blip r:embed="rId51"/>
                          <a:stretch>
                            <a:fillRect/>
                          </a:stretch>
                        </pic:blipFill>
                        <pic:spPr>
                          <a:xfrm>
                            <a:off x="0" y="0"/>
                            <a:ext cx="810260" cy="9791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战备桥下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476250</wp:posOffset>
                  </wp:positionH>
                  <wp:positionV relativeFrom="paragraph">
                    <wp:posOffset>104775</wp:posOffset>
                  </wp:positionV>
                  <wp:extent cx="809625" cy="966470"/>
                  <wp:effectExtent l="0" t="0" r="3175" b="11430"/>
                  <wp:wrapNone/>
                  <wp:docPr id="29" name="图片_48"/>
                  <wp:cNvGraphicFramePr/>
                  <a:graphic xmlns:a="http://schemas.openxmlformats.org/drawingml/2006/main">
                    <a:graphicData uri="http://schemas.openxmlformats.org/drawingml/2006/picture">
                      <pic:pic xmlns:pic="http://schemas.openxmlformats.org/drawingml/2006/picture">
                        <pic:nvPicPr>
                          <pic:cNvPr id="29" name="图片_48"/>
                          <pic:cNvPicPr/>
                        </pic:nvPicPr>
                        <pic:blipFill>
                          <a:blip r:embed="rId52"/>
                          <a:stretch>
                            <a:fillRect/>
                          </a:stretch>
                        </pic:blipFill>
                        <pic:spPr>
                          <a:xfrm>
                            <a:off x="0" y="0"/>
                            <a:ext cx="809625"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03省道</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438150</wp:posOffset>
                  </wp:positionH>
                  <wp:positionV relativeFrom="paragraph">
                    <wp:posOffset>85725</wp:posOffset>
                  </wp:positionV>
                  <wp:extent cx="809625" cy="1080770"/>
                  <wp:effectExtent l="0" t="0" r="3175" b="11430"/>
                  <wp:wrapNone/>
                  <wp:docPr id="28" name="图片_45"/>
                  <wp:cNvGraphicFramePr/>
                  <a:graphic xmlns:a="http://schemas.openxmlformats.org/drawingml/2006/main">
                    <a:graphicData uri="http://schemas.openxmlformats.org/drawingml/2006/picture">
                      <pic:pic xmlns:pic="http://schemas.openxmlformats.org/drawingml/2006/picture">
                        <pic:nvPicPr>
                          <pic:cNvPr id="28" name="图片_45"/>
                          <pic:cNvPicPr/>
                        </pic:nvPicPr>
                        <pic:blipFill>
                          <a:blip r:embed="rId53"/>
                          <a:stretch>
                            <a:fillRect/>
                          </a:stretch>
                        </pic:blipFill>
                        <pic:spPr>
                          <a:xfrm>
                            <a:off x="0" y="0"/>
                            <a:ext cx="809625" cy="10807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小白线玉山初中</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430530</wp:posOffset>
                  </wp:positionH>
                  <wp:positionV relativeFrom="paragraph">
                    <wp:posOffset>144780</wp:posOffset>
                  </wp:positionV>
                  <wp:extent cx="809625" cy="939800"/>
                  <wp:effectExtent l="0" t="0" r="3175" b="0"/>
                  <wp:wrapNone/>
                  <wp:docPr id="34" name="图片_46"/>
                  <wp:cNvGraphicFramePr/>
                  <a:graphic xmlns:a="http://schemas.openxmlformats.org/drawingml/2006/main">
                    <a:graphicData uri="http://schemas.openxmlformats.org/drawingml/2006/picture">
                      <pic:pic xmlns:pic="http://schemas.openxmlformats.org/drawingml/2006/picture">
                        <pic:nvPicPr>
                          <pic:cNvPr id="34" name="图片_46"/>
                          <pic:cNvPicPr/>
                        </pic:nvPicPr>
                        <pic:blipFill>
                          <a:blip r:embed="rId54"/>
                          <a:stretch>
                            <a:fillRect/>
                          </a:stretch>
                        </pic:blipFill>
                        <pic:spPr>
                          <a:xfrm>
                            <a:off x="0" y="0"/>
                            <a:ext cx="809625" cy="9398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蜀山路</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445770</wp:posOffset>
                  </wp:positionH>
                  <wp:positionV relativeFrom="paragraph">
                    <wp:posOffset>132715</wp:posOffset>
                  </wp:positionV>
                  <wp:extent cx="809625" cy="966470"/>
                  <wp:effectExtent l="0" t="0" r="3175" b="11430"/>
                  <wp:wrapNone/>
                  <wp:docPr id="35" name="图片_47"/>
                  <wp:cNvGraphicFramePr/>
                  <a:graphic xmlns:a="http://schemas.openxmlformats.org/drawingml/2006/main">
                    <a:graphicData uri="http://schemas.openxmlformats.org/drawingml/2006/picture">
                      <pic:pic xmlns:pic="http://schemas.openxmlformats.org/drawingml/2006/picture">
                        <pic:nvPicPr>
                          <pic:cNvPr id="35" name="图片_47"/>
                          <pic:cNvPicPr/>
                        </pic:nvPicPr>
                        <pic:blipFill>
                          <a:blip r:embed="rId55"/>
                          <a:stretch>
                            <a:fillRect/>
                          </a:stretch>
                        </pic:blipFill>
                        <pic:spPr>
                          <a:xfrm>
                            <a:off x="0" y="0"/>
                            <a:ext cx="809625" cy="9664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小白线</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414655</wp:posOffset>
                  </wp:positionH>
                  <wp:positionV relativeFrom="paragraph">
                    <wp:posOffset>48260</wp:posOffset>
                  </wp:positionV>
                  <wp:extent cx="809625" cy="1078865"/>
                  <wp:effectExtent l="0" t="0" r="3175" b="635"/>
                  <wp:wrapNone/>
                  <wp:docPr id="59" name="图片_49"/>
                  <wp:cNvGraphicFramePr/>
                  <a:graphic xmlns:a="http://schemas.openxmlformats.org/drawingml/2006/main">
                    <a:graphicData uri="http://schemas.openxmlformats.org/drawingml/2006/picture">
                      <pic:pic xmlns:pic="http://schemas.openxmlformats.org/drawingml/2006/picture">
                        <pic:nvPicPr>
                          <pic:cNvPr id="59" name="图片_49"/>
                          <pic:cNvPicPr/>
                        </pic:nvPicPr>
                        <pic:blipFill>
                          <a:blip r:embed="rId56"/>
                          <a:stretch>
                            <a:fillRect/>
                          </a:stretch>
                        </pic:blipFill>
                        <pic:spPr>
                          <a:xfrm>
                            <a:off x="0" y="0"/>
                            <a:ext cx="809625" cy="107886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6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体育路桥下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596900</wp:posOffset>
                  </wp:positionH>
                  <wp:positionV relativeFrom="paragraph">
                    <wp:posOffset>25400</wp:posOffset>
                  </wp:positionV>
                  <wp:extent cx="809625" cy="1079500"/>
                  <wp:effectExtent l="0" t="0" r="3175" b="0"/>
                  <wp:wrapNone/>
                  <wp:docPr id="58" name="图片_50"/>
                  <wp:cNvGraphicFramePr/>
                  <a:graphic xmlns:a="http://schemas.openxmlformats.org/drawingml/2006/main">
                    <a:graphicData uri="http://schemas.openxmlformats.org/drawingml/2006/picture">
                      <pic:pic xmlns:pic="http://schemas.openxmlformats.org/drawingml/2006/picture">
                        <pic:nvPicPr>
                          <pic:cNvPr id="58" name="图片_50"/>
                          <pic:cNvPicPr/>
                        </pic:nvPicPr>
                        <pic:blipFill>
                          <a:blip r:embed="rId57"/>
                          <a:stretch>
                            <a:fillRect/>
                          </a:stretch>
                        </pic:blipFill>
                        <pic:spPr>
                          <a:xfrm>
                            <a:off x="0" y="0"/>
                            <a:ext cx="809625" cy="10795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拱秀路火车桥下</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81280</wp:posOffset>
                  </wp:positionH>
                  <wp:positionV relativeFrom="paragraph">
                    <wp:posOffset>61595</wp:posOffset>
                  </wp:positionV>
                  <wp:extent cx="1450340" cy="960755"/>
                  <wp:effectExtent l="0" t="0" r="10160" b="4445"/>
                  <wp:wrapNone/>
                  <wp:docPr id="68" name="图片_51"/>
                  <wp:cNvGraphicFramePr/>
                  <a:graphic xmlns:a="http://schemas.openxmlformats.org/drawingml/2006/main">
                    <a:graphicData uri="http://schemas.openxmlformats.org/drawingml/2006/picture">
                      <pic:pic xmlns:pic="http://schemas.openxmlformats.org/drawingml/2006/picture">
                        <pic:nvPicPr>
                          <pic:cNvPr id="68" name="图片_51"/>
                          <pic:cNvPicPr/>
                        </pic:nvPicPr>
                        <pic:blipFill>
                          <a:blip r:embed="rId58"/>
                          <a:stretch>
                            <a:fillRect/>
                          </a:stretch>
                        </pic:blipFill>
                        <pic:spPr>
                          <a:xfrm>
                            <a:off x="0" y="0"/>
                            <a:ext cx="1450340" cy="96075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商城南路与拱秀路交叉口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73660</wp:posOffset>
                  </wp:positionH>
                  <wp:positionV relativeFrom="paragraph">
                    <wp:posOffset>75565</wp:posOffset>
                  </wp:positionV>
                  <wp:extent cx="1478915" cy="958850"/>
                  <wp:effectExtent l="0" t="0" r="6985" b="6350"/>
                  <wp:wrapNone/>
                  <wp:docPr id="57" name="图片_52"/>
                  <wp:cNvGraphicFramePr/>
                  <a:graphic xmlns:a="http://schemas.openxmlformats.org/drawingml/2006/main">
                    <a:graphicData uri="http://schemas.openxmlformats.org/drawingml/2006/picture">
                      <pic:pic xmlns:pic="http://schemas.openxmlformats.org/drawingml/2006/picture">
                        <pic:nvPicPr>
                          <pic:cNvPr id="57" name="图片_52"/>
                          <pic:cNvPicPr/>
                        </pic:nvPicPr>
                        <pic:blipFill>
                          <a:blip r:embed="rId59"/>
                          <a:stretch>
                            <a:fillRect/>
                          </a:stretch>
                        </pic:blipFill>
                        <pic:spPr>
                          <a:xfrm>
                            <a:off x="0" y="0"/>
                            <a:ext cx="1478915" cy="95885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通惠南路、萧山中学东大门泵站内</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57150</wp:posOffset>
                  </wp:positionV>
                  <wp:extent cx="1450340" cy="962660"/>
                  <wp:effectExtent l="0" t="0" r="10160" b="2540"/>
                  <wp:wrapNone/>
                  <wp:docPr id="54" name="图片_53"/>
                  <wp:cNvGraphicFramePr/>
                  <a:graphic xmlns:a="http://schemas.openxmlformats.org/drawingml/2006/main">
                    <a:graphicData uri="http://schemas.openxmlformats.org/drawingml/2006/picture">
                      <pic:pic xmlns:pic="http://schemas.openxmlformats.org/drawingml/2006/picture">
                        <pic:nvPicPr>
                          <pic:cNvPr id="54" name="图片_53"/>
                          <pic:cNvPicPr/>
                        </pic:nvPicPr>
                        <pic:blipFill>
                          <a:blip r:embed="rId60"/>
                          <a:stretch>
                            <a:fillRect/>
                          </a:stretch>
                        </pic:blipFill>
                        <pic:spPr>
                          <a:xfrm>
                            <a:off x="0" y="0"/>
                            <a:ext cx="1450340" cy="9626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通惠中路、山南桥边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53340</wp:posOffset>
                  </wp:positionH>
                  <wp:positionV relativeFrom="paragraph">
                    <wp:posOffset>92710</wp:posOffset>
                  </wp:positionV>
                  <wp:extent cx="1450340" cy="914400"/>
                  <wp:effectExtent l="0" t="0" r="10160" b="0"/>
                  <wp:wrapNone/>
                  <wp:docPr id="67" name="图片_54"/>
                  <wp:cNvGraphicFramePr/>
                  <a:graphic xmlns:a="http://schemas.openxmlformats.org/drawingml/2006/main">
                    <a:graphicData uri="http://schemas.openxmlformats.org/drawingml/2006/picture">
                      <pic:pic xmlns:pic="http://schemas.openxmlformats.org/drawingml/2006/picture">
                        <pic:nvPicPr>
                          <pic:cNvPr id="67" name="图片_54"/>
                          <pic:cNvPicPr/>
                        </pic:nvPicPr>
                        <pic:blipFill>
                          <a:blip r:embed="rId61"/>
                          <a:stretch>
                            <a:fillRect/>
                          </a:stretch>
                        </pic:blipFill>
                        <pic:spPr>
                          <a:xfrm>
                            <a:off x="0" y="0"/>
                            <a:ext cx="1450340" cy="9144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商城中路与站前路交叉口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19050</wp:posOffset>
                  </wp:positionV>
                  <wp:extent cx="1419860" cy="983615"/>
                  <wp:effectExtent l="0" t="0" r="2540" b="6985"/>
                  <wp:wrapNone/>
                  <wp:docPr id="55" name="图片_55"/>
                  <wp:cNvGraphicFramePr/>
                  <a:graphic xmlns:a="http://schemas.openxmlformats.org/drawingml/2006/main">
                    <a:graphicData uri="http://schemas.openxmlformats.org/drawingml/2006/picture">
                      <pic:pic xmlns:pic="http://schemas.openxmlformats.org/drawingml/2006/picture">
                        <pic:nvPicPr>
                          <pic:cNvPr id="55" name="图片_55"/>
                          <pic:cNvPicPr/>
                        </pic:nvPicPr>
                        <pic:blipFill>
                          <a:blip r:embed="rId62"/>
                          <a:stretch>
                            <a:fillRect/>
                          </a:stretch>
                        </pic:blipFill>
                        <pic:spPr>
                          <a:xfrm>
                            <a:off x="0" y="0"/>
                            <a:ext cx="1419860" cy="98361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萧绍路井头王对面</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66675</wp:posOffset>
                  </wp:positionV>
                  <wp:extent cx="1488440" cy="1023620"/>
                  <wp:effectExtent l="0" t="0" r="10160" b="5080"/>
                  <wp:wrapNone/>
                  <wp:docPr id="64" name="图片_56"/>
                  <wp:cNvGraphicFramePr/>
                  <a:graphic xmlns:a="http://schemas.openxmlformats.org/drawingml/2006/main">
                    <a:graphicData uri="http://schemas.openxmlformats.org/drawingml/2006/picture">
                      <pic:pic xmlns:pic="http://schemas.openxmlformats.org/drawingml/2006/picture">
                        <pic:nvPicPr>
                          <pic:cNvPr id="64" name="图片_56"/>
                          <pic:cNvPicPr/>
                        </pic:nvPicPr>
                        <pic:blipFill>
                          <a:blip r:embed="rId63"/>
                          <a:stretch>
                            <a:fillRect/>
                          </a:stretch>
                        </pic:blipFill>
                        <pic:spPr>
                          <a:xfrm>
                            <a:off x="0" y="0"/>
                            <a:ext cx="1488440" cy="102362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商城南路与文化路交叉口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36700" cy="960755"/>
                  <wp:effectExtent l="0" t="0" r="0" b="4445"/>
                  <wp:wrapNone/>
                  <wp:docPr id="61" name="图片_57"/>
                  <wp:cNvGraphicFramePr/>
                  <a:graphic xmlns:a="http://schemas.openxmlformats.org/drawingml/2006/main">
                    <a:graphicData uri="http://schemas.openxmlformats.org/drawingml/2006/picture">
                      <pic:pic xmlns:pic="http://schemas.openxmlformats.org/drawingml/2006/picture">
                        <pic:nvPicPr>
                          <pic:cNvPr id="61" name="图片_57"/>
                          <pic:cNvPicPr/>
                        </pic:nvPicPr>
                        <pic:blipFill>
                          <a:blip r:embed="rId64"/>
                          <a:stretch>
                            <a:fillRect/>
                          </a:stretch>
                        </pic:blipFill>
                        <pic:spPr>
                          <a:xfrm>
                            <a:off x="0" y="0"/>
                            <a:ext cx="1536700" cy="96075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回澜路与人民路交叉口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28575</wp:posOffset>
                  </wp:positionV>
                  <wp:extent cx="1536065" cy="971550"/>
                  <wp:effectExtent l="0" t="0" r="635" b="6350"/>
                  <wp:wrapNone/>
                  <wp:docPr id="69" name="图片_58"/>
                  <wp:cNvGraphicFramePr/>
                  <a:graphic xmlns:a="http://schemas.openxmlformats.org/drawingml/2006/main">
                    <a:graphicData uri="http://schemas.openxmlformats.org/drawingml/2006/picture">
                      <pic:pic xmlns:pic="http://schemas.openxmlformats.org/drawingml/2006/picture">
                        <pic:nvPicPr>
                          <pic:cNvPr id="69" name="图片_58"/>
                          <pic:cNvPicPr/>
                        </pic:nvPicPr>
                        <pic:blipFill>
                          <a:blip r:embed="rId65"/>
                          <a:stretch>
                            <a:fillRect/>
                          </a:stretch>
                        </pic:blipFill>
                        <pic:spPr>
                          <a:xfrm>
                            <a:off x="0" y="0"/>
                            <a:ext cx="1536065" cy="97155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育才路与萧绍路交叉口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29210</wp:posOffset>
                  </wp:positionV>
                  <wp:extent cx="1536065" cy="952500"/>
                  <wp:effectExtent l="0" t="0" r="635" b="0"/>
                  <wp:wrapNone/>
                  <wp:docPr id="65" name="图片_59"/>
                  <wp:cNvGraphicFramePr/>
                  <a:graphic xmlns:a="http://schemas.openxmlformats.org/drawingml/2006/main">
                    <a:graphicData uri="http://schemas.openxmlformats.org/drawingml/2006/picture">
                      <pic:pic xmlns:pic="http://schemas.openxmlformats.org/drawingml/2006/picture">
                        <pic:nvPicPr>
                          <pic:cNvPr id="65" name="图片_59"/>
                          <pic:cNvPicPr/>
                        </pic:nvPicPr>
                        <pic:blipFill>
                          <a:blip r:embed="rId66"/>
                          <a:stretch>
                            <a:fillRect/>
                          </a:stretch>
                        </pic:blipFill>
                        <pic:spPr>
                          <a:xfrm>
                            <a:off x="0" y="0"/>
                            <a:ext cx="1536065" cy="9525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59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人民路劲松小学对面</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19050</wp:posOffset>
                  </wp:positionV>
                  <wp:extent cx="1565910" cy="1036320"/>
                  <wp:effectExtent l="0" t="0" r="8890" b="5080"/>
                  <wp:wrapNone/>
                  <wp:docPr id="53" name="图片_60"/>
                  <wp:cNvGraphicFramePr/>
                  <a:graphic xmlns:a="http://schemas.openxmlformats.org/drawingml/2006/main">
                    <a:graphicData uri="http://schemas.openxmlformats.org/drawingml/2006/picture">
                      <pic:pic xmlns:pic="http://schemas.openxmlformats.org/drawingml/2006/picture">
                        <pic:nvPicPr>
                          <pic:cNvPr id="53" name="图片_60"/>
                          <pic:cNvPicPr/>
                        </pic:nvPicPr>
                        <pic:blipFill>
                          <a:blip r:embed="rId67"/>
                          <a:stretch>
                            <a:fillRect/>
                          </a:stretch>
                        </pic:blipFill>
                        <pic:spPr>
                          <a:xfrm>
                            <a:off x="0" y="0"/>
                            <a:ext cx="1565910" cy="103632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金家桥路与江寺路交叉口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85725</wp:posOffset>
                  </wp:positionV>
                  <wp:extent cx="1536065" cy="981710"/>
                  <wp:effectExtent l="0" t="0" r="635" b="8890"/>
                  <wp:wrapNone/>
                  <wp:docPr id="60" name="图片_61"/>
                  <wp:cNvGraphicFramePr/>
                  <a:graphic xmlns:a="http://schemas.openxmlformats.org/drawingml/2006/main">
                    <a:graphicData uri="http://schemas.openxmlformats.org/drawingml/2006/picture">
                      <pic:pic xmlns:pic="http://schemas.openxmlformats.org/drawingml/2006/picture">
                        <pic:nvPicPr>
                          <pic:cNvPr id="60" name="图片_61"/>
                          <pic:cNvPicPr/>
                        </pic:nvPicPr>
                        <pic:blipFill>
                          <a:blip r:embed="rId68"/>
                          <a:stretch>
                            <a:fillRect/>
                          </a:stretch>
                        </pic:blipFill>
                        <pic:spPr>
                          <a:xfrm>
                            <a:off x="0" y="0"/>
                            <a:ext cx="1536065" cy="98171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永久路隧道南</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104775</wp:posOffset>
                  </wp:positionV>
                  <wp:extent cx="1536065" cy="848995"/>
                  <wp:effectExtent l="0" t="0" r="635" b="1905"/>
                  <wp:wrapNone/>
                  <wp:docPr id="62" name="图片_62"/>
                  <wp:cNvGraphicFramePr/>
                  <a:graphic xmlns:a="http://schemas.openxmlformats.org/drawingml/2006/main">
                    <a:graphicData uri="http://schemas.openxmlformats.org/drawingml/2006/picture">
                      <pic:pic xmlns:pic="http://schemas.openxmlformats.org/drawingml/2006/picture">
                        <pic:nvPicPr>
                          <pic:cNvPr id="62" name="图片_62"/>
                          <pic:cNvPicPr/>
                        </pic:nvPicPr>
                        <pic:blipFill>
                          <a:blip r:embed="rId69"/>
                          <a:stretch>
                            <a:fillRect/>
                          </a:stretch>
                        </pic:blipFill>
                        <pic:spPr>
                          <a:xfrm>
                            <a:off x="0" y="0"/>
                            <a:ext cx="1536065" cy="84899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育才路隧道南</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47625</wp:posOffset>
                  </wp:positionV>
                  <wp:extent cx="1517015" cy="925195"/>
                  <wp:effectExtent l="0" t="0" r="6985" b="1905"/>
                  <wp:wrapNone/>
                  <wp:docPr id="51" name="图片_63"/>
                  <wp:cNvGraphicFramePr/>
                  <a:graphic xmlns:a="http://schemas.openxmlformats.org/drawingml/2006/main">
                    <a:graphicData uri="http://schemas.openxmlformats.org/drawingml/2006/picture">
                      <pic:pic xmlns:pic="http://schemas.openxmlformats.org/drawingml/2006/picture">
                        <pic:nvPicPr>
                          <pic:cNvPr id="51" name="图片_63"/>
                          <pic:cNvPicPr/>
                        </pic:nvPicPr>
                        <pic:blipFill>
                          <a:blip r:embed="rId70"/>
                          <a:stretch>
                            <a:fillRect/>
                          </a:stretch>
                        </pic:blipFill>
                        <pic:spPr>
                          <a:xfrm>
                            <a:off x="0" y="0"/>
                            <a:ext cx="1517015" cy="92519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南秀路与新城路交叉口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26540" cy="953770"/>
                  <wp:effectExtent l="0" t="0" r="10160" b="11430"/>
                  <wp:wrapNone/>
                  <wp:docPr id="63" name="图片_64"/>
                  <wp:cNvGraphicFramePr/>
                  <a:graphic xmlns:a="http://schemas.openxmlformats.org/drawingml/2006/main">
                    <a:graphicData uri="http://schemas.openxmlformats.org/drawingml/2006/picture">
                      <pic:pic xmlns:pic="http://schemas.openxmlformats.org/drawingml/2006/picture">
                        <pic:nvPicPr>
                          <pic:cNvPr id="63" name="图片_64"/>
                          <pic:cNvPicPr/>
                        </pic:nvPicPr>
                        <pic:blipFill>
                          <a:blip r:embed="rId71"/>
                          <a:stretch>
                            <a:fillRect/>
                          </a:stretch>
                        </pic:blipFill>
                        <pic:spPr>
                          <a:xfrm>
                            <a:off x="0" y="0"/>
                            <a:ext cx="1526540" cy="9537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商城南路与拱秀路交叉口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19050</wp:posOffset>
                  </wp:positionV>
                  <wp:extent cx="1526540" cy="952500"/>
                  <wp:effectExtent l="0" t="0" r="10160" b="0"/>
                  <wp:wrapNone/>
                  <wp:docPr id="66" name="图片_65"/>
                  <wp:cNvGraphicFramePr/>
                  <a:graphic xmlns:a="http://schemas.openxmlformats.org/drawingml/2006/main">
                    <a:graphicData uri="http://schemas.openxmlformats.org/drawingml/2006/picture">
                      <pic:pic xmlns:pic="http://schemas.openxmlformats.org/drawingml/2006/picture">
                        <pic:nvPicPr>
                          <pic:cNvPr id="66" name="图片_65"/>
                          <pic:cNvPicPr/>
                        </pic:nvPicPr>
                        <pic:blipFill>
                          <a:blip r:embed="rId72"/>
                          <a:stretch>
                            <a:fillRect/>
                          </a:stretch>
                        </pic:blipFill>
                        <pic:spPr>
                          <a:xfrm>
                            <a:off x="0" y="0"/>
                            <a:ext cx="1526540" cy="95250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育才路与03省道交叉口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19050</wp:posOffset>
                  </wp:positionV>
                  <wp:extent cx="1536065" cy="972820"/>
                  <wp:effectExtent l="0" t="0" r="635" b="5080"/>
                  <wp:wrapNone/>
                  <wp:docPr id="50" name="图片_66"/>
                  <wp:cNvGraphicFramePr/>
                  <a:graphic xmlns:a="http://schemas.openxmlformats.org/drawingml/2006/main">
                    <a:graphicData uri="http://schemas.openxmlformats.org/drawingml/2006/picture">
                      <pic:pic xmlns:pic="http://schemas.openxmlformats.org/drawingml/2006/picture">
                        <pic:nvPicPr>
                          <pic:cNvPr id="50" name="图片_66"/>
                          <pic:cNvPicPr/>
                        </pic:nvPicPr>
                        <pic:blipFill>
                          <a:blip r:embed="rId73"/>
                          <a:stretch>
                            <a:fillRect/>
                          </a:stretch>
                        </pic:blipFill>
                        <pic:spPr>
                          <a:xfrm>
                            <a:off x="0" y="0"/>
                            <a:ext cx="1536065" cy="97282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育才路与晨辉路交叉口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19050</wp:posOffset>
                  </wp:positionV>
                  <wp:extent cx="1545590" cy="1019175"/>
                  <wp:effectExtent l="0" t="0" r="3810" b="9525"/>
                  <wp:wrapNone/>
                  <wp:docPr id="52" name="图片_67"/>
                  <wp:cNvGraphicFramePr/>
                  <a:graphic xmlns:a="http://schemas.openxmlformats.org/drawingml/2006/main">
                    <a:graphicData uri="http://schemas.openxmlformats.org/drawingml/2006/picture">
                      <pic:pic xmlns:pic="http://schemas.openxmlformats.org/drawingml/2006/picture">
                        <pic:nvPicPr>
                          <pic:cNvPr id="52" name="图片_67"/>
                          <pic:cNvPicPr/>
                        </pic:nvPicPr>
                        <pic:blipFill>
                          <a:blip r:embed="rId74"/>
                          <a:stretch>
                            <a:fillRect/>
                          </a:stretch>
                        </pic:blipFill>
                        <pic:spPr>
                          <a:xfrm>
                            <a:off x="0" y="0"/>
                            <a:ext cx="1545590" cy="101917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76200</wp:posOffset>
                  </wp:positionV>
                  <wp:extent cx="1555750" cy="911860"/>
                  <wp:effectExtent l="0" t="0" r="6350" b="2540"/>
                  <wp:wrapNone/>
                  <wp:docPr id="56" name="图片_69"/>
                  <wp:cNvGraphicFramePr/>
                  <a:graphic xmlns:a="http://schemas.openxmlformats.org/drawingml/2006/main">
                    <a:graphicData uri="http://schemas.openxmlformats.org/drawingml/2006/picture">
                      <pic:pic xmlns:pic="http://schemas.openxmlformats.org/drawingml/2006/picture">
                        <pic:nvPicPr>
                          <pic:cNvPr id="56" name="图片_69"/>
                          <pic:cNvPicPr/>
                        </pic:nvPicPr>
                        <pic:blipFill>
                          <a:blip r:embed="rId75"/>
                          <a:stretch>
                            <a:fillRect/>
                          </a:stretch>
                        </pic:blipFill>
                        <pic:spPr>
                          <a:xfrm>
                            <a:off x="0" y="0"/>
                            <a:ext cx="1555750" cy="9118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育才路与南秀路交叉口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76200</wp:posOffset>
                  </wp:positionV>
                  <wp:extent cx="1555750" cy="911860"/>
                  <wp:effectExtent l="0" t="0" r="6350" b="2540"/>
                  <wp:wrapNone/>
                  <wp:docPr id="106" name="图片_68"/>
                  <wp:cNvGraphicFramePr/>
                  <a:graphic xmlns:a="http://schemas.openxmlformats.org/drawingml/2006/main">
                    <a:graphicData uri="http://schemas.openxmlformats.org/drawingml/2006/picture">
                      <pic:pic xmlns:pic="http://schemas.openxmlformats.org/drawingml/2006/picture">
                        <pic:nvPicPr>
                          <pic:cNvPr id="106" name="图片_68"/>
                          <pic:cNvPicPr/>
                        </pic:nvPicPr>
                        <pic:blipFill>
                          <a:blip r:embed="rId75"/>
                          <a:stretch>
                            <a:fillRect/>
                          </a:stretch>
                        </pic:blipFill>
                        <pic:spPr>
                          <a:xfrm>
                            <a:off x="0" y="0"/>
                            <a:ext cx="1555750" cy="9118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道源路公共厕所东侧</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48260</wp:posOffset>
                  </wp:positionV>
                  <wp:extent cx="1536065" cy="943610"/>
                  <wp:effectExtent l="0" t="0" r="635" b="8890"/>
                  <wp:wrapNone/>
                  <wp:docPr id="97" name="图片_70"/>
                  <wp:cNvGraphicFramePr/>
                  <a:graphic xmlns:a="http://schemas.openxmlformats.org/drawingml/2006/main">
                    <a:graphicData uri="http://schemas.openxmlformats.org/drawingml/2006/picture">
                      <pic:pic xmlns:pic="http://schemas.openxmlformats.org/drawingml/2006/picture">
                        <pic:nvPicPr>
                          <pic:cNvPr id="97" name="图片_70"/>
                          <pic:cNvPicPr/>
                        </pic:nvPicPr>
                        <pic:blipFill>
                          <a:blip r:embed="rId76"/>
                          <a:stretch>
                            <a:fillRect/>
                          </a:stretch>
                        </pic:blipFill>
                        <pic:spPr>
                          <a:xfrm>
                            <a:off x="0" y="0"/>
                            <a:ext cx="1536065" cy="94361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69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育才路育秀桥边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45590" cy="943610"/>
                  <wp:effectExtent l="0" t="0" r="3810" b="8890"/>
                  <wp:wrapNone/>
                  <wp:docPr id="96" name="图片_71"/>
                  <wp:cNvGraphicFramePr/>
                  <a:graphic xmlns:a="http://schemas.openxmlformats.org/drawingml/2006/main">
                    <a:graphicData uri="http://schemas.openxmlformats.org/drawingml/2006/picture">
                      <pic:pic xmlns:pic="http://schemas.openxmlformats.org/drawingml/2006/picture">
                        <pic:nvPicPr>
                          <pic:cNvPr id="96" name="图片_71"/>
                          <pic:cNvPicPr/>
                        </pic:nvPicPr>
                        <pic:blipFill>
                          <a:blip r:embed="rId77"/>
                          <a:stretch>
                            <a:fillRect/>
                          </a:stretch>
                        </pic:blipFill>
                        <pic:spPr>
                          <a:xfrm>
                            <a:off x="0" y="0"/>
                            <a:ext cx="1545590" cy="94361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育才路九华桥进不去，没有钥匙</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85725</wp:posOffset>
                  </wp:positionV>
                  <wp:extent cx="1545590" cy="963295"/>
                  <wp:effectExtent l="0" t="0" r="3810" b="1905"/>
                  <wp:wrapNone/>
                  <wp:docPr id="98" name="图片_73"/>
                  <wp:cNvGraphicFramePr/>
                  <a:graphic xmlns:a="http://schemas.openxmlformats.org/drawingml/2006/main">
                    <a:graphicData uri="http://schemas.openxmlformats.org/drawingml/2006/picture">
                      <pic:pic xmlns:pic="http://schemas.openxmlformats.org/drawingml/2006/picture">
                        <pic:nvPicPr>
                          <pic:cNvPr id="98" name="图片_73"/>
                          <pic:cNvPicPr/>
                        </pic:nvPicPr>
                        <pic:blipFill>
                          <a:blip r:embed="rId78"/>
                          <a:stretch>
                            <a:fillRect/>
                          </a:stretch>
                        </pic:blipFill>
                        <pic:spPr>
                          <a:xfrm>
                            <a:off x="0" y="0"/>
                            <a:ext cx="1545590" cy="96329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66675</wp:posOffset>
                  </wp:positionV>
                  <wp:extent cx="1545590" cy="934085"/>
                  <wp:effectExtent l="0" t="0" r="3810" b="5715"/>
                  <wp:wrapNone/>
                  <wp:docPr id="101" name="图片_72"/>
                  <wp:cNvGraphicFramePr/>
                  <a:graphic xmlns:a="http://schemas.openxmlformats.org/drawingml/2006/main">
                    <a:graphicData uri="http://schemas.openxmlformats.org/drawingml/2006/picture">
                      <pic:pic xmlns:pic="http://schemas.openxmlformats.org/drawingml/2006/picture">
                        <pic:nvPicPr>
                          <pic:cNvPr id="101" name="图片_72"/>
                          <pic:cNvPicPr/>
                        </pic:nvPicPr>
                        <pic:blipFill>
                          <a:blip r:embed="rId79"/>
                          <a:stretch>
                            <a:fillRect/>
                          </a:stretch>
                        </pic:blipFill>
                        <pic:spPr>
                          <a:xfrm>
                            <a:off x="0" y="0"/>
                            <a:ext cx="1545590" cy="93408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萧然东路新桥园进不去没有钥匙</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57785</wp:posOffset>
                  </wp:positionV>
                  <wp:extent cx="1526540" cy="962660"/>
                  <wp:effectExtent l="0" t="0" r="10160" b="2540"/>
                  <wp:wrapNone/>
                  <wp:docPr id="100" name="图片_74"/>
                  <wp:cNvGraphicFramePr/>
                  <a:graphic xmlns:a="http://schemas.openxmlformats.org/drawingml/2006/main">
                    <a:graphicData uri="http://schemas.openxmlformats.org/drawingml/2006/picture">
                      <pic:pic xmlns:pic="http://schemas.openxmlformats.org/drawingml/2006/picture">
                        <pic:nvPicPr>
                          <pic:cNvPr id="100" name="图片_74"/>
                          <pic:cNvPicPr/>
                        </pic:nvPicPr>
                        <pic:blipFill>
                          <a:blip r:embed="rId80"/>
                          <a:stretch>
                            <a:fillRect/>
                          </a:stretch>
                        </pic:blipFill>
                        <pic:spPr>
                          <a:xfrm>
                            <a:off x="0" y="0"/>
                            <a:ext cx="1526540" cy="9626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 w:hAnsi="仿宋" w:eastAsia="仿宋" w:cs="仿宋"/>
                <w:i w:val="0"/>
                <w:iCs w:val="0"/>
                <w:color w:val="auto"/>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高桥路与萧然南路交叉口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76200</wp:posOffset>
                  </wp:positionV>
                  <wp:extent cx="1545590" cy="915670"/>
                  <wp:effectExtent l="0" t="0" r="3810" b="11430"/>
                  <wp:wrapNone/>
                  <wp:docPr id="90" name="图片_75"/>
                  <wp:cNvGraphicFramePr/>
                  <a:graphic xmlns:a="http://schemas.openxmlformats.org/drawingml/2006/main">
                    <a:graphicData uri="http://schemas.openxmlformats.org/drawingml/2006/picture">
                      <pic:pic xmlns:pic="http://schemas.openxmlformats.org/drawingml/2006/picture">
                        <pic:nvPicPr>
                          <pic:cNvPr id="90" name="图片_75"/>
                          <pic:cNvPicPr/>
                        </pic:nvPicPr>
                        <pic:blipFill>
                          <a:blip r:embed="rId81"/>
                          <a:stretch>
                            <a:fillRect/>
                          </a:stretch>
                        </pic:blipFill>
                        <pic:spPr>
                          <a:xfrm>
                            <a:off x="0" y="0"/>
                            <a:ext cx="1545590" cy="91567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45590" cy="943610"/>
                  <wp:effectExtent l="0" t="0" r="3810" b="8890"/>
                  <wp:wrapNone/>
                  <wp:docPr id="102" name="图片_76"/>
                  <wp:cNvGraphicFramePr/>
                  <a:graphic xmlns:a="http://schemas.openxmlformats.org/drawingml/2006/main">
                    <a:graphicData uri="http://schemas.openxmlformats.org/drawingml/2006/picture">
                      <pic:pic xmlns:pic="http://schemas.openxmlformats.org/drawingml/2006/picture">
                        <pic:nvPicPr>
                          <pic:cNvPr id="102" name="图片_76"/>
                          <pic:cNvPicPr/>
                        </pic:nvPicPr>
                        <pic:blipFill>
                          <a:blip r:embed="rId77"/>
                          <a:stretch>
                            <a:fillRect/>
                          </a:stretch>
                        </pic:blipFill>
                        <pic:spPr>
                          <a:xfrm>
                            <a:off x="0" y="0"/>
                            <a:ext cx="1545590" cy="94361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高桥路高桥**室边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1555750" cy="1000760"/>
                  <wp:effectExtent l="0" t="0" r="6350" b="2540"/>
                  <wp:wrapNone/>
                  <wp:docPr id="94" name="图片_77"/>
                  <wp:cNvGraphicFramePr/>
                  <a:graphic xmlns:a="http://schemas.openxmlformats.org/drawingml/2006/main">
                    <a:graphicData uri="http://schemas.openxmlformats.org/drawingml/2006/picture">
                      <pic:pic xmlns:pic="http://schemas.openxmlformats.org/drawingml/2006/picture">
                        <pic:nvPicPr>
                          <pic:cNvPr id="94" name="图片_77"/>
                          <pic:cNvPicPr/>
                        </pic:nvPicPr>
                        <pic:blipFill>
                          <a:blip r:embed="rId82"/>
                          <a:stretch>
                            <a:fillRect/>
                          </a:stretch>
                        </pic:blipFill>
                        <pic:spPr>
                          <a:xfrm>
                            <a:off x="0" y="0"/>
                            <a:ext cx="1555750" cy="10007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高桥115幢边</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76200</wp:posOffset>
                  </wp:positionV>
                  <wp:extent cx="1545590" cy="915670"/>
                  <wp:effectExtent l="0" t="0" r="3810" b="11430"/>
                  <wp:wrapNone/>
                  <wp:docPr id="99" name="图片_79"/>
                  <wp:cNvGraphicFramePr/>
                  <a:graphic xmlns:a="http://schemas.openxmlformats.org/drawingml/2006/main">
                    <a:graphicData uri="http://schemas.openxmlformats.org/drawingml/2006/picture">
                      <pic:pic xmlns:pic="http://schemas.openxmlformats.org/drawingml/2006/picture">
                        <pic:nvPicPr>
                          <pic:cNvPr id="99" name="图片_79"/>
                          <pic:cNvPicPr/>
                        </pic:nvPicPr>
                        <pic:blipFill>
                          <a:blip r:embed="rId81"/>
                          <a:stretch>
                            <a:fillRect/>
                          </a:stretch>
                        </pic:blipFill>
                        <pic:spPr>
                          <a:xfrm>
                            <a:off x="0" y="0"/>
                            <a:ext cx="1545590" cy="91567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85725</wp:posOffset>
                  </wp:positionV>
                  <wp:extent cx="1536065" cy="909955"/>
                  <wp:effectExtent l="0" t="0" r="635" b="4445"/>
                  <wp:wrapNone/>
                  <wp:docPr id="93" name="图片_78"/>
                  <wp:cNvGraphicFramePr/>
                  <a:graphic xmlns:a="http://schemas.openxmlformats.org/drawingml/2006/main">
                    <a:graphicData uri="http://schemas.openxmlformats.org/drawingml/2006/picture">
                      <pic:pic xmlns:pic="http://schemas.openxmlformats.org/drawingml/2006/picture">
                        <pic:nvPicPr>
                          <pic:cNvPr id="93" name="图片_78"/>
                          <pic:cNvPicPr/>
                        </pic:nvPicPr>
                        <pic:blipFill>
                          <a:blip r:embed="rId83"/>
                          <a:stretch>
                            <a:fillRect/>
                          </a:stretch>
                        </pic:blipFill>
                        <pic:spPr>
                          <a:xfrm>
                            <a:off x="0" y="0"/>
                            <a:ext cx="1536065" cy="90995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高桥南江公园</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28575</wp:posOffset>
                  </wp:positionV>
                  <wp:extent cx="1536065" cy="963295"/>
                  <wp:effectExtent l="0" t="0" r="635" b="1905"/>
                  <wp:wrapNone/>
                  <wp:docPr id="91" name="图片_80"/>
                  <wp:cNvGraphicFramePr/>
                  <a:graphic xmlns:a="http://schemas.openxmlformats.org/drawingml/2006/main">
                    <a:graphicData uri="http://schemas.openxmlformats.org/drawingml/2006/picture">
                      <pic:pic xmlns:pic="http://schemas.openxmlformats.org/drawingml/2006/picture">
                        <pic:nvPicPr>
                          <pic:cNvPr id="91" name="图片_80"/>
                          <pic:cNvPicPr/>
                        </pic:nvPicPr>
                        <pic:blipFill>
                          <a:blip r:embed="rId84"/>
                          <a:stretch>
                            <a:fillRect/>
                          </a:stretch>
                        </pic:blipFill>
                        <pic:spPr>
                          <a:xfrm>
                            <a:off x="0" y="0"/>
                            <a:ext cx="1536065" cy="963295"/>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1555750" cy="1000760"/>
                  <wp:effectExtent l="0" t="0" r="6350" b="2540"/>
                  <wp:wrapNone/>
                  <wp:docPr id="95" name="图片_81"/>
                  <wp:cNvGraphicFramePr/>
                  <a:graphic xmlns:a="http://schemas.openxmlformats.org/drawingml/2006/main">
                    <a:graphicData uri="http://schemas.openxmlformats.org/drawingml/2006/picture">
                      <pic:pic xmlns:pic="http://schemas.openxmlformats.org/drawingml/2006/picture">
                        <pic:nvPicPr>
                          <pic:cNvPr id="95" name="图片_81"/>
                          <pic:cNvPicPr/>
                        </pic:nvPicPr>
                        <pic:blipFill>
                          <a:blip r:embed="rId82"/>
                          <a:stretch>
                            <a:fillRect/>
                          </a:stretch>
                        </pic:blipFill>
                        <pic:spPr>
                          <a:xfrm>
                            <a:off x="0" y="0"/>
                            <a:ext cx="1555750" cy="10007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高桥路与晨辉路交叉口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76200</wp:posOffset>
                  </wp:positionV>
                  <wp:extent cx="1584960" cy="944245"/>
                  <wp:effectExtent l="0" t="0" r="2540" b="8255"/>
                  <wp:wrapNone/>
                  <wp:docPr id="103" name="图片_82"/>
                  <wp:cNvGraphicFramePr/>
                  <a:graphic xmlns:a="http://schemas.openxmlformats.org/drawingml/2006/main">
                    <a:graphicData uri="http://schemas.openxmlformats.org/drawingml/2006/picture">
                      <pic:pic xmlns:pic="http://schemas.openxmlformats.org/drawingml/2006/picture">
                        <pic:nvPicPr>
                          <pic:cNvPr id="103" name="图片_82"/>
                          <pic:cNvPicPr/>
                        </pic:nvPicPr>
                        <pic:blipFill>
                          <a:blip r:embed="rId85"/>
                          <a:stretch>
                            <a:fillRect/>
                          </a:stretch>
                        </pic:blipFill>
                        <pic:spPr>
                          <a:xfrm>
                            <a:off x="0" y="0"/>
                            <a:ext cx="1584960" cy="94424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通惠北路764号灯杆附近</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66675</wp:posOffset>
                  </wp:positionV>
                  <wp:extent cx="1547495" cy="953135"/>
                  <wp:effectExtent l="0" t="0" r="1905" b="12065"/>
                  <wp:wrapNone/>
                  <wp:docPr id="105" name="图片_83"/>
                  <wp:cNvGraphicFramePr/>
                  <a:graphic xmlns:a="http://schemas.openxmlformats.org/drawingml/2006/main">
                    <a:graphicData uri="http://schemas.openxmlformats.org/drawingml/2006/picture">
                      <pic:pic xmlns:pic="http://schemas.openxmlformats.org/drawingml/2006/picture">
                        <pic:nvPicPr>
                          <pic:cNvPr id="105" name="图片_83"/>
                          <pic:cNvPicPr/>
                        </pic:nvPicPr>
                        <pic:blipFill>
                          <a:blip r:embed="rId86"/>
                          <a:stretch>
                            <a:fillRect/>
                          </a:stretch>
                        </pic:blipFill>
                        <pic:spPr>
                          <a:xfrm>
                            <a:off x="0" y="0"/>
                            <a:ext cx="1547495" cy="95313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通惠北路760号灯杆附近</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57150</wp:posOffset>
                  </wp:positionV>
                  <wp:extent cx="1545590" cy="933450"/>
                  <wp:effectExtent l="0" t="0" r="3810" b="6350"/>
                  <wp:wrapNone/>
                  <wp:docPr id="104" name="图片_84"/>
                  <wp:cNvGraphicFramePr/>
                  <a:graphic xmlns:a="http://schemas.openxmlformats.org/drawingml/2006/main">
                    <a:graphicData uri="http://schemas.openxmlformats.org/drawingml/2006/picture">
                      <pic:pic xmlns:pic="http://schemas.openxmlformats.org/drawingml/2006/picture">
                        <pic:nvPicPr>
                          <pic:cNvPr id="104" name="图片_84"/>
                          <pic:cNvPicPr/>
                        </pic:nvPicPr>
                        <pic:blipFill>
                          <a:blip r:embed="rId87"/>
                          <a:stretch>
                            <a:fillRect/>
                          </a:stretch>
                        </pic:blipFill>
                        <pic:spPr>
                          <a:xfrm>
                            <a:off x="0" y="0"/>
                            <a:ext cx="1545590" cy="93345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79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通惠北路755号灯杆附近</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85725</wp:posOffset>
                  </wp:positionV>
                  <wp:extent cx="1545590" cy="906780"/>
                  <wp:effectExtent l="0" t="0" r="3810" b="7620"/>
                  <wp:wrapNone/>
                  <wp:docPr id="107" name="图片_85"/>
                  <wp:cNvGraphicFramePr/>
                  <a:graphic xmlns:a="http://schemas.openxmlformats.org/drawingml/2006/main">
                    <a:graphicData uri="http://schemas.openxmlformats.org/drawingml/2006/picture">
                      <pic:pic xmlns:pic="http://schemas.openxmlformats.org/drawingml/2006/picture">
                        <pic:nvPicPr>
                          <pic:cNvPr id="107" name="图片_85"/>
                          <pic:cNvPicPr/>
                        </pic:nvPicPr>
                        <pic:blipFill>
                          <a:blip r:embed="rId88"/>
                          <a:stretch>
                            <a:fillRect/>
                          </a:stretch>
                        </pic:blipFill>
                        <pic:spPr>
                          <a:xfrm>
                            <a:off x="0" y="0"/>
                            <a:ext cx="1545590" cy="90678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通惠北路631号灯杆附近</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46990</wp:posOffset>
                  </wp:positionV>
                  <wp:extent cx="1564640" cy="944880"/>
                  <wp:effectExtent l="0" t="0" r="10160" b="7620"/>
                  <wp:wrapNone/>
                  <wp:docPr id="108" name="图片_86"/>
                  <wp:cNvGraphicFramePr/>
                  <a:graphic xmlns:a="http://schemas.openxmlformats.org/drawingml/2006/main">
                    <a:graphicData uri="http://schemas.openxmlformats.org/drawingml/2006/picture">
                      <pic:pic xmlns:pic="http://schemas.openxmlformats.org/drawingml/2006/picture">
                        <pic:nvPicPr>
                          <pic:cNvPr id="108" name="图片_86"/>
                          <pic:cNvPicPr/>
                        </pic:nvPicPr>
                        <pic:blipFill>
                          <a:blip r:embed="rId89"/>
                          <a:stretch>
                            <a:fillRect/>
                          </a:stretch>
                        </pic:blipFill>
                        <pic:spPr>
                          <a:xfrm>
                            <a:off x="0" y="0"/>
                            <a:ext cx="1564640" cy="94488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通惠北路623号灯杆附近</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47625</wp:posOffset>
                  </wp:positionV>
                  <wp:extent cx="1574800" cy="942975"/>
                  <wp:effectExtent l="0" t="0" r="0" b="9525"/>
                  <wp:wrapNone/>
                  <wp:docPr id="89" name="图片_87"/>
                  <wp:cNvGraphicFramePr/>
                  <a:graphic xmlns:a="http://schemas.openxmlformats.org/drawingml/2006/main">
                    <a:graphicData uri="http://schemas.openxmlformats.org/drawingml/2006/picture">
                      <pic:pic xmlns:pic="http://schemas.openxmlformats.org/drawingml/2006/picture">
                        <pic:nvPicPr>
                          <pic:cNvPr id="89" name="图片_87"/>
                          <pic:cNvPicPr/>
                        </pic:nvPicPr>
                        <pic:blipFill>
                          <a:blip r:embed="rId90"/>
                          <a:stretch>
                            <a:fillRect/>
                          </a:stretch>
                        </pic:blipFill>
                        <pic:spPr>
                          <a:xfrm>
                            <a:off x="0" y="0"/>
                            <a:ext cx="1574800" cy="94297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机场高架296号桥墩附件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26540" cy="953135"/>
                  <wp:effectExtent l="0" t="0" r="10160" b="12065"/>
                  <wp:wrapNone/>
                  <wp:docPr id="92" name="图片_88"/>
                  <wp:cNvGraphicFramePr/>
                  <a:graphic xmlns:a="http://schemas.openxmlformats.org/drawingml/2006/main">
                    <a:graphicData uri="http://schemas.openxmlformats.org/drawingml/2006/picture">
                      <pic:pic xmlns:pic="http://schemas.openxmlformats.org/drawingml/2006/picture">
                        <pic:nvPicPr>
                          <pic:cNvPr id="92" name="图片_88"/>
                          <pic:cNvPicPr/>
                        </pic:nvPicPr>
                        <pic:blipFill>
                          <a:blip r:embed="rId91"/>
                          <a:stretch>
                            <a:fillRect/>
                          </a:stretch>
                        </pic:blipFill>
                        <pic:spPr>
                          <a:xfrm>
                            <a:off x="0" y="0"/>
                            <a:ext cx="1526540" cy="95313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机场高架249号桥墩附件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wp:posOffset>
                  </wp:positionH>
                  <wp:positionV relativeFrom="paragraph">
                    <wp:posOffset>47625</wp:posOffset>
                  </wp:positionV>
                  <wp:extent cx="1536700" cy="953770"/>
                  <wp:effectExtent l="0" t="0" r="0" b="11430"/>
                  <wp:wrapNone/>
                  <wp:docPr id="73" name="图片_89"/>
                  <wp:cNvGraphicFramePr/>
                  <a:graphic xmlns:a="http://schemas.openxmlformats.org/drawingml/2006/main">
                    <a:graphicData uri="http://schemas.openxmlformats.org/drawingml/2006/picture">
                      <pic:pic xmlns:pic="http://schemas.openxmlformats.org/drawingml/2006/picture">
                        <pic:nvPicPr>
                          <pic:cNvPr id="73" name="图片_89"/>
                          <pic:cNvPicPr/>
                        </pic:nvPicPr>
                        <pic:blipFill>
                          <a:blip r:embed="rId92"/>
                          <a:stretch>
                            <a:fillRect/>
                          </a:stretch>
                        </pic:blipFill>
                        <pic:spPr>
                          <a:xfrm>
                            <a:off x="0" y="0"/>
                            <a:ext cx="1536700" cy="9537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机场高架214号桥墩附件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9525</wp:posOffset>
                  </wp:positionV>
                  <wp:extent cx="1545590" cy="925830"/>
                  <wp:effectExtent l="0" t="0" r="3810" b="1270"/>
                  <wp:wrapNone/>
                  <wp:docPr id="78" name="图片_90"/>
                  <wp:cNvGraphicFramePr/>
                  <a:graphic xmlns:a="http://schemas.openxmlformats.org/drawingml/2006/main">
                    <a:graphicData uri="http://schemas.openxmlformats.org/drawingml/2006/picture">
                      <pic:pic xmlns:pic="http://schemas.openxmlformats.org/drawingml/2006/picture">
                        <pic:nvPicPr>
                          <pic:cNvPr id="78" name="图片_90"/>
                          <pic:cNvPicPr/>
                        </pic:nvPicPr>
                        <pic:blipFill>
                          <a:blip r:embed="rId93"/>
                          <a:stretch>
                            <a:fillRect/>
                          </a:stretch>
                        </pic:blipFill>
                        <pic:spPr>
                          <a:xfrm>
                            <a:off x="0" y="0"/>
                            <a:ext cx="1545590" cy="92583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机场高架192号桥墩附件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38100</wp:posOffset>
                  </wp:positionV>
                  <wp:extent cx="1508125" cy="934720"/>
                  <wp:effectExtent l="0" t="0" r="3175" b="5080"/>
                  <wp:wrapNone/>
                  <wp:docPr id="75" name="图片_91"/>
                  <wp:cNvGraphicFramePr/>
                  <a:graphic xmlns:a="http://schemas.openxmlformats.org/drawingml/2006/main">
                    <a:graphicData uri="http://schemas.openxmlformats.org/drawingml/2006/picture">
                      <pic:pic xmlns:pic="http://schemas.openxmlformats.org/drawingml/2006/picture">
                        <pic:nvPicPr>
                          <pic:cNvPr id="75" name="图片_91"/>
                          <pic:cNvPicPr/>
                        </pic:nvPicPr>
                        <pic:blipFill>
                          <a:blip r:embed="rId94"/>
                          <a:stretch>
                            <a:fillRect/>
                          </a:stretch>
                        </pic:blipFill>
                        <pic:spPr>
                          <a:xfrm>
                            <a:off x="0" y="0"/>
                            <a:ext cx="1508125" cy="93472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九堡大桥南接线137号桥墩附件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76835</wp:posOffset>
                  </wp:positionH>
                  <wp:positionV relativeFrom="paragraph">
                    <wp:posOffset>9525</wp:posOffset>
                  </wp:positionV>
                  <wp:extent cx="1468755" cy="942975"/>
                  <wp:effectExtent l="0" t="0" r="4445" b="9525"/>
                  <wp:wrapNone/>
                  <wp:docPr id="76" name="图片_92"/>
                  <wp:cNvGraphicFramePr/>
                  <a:graphic xmlns:a="http://schemas.openxmlformats.org/drawingml/2006/main">
                    <a:graphicData uri="http://schemas.openxmlformats.org/drawingml/2006/picture">
                      <pic:pic xmlns:pic="http://schemas.openxmlformats.org/drawingml/2006/picture">
                        <pic:nvPicPr>
                          <pic:cNvPr id="76" name="图片_92"/>
                          <pic:cNvPicPr/>
                        </pic:nvPicPr>
                        <pic:blipFill>
                          <a:blip r:embed="rId95"/>
                          <a:stretch>
                            <a:fillRect/>
                          </a:stretch>
                        </pic:blipFill>
                        <pic:spPr>
                          <a:xfrm>
                            <a:off x="0" y="0"/>
                            <a:ext cx="1468755" cy="94297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九堡大桥南接线142号桥墩附件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76200</wp:posOffset>
                  </wp:positionV>
                  <wp:extent cx="1498600" cy="906780"/>
                  <wp:effectExtent l="0" t="0" r="0" b="7620"/>
                  <wp:wrapNone/>
                  <wp:docPr id="77" name="图片_93"/>
                  <wp:cNvGraphicFramePr/>
                  <a:graphic xmlns:a="http://schemas.openxmlformats.org/drawingml/2006/main">
                    <a:graphicData uri="http://schemas.openxmlformats.org/drawingml/2006/picture">
                      <pic:pic xmlns:pic="http://schemas.openxmlformats.org/drawingml/2006/picture">
                        <pic:nvPicPr>
                          <pic:cNvPr id="77" name="图片_93"/>
                          <pic:cNvPicPr/>
                        </pic:nvPicPr>
                        <pic:blipFill>
                          <a:blip r:embed="rId96"/>
                          <a:stretch>
                            <a:fillRect/>
                          </a:stretch>
                        </pic:blipFill>
                        <pic:spPr>
                          <a:xfrm>
                            <a:off x="0" y="0"/>
                            <a:ext cx="1498600" cy="90678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九堡大桥南接线147号桥墩附件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9525</wp:posOffset>
                  </wp:positionV>
                  <wp:extent cx="1507490" cy="915670"/>
                  <wp:effectExtent l="0" t="0" r="3810" b="11430"/>
                  <wp:wrapNone/>
                  <wp:docPr id="81" name="图片_94"/>
                  <wp:cNvGraphicFramePr/>
                  <a:graphic xmlns:a="http://schemas.openxmlformats.org/drawingml/2006/main">
                    <a:graphicData uri="http://schemas.openxmlformats.org/drawingml/2006/picture">
                      <pic:pic xmlns:pic="http://schemas.openxmlformats.org/drawingml/2006/picture">
                        <pic:nvPicPr>
                          <pic:cNvPr id="81" name="图片_94"/>
                          <pic:cNvPicPr/>
                        </pic:nvPicPr>
                        <pic:blipFill>
                          <a:blip r:embed="rId97"/>
                          <a:stretch>
                            <a:fillRect/>
                          </a:stretch>
                        </pic:blipFill>
                        <pic:spPr>
                          <a:xfrm>
                            <a:off x="0" y="0"/>
                            <a:ext cx="1507490" cy="91567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89</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九堡大桥南接线172号桥墩附件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9525</wp:posOffset>
                  </wp:positionV>
                  <wp:extent cx="1526540" cy="942975"/>
                  <wp:effectExtent l="0" t="0" r="10160" b="9525"/>
                  <wp:wrapNone/>
                  <wp:docPr id="74" name="图片_95"/>
                  <wp:cNvGraphicFramePr/>
                  <a:graphic xmlns:a="http://schemas.openxmlformats.org/drawingml/2006/main">
                    <a:graphicData uri="http://schemas.openxmlformats.org/drawingml/2006/picture">
                      <pic:pic xmlns:pic="http://schemas.openxmlformats.org/drawingml/2006/picture">
                        <pic:nvPicPr>
                          <pic:cNvPr id="74" name="图片_95"/>
                          <pic:cNvPicPr/>
                        </pic:nvPicPr>
                        <pic:blipFill>
                          <a:blip r:embed="rId98"/>
                          <a:stretch>
                            <a:fillRect/>
                          </a:stretch>
                        </pic:blipFill>
                        <pic:spPr>
                          <a:xfrm>
                            <a:off x="0" y="0"/>
                            <a:ext cx="1526540" cy="94297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90</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九堡大桥南接线180号桥墩附件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26540" cy="902335"/>
                  <wp:effectExtent l="0" t="0" r="10160" b="12065"/>
                  <wp:wrapNone/>
                  <wp:docPr id="83" name="图片_96"/>
                  <wp:cNvGraphicFramePr/>
                  <a:graphic xmlns:a="http://schemas.openxmlformats.org/drawingml/2006/main">
                    <a:graphicData uri="http://schemas.openxmlformats.org/drawingml/2006/picture">
                      <pic:pic xmlns:pic="http://schemas.openxmlformats.org/drawingml/2006/picture">
                        <pic:nvPicPr>
                          <pic:cNvPr id="83" name="图片_96"/>
                          <pic:cNvPicPr/>
                        </pic:nvPicPr>
                        <pic:blipFill>
                          <a:blip r:embed="rId99"/>
                          <a:stretch>
                            <a:fillRect/>
                          </a:stretch>
                        </pic:blipFill>
                        <pic:spPr>
                          <a:xfrm>
                            <a:off x="0" y="0"/>
                            <a:ext cx="1526540" cy="90233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91</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九堡大桥南接线182号桥墩附件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28575</wp:posOffset>
                  </wp:positionV>
                  <wp:extent cx="1526540" cy="985520"/>
                  <wp:effectExtent l="0" t="0" r="10160" b="5080"/>
                  <wp:wrapNone/>
                  <wp:docPr id="79" name="图片_97"/>
                  <wp:cNvGraphicFramePr/>
                  <a:graphic xmlns:a="http://schemas.openxmlformats.org/drawingml/2006/main">
                    <a:graphicData uri="http://schemas.openxmlformats.org/drawingml/2006/picture">
                      <pic:pic xmlns:pic="http://schemas.openxmlformats.org/drawingml/2006/picture">
                        <pic:nvPicPr>
                          <pic:cNvPr id="79" name="图片_97"/>
                          <pic:cNvPicPr/>
                        </pic:nvPicPr>
                        <pic:blipFill>
                          <a:blip r:embed="rId100"/>
                          <a:stretch>
                            <a:fillRect/>
                          </a:stretch>
                        </pic:blipFill>
                        <pic:spPr>
                          <a:xfrm>
                            <a:off x="0" y="0"/>
                            <a:ext cx="1526540" cy="98552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92</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九堡大桥南接线197号桥墩附件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95250</wp:posOffset>
                  </wp:positionV>
                  <wp:extent cx="1536065" cy="851535"/>
                  <wp:effectExtent l="0" t="0" r="635" b="12065"/>
                  <wp:wrapNone/>
                  <wp:docPr id="80" name="图片_98"/>
                  <wp:cNvGraphicFramePr/>
                  <a:graphic xmlns:a="http://schemas.openxmlformats.org/drawingml/2006/main">
                    <a:graphicData uri="http://schemas.openxmlformats.org/drawingml/2006/picture">
                      <pic:pic xmlns:pic="http://schemas.openxmlformats.org/drawingml/2006/picture">
                        <pic:nvPicPr>
                          <pic:cNvPr id="80" name="图片_98"/>
                          <pic:cNvPicPr/>
                        </pic:nvPicPr>
                        <pic:blipFill>
                          <a:blip r:embed="rId101"/>
                          <a:stretch>
                            <a:fillRect/>
                          </a:stretch>
                        </pic:blipFill>
                        <pic:spPr>
                          <a:xfrm>
                            <a:off x="0" y="0"/>
                            <a:ext cx="1536065" cy="85153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93</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机场高架343号桥墩附件</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1555750" cy="1000760"/>
                  <wp:effectExtent l="0" t="0" r="6350" b="2540"/>
                  <wp:wrapNone/>
                  <wp:docPr id="85" name="图片_101"/>
                  <wp:cNvGraphicFramePr/>
                  <a:graphic xmlns:a="http://schemas.openxmlformats.org/drawingml/2006/main">
                    <a:graphicData uri="http://schemas.openxmlformats.org/drawingml/2006/picture">
                      <pic:pic xmlns:pic="http://schemas.openxmlformats.org/drawingml/2006/picture">
                        <pic:nvPicPr>
                          <pic:cNvPr id="85" name="图片_101"/>
                          <pic:cNvPicPr/>
                        </pic:nvPicPr>
                        <pic:blipFill>
                          <a:blip r:embed="rId82"/>
                          <a:stretch>
                            <a:fillRect/>
                          </a:stretch>
                        </pic:blipFill>
                        <pic:spPr>
                          <a:xfrm>
                            <a:off x="0" y="0"/>
                            <a:ext cx="1555750" cy="100076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18415</wp:posOffset>
                  </wp:positionV>
                  <wp:extent cx="1526540" cy="982345"/>
                  <wp:effectExtent l="0" t="0" r="10160" b="8255"/>
                  <wp:wrapNone/>
                  <wp:docPr id="86" name="图片_99"/>
                  <wp:cNvGraphicFramePr/>
                  <a:graphic xmlns:a="http://schemas.openxmlformats.org/drawingml/2006/main">
                    <a:graphicData uri="http://schemas.openxmlformats.org/drawingml/2006/picture">
                      <pic:pic xmlns:pic="http://schemas.openxmlformats.org/drawingml/2006/picture">
                        <pic:nvPicPr>
                          <pic:cNvPr id="86" name="图片_99"/>
                          <pic:cNvPicPr/>
                        </pic:nvPicPr>
                        <pic:blipFill>
                          <a:blip r:embed="rId102"/>
                          <a:stretch>
                            <a:fillRect/>
                          </a:stretch>
                        </pic:blipFill>
                        <pic:spPr>
                          <a:xfrm>
                            <a:off x="0" y="0"/>
                            <a:ext cx="1526540" cy="98234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94</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育才路与金惠路交叉口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28575</wp:posOffset>
                  </wp:positionH>
                  <wp:positionV relativeFrom="paragraph">
                    <wp:posOffset>57150</wp:posOffset>
                  </wp:positionV>
                  <wp:extent cx="1517015" cy="906145"/>
                  <wp:effectExtent l="0" t="0" r="6985" b="8255"/>
                  <wp:wrapNone/>
                  <wp:docPr id="82" name="图片_100"/>
                  <wp:cNvGraphicFramePr/>
                  <a:graphic xmlns:a="http://schemas.openxmlformats.org/drawingml/2006/main">
                    <a:graphicData uri="http://schemas.openxmlformats.org/drawingml/2006/picture">
                      <pic:pic xmlns:pic="http://schemas.openxmlformats.org/drawingml/2006/picture">
                        <pic:nvPicPr>
                          <pic:cNvPr id="82" name="图片_100"/>
                          <pic:cNvPicPr/>
                        </pic:nvPicPr>
                        <pic:blipFill>
                          <a:blip r:embed="rId103"/>
                          <a:stretch>
                            <a:fillRect/>
                          </a:stretch>
                        </pic:blipFill>
                        <pic:spPr>
                          <a:xfrm>
                            <a:off x="0" y="0"/>
                            <a:ext cx="1517015" cy="90614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95</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新城路与海塘路交叉口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27940</wp:posOffset>
                  </wp:positionV>
                  <wp:extent cx="1536065" cy="909320"/>
                  <wp:effectExtent l="0" t="0" r="635" b="5080"/>
                  <wp:wrapNone/>
                  <wp:docPr id="84" name="图片_102"/>
                  <wp:cNvGraphicFramePr/>
                  <a:graphic xmlns:a="http://schemas.openxmlformats.org/drawingml/2006/main">
                    <a:graphicData uri="http://schemas.openxmlformats.org/drawingml/2006/picture">
                      <pic:pic xmlns:pic="http://schemas.openxmlformats.org/drawingml/2006/picture">
                        <pic:nvPicPr>
                          <pic:cNvPr id="84" name="图片_102"/>
                          <pic:cNvPicPr/>
                        </pic:nvPicPr>
                        <pic:blipFill>
                          <a:blip r:embed="rId104"/>
                          <a:stretch>
                            <a:fillRect/>
                          </a:stretch>
                        </pic:blipFill>
                        <pic:spPr>
                          <a:xfrm>
                            <a:off x="0" y="0"/>
                            <a:ext cx="1536065" cy="90932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1555750" cy="1000760"/>
                  <wp:effectExtent l="0" t="0" r="6350" b="2540"/>
                  <wp:wrapNone/>
                  <wp:docPr id="87" name="图片_104"/>
                  <wp:cNvGraphicFramePr/>
                  <a:graphic xmlns:a="http://schemas.openxmlformats.org/drawingml/2006/main">
                    <a:graphicData uri="http://schemas.openxmlformats.org/drawingml/2006/picture">
                      <pic:pic xmlns:pic="http://schemas.openxmlformats.org/drawingml/2006/picture">
                        <pic:nvPicPr>
                          <pic:cNvPr id="87" name="图片_104"/>
                          <pic:cNvPicPr/>
                        </pic:nvPicPr>
                        <pic:blipFill>
                          <a:blip r:embed="rId82"/>
                          <a:stretch>
                            <a:fillRect/>
                          </a:stretch>
                        </pic:blipFill>
                        <pic:spPr>
                          <a:xfrm>
                            <a:off x="0" y="0"/>
                            <a:ext cx="1555750" cy="100076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96</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鸿达路二桥社区卫生院门口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47625</wp:posOffset>
                  </wp:positionV>
                  <wp:extent cx="1545590" cy="927735"/>
                  <wp:effectExtent l="0" t="0" r="3810" b="12065"/>
                  <wp:wrapNone/>
                  <wp:docPr id="88" name="图片_103"/>
                  <wp:cNvGraphicFramePr/>
                  <a:graphic xmlns:a="http://schemas.openxmlformats.org/drawingml/2006/main">
                    <a:graphicData uri="http://schemas.openxmlformats.org/drawingml/2006/picture">
                      <pic:pic xmlns:pic="http://schemas.openxmlformats.org/drawingml/2006/picture">
                        <pic:nvPicPr>
                          <pic:cNvPr id="88" name="图片_103"/>
                          <pic:cNvPicPr/>
                        </pic:nvPicPr>
                        <pic:blipFill>
                          <a:blip r:embed="rId105"/>
                          <a:stretch>
                            <a:fillRect/>
                          </a:stretch>
                        </pic:blipFill>
                        <pic:spPr>
                          <a:xfrm>
                            <a:off x="0" y="0"/>
                            <a:ext cx="1545590" cy="92773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97</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山阴路时代公园门口</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38100</wp:posOffset>
                  </wp:positionV>
                  <wp:extent cx="1555750" cy="1000760"/>
                  <wp:effectExtent l="0" t="0" r="6350" b="2540"/>
                  <wp:wrapNone/>
                  <wp:docPr id="70" name="图片_107"/>
                  <wp:cNvGraphicFramePr/>
                  <a:graphic xmlns:a="http://schemas.openxmlformats.org/drawingml/2006/main">
                    <a:graphicData uri="http://schemas.openxmlformats.org/drawingml/2006/picture">
                      <pic:pic xmlns:pic="http://schemas.openxmlformats.org/drawingml/2006/picture">
                        <pic:nvPicPr>
                          <pic:cNvPr id="70" name="图片_107"/>
                          <pic:cNvPicPr/>
                        </pic:nvPicPr>
                        <pic:blipFill>
                          <a:blip r:embed="rId82"/>
                          <a:stretch>
                            <a:fillRect/>
                          </a:stretch>
                        </pic:blipFill>
                        <pic:spPr>
                          <a:xfrm>
                            <a:off x="0" y="0"/>
                            <a:ext cx="1555750" cy="1000760"/>
                          </a:xfrm>
                          <a:prstGeom prst="rect">
                            <a:avLst/>
                          </a:prstGeom>
                          <a:noFill/>
                          <a:ln>
                            <a:noFill/>
                          </a:ln>
                        </pic:spPr>
                      </pic:pic>
                    </a:graphicData>
                  </a:graphic>
                </wp:anchor>
              </w:drawing>
            </w: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wp:posOffset>
                  </wp:positionH>
                  <wp:positionV relativeFrom="paragraph">
                    <wp:posOffset>85725</wp:posOffset>
                  </wp:positionV>
                  <wp:extent cx="1536065" cy="934720"/>
                  <wp:effectExtent l="0" t="0" r="635" b="5080"/>
                  <wp:wrapNone/>
                  <wp:docPr id="71" name="图片_105"/>
                  <wp:cNvGraphicFramePr/>
                  <a:graphic xmlns:a="http://schemas.openxmlformats.org/drawingml/2006/main">
                    <a:graphicData uri="http://schemas.openxmlformats.org/drawingml/2006/picture">
                      <pic:pic xmlns:pic="http://schemas.openxmlformats.org/drawingml/2006/picture">
                        <pic:nvPicPr>
                          <pic:cNvPr id="71" name="图片_105"/>
                          <pic:cNvPicPr/>
                        </pic:nvPicPr>
                        <pic:blipFill>
                          <a:blip r:embed="rId106"/>
                          <a:stretch>
                            <a:fillRect/>
                          </a:stretch>
                        </pic:blipFill>
                        <pic:spPr>
                          <a:xfrm>
                            <a:off x="0" y="0"/>
                            <a:ext cx="1536065" cy="934720"/>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时间钟控制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0" w:hRule="atLeast"/>
        </w:trPr>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98</w:t>
            </w:r>
          </w:p>
        </w:tc>
        <w:tc>
          <w:tcPr>
            <w:tcW w:w="26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通惠中路北干天桥下面</w:t>
            </w:r>
          </w:p>
        </w:tc>
        <w:tc>
          <w:tcPr>
            <w:tcW w:w="26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38100</wp:posOffset>
                  </wp:positionV>
                  <wp:extent cx="1526540" cy="1010285"/>
                  <wp:effectExtent l="0" t="0" r="10160" b="5715"/>
                  <wp:wrapNone/>
                  <wp:docPr id="72" name="图片_106"/>
                  <wp:cNvGraphicFramePr/>
                  <a:graphic xmlns:a="http://schemas.openxmlformats.org/drawingml/2006/main">
                    <a:graphicData uri="http://schemas.openxmlformats.org/drawingml/2006/picture">
                      <pic:pic xmlns:pic="http://schemas.openxmlformats.org/drawingml/2006/picture">
                        <pic:nvPicPr>
                          <pic:cNvPr id="72" name="图片_106"/>
                          <pic:cNvPicPr/>
                        </pic:nvPicPr>
                        <pic:blipFill>
                          <a:blip r:embed="rId107"/>
                          <a:stretch>
                            <a:fillRect/>
                          </a:stretch>
                        </pic:blipFill>
                        <pic:spPr>
                          <a:xfrm>
                            <a:off x="0" y="0"/>
                            <a:ext cx="1526540" cy="1010285"/>
                          </a:xfrm>
                          <a:prstGeom prst="rect">
                            <a:avLst/>
                          </a:prstGeom>
                          <a:noFill/>
                          <a:ln>
                            <a:noFill/>
                          </a:ln>
                        </pic:spPr>
                      </pic:pic>
                    </a:graphicData>
                  </a:graphic>
                </wp:anchor>
              </w:drawing>
            </w:r>
          </w:p>
        </w:tc>
        <w:tc>
          <w:tcPr>
            <w:tcW w:w="21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终端控制</w:t>
            </w:r>
          </w:p>
        </w:tc>
      </w:tr>
    </w:tbl>
    <w:p>
      <w:pPr>
        <w:pStyle w:val="2"/>
        <w:rPr>
          <w:rFonts w:hint="eastAsia" w:ascii="仿宋" w:hAnsi="仿宋" w:eastAsia="仿宋" w:cs="仿宋"/>
          <w:color w:val="auto"/>
          <w:highlight w:val="none"/>
        </w:rPr>
      </w:pPr>
    </w:p>
    <w:p>
      <w:pPr>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注：具体数量以实际验收数量为准。</w:t>
      </w:r>
    </w:p>
    <w:p>
      <w:pPr>
        <w:rPr>
          <w:rFonts w:hint="eastAsia" w:ascii="仿宋" w:hAnsi="仿宋" w:eastAsia="仿宋" w:cs="仿宋"/>
          <w:color w:val="auto"/>
          <w:highlight w:val="none"/>
        </w:rPr>
      </w:pPr>
    </w:p>
    <w:sectPr>
      <w:pgSz w:w="11906" w:h="16838"/>
      <w:pgMar w:top="1440" w:right="1700" w:bottom="1440" w:left="180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JGtRywzAgAAZQQAAA4AAABkcnMvZTJvRG9jLnhtbK1UzY7TMBC+I/EO lu80aRGrUjVdla2KkCp2pQVxdh2nseQ/2W6T8gDwBpy4cN/n6nPwOWm6aOGwBy7O2DP+xt83M5lf t1qRg/BBWlPQ8SinRBhuS2l2Bf38af1qSkmIzJRMWSMKehSBXi9evpg3biYmtraqFJ4AxIRZ4wpa x+hmWRZ4LTQLI+uEgbOyXrOIrd9lpWcN0LXKJnl+lTXWl85bLkLA6ap30jOifw6grSrJxcryvRYm 9qheKBZBKdTSBbroXltVgsfbqgoiElVQMI3diiSwt2nNFnM223nmasnPT2DPecITTppJg6QXqBWL jOy9/AtKS+5tsFUccauznkinCFiM8yfa3NfMiY4LpA7uInr4f7D84+HOE1miE/K3lBimUfLTj++n nw+nX99IOoREjQszRN47xMb2nW0RPpwHHCbmbeV1+oITgR8CHy8CizYSni5NJ9NpDheHb9gAP3u8 7nyI74XVJBkF9ahgJyw7bELsQ4eQlM3YtVSqq6IypCno1es3eXfh4gG4MsiRSPSPTVZst+2Z2daW RxDztu+O4PhaIvmGhXjHPNoBD8bAxFsslbJIYs8WJbX1X/91nuJRJXgpadBeBTWYJkrUB4PqATAO hh+M7WCYvb6x6NcxBtHxzsQFH9VgVt7qL5iiZcoBFzMcmQoaB/Mm9i2OKeRiueyC9s7LXd1fQO85 Fjfm3vGUJgkZ3HIfIWancRKoV+WsG7qvq9J5UlJ7/7nvoh7/DovfUEsDBAoAAAAAAIdO4kAAAAAA AAAAAAAAAAAGAAAAX3JlbHMvUEsDBBQAAAAIAIdO4kCKFGY80QAAAJQBAAALAAAAX3JlbHMvLnJl bHOlkMFqwzAMhu+DvYPRfXGawxijTi+j0GvpHsDYimMaW0Yy2fr28w6DZfS2o36h7xP//vCZFrUi S6RsYNf1oDA78jEHA++X49MLKKk2e7tQRgM3FDiMjw/7My62tiOZYxHVKFkMzLWWV63FzZisdFQw t81EnGxtIwddrLvagHro+2fNvxkwbpjq5A3wyQ+gLrfSzH/YKTomoal2jpKmaYruHlUHtmWO7sg2 4Ru5RrMcsBrwLBoHalnXfgR9X7/7p97TRz7jutV+h4zrj1dvuhy/AFBLAwQUAAAACACHTuJAfubl IPcAAADhAQAAEwAAAFtDb250ZW50X1R5cGVzXS54bWyVkUFOwzAQRfdI3MHyFiVOu0AIJemCtEtA qBxgZE8Si2RseUxob4+TthtEkVjaM/+/J7vcHMZBTBjYOqrkKi+kQNLOWOoq+b7fZQ9ScAQyMDjC Sh6R5aa+vSn3R48sUpq4kn2M/lEp1j2OwLnzSGnSujBCTMfQKQ/6AzpU66K4V9pRRIpZnDtkXTbY wucQxfaQrk8mAQeW4um0OLMqCd4PVkNMpmoi84OSnQl5Si473FvPd0lDql8J8+Q64Jx7SU8TrEHx CiE+w5g0lAmsjPuigFP+d8lsOXLm2tZqzJvATYq94XSxutaOa9c4/d/y7ZK6dKvlg+pvUEsBAhQA FAAAAAgAh07iQH7m5SD3AAAA4QEAABMAAAAAAAAAAQAgAAAAnAQAAFtDb250ZW50X1R5cGVzXS54 bWxQSwECFAAKAAAAAACHTuJAAAAAAAAAAAAAAAAABgAAAAAAAAAAABAAAAB+AwAAX3JlbHMvUEsB AhQAFAAAAAgAh07iQIoUZjzRAAAAlAEAAAsAAAAAAAAAAQAgAAAAogMAAF9yZWxzLy5yZWxzUEsB AhQACgAAAAAAh07iQAAAAAAAAAAAAAAAAAQAAAAAAAAAAAAQAAAAAAAAAGRycy9QSwECFAAUAAAA CACHTuJAs0lY7tAAAAAFAQAADwAAAAAAAAABACAAAAAiAAAAZHJzL2Rvd25yZXYueG1sUEsBAhQA FAAAAAgAh07iQJGtRywzAgAAZQQAAA4AAAAAAAAAAQAgAAAAHwEAAGRycy9lMm9Eb2MueG1sUEsF BgAAAAAGAAYAWQEAAMQFAAAAAA== ">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CN9aMkyAgAAZQQAAA4AAABkcnMvZTJvRG9jLnhtbK1US44TMRDdI3EH y3vSSRCjKEpnFCYKQoqYkQJi7bjdaUv+yXbSHQ4AN2DFhj3nyjl47k8GDSxmwcZddpVf1XtV7sVt oxU5CR+kNTmdjMaUCMNtIc0hp58+bl7NKAmRmYIpa0ROzyLQ2+XLF4vazcXUVlYVwhOAmDCvXU6r GN08ywKvhGZhZJ0wcJbWaxax9Yes8KwGulbZdDy+yWrrC+ctFyHgdN05aY/onwNoy1Jysbb8qIWJ HaoXikVQCpV0gS7bastS8HhflkFEonIKprFdkQT2Pq3ZcsHmB89cJXlfAntOCU84aSYNkl6h1iwy cvTyLygtubfBlnHErc46Iq0iYDEZP9FmVzEnWi6QOrir6OH/wfIPpwdPZIFJmEwoMUyj5Zfv3y4/ fl1+fiXpEBLVLswRuXOIjc1b2yB8OA84TMyb0uv0BScCPwQ+XwUWTSQ8XZpNZ7MxXBy+YQP87PG6 8yG+E1aTZOTUo4OtsOy0DbELHUJSNmM3Uqm2i8qQOqc3r9+M2wtXD8CVQY5Eois2WbHZNz2zvS3O IOZtNx3B8Y1E8i0L8YF5jAMKxoOJ91hKZZHE9hYllfVf/nWe4tEleCmpMV45NXhNlKj3Bt0DYBwM Pxj7wTBHfWcxr+gHamlNXPBRDWbprf6MV7RKOeBihiNTTuNg3sVuxPEKuVit2qCj8/JQdRcwe47F rdk5ntIkIYNbHSPEbDVOAnWq9Lph+tou9S8ljfef+zbq8e+w/A1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I31oyTICAABlBAAADgAAAAAAAAABACAAAAAfAQAAZHJzL2Uyb0RvYy54bWxQSwUG AAAAAAYABgBZAQAAwwUAAAAA ">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 AQAADwAAAGRycy9kb3ducmV2LnhtbE2PQUvDQBCF74L/YRmhN7tpKxJiNgVL06Ng48HjNjsm0d3Z sLtN4793FEEvwzze8OZ75XZ2VkwY4uBJwWqZgUBqvRmoU/DS1Lc5iJg0GW09oYJPjLCtrq9KXRh/ oWecjqkTHEKx0Ar6lMZCytj26HRc+hGJvTcfnE4sQydN0BcOd1aus+xeOj0Qf+j1iLse24/j2SnY 1U0TJozBvuKh3rw/Pd7hflZqcbPKHkAknNPfMXzjMzpUzHTyZzJRWAVcJP1M9tZ5zvL0u8iqlP/p qy9QSwMEFAAAAAgAh07iQEjB9lUyAgAAZQQAAA4AAABkcnMvZTJvRG9jLnhtbK1US44TMRDdI3EH y3vSSRCjKEpnFCYKQoqYkQJi7bjdaUv+yXbSHQ4AN2DFhj3nyjl47k8GDSxmwcZddpVf+b2q6sVt oxU5CR+kNTmdjMaUCMNtIc0hp58+bl7NKAmRmYIpa0ROzyLQ2+XLF4vazcXUVlYVwhOAmDCvXU6r GN08ywKvhGZhZJ0wcJbWaxax9Yes8KwGulbZdDy+yWrrC+ctFyHgdN05aY/onwNoy1Jysbb8qIWJ HaoXikVQCpV0gS7b15al4PG+LIOIROUUTGO7IgnsfVqz5YLND565SvL+Cew5T3jCSTNpkPQKtWaR kaOXf0Fpyb0NtowjbnXWEWkVAYvJ+Ik2u4o50XKB1MFdRQ//D5Z/OD14Igt0wgSaGKZR8sv3b5cf vy4/v5J0CIlqF+aI3DnExuatbRA+nAccJuZN6XX6ghOBH2Dnq8CiiYSnS7PpbDaGi8M3bICfPV53 PsR3wmqSjJx6VLAVlp22IXahQ0jKZuxGKtVWURlS5/Tm9Ztxe+HqAbgyyJFIdI9NVmz2Tc9sb4sz iHnbdUdwfCORfMtCfGAe7YAHY2DiPZZSWSSxvUVJZf2Xf52neFQJXkpqtFdODaaJEvXeoHoAjIPh B2M/GOao7yz6dYJBdLw1ccFHNZilt/ozpmiVcsDFDEemnMbBvItdi2MKuVit2qCj8/JQdRfQe47F rdk5ntIkIYNbHSPEbDVOAnWq9Lqh+9oq9ZOS2vvPfRv1+HdY/gZQSwMECgAAAAAAh07iQAAAAAAA AAAAAAAAAAYAAABfcmVscy9QSwMEFAAAAAgAh07iQIoUZjzRAAAAlAEAAAsAAABfcmVscy8ucmVs c6WQwWrDMAyG74O9g9F9cZrDGKNOL6PQa+kewNiKYxpbRjLZ+vbzDoNl9LajfqHvE//+8JkWtSJL pGxg1/WgMDvyMQcD75fj0wsoqTZ7u1BGAzcUOIyPD/szLra2I5ljEdUoWQzMtZZXrcXNmKx0VDC3 zUScbG0jB12su9qAeuj7Z82/GTBumOrkDfDJD6Aut9LMf9gpOiahqXaOkqZpiu4eVQe2ZY7uyDbh G7lGsxywGvAsGgdqWdd+BH1fv/un3tNHPuO61X6HjOuPV2+6HL8AUEsDBBQAAAAIAIdO4kB+5uUg 9wAAAOEBAAATAAAAW0NvbnRlbnRfVHlwZXNdLnhtbJWRQU7DMBBF90jcwfIWJU67QAgl6YK0S0Co HGBkTxKLZGx5TGhvj5O2G0SRWNoz/78nu9wcxkFMGNg6quQqL6RA0s5Y6ir5vt9lD1JwBDIwOMJK HpHlpr69KfdHjyxSmriSfYz+USnWPY7AufNIadK6MEJMx9ApD/oDOlTrorhX2lFEilmcO2RdNtjC 5xDF9pCuTyYBB5bi6bQ4syoJ3g9WQ0ymaiLzg5KdCXlKLjvcW893SUOqXwnz5DrgnHtJTxOsQfEK IT7DmDSUCayM+6KAU/53yWw5cuba1mrMm8BNir3hdLG61o5r1zj93/Ltkrp0q+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SMH2VTICAABlBAAADgAAAAAAAAABACAAAAAfAQAAZHJzL2Uyb0RvYy54bWxQSwUG AAAAAAYABgBZAQAAwwUAAAAA ">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4EDD2D"/>
    <w:multiLevelType w:val="singleLevel"/>
    <w:tmpl w:val="BA4EDD2D"/>
    <w:lvl w:ilvl="0" w:tentative="0">
      <w:start w:val="1"/>
      <w:numFmt w:val="decimal"/>
      <w:suff w:val="nothing"/>
      <w:lvlText w:val="（%1）"/>
      <w:lvlJc w:val="left"/>
      <w:pPr>
        <w:ind w:left="0"/>
      </w:pPr>
    </w:lvl>
  </w:abstractNum>
  <w:abstractNum w:abstractNumId="1">
    <w:nsid w:val="C18354CA"/>
    <w:multiLevelType w:val="singleLevel"/>
    <w:tmpl w:val="C18354CA"/>
    <w:lvl w:ilvl="0" w:tentative="0">
      <w:start w:val="2"/>
      <w:numFmt w:val="chineseCounting"/>
      <w:suff w:val="nothing"/>
      <w:lvlText w:val="%1、"/>
      <w:lvlJc w:val="left"/>
      <w:pPr>
        <w:ind w:left="210"/>
      </w:pPr>
      <w:rPr>
        <w:rFonts w:hint="eastAsia"/>
      </w:rPr>
    </w:lvl>
  </w:abstractNum>
  <w:abstractNum w:abstractNumId="2">
    <w:nsid w:val="C7610058"/>
    <w:multiLevelType w:val="singleLevel"/>
    <w:tmpl w:val="C7610058"/>
    <w:lvl w:ilvl="0" w:tentative="0">
      <w:start w:val="9"/>
      <w:numFmt w:val="decimal"/>
      <w:suff w:val="nothing"/>
      <w:lvlText w:val="（%1）"/>
      <w:lvlJc w:val="left"/>
    </w:lvl>
  </w:abstractNum>
  <w:abstractNum w:abstractNumId="3">
    <w:nsid w:val="D76C79EE"/>
    <w:multiLevelType w:val="singleLevel"/>
    <w:tmpl w:val="D76C79EE"/>
    <w:lvl w:ilvl="0" w:tentative="0">
      <w:start w:val="1"/>
      <w:numFmt w:val="decimal"/>
      <w:suff w:val="nothing"/>
      <w:lvlText w:val="（%1）"/>
      <w:lvlJc w:val="left"/>
    </w:lvl>
  </w:abstractNum>
  <w:abstractNum w:abstractNumId="4">
    <w:nsid w:val="DFBDA692"/>
    <w:multiLevelType w:val="singleLevel"/>
    <w:tmpl w:val="DFBDA692"/>
    <w:lvl w:ilvl="0" w:tentative="0">
      <w:start w:val="2"/>
      <w:numFmt w:val="chineseCounting"/>
      <w:suff w:val="nothing"/>
      <w:lvlText w:val="（%1）"/>
      <w:lvlJc w:val="left"/>
      <w:rPr>
        <w:rFonts w:hint="eastAsia"/>
      </w:rPr>
    </w:lvl>
  </w:abstractNum>
  <w:abstractNum w:abstractNumId="5">
    <w:nsid w:val="0DC082F2"/>
    <w:multiLevelType w:val="singleLevel"/>
    <w:tmpl w:val="0DC082F2"/>
    <w:lvl w:ilvl="0" w:tentative="0">
      <w:start w:val="5"/>
      <w:numFmt w:val="decimal"/>
      <w:suff w:val="nothing"/>
      <w:lvlText w:val="%1）"/>
      <w:lvlJc w:val="left"/>
    </w:lvl>
  </w:abstractNum>
  <w:abstractNum w:abstractNumId="6">
    <w:nsid w:val="2BC93E8E"/>
    <w:multiLevelType w:val="singleLevel"/>
    <w:tmpl w:val="2BC93E8E"/>
    <w:lvl w:ilvl="0" w:tentative="0">
      <w:start w:val="1"/>
      <w:numFmt w:val="decimal"/>
      <w:suff w:val="nothing"/>
      <w:lvlText w:val="%1、"/>
      <w:lvlJc w:val="left"/>
    </w:lvl>
  </w:abstractNum>
  <w:abstractNum w:abstractNumId="7">
    <w:nsid w:val="2BF5020E"/>
    <w:multiLevelType w:val="multilevel"/>
    <w:tmpl w:val="2BF5020E"/>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02B2E2C"/>
    <w:multiLevelType w:val="multilevel"/>
    <w:tmpl w:val="302B2E2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28DEFE3"/>
    <w:multiLevelType w:val="singleLevel"/>
    <w:tmpl w:val="428DEFE3"/>
    <w:lvl w:ilvl="0" w:tentative="0">
      <w:start w:val="9"/>
      <w:numFmt w:val="chineseCounting"/>
      <w:suff w:val="nothing"/>
      <w:lvlText w:val="%1、"/>
      <w:lvlJc w:val="left"/>
      <w:rPr>
        <w:rFonts w:hint="eastAsia"/>
      </w:rPr>
    </w:lvl>
  </w:abstractNum>
  <w:abstractNum w:abstractNumId="10">
    <w:nsid w:val="50C38E31"/>
    <w:multiLevelType w:val="singleLevel"/>
    <w:tmpl w:val="50C38E31"/>
    <w:lvl w:ilvl="0" w:tentative="0">
      <w:start w:val="4"/>
      <w:numFmt w:val="decimal"/>
      <w:suff w:val="nothing"/>
      <w:lvlText w:val="（%1）"/>
      <w:lvlJc w:val="left"/>
    </w:lvl>
  </w:abstractNum>
  <w:abstractNum w:abstractNumId="11">
    <w:nsid w:val="5FBA6724"/>
    <w:multiLevelType w:val="singleLevel"/>
    <w:tmpl w:val="5FBA6724"/>
    <w:lvl w:ilvl="0" w:tentative="0">
      <w:start w:val="28"/>
      <w:numFmt w:val="decimal"/>
      <w:suff w:val="space"/>
      <w:lvlText w:val="%1."/>
      <w:lvlJc w:val="left"/>
    </w:lvl>
  </w:abstractNum>
  <w:num w:numId="1">
    <w:abstractNumId w:val="11"/>
  </w:num>
  <w:num w:numId="2">
    <w:abstractNumId w:val="7"/>
  </w:num>
  <w:num w:numId="3">
    <w:abstractNumId w:val="1"/>
  </w:num>
  <w:num w:numId="4">
    <w:abstractNumId w:val="6"/>
  </w:num>
  <w:num w:numId="5">
    <w:abstractNumId w:val="4"/>
  </w:num>
  <w:num w:numId="6">
    <w:abstractNumId w:val="5"/>
  </w:num>
  <w:num w:numId="7">
    <w:abstractNumId w:val="2"/>
  </w:num>
  <w:num w:numId="8">
    <w:abstractNumId w:val="8"/>
  </w:num>
  <w:num w:numId="9">
    <w:abstractNumId w:val="10"/>
  </w:num>
  <w:num w:numId="10">
    <w:abstractNumId w:val="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5ZTZjNGMwYTE1OTM4NzljZGQ2YzFhZGY0ZDg2NTkifQ=="/>
  </w:docVars>
  <w:rsids>
    <w:rsidRoot w:val="004A31C0"/>
    <w:rsid w:val="00040E44"/>
    <w:rsid w:val="000506FE"/>
    <w:rsid w:val="00052F13"/>
    <w:rsid w:val="00062A5D"/>
    <w:rsid w:val="00083EEE"/>
    <w:rsid w:val="000C67BA"/>
    <w:rsid w:val="000D12B1"/>
    <w:rsid w:val="000E19C6"/>
    <w:rsid w:val="000E75F8"/>
    <w:rsid w:val="00106784"/>
    <w:rsid w:val="001113BD"/>
    <w:rsid w:val="001375DB"/>
    <w:rsid w:val="001448FA"/>
    <w:rsid w:val="001478DA"/>
    <w:rsid w:val="00173428"/>
    <w:rsid w:val="001A3CF6"/>
    <w:rsid w:val="001B710C"/>
    <w:rsid w:val="001C258A"/>
    <w:rsid w:val="00240685"/>
    <w:rsid w:val="0024401D"/>
    <w:rsid w:val="0025061C"/>
    <w:rsid w:val="002534A7"/>
    <w:rsid w:val="00280A45"/>
    <w:rsid w:val="002E02E0"/>
    <w:rsid w:val="00302091"/>
    <w:rsid w:val="003169BC"/>
    <w:rsid w:val="0035778E"/>
    <w:rsid w:val="00380ED1"/>
    <w:rsid w:val="00381B1D"/>
    <w:rsid w:val="003A3435"/>
    <w:rsid w:val="003E2487"/>
    <w:rsid w:val="004105E2"/>
    <w:rsid w:val="00424619"/>
    <w:rsid w:val="00424A1D"/>
    <w:rsid w:val="00462F9D"/>
    <w:rsid w:val="00473031"/>
    <w:rsid w:val="004A31C0"/>
    <w:rsid w:val="004E0A4F"/>
    <w:rsid w:val="004E410D"/>
    <w:rsid w:val="00501CA3"/>
    <w:rsid w:val="00531491"/>
    <w:rsid w:val="005365DC"/>
    <w:rsid w:val="00581054"/>
    <w:rsid w:val="005A325A"/>
    <w:rsid w:val="005A3BF2"/>
    <w:rsid w:val="005E34CF"/>
    <w:rsid w:val="0060320D"/>
    <w:rsid w:val="00640BEC"/>
    <w:rsid w:val="00647D47"/>
    <w:rsid w:val="006511DA"/>
    <w:rsid w:val="00652051"/>
    <w:rsid w:val="0065383E"/>
    <w:rsid w:val="00661973"/>
    <w:rsid w:val="006657BD"/>
    <w:rsid w:val="0066773C"/>
    <w:rsid w:val="006D161C"/>
    <w:rsid w:val="006F2568"/>
    <w:rsid w:val="006F282E"/>
    <w:rsid w:val="00706DC6"/>
    <w:rsid w:val="00711092"/>
    <w:rsid w:val="00716529"/>
    <w:rsid w:val="0072315F"/>
    <w:rsid w:val="00725C59"/>
    <w:rsid w:val="00734973"/>
    <w:rsid w:val="00742C93"/>
    <w:rsid w:val="00744AB4"/>
    <w:rsid w:val="0076488A"/>
    <w:rsid w:val="007B07B1"/>
    <w:rsid w:val="00811AC0"/>
    <w:rsid w:val="00825212"/>
    <w:rsid w:val="00843A59"/>
    <w:rsid w:val="00852E70"/>
    <w:rsid w:val="00872DA1"/>
    <w:rsid w:val="00873B8A"/>
    <w:rsid w:val="008B1281"/>
    <w:rsid w:val="008C3320"/>
    <w:rsid w:val="008F729B"/>
    <w:rsid w:val="009040D0"/>
    <w:rsid w:val="009064F4"/>
    <w:rsid w:val="00945503"/>
    <w:rsid w:val="00966579"/>
    <w:rsid w:val="009823B1"/>
    <w:rsid w:val="009863A6"/>
    <w:rsid w:val="0098739B"/>
    <w:rsid w:val="009B7259"/>
    <w:rsid w:val="009E6B47"/>
    <w:rsid w:val="00A31510"/>
    <w:rsid w:val="00A50585"/>
    <w:rsid w:val="00A5394E"/>
    <w:rsid w:val="00A75052"/>
    <w:rsid w:val="00A955FA"/>
    <w:rsid w:val="00AB3C03"/>
    <w:rsid w:val="00AC5A89"/>
    <w:rsid w:val="00AD3120"/>
    <w:rsid w:val="00B1506B"/>
    <w:rsid w:val="00B2139D"/>
    <w:rsid w:val="00B34428"/>
    <w:rsid w:val="00B50722"/>
    <w:rsid w:val="00B638D9"/>
    <w:rsid w:val="00B955CF"/>
    <w:rsid w:val="00BB10D8"/>
    <w:rsid w:val="00C555C7"/>
    <w:rsid w:val="00CA5372"/>
    <w:rsid w:val="00CB3DBC"/>
    <w:rsid w:val="00CF35F3"/>
    <w:rsid w:val="00CF776F"/>
    <w:rsid w:val="00D03E3B"/>
    <w:rsid w:val="00D73271"/>
    <w:rsid w:val="00D901E0"/>
    <w:rsid w:val="00DB52AF"/>
    <w:rsid w:val="00DE7F9D"/>
    <w:rsid w:val="00E01C27"/>
    <w:rsid w:val="00E0322B"/>
    <w:rsid w:val="00E04E77"/>
    <w:rsid w:val="00E13486"/>
    <w:rsid w:val="00E20696"/>
    <w:rsid w:val="00E208EE"/>
    <w:rsid w:val="00E428C8"/>
    <w:rsid w:val="00E76C30"/>
    <w:rsid w:val="00E81776"/>
    <w:rsid w:val="00E93AFC"/>
    <w:rsid w:val="00E94AF3"/>
    <w:rsid w:val="00EC0575"/>
    <w:rsid w:val="00ED389E"/>
    <w:rsid w:val="00EE1AEB"/>
    <w:rsid w:val="00EE2D23"/>
    <w:rsid w:val="00F577A9"/>
    <w:rsid w:val="00F66F6C"/>
    <w:rsid w:val="00F82240"/>
    <w:rsid w:val="00F872C5"/>
    <w:rsid w:val="00F906B9"/>
    <w:rsid w:val="00FD5896"/>
    <w:rsid w:val="015B4FE6"/>
    <w:rsid w:val="01987FE8"/>
    <w:rsid w:val="01E70628"/>
    <w:rsid w:val="02225B04"/>
    <w:rsid w:val="030D433B"/>
    <w:rsid w:val="032D4760"/>
    <w:rsid w:val="0355348F"/>
    <w:rsid w:val="03577689"/>
    <w:rsid w:val="046722B0"/>
    <w:rsid w:val="04820ADC"/>
    <w:rsid w:val="04BD2E4D"/>
    <w:rsid w:val="052102F4"/>
    <w:rsid w:val="0537073D"/>
    <w:rsid w:val="053A13B6"/>
    <w:rsid w:val="056703FD"/>
    <w:rsid w:val="05957B47"/>
    <w:rsid w:val="05F66966"/>
    <w:rsid w:val="060914B4"/>
    <w:rsid w:val="061B2F96"/>
    <w:rsid w:val="06556A50"/>
    <w:rsid w:val="06A96086"/>
    <w:rsid w:val="06EC66E0"/>
    <w:rsid w:val="071215FF"/>
    <w:rsid w:val="0764271A"/>
    <w:rsid w:val="07F6072D"/>
    <w:rsid w:val="07F81840"/>
    <w:rsid w:val="08815D8B"/>
    <w:rsid w:val="088C1F29"/>
    <w:rsid w:val="089414F6"/>
    <w:rsid w:val="08AF5C17"/>
    <w:rsid w:val="08EE6740"/>
    <w:rsid w:val="08EE6B29"/>
    <w:rsid w:val="091343F8"/>
    <w:rsid w:val="09571E45"/>
    <w:rsid w:val="096B6998"/>
    <w:rsid w:val="097A4477"/>
    <w:rsid w:val="0983463A"/>
    <w:rsid w:val="09C923A7"/>
    <w:rsid w:val="0A04246C"/>
    <w:rsid w:val="0A0473BA"/>
    <w:rsid w:val="0A590531"/>
    <w:rsid w:val="0B187AA4"/>
    <w:rsid w:val="0B9F3D21"/>
    <w:rsid w:val="0BC92237"/>
    <w:rsid w:val="0BCD7393"/>
    <w:rsid w:val="0C25691C"/>
    <w:rsid w:val="0CB11F5E"/>
    <w:rsid w:val="0CFF716D"/>
    <w:rsid w:val="0D4734FA"/>
    <w:rsid w:val="0D83519B"/>
    <w:rsid w:val="0DE34399"/>
    <w:rsid w:val="0ECA0663"/>
    <w:rsid w:val="0ECB5D8F"/>
    <w:rsid w:val="0ED14581"/>
    <w:rsid w:val="0F2216D8"/>
    <w:rsid w:val="0F4B48EC"/>
    <w:rsid w:val="0F5E58F1"/>
    <w:rsid w:val="0FA6353F"/>
    <w:rsid w:val="0FFA00C0"/>
    <w:rsid w:val="10404D05"/>
    <w:rsid w:val="10686DD7"/>
    <w:rsid w:val="11001706"/>
    <w:rsid w:val="113C03CA"/>
    <w:rsid w:val="118E6D12"/>
    <w:rsid w:val="12083382"/>
    <w:rsid w:val="121A753D"/>
    <w:rsid w:val="12596E3B"/>
    <w:rsid w:val="126B6B73"/>
    <w:rsid w:val="126F08F1"/>
    <w:rsid w:val="128603F0"/>
    <w:rsid w:val="12EC0194"/>
    <w:rsid w:val="136F4921"/>
    <w:rsid w:val="13A12DDD"/>
    <w:rsid w:val="13BB4E27"/>
    <w:rsid w:val="141A2ADF"/>
    <w:rsid w:val="1437543F"/>
    <w:rsid w:val="1497412F"/>
    <w:rsid w:val="152741D5"/>
    <w:rsid w:val="154222ED"/>
    <w:rsid w:val="15AC3C0A"/>
    <w:rsid w:val="1602382A"/>
    <w:rsid w:val="163E4D59"/>
    <w:rsid w:val="166F5CBE"/>
    <w:rsid w:val="167330B1"/>
    <w:rsid w:val="168468FA"/>
    <w:rsid w:val="169735DB"/>
    <w:rsid w:val="17754C45"/>
    <w:rsid w:val="177F291A"/>
    <w:rsid w:val="17DF0011"/>
    <w:rsid w:val="18773346"/>
    <w:rsid w:val="187F03C9"/>
    <w:rsid w:val="18C66D91"/>
    <w:rsid w:val="18D76FC6"/>
    <w:rsid w:val="18DC0363"/>
    <w:rsid w:val="19022568"/>
    <w:rsid w:val="198133B8"/>
    <w:rsid w:val="198D4444"/>
    <w:rsid w:val="19AF3CC9"/>
    <w:rsid w:val="19BB08C0"/>
    <w:rsid w:val="1A4563DB"/>
    <w:rsid w:val="1A797E22"/>
    <w:rsid w:val="1A7D5B75"/>
    <w:rsid w:val="1A844037"/>
    <w:rsid w:val="1A881D53"/>
    <w:rsid w:val="1AAB623F"/>
    <w:rsid w:val="1AD757CC"/>
    <w:rsid w:val="1ADC289C"/>
    <w:rsid w:val="1ADF05DE"/>
    <w:rsid w:val="1AF84012"/>
    <w:rsid w:val="1B022DB7"/>
    <w:rsid w:val="1B2129A5"/>
    <w:rsid w:val="1B227346"/>
    <w:rsid w:val="1BC670A8"/>
    <w:rsid w:val="1C1442B7"/>
    <w:rsid w:val="1C582DEC"/>
    <w:rsid w:val="1CC01D49"/>
    <w:rsid w:val="1CE4615D"/>
    <w:rsid w:val="1CEA3253"/>
    <w:rsid w:val="1D105554"/>
    <w:rsid w:val="1D58065C"/>
    <w:rsid w:val="1DEF6D8A"/>
    <w:rsid w:val="1E384307"/>
    <w:rsid w:val="1E7B02EC"/>
    <w:rsid w:val="1E7E1FAB"/>
    <w:rsid w:val="1EB53B30"/>
    <w:rsid w:val="1EC27FFB"/>
    <w:rsid w:val="1ECE074D"/>
    <w:rsid w:val="1F527D40"/>
    <w:rsid w:val="1FB5741E"/>
    <w:rsid w:val="1FF36C7E"/>
    <w:rsid w:val="204F58BE"/>
    <w:rsid w:val="205B0270"/>
    <w:rsid w:val="20795A42"/>
    <w:rsid w:val="207C5E0D"/>
    <w:rsid w:val="215E7580"/>
    <w:rsid w:val="21C83B7A"/>
    <w:rsid w:val="22123100"/>
    <w:rsid w:val="224A0A33"/>
    <w:rsid w:val="227B030D"/>
    <w:rsid w:val="229E0813"/>
    <w:rsid w:val="22C42069"/>
    <w:rsid w:val="235E2C76"/>
    <w:rsid w:val="23B51EDC"/>
    <w:rsid w:val="23BE120E"/>
    <w:rsid w:val="23CB7951"/>
    <w:rsid w:val="23FA0237"/>
    <w:rsid w:val="2471674B"/>
    <w:rsid w:val="248D10AB"/>
    <w:rsid w:val="251842DF"/>
    <w:rsid w:val="25697718"/>
    <w:rsid w:val="256E4A38"/>
    <w:rsid w:val="2577464B"/>
    <w:rsid w:val="26713ED1"/>
    <w:rsid w:val="268A1E16"/>
    <w:rsid w:val="26E07F3E"/>
    <w:rsid w:val="270B3199"/>
    <w:rsid w:val="27135897"/>
    <w:rsid w:val="271D4E8C"/>
    <w:rsid w:val="273B1E8D"/>
    <w:rsid w:val="27A051EE"/>
    <w:rsid w:val="27AA5AD0"/>
    <w:rsid w:val="27B30E28"/>
    <w:rsid w:val="28924EE2"/>
    <w:rsid w:val="2894417A"/>
    <w:rsid w:val="28BB2F4C"/>
    <w:rsid w:val="28DC3A70"/>
    <w:rsid w:val="28EB628A"/>
    <w:rsid w:val="28F65471"/>
    <w:rsid w:val="29D05CC2"/>
    <w:rsid w:val="29F574D6"/>
    <w:rsid w:val="2A407549"/>
    <w:rsid w:val="2A592851"/>
    <w:rsid w:val="2AA65109"/>
    <w:rsid w:val="2AD2014A"/>
    <w:rsid w:val="2B4917E2"/>
    <w:rsid w:val="2B724988"/>
    <w:rsid w:val="2B936FA7"/>
    <w:rsid w:val="2BC058C2"/>
    <w:rsid w:val="2BEB7764"/>
    <w:rsid w:val="2C02237E"/>
    <w:rsid w:val="2C960BBE"/>
    <w:rsid w:val="2C965D01"/>
    <w:rsid w:val="2CAF075B"/>
    <w:rsid w:val="2CBF5B79"/>
    <w:rsid w:val="2CC02CF7"/>
    <w:rsid w:val="2D3130E0"/>
    <w:rsid w:val="2D4E527E"/>
    <w:rsid w:val="2D91741B"/>
    <w:rsid w:val="2D937597"/>
    <w:rsid w:val="2DD35D80"/>
    <w:rsid w:val="2DED5609"/>
    <w:rsid w:val="2E132621"/>
    <w:rsid w:val="2E8A14B0"/>
    <w:rsid w:val="2EA7397A"/>
    <w:rsid w:val="2EAF504C"/>
    <w:rsid w:val="2EB07E70"/>
    <w:rsid w:val="2ECC4926"/>
    <w:rsid w:val="2F6D371D"/>
    <w:rsid w:val="2FA31782"/>
    <w:rsid w:val="2FC70985"/>
    <w:rsid w:val="2FD162F0"/>
    <w:rsid w:val="2FD37C1B"/>
    <w:rsid w:val="300C37CC"/>
    <w:rsid w:val="30201025"/>
    <w:rsid w:val="30285E18"/>
    <w:rsid w:val="30443BE6"/>
    <w:rsid w:val="306D2D16"/>
    <w:rsid w:val="308A7C93"/>
    <w:rsid w:val="30A43A04"/>
    <w:rsid w:val="315E3E8C"/>
    <w:rsid w:val="316669B4"/>
    <w:rsid w:val="318E34E9"/>
    <w:rsid w:val="31A55C86"/>
    <w:rsid w:val="31B61C41"/>
    <w:rsid w:val="31C456B3"/>
    <w:rsid w:val="322B7FCE"/>
    <w:rsid w:val="323C089F"/>
    <w:rsid w:val="328F5F4B"/>
    <w:rsid w:val="329A50BF"/>
    <w:rsid w:val="32C30CE7"/>
    <w:rsid w:val="33152997"/>
    <w:rsid w:val="332D5F8B"/>
    <w:rsid w:val="334A736B"/>
    <w:rsid w:val="33715ADF"/>
    <w:rsid w:val="3382672D"/>
    <w:rsid w:val="3397741F"/>
    <w:rsid w:val="33C37CEB"/>
    <w:rsid w:val="343126B7"/>
    <w:rsid w:val="34A00986"/>
    <w:rsid w:val="34A30AAE"/>
    <w:rsid w:val="34B715C8"/>
    <w:rsid w:val="34FA2331"/>
    <w:rsid w:val="352A087B"/>
    <w:rsid w:val="353C0341"/>
    <w:rsid w:val="35A324DC"/>
    <w:rsid w:val="35E46651"/>
    <w:rsid w:val="360D204B"/>
    <w:rsid w:val="363B3DA9"/>
    <w:rsid w:val="36A76F37"/>
    <w:rsid w:val="36C344B8"/>
    <w:rsid w:val="371511B8"/>
    <w:rsid w:val="379C5435"/>
    <w:rsid w:val="37A238A5"/>
    <w:rsid w:val="37A95DA4"/>
    <w:rsid w:val="37D9744F"/>
    <w:rsid w:val="38407086"/>
    <w:rsid w:val="3870580F"/>
    <w:rsid w:val="38DA6EE7"/>
    <w:rsid w:val="38F7050F"/>
    <w:rsid w:val="38F71A80"/>
    <w:rsid w:val="39184F8F"/>
    <w:rsid w:val="3942025E"/>
    <w:rsid w:val="39641F82"/>
    <w:rsid w:val="396A2F49"/>
    <w:rsid w:val="3A5C1F66"/>
    <w:rsid w:val="3A611CA2"/>
    <w:rsid w:val="3A8728F6"/>
    <w:rsid w:val="3A937A95"/>
    <w:rsid w:val="3A9764D0"/>
    <w:rsid w:val="3AE83332"/>
    <w:rsid w:val="3AE83F75"/>
    <w:rsid w:val="3B10202A"/>
    <w:rsid w:val="3B530501"/>
    <w:rsid w:val="3B807FC7"/>
    <w:rsid w:val="3B871F58"/>
    <w:rsid w:val="3BD25860"/>
    <w:rsid w:val="3BD31641"/>
    <w:rsid w:val="3BEB24E7"/>
    <w:rsid w:val="3BFD4707"/>
    <w:rsid w:val="3C13316A"/>
    <w:rsid w:val="3C553D04"/>
    <w:rsid w:val="3C676344"/>
    <w:rsid w:val="3C756255"/>
    <w:rsid w:val="3D251A29"/>
    <w:rsid w:val="3D2E4D81"/>
    <w:rsid w:val="3DB66B25"/>
    <w:rsid w:val="3DC15BF5"/>
    <w:rsid w:val="3DC47494"/>
    <w:rsid w:val="3DCC4B63"/>
    <w:rsid w:val="3DD0620F"/>
    <w:rsid w:val="3E99011A"/>
    <w:rsid w:val="3EC11C25"/>
    <w:rsid w:val="3F170CEB"/>
    <w:rsid w:val="3F7D3D9E"/>
    <w:rsid w:val="3FBE18FC"/>
    <w:rsid w:val="3FC17179"/>
    <w:rsid w:val="402406BD"/>
    <w:rsid w:val="402B37FA"/>
    <w:rsid w:val="403B1563"/>
    <w:rsid w:val="40467D64"/>
    <w:rsid w:val="405A5E8D"/>
    <w:rsid w:val="40632F94"/>
    <w:rsid w:val="407431D0"/>
    <w:rsid w:val="408D556D"/>
    <w:rsid w:val="40EF245B"/>
    <w:rsid w:val="4163572B"/>
    <w:rsid w:val="417B74CF"/>
    <w:rsid w:val="41993647"/>
    <w:rsid w:val="41B006C1"/>
    <w:rsid w:val="41C8213E"/>
    <w:rsid w:val="41CF179F"/>
    <w:rsid w:val="41D44589"/>
    <w:rsid w:val="41FD10AE"/>
    <w:rsid w:val="42221D36"/>
    <w:rsid w:val="422942B3"/>
    <w:rsid w:val="42311E76"/>
    <w:rsid w:val="42D3794A"/>
    <w:rsid w:val="4303280C"/>
    <w:rsid w:val="43112414"/>
    <w:rsid w:val="43657057"/>
    <w:rsid w:val="436C6B89"/>
    <w:rsid w:val="439450D5"/>
    <w:rsid w:val="43C024AB"/>
    <w:rsid w:val="441445A5"/>
    <w:rsid w:val="44AE1D54"/>
    <w:rsid w:val="44EB64CD"/>
    <w:rsid w:val="44F114C2"/>
    <w:rsid w:val="4504286C"/>
    <w:rsid w:val="45132AAF"/>
    <w:rsid w:val="456451A3"/>
    <w:rsid w:val="45A94723"/>
    <w:rsid w:val="46003BDE"/>
    <w:rsid w:val="460074D7"/>
    <w:rsid w:val="46102606"/>
    <w:rsid w:val="461F5BAF"/>
    <w:rsid w:val="462767CD"/>
    <w:rsid w:val="46284338"/>
    <w:rsid w:val="463604B1"/>
    <w:rsid w:val="463A6CB2"/>
    <w:rsid w:val="467700D2"/>
    <w:rsid w:val="46E22739"/>
    <w:rsid w:val="47122476"/>
    <w:rsid w:val="47E400B2"/>
    <w:rsid w:val="480F1C53"/>
    <w:rsid w:val="482079BC"/>
    <w:rsid w:val="48671147"/>
    <w:rsid w:val="4871646A"/>
    <w:rsid w:val="48C81442"/>
    <w:rsid w:val="48DB11B2"/>
    <w:rsid w:val="49507E2D"/>
    <w:rsid w:val="497F6965"/>
    <w:rsid w:val="49935F6C"/>
    <w:rsid w:val="49A46B7D"/>
    <w:rsid w:val="49F474B6"/>
    <w:rsid w:val="4A295781"/>
    <w:rsid w:val="4A2B239B"/>
    <w:rsid w:val="4A9B59BC"/>
    <w:rsid w:val="4BB56195"/>
    <w:rsid w:val="4C11357A"/>
    <w:rsid w:val="4C313396"/>
    <w:rsid w:val="4C501087"/>
    <w:rsid w:val="4C5916EF"/>
    <w:rsid w:val="4CB025BE"/>
    <w:rsid w:val="4D05429A"/>
    <w:rsid w:val="4D4A77EA"/>
    <w:rsid w:val="4D8C296B"/>
    <w:rsid w:val="4D966A1B"/>
    <w:rsid w:val="4D9C011C"/>
    <w:rsid w:val="4DDA20F6"/>
    <w:rsid w:val="4E8D2260"/>
    <w:rsid w:val="4ED630ED"/>
    <w:rsid w:val="4F275AD4"/>
    <w:rsid w:val="4F4C79B7"/>
    <w:rsid w:val="4F525F03"/>
    <w:rsid w:val="4F5D1E0D"/>
    <w:rsid w:val="4FDF63AF"/>
    <w:rsid w:val="50016325"/>
    <w:rsid w:val="50306C0B"/>
    <w:rsid w:val="50855322"/>
    <w:rsid w:val="50C935F5"/>
    <w:rsid w:val="50CF6648"/>
    <w:rsid w:val="50FB2D75"/>
    <w:rsid w:val="51281690"/>
    <w:rsid w:val="51E7025B"/>
    <w:rsid w:val="51EB2DE9"/>
    <w:rsid w:val="51F06651"/>
    <w:rsid w:val="51FC4FF6"/>
    <w:rsid w:val="524D56AE"/>
    <w:rsid w:val="52742AB2"/>
    <w:rsid w:val="52BC3D8E"/>
    <w:rsid w:val="52E01D2A"/>
    <w:rsid w:val="53390376"/>
    <w:rsid w:val="53975DB5"/>
    <w:rsid w:val="53F24654"/>
    <w:rsid w:val="54521A0F"/>
    <w:rsid w:val="54A656ED"/>
    <w:rsid w:val="550146D2"/>
    <w:rsid w:val="556157FC"/>
    <w:rsid w:val="556A6889"/>
    <w:rsid w:val="557B0928"/>
    <w:rsid w:val="559F7CBB"/>
    <w:rsid w:val="56583295"/>
    <w:rsid w:val="5661367A"/>
    <w:rsid w:val="56857512"/>
    <w:rsid w:val="569001EF"/>
    <w:rsid w:val="56A417B8"/>
    <w:rsid w:val="56CA4CC2"/>
    <w:rsid w:val="56DE4CCA"/>
    <w:rsid w:val="56FC0CB1"/>
    <w:rsid w:val="57477426"/>
    <w:rsid w:val="57580F21"/>
    <w:rsid w:val="5758762E"/>
    <w:rsid w:val="57F549C2"/>
    <w:rsid w:val="586C2D60"/>
    <w:rsid w:val="58792201"/>
    <w:rsid w:val="59726C10"/>
    <w:rsid w:val="59A6531C"/>
    <w:rsid w:val="5A415989"/>
    <w:rsid w:val="5A987886"/>
    <w:rsid w:val="5ADC2607"/>
    <w:rsid w:val="5B392E17"/>
    <w:rsid w:val="5B74275D"/>
    <w:rsid w:val="5B841BB9"/>
    <w:rsid w:val="5B925052"/>
    <w:rsid w:val="5B9A0B1E"/>
    <w:rsid w:val="5BD17935"/>
    <w:rsid w:val="5C0C052C"/>
    <w:rsid w:val="5C456700"/>
    <w:rsid w:val="5C512E20"/>
    <w:rsid w:val="5CAC570E"/>
    <w:rsid w:val="5CE21057"/>
    <w:rsid w:val="5CE9292E"/>
    <w:rsid w:val="5D0134C1"/>
    <w:rsid w:val="5D044511"/>
    <w:rsid w:val="5D0764E7"/>
    <w:rsid w:val="5D1F2603"/>
    <w:rsid w:val="5D4811A8"/>
    <w:rsid w:val="5DC0337C"/>
    <w:rsid w:val="5DCA15CA"/>
    <w:rsid w:val="5DD05C2A"/>
    <w:rsid w:val="5E2135CF"/>
    <w:rsid w:val="5EC0115A"/>
    <w:rsid w:val="5ED82947"/>
    <w:rsid w:val="5FB94527"/>
    <w:rsid w:val="5FFE462F"/>
    <w:rsid w:val="600B05B6"/>
    <w:rsid w:val="605E50CE"/>
    <w:rsid w:val="60CC3634"/>
    <w:rsid w:val="60CC7C21"/>
    <w:rsid w:val="611936C7"/>
    <w:rsid w:val="611B2E01"/>
    <w:rsid w:val="614F0098"/>
    <w:rsid w:val="617544AE"/>
    <w:rsid w:val="61F335F4"/>
    <w:rsid w:val="624B3710"/>
    <w:rsid w:val="62764951"/>
    <w:rsid w:val="628B5484"/>
    <w:rsid w:val="62D97596"/>
    <w:rsid w:val="635613E4"/>
    <w:rsid w:val="63B514A9"/>
    <w:rsid w:val="63F25216"/>
    <w:rsid w:val="64243F39"/>
    <w:rsid w:val="64D56ED3"/>
    <w:rsid w:val="650869CE"/>
    <w:rsid w:val="65242442"/>
    <w:rsid w:val="65263149"/>
    <w:rsid w:val="653603C7"/>
    <w:rsid w:val="655160ED"/>
    <w:rsid w:val="65A1254E"/>
    <w:rsid w:val="65A842A2"/>
    <w:rsid w:val="65AD68DC"/>
    <w:rsid w:val="664D4C51"/>
    <w:rsid w:val="668E35D0"/>
    <w:rsid w:val="673646AF"/>
    <w:rsid w:val="673E5BC3"/>
    <w:rsid w:val="67413D64"/>
    <w:rsid w:val="67A61834"/>
    <w:rsid w:val="67FC1544"/>
    <w:rsid w:val="6830241D"/>
    <w:rsid w:val="687F5BE1"/>
    <w:rsid w:val="688B0A2A"/>
    <w:rsid w:val="68C94E9A"/>
    <w:rsid w:val="68FB5BB0"/>
    <w:rsid w:val="691427CE"/>
    <w:rsid w:val="692D1AE1"/>
    <w:rsid w:val="69B31C95"/>
    <w:rsid w:val="69D82075"/>
    <w:rsid w:val="69DD0FAB"/>
    <w:rsid w:val="6A0F50AD"/>
    <w:rsid w:val="6A1676CF"/>
    <w:rsid w:val="6A2429AE"/>
    <w:rsid w:val="6A5D01A4"/>
    <w:rsid w:val="6A8A3E6E"/>
    <w:rsid w:val="6AAF599B"/>
    <w:rsid w:val="6B2241B9"/>
    <w:rsid w:val="6B775D42"/>
    <w:rsid w:val="6BA37E39"/>
    <w:rsid w:val="6BE55203"/>
    <w:rsid w:val="6BE7241B"/>
    <w:rsid w:val="6C1B4E0D"/>
    <w:rsid w:val="6C272818"/>
    <w:rsid w:val="6C700663"/>
    <w:rsid w:val="6CE0119A"/>
    <w:rsid w:val="6D0A4613"/>
    <w:rsid w:val="6D2F5E28"/>
    <w:rsid w:val="6DDB5FB0"/>
    <w:rsid w:val="6E1A0886"/>
    <w:rsid w:val="6E233DE9"/>
    <w:rsid w:val="6E3132BE"/>
    <w:rsid w:val="6E38049E"/>
    <w:rsid w:val="6E404537"/>
    <w:rsid w:val="6E5A4BA5"/>
    <w:rsid w:val="6E936E1E"/>
    <w:rsid w:val="6EA50440"/>
    <w:rsid w:val="6EBF142E"/>
    <w:rsid w:val="6F410095"/>
    <w:rsid w:val="6F6E3519"/>
    <w:rsid w:val="6FB22D40"/>
    <w:rsid w:val="702D29AA"/>
    <w:rsid w:val="703025E3"/>
    <w:rsid w:val="70D6480D"/>
    <w:rsid w:val="70F51137"/>
    <w:rsid w:val="711A6DEF"/>
    <w:rsid w:val="71254015"/>
    <w:rsid w:val="7141437C"/>
    <w:rsid w:val="7163454C"/>
    <w:rsid w:val="71693E5B"/>
    <w:rsid w:val="71BE3C1E"/>
    <w:rsid w:val="71C56D5B"/>
    <w:rsid w:val="72074D78"/>
    <w:rsid w:val="7239770A"/>
    <w:rsid w:val="725620A9"/>
    <w:rsid w:val="729C4BC9"/>
    <w:rsid w:val="72A62AFE"/>
    <w:rsid w:val="72A746B3"/>
    <w:rsid w:val="72A9667D"/>
    <w:rsid w:val="72AE7D36"/>
    <w:rsid w:val="72EF4926"/>
    <w:rsid w:val="72FD72E6"/>
    <w:rsid w:val="7321692F"/>
    <w:rsid w:val="7340031E"/>
    <w:rsid w:val="73C9272D"/>
    <w:rsid w:val="7400407A"/>
    <w:rsid w:val="740B2A1F"/>
    <w:rsid w:val="74387CB8"/>
    <w:rsid w:val="746B32A2"/>
    <w:rsid w:val="74754188"/>
    <w:rsid w:val="749173C8"/>
    <w:rsid w:val="74B135C7"/>
    <w:rsid w:val="75441FC5"/>
    <w:rsid w:val="755C5AB4"/>
    <w:rsid w:val="75626978"/>
    <w:rsid w:val="75854310"/>
    <w:rsid w:val="75894543"/>
    <w:rsid w:val="75907968"/>
    <w:rsid w:val="75A137DC"/>
    <w:rsid w:val="75D752AF"/>
    <w:rsid w:val="760A4892"/>
    <w:rsid w:val="762B1157"/>
    <w:rsid w:val="76982C90"/>
    <w:rsid w:val="770F2826"/>
    <w:rsid w:val="7722255A"/>
    <w:rsid w:val="77492003"/>
    <w:rsid w:val="777059BB"/>
    <w:rsid w:val="78B47B29"/>
    <w:rsid w:val="78BB3E42"/>
    <w:rsid w:val="795517A7"/>
    <w:rsid w:val="79554E68"/>
    <w:rsid w:val="79CF1DBC"/>
    <w:rsid w:val="79E022F0"/>
    <w:rsid w:val="79EC543D"/>
    <w:rsid w:val="79FF4DD4"/>
    <w:rsid w:val="7A122D59"/>
    <w:rsid w:val="7A536CE0"/>
    <w:rsid w:val="7A770E0E"/>
    <w:rsid w:val="7A8F43AA"/>
    <w:rsid w:val="7AD43056"/>
    <w:rsid w:val="7ADD4768"/>
    <w:rsid w:val="7B345DEA"/>
    <w:rsid w:val="7B7D6F7D"/>
    <w:rsid w:val="7B8A4AB6"/>
    <w:rsid w:val="7BD302C6"/>
    <w:rsid w:val="7C8A6B34"/>
    <w:rsid w:val="7C8E41ED"/>
    <w:rsid w:val="7C9331EB"/>
    <w:rsid w:val="7CA8270B"/>
    <w:rsid w:val="7CCE4999"/>
    <w:rsid w:val="7D2B3F6E"/>
    <w:rsid w:val="7D480E4F"/>
    <w:rsid w:val="7DA23751"/>
    <w:rsid w:val="7E611BB9"/>
    <w:rsid w:val="7F253FD0"/>
    <w:rsid w:val="7F64109D"/>
    <w:rsid w:val="7F8F2D02"/>
    <w:rsid w:val="7F972B9D"/>
    <w:rsid w:val="7FA96BC8"/>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200"/>
    </w:pPr>
    <w:rPr>
      <w:rFonts w:ascii="仿宋" w:hAnsi="仿宋" w:eastAsia="仿宋" w:cstheme="majorBidi"/>
      <w:sz w:val="24"/>
      <w:szCs w:val="24"/>
      <w:lang w:val="en-US" w:eastAsia="zh-CN" w:bidi="ar-SA"/>
    </w:rPr>
  </w:style>
  <w:style w:type="paragraph" w:styleId="3">
    <w:name w:val="heading 1"/>
    <w:basedOn w:val="1"/>
    <w:next w:val="1"/>
    <w:link w:val="34"/>
    <w:qFormat/>
    <w:uiPriority w:val="9"/>
    <w:pPr>
      <w:spacing w:before="480" w:after="0"/>
      <w:contextualSpacing/>
      <w:jc w:val="center"/>
      <w:outlineLvl w:val="0"/>
    </w:pPr>
    <w:rPr>
      <w:rFonts w:ascii="仿宋_GB2312" w:eastAsia="仿宋_GB2312"/>
      <w:b/>
      <w:smallCaps/>
      <w:spacing w:val="5"/>
      <w:sz w:val="36"/>
      <w:szCs w:val="36"/>
    </w:rPr>
  </w:style>
  <w:style w:type="paragraph" w:styleId="4">
    <w:name w:val="heading 2"/>
    <w:basedOn w:val="1"/>
    <w:next w:val="1"/>
    <w:link w:val="35"/>
    <w:unhideWhenUsed/>
    <w:qFormat/>
    <w:uiPriority w:val="9"/>
    <w:pPr>
      <w:spacing w:before="200" w:after="0" w:line="271" w:lineRule="auto"/>
      <w:jc w:val="center"/>
      <w:outlineLvl w:val="1"/>
    </w:pPr>
    <w:rPr>
      <w:b/>
      <w:smallCaps/>
      <w:sz w:val="28"/>
      <w:szCs w:val="28"/>
    </w:rPr>
  </w:style>
  <w:style w:type="paragraph" w:styleId="5">
    <w:name w:val="heading 3"/>
    <w:basedOn w:val="1"/>
    <w:next w:val="1"/>
    <w:link w:val="36"/>
    <w:unhideWhenUsed/>
    <w:qFormat/>
    <w:uiPriority w:val="9"/>
    <w:pPr>
      <w:outlineLvl w:val="2"/>
    </w:pPr>
    <w:rPr>
      <w:b/>
    </w:rPr>
  </w:style>
  <w:style w:type="paragraph" w:styleId="6">
    <w:name w:val="heading 4"/>
    <w:basedOn w:val="1"/>
    <w:next w:val="1"/>
    <w:link w:val="37"/>
    <w:unhideWhenUsed/>
    <w:qFormat/>
    <w:uiPriority w:val="9"/>
    <w:pPr>
      <w:spacing w:after="0" w:line="271" w:lineRule="auto"/>
      <w:outlineLvl w:val="3"/>
    </w:pPr>
    <w:rPr>
      <w:b/>
      <w:bCs/>
      <w:spacing w:val="5"/>
    </w:rPr>
  </w:style>
  <w:style w:type="paragraph" w:styleId="7">
    <w:name w:val="heading 5"/>
    <w:basedOn w:val="1"/>
    <w:next w:val="1"/>
    <w:link w:val="38"/>
    <w:unhideWhenUsed/>
    <w:qFormat/>
    <w:uiPriority w:val="9"/>
    <w:pPr>
      <w:spacing w:after="0" w:line="271" w:lineRule="auto"/>
      <w:outlineLvl w:val="4"/>
    </w:pPr>
    <w:rPr>
      <w:i/>
      <w:iCs/>
    </w:rPr>
  </w:style>
  <w:style w:type="paragraph" w:styleId="8">
    <w:name w:val="heading 6"/>
    <w:basedOn w:val="1"/>
    <w:next w:val="1"/>
    <w:link w:val="39"/>
    <w:semiHidden/>
    <w:unhideWhenUsed/>
    <w:qFormat/>
    <w:uiPriority w:val="9"/>
    <w:pPr>
      <w:shd w:val="clear" w:color="auto" w:fill="FFFFFF" w:themeFill="background1"/>
      <w:spacing w:after="0" w:line="271" w:lineRule="auto"/>
      <w:outlineLvl w:val="5"/>
    </w:pPr>
    <w:rPr>
      <w:b/>
      <w:bCs/>
      <w:color w:val="595959" w:themeColor="text1" w:themeTint="A6"/>
      <w:spacing w:val="5"/>
      <w14:textFill>
        <w14:solidFill>
          <w14:schemeClr w14:val="tx1">
            <w14:lumMod w14:val="65000"/>
            <w14:lumOff w14:val="35000"/>
          </w14:schemeClr>
        </w14:solidFill>
      </w14:textFill>
    </w:rPr>
  </w:style>
  <w:style w:type="paragraph" w:styleId="9">
    <w:name w:val="heading 7"/>
    <w:basedOn w:val="1"/>
    <w:next w:val="1"/>
    <w:link w:val="40"/>
    <w:semiHidden/>
    <w:unhideWhenUsed/>
    <w:qFormat/>
    <w:uiPriority w:val="9"/>
    <w:pPr>
      <w:spacing w:after="0"/>
      <w:outlineLvl w:val="6"/>
    </w:pPr>
    <w:rPr>
      <w:b/>
      <w:bCs/>
      <w:i/>
      <w:iCs/>
      <w:color w:val="595959" w:themeColor="text1" w:themeTint="A6"/>
      <w:sz w:val="20"/>
      <w:szCs w:val="20"/>
      <w14:textFill>
        <w14:solidFill>
          <w14:schemeClr w14:val="tx1">
            <w14:lumMod w14:val="65000"/>
            <w14:lumOff w14:val="35000"/>
          </w14:schemeClr>
        </w14:solidFill>
      </w14:textFill>
    </w:rPr>
  </w:style>
  <w:style w:type="paragraph" w:styleId="10">
    <w:name w:val="heading 8"/>
    <w:basedOn w:val="1"/>
    <w:next w:val="1"/>
    <w:link w:val="41"/>
    <w:semiHidden/>
    <w:unhideWhenUsed/>
    <w:qFormat/>
    <w:uiPriority w:val="9"/>
    <w:pPr>
      <w:spacing w:after="0"/>
      <w:outlineLvl w:val="7"/>
    </w:pPr>
    <w:rPr>
      <w:b/>
      <w:bCs/>
      <w:color w:val="808080" w:themeColor="text1" w:themeTint="80"/>
      <w:sz w:val="20"/>
      <w:szCs w:val="20"/>
      <w14:textFill>
        <w14:solidFill>
          <w14:schemeClr w14:val="tx1">
            <w14:lumMod w14:val="50000"/>
            <w14:lumOff w14:val="50000"/>
          </w14:schemeClr>
        </w14:solidFill>
      </w14:textFill>
    </w:rPr>
  </w:style>
  <w:style w:type="paragraph" w:styleId="11">
    <w:name w:val="heading 9"/>
    <w:basedOn w:val="1"/>
    <w:next w:val="1"/>
    <w:link w:val="42"/>
    <w:semiHidden/>
    <w:unhideWhenUsed/>
    <w:qFormat/>
    <w:uiPriority w:val="9"/>
    <w:pPr>
      <w:spacing w:after="0" w:line="271" w:lineRule="auto"/>
      <w:outlineLvl w:val="8"/>
    </w:pPr>
    <w:rPr>
      <w:b/>
      <w:bCs/>
      <w:i/>
      <w:iCs/>
      <w:color w:val="808080" w:themeColor="text1" w:themeTint="80"/>
      <w:sz w:val="18"/>
      <w:szCs w:val="18"/>
      <w14:textFill>
        <w14:solidFill>
          <w14:schemeClr w14:val="tx1">
            <w14:lumMod w14:val="50000"/>
            <w14:lumOff w14:val="50000"/>
          </w14:schemeClr>
        </w14:solidFill>
      </w14:textFill>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61"/>
    <w:qFormat/>
    <w:uiPriority w:val="0"/>
    <w:pPr>
      <w:adjustRightInd w:val="0"/>
      <w:snapToGrid w:val="0"/>
      <w:spacing w:after="0" w:line="480" w:lineRule="exact"/>
      <w:ind w:firstLine="567"/>
      <w:jc w:val="both"/>
    </w:pPr>
    <w:rPr>
      <w:rFonts w:ascii="宋体" w:hAnsi="Times New Roman" w:eastAsia="宋体" w:cs="Times New Roman"/>
      <w:snapToGrid w:val="0"/>
      <w:color w:val="000000"/>
      <w:kern w:val="28"/>
      <w:sz w:val="28"/>
      <w:szCs w:val="20"/>
    </w:rPr>
  </w:style>
  <w:style w:type="paragraph" w:styleId="12">
    <w:name w:val="caption"/>
    <w:basedOn w:val="1"/>
    <w:next w:val="1"/>
    <w:semiHidden/>
    <w:unhideWhenUsed/>
    <w:qFormat/>
    <w:uiPriority w:val="35"/>
    <w:rPr>
      <w:b/>
      <w:bCs/>
      <w:caps/>
      <w:sz w:val="16"/>
      <w:szCs w:val="18"/>
    </w:rPr>
  </w:style>
  <w:style w:type="paragraph" w:styleId="13">
    <w:name w:val="Body Text"/>
    <w:basedOn w:val="1"/>
    <w:next w:val="1"/>
    <w:link w:val="77"/>
    <w:unhideWhenUsed/>
    <w:qFormat/>
    <w:uiPriority w:val="99"/>
    <w:pPr>
      <w:spacing w:after="120"/>
    </w:pPr>
  </w:style>
  <w:style w:type="paragraph" w:styleId="14">
    <w:name w:val="Body Text Indent"/>
    <w:basedOn w:val="1"/>
    <w:link w:val="64"/>
    <w:qFormat/>
    <w:uiPriority w:val="0"/>
    <w:pPr>
      <w:widowControl w:val="0"/>
      <w:adjustRightInd w:val="0"/>
      <w:spacing w:after="0" w:line="480" w:lineRule="exact"/>
      <w:ind w:firstLine="480" w:firstLineChars="200"/>
      <w:jc w:val="both"/>
    </w:pPr>
    <w:rPr>
      <w:rFonts w:ascii="宋体" w:hAnsi="宋体" w:eastAsia="宋体" w:cs="Times New Roman"/>
      <w:kern w:val="2"/>
    </w:rPr>
  </w:style>
  <w:style w:type="paragraph" w:styleId="15">
    <w:name w:val="Plain Text"/>
    <w:basedOn w:val="1"/>
    <w:next w:val="1"/>
    <w:link w:val="62"/>
    <w:qFormat/>
    <w:uiPriority w:val="0"/>
    <w:pPr>
      <w:widowControl w:val="0"/>
      <w:adjustRightInd w:val="0"/>
      <w:spacing w:after="0"/>
      <w:jc w:val="both"/>
    </w:pPr>
    <w:rPr>
      <w:rFonts w:ascii="宋体" w:hAnsi="Courier New" w:eastAsia="宋体" w:cs="Arial"/>
      <w:snapToGrid w:val="0"/>
      <w:kern w:val="2"/>
      <w:sz w:val="21"/>
      <w:szCs w:val="21"/>
    </w:rPr>
  </w:style>
  <w:style w:type="paragraph" w:styleId="16">
    <w:name w:val="Balloon Text"/>
    <w:basedOn w:val="1"/>
    <w:link w:val="76"/>
    <w:semiHidden/>
    <w:unhideWhenUsed/>
    <w:qFormat/>
    <w:uiPriority w:val="99"/>
    <w:pPr>
      <w:spacing w:after="0"/>
    </w:pPr>
    <w:rPr>
      <w:sz w:val="18"/>
      <w:szCs w:val="18"/>
    </w:rPr>
  </w:style>
  <w:style w:type="paragraph" w:styleId="17">
    <w:name w:val="footer"/>
    <w:basedOn w:val="1"/>
    <w:link w:val="33"/>
    <w:unhideWhenUsed/>
    <w:qFormat/>
    <w:uiPriority w:val="99"/>
    <w:pPr>
      <w:tabs>
        <w:tab w:val="center" w:pos="4153"/>
        <w:tab w:val="right" w:pos="8306"/>
      </w:tabs>
      <w:snapToGrid w:val="0"/>
    </w:pPr>
    <w:rPr>
      <w:sz w:val="18"/>
      <w:szCs w:val="18"/>
    </w:rPr>
  </w:style>
  <w:style w:type="paragraph" w:styleId="18">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Subtitle"/>
    <w:basedOn w:val="1"/>
    <w:next w:val="1"/>
    <w:link w:val="44"/>
    <w:qFormat/>
    <w:uiPriority w:val="11"/>
    <w:rPr>
      <w:i/>
      <w:iCs/>
      <w:smallCaps/>
      <w:spacing w:val="10"/>
      <w:sz w:val="28"/>
      <w:szCs w:val="28"/>
    </w:rPr>
  </w:style>
  <w:style w:type="paragraph" w:styleId="20">
    <w:name w:val="Title"/>
    <w:basedOn w:val="1"/>
    <w:next w:val="1"/>
    <w:link w:val="43"/>
    <w:qFormat/>
    <w:uiPriority w:val="10"/>
    <w:pPr>
      <w:spacing w:after="300"/>
      <w:contextualSpacing/>
    </w:pPr>
    <w:rPr>
      <w:smallCaps/>
      <w:sz w:val="52"/>
      <w:szCs w:val="52"/>
    </w:rPr>
  </w:style>
  <w:style w:type="paragraph" w:styleId="21">
    <w:name w:val="Body Text First Indent 2"/>
    <w:basedOn w:val="22"/>
    <w:next w:val="22"/>
    <w:unhideWhenUsed/>
    <w:qFormat/>
    <w:uiPriority w:val="99"/>
    <w:pPr>
      <w:ind w:firstLine="420" w:firstLineChars="200"/>
    </w:pPr>
    <w:rPr>
      <w:sz w:val="24"/>
    </w:rPr>
  </w:style>
  <w:style w:type="paragraph" w:customStyle="1" w:styleId="22">
    <w:name w:val="文章正文"/>
    <w:next w:val="23"/>
    <w:qFormat/>
    <w:uiPriority w:val="0"/>
    <w:pPr>
      <w:widowControl w:val="0"/>
      <w:spacing w:line="360" w:lineRule="auto"/>
      <w:ind w:firstLine="200" w:firstLineChars="200"/>
      <w:jc w:val="both"/>
    </w:pPr>
    <w:rPr>
      <w:rFonts w:ascii="Calibri" w:hAnsi="Calibri" w:eastAsia="宋体" w:cs="Times New Roman"/>
      <w:sz w:val="24"/>
      <w:szCs w:val="24"/>
      <w:lang w:val="en-US" w:eastAsia="zh-CN" w:bidi="ar-SA"/>
    </w:rPr>
  </w:style>
  <w:style w:type="paragraph" w:customStyle="1" w:styleId="23">
    <w:name w:val="公式样式 变量"/>
    <w:qFormat/>
    <w:uiPriority w:val="0"/>
    <w:rPr>
      <w:rFonts w:ascii="Times New Roman" w:hAnsi="Times New Roman" w:eastAsia="宋体" w:cs="Times New Roman"/>
      <w:i/>
      <w:lang w:val="en-US" w:eastAsia="zh-CN" w:bidi="ar-SA"/>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22"/>
    <w:rPr>
      <w:b/>
      <w:bCs/>
    </w:rPr>
  </w:style>
  <w:style w:type="character" w:styleId="28">
    <w:name w:val="Emphasis"/>
    <w:qFormat/>
    <w:uiPriority w:val="20"/>
    <w:rPr>
      <w:b/>
      <w:bCs/>
      <w:i/>
      <w:iCs/>
      <w:spacing w:val="10"/>
    </w:rPr>
  </w:style>
  <w:style w:type="character" w:styleId="29">
    <w:name w:val="Hyperlink"/>
    <w:qFormat/>
    <w:uiPriority w:val="99"/>
    <w:rPr>
      <w:rFonts w:ascii="Arial" w:hAnsi="Arial" w:eastAsia="黑体" w:cs="Arial"/>
      <w:snapToGrid w:val="0"/>
      <w:color w:val="000000"/>
      <w:kern w:val="0"/>
      <w:sz w:val="18"/>
      <w:szCs w:val="18"/>
      <w:u w:val="none"/>
    </w:rPr>
  </w:style>
  <w:style w:type="character" w:styleId="30">
    <w:name w:val="annotation reference"/>
    <w:qFormat/>
    <w:uiPriority w:val="99"/>
    <w:rPr>
      <w:sz w:val="21"/>
      <w:szCs w:val="21"/>
    </w:rPr>
  </w:style>
  <w:style w:type="paragraph" w:customStyle="1" w:styleId="31">
    <w:name w:val="_Style 2"/>
    <w:basedOn w:val="1"/>
    <w:qFormat/>
    <w:uiPriority w:val="0"/>
    <w:pPr>
      <w:ind w:firstLine="200" w:firstLineChars="200"/>
    </w:pPr>
    <w:rPr>
      <w:rFonts w:ascii="Calibri" w:hAnsi="Calibri"/>
      <w:sz w:val="28"/>
      <w:szCs w:val="22"/>
    </w:rPr>
  </w:style>
  <w:style w:type="character" w:customStyle="1" w:styleId="32">
    <w:name w:val="页眉 字符"/>
    <w:basedOn w:val="26"/>
    <w:link w:val="18"/>
    <w:qFormat/>
    <w:uiPriority w:val="99"/>
    <w:rPr>
      <w:sz w:val="18"/>
      <w:szCs w:val="18"/>
    </w:rPr>
  </w:style>
  <w:style w:type="character" w:customStyle="1" w:styleId="33">
    <w:name w:val="页脚 字符"/>
    <w:basedOn w:val="26"/>
    <w:link w:val="17"/>
    <w:qFormat/>
    <w:uiPriority w:val="99"/>
    <w:rPr>
      <w:sz w:val="18"/>
      <w:szCs w:val="18"/>
    </w:rPr>
  </w:style>
  <w:style w:type="character" w:customStyle="1" w:styleId="34">
    <w:name w:val="标题 1 字符"/>
    <w:basedOn w:val="26"/>
    <w:link w:val="3"/>
    <w:qFormat/>
    <w:uiPriority w:val="9"/>
    <w:rPr>
      <w:rFonts w:ascii="仿宋_GB2312" w:hAnsi="仿宋" w:eastAsia="仿宋_GB2312"/>
      <w:b/>
      <w:smallCaps/>
      <w:spacing w:val="5"/>
      <w:sz w:val="36"/>
      <w:szCs w:val="36"/>
    </w:rPr>
  </w:style>
  <w:style w:type="character" w:customStyle="1" w:styleId="35">
    <w:name w:val="标题 2 字符"/>
    <w:basedOn w:val="26"/>
    <w:link w:val="4"/>
    <w:qFormat/>
    <w:uiPriority w:val="9"/>
    <w:rPr>
      <w:rFonts w:ascii="仿宋" w:hAnsi="仿宋" w:eastAsia="仿宋"/>
      <w:b/>
      <w:smallCaps/>
      <w:sz w:val="28"/>
      <w:szCs w:val="28"/>
    </w:rPr>
  </w:style>
  <w:style w:type="character" w:customStyle="1" w:styleId="36">
    <w:name w:val="标题 3 字符"/>
    <w:basedOn w:val="26"/>
    <w:link w:val="5"/>
    <w:qFormat/>
    <w:uiPriority w:val="9"/>
    <w:rPr>
      <w:rFonts w:ascii="仿宋" w:hAnsi="仿宋" w:eastAsia="仿宋"/>
      <w:b/>
      <w:sz w:val="24"/>
      <w:szCs w:val="24"/>
    </w:rPr>
  </w:style>
  <w:style w:type="character" w:customStyle="1" w:styleId="37">
    <w:name w:val="标题 4 字符"/>
    <w:basedOn w:val="26"/>
    <w:link w:val="6"/>
    <w:qFormat/>
    <w:uiPriority w:val="9"/>
    <w:rPr>
      <w:b/>
      <w:bCs/>
      <w:spacing w:val="5"/>
      <w:sz w:val="24"/>
      <w:szCs w:val="24"/>
    </w:rPr>
  </w:style>
  <w:style w:type="character" w:customStyle="1" w:styleId="38">
    <w:name w:val="标题 5 字符"/>
    <w:basedOn w:val="26"/>
    <w:link w:val="7"/>
    <w:qFormat/>
    <w:uiPriority w:val="9"/>
    <w:rPr>
      <w:i/>
      <w:iCs/>
      <w:sz w:val="24"/>
      <w:szCs w:val="24"/>
    </w:rPr>
  </w:style>
  <w:style w:type="character" w:customStyle="1" w:styleId="39">
    <w:name w:val="标题 6 字符"/>
    <w:basedOn w:val="26"/>
    <w:link w:val="8"/>
    <w:semiHidden/>
    <w:qFormat/>
    <w:uiPriority w:val="9"/>
    <w:rPr>
      <w:b/>
      <w:bCs/>
      <w:color w:val="595959" w:themeColor="text1" w:themeTint="A6"/>
      <w:spacing w:val="5"/>
      <w:shd w:val="clear" w:color="auto" w:fill="FFFFFF" w:themeFill="background1"/>
      <w14:textFill>
        <w14:solidFill>
          <w14:schemeClr w14:val="tx1">
            <w14:lumMod w14:val="65000"/>
            <w14:lumOff w14:val="35000"/>
          </w14:schemeClr>
        </w14:solidFill>
      </w14:textFill>
    </w:rPr>
  </w:style>
  <w:style w:type="character" w:customStyle="1" w:styleId="40">
    <w:name w:val="标题 7 字符"/>
    <w:basedOn w:val="26"/>
    <w:link w:val="9"/>
    <w:semiHidden/>
    <w:qFormat/>
    <w:uiPriority w:val="9"/>
    <w:rPr>
      <w:b/>
      <w:bCs/>
      <w:i/>
      <w:iCs/>
      <w:color w:val="595959" w:themeColor="text1" w:themeTint="A6"/>
      <w:sz w:val="20"/>
      <w:szCs w:val="20"/>
      <w14:textFill>
        <w14:solidFill>
          <w14:schemeClr w14:val="tx1">
            <w14:lumMod w14:val="65000"/>
            <w14:lumOff w14:val="35000"/>
          </w14:schemeClr>
        </w14:solidFill>
      </w14:textFill>
    </w:rPr>
  </w:style>
  <w:style w:type="character" w:customStyle="1" w:styleId="41">
    <w:name w:val="标题 8 字符"/>
    <w:basedOn w:val="26"/>
    <w:link w:val="10"/>
    <w:semiHidden/>
    <w:qFormat/>
    <w:uiPriority w:val="9"/>
    <w:rPr>
      <w:b/>
      <w:bCs/>
      <w:color w:val="808080" w:themeColor="text1" w:themeTint="80"/>
      <w:sz w:val="20"/>
      <w:szCs w:val="20"/>
      <w14:textFill>
        <w14:solidFill>
          <w14:schemeClr w14:val="tx1">
            <w14:lumMod w14:val="50000"/>
            <w14:lumOff w14:val="50000"/>
          </w14:schemeClr>
        </w14:solidFill>
      </w14:textFill>
    </w:rPr>
  </w:style>
  <w:style w:type="character" w:customStyle="1" w:styleId="42">
    <w:name w:val="标题 9 字符"/>
    <w:basedOn w:val="26"/>
    <w:link w:val="11"/>
    <w:semiHidden/>
    <w:qFormat/>
    <w:uiPriority w:val="9"/>
    <w:rPr>
      <w:b/>
      <w:bCs/>
      <w:i/>
      <w:iCs/>
      <w:color w:val="808080" w:themeColor="text1" w:themeTint="80"/>
      <w:sz w:val="18"/>
      <w:szCs w:val="18"/>
      <w14:textFill>
        <w14:solidFill>
          <w14:schemeClr w14:val="tx1">
            <w14:lumMod w14:val="50000"/>
            <w14:lumOff w14:val="50000"/>
          </w14:schemeClr>
        </w14:solidFill>
      </w14:textFill>
    </w:rPr>
  </w:style>
  <w:style w:type="character" w:customStyle="1" w:styleId="43">
    <w:name w:val="标题 字符"/>
    <w:basedOn w:val="26"/>
    <w:link w:val="20"/>
    <w:qFormat/>
    <w:uiPriority w:val="10"/>
    <w:rPr>
      <w:smallCaps/>
      <w:sz w:val="52"/>
      <w:szCs w:val="52"/>
    </w:rPr>
  </w:style>
  <w:style w:type="character" w:customStyle="1" w:styleId="44">
    <w:name w:val="副标题 字符"/>
    <w:basedOn w:val="26"/>
    <w:link w:val="19"/>
    <w:qFormat/>
    <w:uiPriority w:val="11"/>
    <w:rPr>
      <w:i/>
      <w:iCs/>
      <w:smallCaps/>
      <w:spacing w:val="10"/>
      <w:sz w:val="28"/>
      <w:szCs w:val="28"/>
    </w:rPr>
  </w:style>
  <w:style w:type="paragraph" w:styleId="45">
    <w:name w:val="No Spacing"/>
    <w:basedOn w:val="1"/>
    <w:link w:val="57"/>
    <w:qFormat/>
    <w:uiPriority w:val="1"/>
    <w:pPr>
      <w:spacing w:after="0"/>
    </w:pPr>
  </w:style>
  <w:style w:type="paragraph" w:styleId="46">
    <w:name w:val="List Paragraph"/>
    <w:basedOn w:val="1"/>
    <w:qFormat/>
    <w:uiPriority w:val="1"/>
    <w:pPr>
      <w:ind w:left="720"/>
      <w:contextualSpacing/>
    </w:pPr>
  </w:style>
  <w:style w:type="paragraph" w:styleId="47">
    <w:name w:val="Quote"/>
    <w:basedOn w:val="1"/>
    <w:next w:val="1"/>
    <w:link w:val="48"/>
    <w:qFormat/>
    <w:uiPriority w:val="29"/>
    <w:rPr>
      <w:i/>
      <w:iCs/>
    </w:rPr>
  </w:style>
  <w:style w:type="character" w:customStyle="1" w:styleId="48">
    <w:name w:val="引用 字符"/>
    <w:basedOn w:val="26"/>
    <w:link w:val="47"/>
    <w:qFormat/>
    <w:uiPriority w:val="29"/>
    <w:rPr>
      <w:i/>
      <w:iCs/>
    </w:rPr>
  </w:style>
  <w:style w:type="paragraph" w:styleId="49">
    <w:name w:val="Intense Quote"/>
    <w:basedOn w:val="1"/>
    <w:next w:val="1"/>
    <w:link w:val="50"/>
    <w:qFormat/>
    <w:uiPriority w:val="30"/>
    <w:pPr>
      <w:pBdr>
        <w:top w:val="single" w:color="auto" w:sz="4" w:space="10"/>
        <w:bottom w:val="single" w:color="auto" w:sz="4" w:space="10"/>
      </w:pBdr>
      <w:spacing w:before="240" w:after="240" w:line="300" w:lineRule="auto"/>
      <w:ind w:left="1152" w:right="1152"/>
      <w:jc w:val="both"/>
    </w:pPr>
    <w:rPr>
      <w:i/>
      <w:iCs/>
    </w:rPr>
  </w:style>
  <w:style w:type="character" w:customStyle="1" w:styleId="50">
    <w:name w:val="明显引用 字符"/>
    <w:basedOn w:val="26"/>
    <w:link w:val="49"/>
    <w:qFormat/>
    <w:uiPriority w:val="30"/>
    <w:rPr>
      <w:i/>
      <w:iCs/>
    </w:rPr>
  </w:style>
  <w:style w:type="character" w:customStyle="1" w:styleId="51">
    <w:name w:val="不明显强调1"/>
    <w:qFormat/>
    <w:uiPriority w:val="19"/>
    <w:rPr>
      <w:i/>
      <w:iCs/>
    </w:rPr>
  </w:style>
  <w:style w:type="character" w:customStyle="1" w:styleId="52">
    <w:name w:val="明显强调1"/>
    <w:qFormat/>
    <w:uiPriority w:val="21"/>
    <w:rPr>
      <w:b/>
      <w:bCs/>
      <w:i/>
      <w:iCs/>
    </w:rPr>
  </w:style>
  <w:style w:type="character" w:customStyle="1" w:styleId="53">
    <w:name w:val="不明显参考1"/>
    <w:basedOn w:val="26"/>
    <w:qFormat/>
    <w:uiPriority w:val="31"/>
    <w:rPr>
      <w:smallCaps/>
    </w:rPr>
  </w:style>
  <w:style w:type="character" w:customStyle="1" w:styleId="54">
    <w:name w:val="明显参考1"/>
    <w:qFormat/>
    <w:uiPriority w:val="32"/>
    <w:rPr>
      <w:b/>
      <w:bCs/>
      <w:smallCaps/>
    </w:rPr>
  </w:style>
  <w:style w:type="character" w:customStyle="1" w:styleId="55">
    <w:name w:val="书籍标题1"/>
    <w:basedOn w:val="26"/>
    <w:qFormat/>
    <w:uiPriority w:val="33"/>
    <w:rPr>
      <w:i/>
      <w:iCs/>
      <w:smallCaps/>
      <w:spacing w:val="5"/>
    </w:rPr>
  </w:style>
  <w:style w:type="paragraph" w:customStyle="1" w:styleId="56">
    <w:name w:val="TOC 标题1"/>
    <w:basedOn w:val="3"/>
    <w:next w:val="1"/>
    <w:semiHidden/>
    <w:unhideWhenUsed/>
    <w:qFormat/>
    <w:uiPriority w:val="39"/>
    <w:pPr>
      <w:outlineLvl w:val="9"/>
    </w:pPr>
    <w:rPr>
      <w:lang w:bidi="en-US"/>
    </w:rPr>
  </w:style>
  <w:style w:type="character" w:customStyle="1" w:styleId="57">
    <w:name w:val="无间隔 字符"/>
    <w:basedOn w:val="26"/>
    <w:link w:val="45"/>
    <w:qFormat/>
    <w:uiPriority w:val="1"/>
  </w:style>
  <w:style w:type="paragraph" w:customStyle="1" w:styleId="58">
    <w:name w:val="Personal Name"/>
    <w:basedOn w:val="20"/>
    <w:qFormat/>
    <w:uiPriority w:val="0"/>
    <w:rPr>
      <w:b/>
      <w:caps/>
      <w:color w:val="000000"/>
      <w:sz w:val="28"/>
      <w:szCs w:val="28"/>
    </w:rPr>
  </w:style>
  <w:style w:type="character" w:customStyle="1" w:styleId="59">
    <w:name w:val="正文2 Char Char"/>
    <w:link w:val="60"/>
    <w:qFormat/>
    <w:uiPriority w:val="0"/>
    <w:rPr>
      <w:rFonts w:ascii="仿宋" w:hAnsi="仿宋" w:eastAsia="仿宋"/>
      <w:sz w:val="24"/>
      <w:szCs w:val="24"/>
    </w:rPr>
  </w:style>
  <w:style w:type="paragraph" w:customStyle="1" w:styleId="60">
    <w:name w:val="正文2"/>
    <w:basedOn w:val="1"/>
    <w:link w:val="59"/>
    <w:qFormat/>
    <w:uiPriority w:val="0"/>
    <w:pPr>
      <w:spacing w:line="360" w:lineRule="auto"/>
    </w:pPr>
  </w:style>
  <w:style w:type="character" w:customStyle="1" w:styleId="61">
    <w:name w:val="正文缩进 字符"/>
    <w:link w:val="2"/>
    <w:qFormat/>
    <w:uiPriority w:val="0"/>
    <w:rPr>
      <w:rFonts w:ascii="宋体" w:hAnsi="Times New Roman" w:eastAsia="宋体" w:cs="Times New Roman"/>
      <w:snapToGrid w:val="0"/>
      <w:color w:val="000000"/>
      <w:kern w:val="28"/>
      <w:sz w:val="28"/>
      <w:szCs w:val="20"/>
    </w:rPr>
  </w:style>
  <w:style w:type="character" w:customStyle="1" w:styleId="62">
    <w:name w:val="纯文本 字符"/>
    <w:basedOn w:val="26"/>
    <w:link w:val="15"/>
    <w:qFormat/>
    <w:uiPriority w:val="0"/>
    <w:rPr>
      <w:rFonts w:ascii="宋体" w:hAnsi="Courier New" w:eastAsia="宋体" w:cs="Arial"/>
      <w:snapToGrid w:val="0"/>
      <w:kern w:val="2"/>
      <w:sz w:val="21"/>
      <w:szCs w:val="21"/>
    </w:rPr>
  </w:style>
  <w:style w:type="character" w:customStyle="1" w:styleId="63">
    <w:name w:val="正文文本缩进 Char"/>
    <w:basedOn w:val="26"/>
    <w:semiHidden/>
    <w:qFormat/>
    <w:uiPriority w:val="99"/>
    <w:rPr>
      <w:rFonts w:ascii="仿宋" w:hAnsi="仿宋" w:eastAsia="仿宋"/>
      <w:sz w:val="24"/>
      <w:szCs w:val="24"/>
    </w:rPr>
  </w:style>
  <w:style w:type="character" w:customStyle="1" w:styleId="64">
    <w:name w:val="正文文本缩进 字符"/>
    <w:link w:val="14"/>
    <w:qFormat/>
    <w:uiPriority w:val="0"/>
    <w:rPr>
      <w:rFonts w:ascii="宋体" w:hAnsi="宋体" w:eastAsia="宋体" w:cs="Times New Roman"/>
      <w:kern w:val="2"/>
      <w:sz w:val="24"/>
      <w:szCs w:val="24"/>
    </w:rPr>
  </w:style>
  <w:style w:type="character" w:customStyle="1" w:styleId="65">
    <w:name w:val="标题 Char2"/>
    <w:qFormat/>
    <w:uiPriority w:val="10"/>
    <w:rPr>
      <w:b/>
      <w:sz w:val="24"/>
      <w:lang w:val="en-GB"/>
    </w:rPr>
  </w:style>
  <w:style w:type="character" w:customStyle="1" w:styleId="66">
    <w:name w:val="纯文本 Char1"/>
    <w:link w:val="67"/>
    <w:qFormat/>
    <w:uiPriority w:val="0"/>
    <w:rPr>
      <w:rFonts w:ascii="宋体" w:hAnsi="Courier New"/>
    </w:rPr>
  </w:style>
  <w:style w:type="paragraph" w:customStyle="1" w:styleId="67">
    <w:name w:val="纯文本1"/>
    <w:basedOn w:val="1"/>
    <w:link w:val="66"/>
    <w:qFormat/>
    <w:uiPriority w:val="0"/>
    <w:pPr>
      <w:widowControl w:val="0"/>
      <w:spacing w:after="0"/>
      <w:jc w:val="both"/>
    </w:pPr>
    <w:rPr>
      <w:rFonts w:ascii="宋体" w:hAnsi="Courier New" w:eastAsiaTheme="majorEastAsia"/>
      <w:sz w:val="22"/>
      <w:szCs w:val="22"/>
    </w:rPr>
  </w:style>
  <w:style w:type="character" w:customStyle="1" w:styleId="68">
    <w:name w:val="页脚 Char2"/>
    <w:qFormat/>
    <w:locked/>
    <w:uiPriority w:val="99"/>
    <w:rPr>
      <w:kern w:val="2"/>
      <w:sz w:val="18"/>
      <w:szCs w:val="18"/>
    </w:rPr>
  </w:style>
  <w:style w:type="character" w:customStyle="1" w:styleId="69">
    <w:name w:val="页眉 Char2"/>
    <w:qFormat/>
    <w:uiPriority w:val="99"/>
    <w:rPr>
      <w:kern w:val="2"/>
      <w:sz w:val="18"/>
      <w:szCs w:val="18"/>
    </w:rPr>
  </w:style>
  <w:style w:type="paragraph" w:customStyle="1" w:styleId="70">
    <w:name w:val="索引 11"/>
    <w:basedOn w:val="1"/>
    <w:next w:val="1"/>
    <w:qFormat/>
    <w:uiPriority w:val="99"/>
    <w:pPr>
      <w:widowControl w:val="0"/>
      <w:spacing w:after="0" w:line="360" w:lineRule="auto"/>
      <w:jc w:val="both"/>
    </w:pPr>
    <w:rPr>
      <w:rFonts w:ascii="仿宋_GB2312" w:hAnsi="Times New Roman" w:eastAsia="仿宋_GB2312" w:cs="Times New Roman"/>
      <w:kern w:val="2"/>
      <w:szCs w:val="20"/>
    </w:rPr>
  </w:style>
  <w:style w:type="paragraph" w:customStyle="1" w:styleId="71">
    <w:name w:val="正文缩进1"/>
    <w:basedOn w:val="1"/>
    <w:next w:val="14"/>
    <w:qFormat/>
    <w:uiPriority w:val="0"/>
    <w:pPr>
      <w:widowControl w:val="0"/>
      <w:autoSpaceDE w:val="0"/>
      <w:autoSpaceDN w:val="0"/>
      <w:adjustRightInd w:val="0"/>
      <w:snapToGrid w:val="0"/>
      <w:spacing w:after="120" w:line="360" w:lineRule="auto"/>
      <w:ind w:left="420" w:leftChars="200" w:firstLine="480" w:firstLineChars="200"/>
      <w:jc w:val="both"/>
    </w:pPr>
    <w:rPr>
      <w:rFonts w:ascii="Times New Roman" w:hAnsi="Times New Roman" w:eastAsia="宋体" w:cs="Times New Roman"/>
      <w:kern w:val="2"/>
      <w:szCs w:val="21"/>
    </w:rPr>
  </w:style>
  <w:style w:type="paragraph" w:customStyle="1" w:styleId="72">
    <w:name w:val="text-tag"/>
    <w:basedOn w:val="1"/>
    <w:semiHidden/>
    <w:qFormat/>
    <w:uiPriority w:val="99"/>
    <w:pPr>
      <w:spacing w:before="100" w:beforeAutospacing="1" w:after="100" w:afterAutospacing="1"/>
    </w:pPr>
    <w:rPr>
      <w:rFonts w:ascii="宋体" w:hAnsi="宋体" w:eastAsia="宋体" w:cs="宋体"/>
    </w:rPr>
  </w:style>
  <w:style w:type="character" w:customStyle="1" w:styleId="73">
    <w:name w:val="纯文本 Char_0"/>
    <w:link w:val="74"/>
    <w:qFormat/>
    <w:uiPriority w:val="0"/>
    <w:rPr>
      <w:rFonts w:ascii="宋体" w:hAnsi="Courier New"/>
      <w:kern w:val="2"/>
      <w:sz w:val="21"/>
      <w:szCs w:val="21"/>
    </w:rPr>
  </w:style>
  <w:style w:type="paragraph" w:customStyle="1" w:styleId="74">
    <w:name w:val="纯文本_0_0"/>
    <w:basedOn w:val="1"/>
    <w:link w:val="73"/>
    <w:qFormat/>
    <w:uiPriority w:val="0"/>
    <w:pPr>
      <w:widowControl w:val="0"/>
      <w:spacing w:after="0"/>
      <w:jc w:val="both"/>
    </w:pPr>
    <w:rPr>
      <w:rFonts w:ascii="宋体" w:hAnsi="Courier New" w:eastAsiaTheme="majorEastAsia"/>
      <w:kern w:val="2"/>
      <w:sz w:val="21"/>
      <w:szCs w:val="21"/>
    </w:rPr>
  </w:style>
  <w:style w:type="paragraph" w:customStyle="1" w:styleId="75">
    <w:name w:val="部分1"/>
    <w:basedOn w:val="1"/>
    <w:qFormat/>
    <w:uiPriority w:val="0"/>
    <w:pPr>
      <w:keepNext/>
      <w:pageBreakBefore/>
      <w:widowControl w:val="0"/>
      <w:tabs>
        <w:tab w:val="left" w:pos="720"/>
      </w:tabs>
      <w:adjustRightInd w:val="0"/>
      <w:spacing w:after="0" w:line="360" w:lineRule="auto"/>
      <w:jc w:val="center"/>
      <w:outlineLvl w:val="0"/>
    </w:pPr>
    <w:rPr>
      <w:rFonts w:ascii="Times New Roman" w:hAnsi="Times New Roman" w:eastAsia="黑体" w:cs="Times New Roman"/>
      <w:b/>
      <w:kern w:val="44"/>
      <w:sz w:val="36"/>
      <w:szCs w:val="20"/>
    </w:rPr>
  </w:style>
  <w:style w:type="character" w:customStyle="1" w:styleId="76">
    <w:name w:val="批注框文本 字符"/>
    <w:basedOn w:val="26"/>
    <w:link w:val="16"/>
    <w:semiHidden/>
    <w:qFormat/>
    <w:uiPriority w:val="99"/>
    <w:rPr>
      <w:rFonts w:ascii="仿宋" w:hAnsi="仿宋" w:eastAsia="仿宋"/>
      <w:sz w:val="18"/>
      <w:szCs w:val="18"/>
    </w:rPr>
  </w:style>
  <w:style w:type="character" w:customStyle="1" w:styleId="77">
    <w:name w:val="正文文本 字符"/>
    <w:basedOn w:val="26"/>
    <w:link w:val="13"/>
    <w:qFormat/>
    <w:uiPriority w:val="99"/>
    <w:rPr>
      <w:rFonts w:ascii="仿宋" w:hAnsi="仿宋" w:eastAsia="仿宋"/>
      <w:sz w:val="24"/>
      <w:szCs w:val="24"/>
    </w:rPr>
  </w:style>
  <w:style w:type="paragraph" w:customStyle="1" w:styleId="78">
    <w:name w:val="表格文字"/>
    <w:basedOn w:val="1"/>
    <w:next w:val="13"/>
    <w:qFormat/>
    <w:uiPriority w:val="0"/>
    <w:pPr>
      <w:spacing w:before="80" w:after="80" w:line="360" w:lineRule="auto"/>
    </w:pPr>
    <w:rPr>
      <w:rFonts w:ascii="Arial" w:hAnsi="Arial" w:eastAsia="仿宋_GB2312" w:cs="Times New Roman"/>
      <w:spacing w:val="10"/>
      <w:sz w:val="28"/>
    </w:rPr>
  </w:style>
  <w:style w:type="paragraph" w:customStyle="1" w:styleId="79">
    <w:name w:val="表格-1"/>
    <w:basedOn w:val="1"/>
    <w:qFormat/>
    <w:uiPriority w:val="99"/>
    <w:pPr>
      <w:spacing w:after="0" w:line="360" w:lineRule="auto"/>
    </w:pPr>
    <w:rPr>
      <w:rFonts w:ascii="Times New Roman" w:hAnsi="Times New Roman" w:eastAsia="宋体" w:cs="Times New Roman"/>
      <w:sz w:val="28"/>
    </w:rPr>
  </w:style>
  <w:style w:type="paragraph" w:customStyle="1" w:styleId="80">
    <w:name w:val="Default"/>
    <w:next w:val="8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2">
    <w:name w:val="Table Paragraph"/>
    <w:basedOn w:val="1"/>
    <w:qFormat/>
    <w:uiPriority w:val="0"/>
    <w:rPr>
      <w:rFonts w:ascii="Calibri" w:hAnsi="Calibri"/>
      <w:lang w:eastAsia="en-US"/>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2.png" Type="http://schemas.openxmlformats.org/officeDocument/2006/relationships/image"/><Relationship Id="rId100" Target="media/image92.png" Type="http://schemas.openxmlformats.org/officeDocument/2006/relationships/image"/><Relationship Id="rId101" Target="media/image93.png" Type="http://schemas.openxmlformats.org/officeDocument/2006/relationships/image"/><Relationship Id="rId102" Target="media/image94.png" Type="http://schemas.openxmlformats.org/officeDocument/2006/relationships/image"/><Relationship Id="rId103" Target="media/image95.png" Type="http://schemas.openxmlformats.org/officeDocument/2006/relationships/image"/><Relationship Id="rId104" Target="media/image96.png" Type="http://schemas.openxmlformats.org/officeDocument/2006/relationships/image"/><Relationship Id="rId105" Target="media/image97.png" Type="http://schemas.openxmlformats.org/officeDocument/2006/relationships/image"/><Relationship Id="rId106" Target="media/image98.png" Type="http://schemas.openxmlformats.org/officeDocument/2006/relationships/image"/><Relationship Id="rId107" Target="media/image99.png" Type="http://schemas.openxmlformats.org/officeDocument/2006/relationships/image"/><Relationship Id="rId108" Target="../customXml/item1.xml" Type="http://schemas.openxmlformats.org/officeDocument/2006/relationships/customXml"/><Relationship Id="rId109" Target="numbering.xml" Type="http://schemas.openxmlformats.org/officeDocument/2006/relationships/numbering"/><Relationship Id="rId11" Target="media/image3.png" Type="http://schemas.openxmlformats.org/officeDocument/2006/relationships/image"/><Relationship Id="rId110" Target="../customXml/item2.xml" Type="http://schemas.openxmlformats.org/officeDocument/2006/relationships/customXml"/><Relationship Id="rId111" Target="fontTable.xml" Type="http://schemas.openxmlformats.org/officeDocument/2006/relationships/fontTabl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ettings.xml" Type="http://schemas.openxmlformats.org/officeDocument/2006/relationships/setting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footnotes.xml" Type="http://schemas.openxmlformats.org/officeDocument/2006/relationships/footnotes"/><Relationship Id="rId30" Target="media/image22.png" Type="http://schemas.openxmlformats.org/officeDocument/2006/relationships/image"/><Relationship Id="rId31" Target="media/image23.png" Type="http://schemas.openxmlformats.org/officeDocument/2006/relationships/image"/><Relationship Id="rId32" Target="media/image24.png" Type="http://schemas.openxmlformats.org/officeDocument/2006/relationships/image"/><Relationship Id="rId33" Target="media/image25.png" Type="http://schemas.openxmlformats.org/officeDocument/2006/relationships/image"/><Relationship Id="rId34" Target="media/image26.png" Type="http://schemas.openxmlformats.org/officeDocument/2006/relationships/image"/><Relationship Id="rId35" Target="media/image27.png" Type="http://schemas.openxmlformats.org/officeDocument/2006/relationships/image"/><Relationship Id="rId36" Target="media/image28.png" Type="http://schemas.openxmlformats.org/officeDocument/2006/relationships/image"/><Relationship Id="rId37" Target="media/image29.png" Type="http://schemas.openxmlformats.org/officeDocument/2006/relationships/image"/><Relationship Id="rId38" Target="media/image30.png" Type="http://schemas.openxmlformats.org/officeDocument/2006/relationships/image"/><Relationship Id="rId39" Target="media/image31.png" Type="http://schemas.openxmlformats.org/officeDocument/2006/relationships/image"/><Relationship Id="rId4" Target="header1.xml" Type="http://schemas.openxmlformats.org/officeDocument/2006/relationships/header"/><Relationship Id="rId40" Target="media/image32.png" Type="http://schemas.openxmlformats.org/officeDocument/2006/relationships/image"/><Relationship Id="rId41" Target="media/image33.png" Type="http://schemas.openxmlformats.org/officeDocument/2006/relationships/image"/><Relationship Id="rId42" Target="media/image34.png" Type="http://schemas.openxmlformats.org/officeDocument/2006/relationships/image"/><Relationship Id="rId43" Target="media/image35.png" Type="http://schemas.openxmlformats.org/officeDocument/2006/relationships/image"/><Relationship Id="rId44" Target="media/image36.png" Type="http://schemas.openxmlformats.org/officeDocument/2006/relationships/image"/><Relationship Id="rId45" Target="media/image37.png" Type="http://schemas.openxmlformats.org/officeDocument/2006/relationships/image"/><Relationship Id="rId46" Target="media/image38.png" Type="http://schemas.openxmlformats.org/officeDocument/2006/relationships/image"/><Relationship Id="rId47" Target="media/image39.png" Type="http://schemas.openxmlformats.org/officeDocument/2006/relationships/image"/><Relationship Id="rId48" Target="media/image40.png" Type="http://schemas.openxmlformats.org/officeDocument/2006/relationships/image"/><Relationship Id="rId49" Target="media/image41.png" Type="http://schemas.openxmlformats.org/officeDocument/2006/relationships/image"/><Relationship Id="rId5" Target="footer1.xml" Type="http://schemas.openxmlformats.org/officeDocument/2006/relationships/footer"/><Relationship Id="rId50" Target="media/image42.png" Type="http://schemas.openxmlformats.org/officeDocument/2006/relationships/image"/><Relationship Id="rId51" Target="media/image43.png" Type="http://schemas.openxmlformats.org/officeDocument/2006/relationships/image"/><Relationship Id="rId52" Target="media/image44.png" Type="http://schemas.openxmlformats.org/officeDocument/2006/relationships/image"/><Relationship Id="rId53" Target="media/image45.png" Type="http://schemas.openxmlformats.org/officeDocument/2006/relationships/image"/><Relationship Id="rId54" Target="media/image46.png" Type="http://schemas.openxmlformats.org/officeDocument/2006/relationships/image"/><Relationship Id="rId55" Target="media/image47.png" Type="http://schemas.openxmlformats.org/officeDocument/2006/relationships/image"/><Relationship Id="rId56" Target="media/image48.png" Type="http://schemas.openxmlformats.org/officeDocument/2006/relationships/image"/><Relationship Id="rId57" Target="media/image49.png" Type="http://schemas.openxmlformats.org/officeDocument/2006/relationships/image"/><Relationship Id="rId58" Target="media/image50.png" Type="http://schemas.openxmlformats.org/officeDocument/2006/relationships/image"/><Relationship Id="rId59" Target="media/image51.png" Type="http://schemas.openxmlformats.org/officeDocument/2006/relationships/image"/><Relationship Id="rId6" Target="footer2.xml" Type="http://schemas.openxmlformats.org/officeDocument/2006/relationships/footer"/><Relationship Id="rId60" Target="media/image52.png" Type="http://schemas.openxmlformats.org/officeDocument/2006/relationships/image"/><Relationship Id="rId61" Target="media/image53.png" Type="http://schemas.openxmlformats.org/officeDocument/2006/relationships/image"/><Relationship Id="rId62" Target="media/image54.png" Type="http://schemas.openxmlformats.org/officeDocument/2006/relationships/image"/><Relationship Id="rId63" Target="media/image55.png" Type="http://schemas.openxmlformats.org/officeDocument/2006/relationships/image"/><Relationship Id="rId64" Target="media/image56.png" Type="http://schemas.openxmlformats.org/officeDocument/2006/relationships/image"/><Relationship Id="rId65" Target="media/image57.png" Type="http://schemas.openxmlformats.org/officeDocument/2006/relationships/image"/><Relationship Id="rId66" Target="media/image58.png" Type="http://schemas.openxmlformats.org/officeDocument/2006/relationships/image"/><Relationship Id="rId67" Target="media/image59.png" Type="http://schemas.openxmlformats.org/officeDocument/2006/relationships/image"/><Relationship Id="rId68" Target="media/image60.png" Type="http://schemas.openxmlformats.org/officeDocument/2006/relationships/image"/><Relationship Id="rId69" Target="media/image61.png" Type="http://schemas.openxmlformats.org/officeDocument/2006/relationships/image"/><Relationship Id="rId7" Target="footer3.xml" Type="http://schemas.openxmlformats.org/officeDocument/2006/relationships/footer"/><Relationship Id="rId70" Target="media/image62.png" Type="http://schemas.openxmlformats.org/officeDocument/2006/relationships/image"/><Relationship Id="rId71" Target="media/image63.png" Type="http://schemas.openxmlformats.org/officeDocument/2006/relationships/image"/><Relationship Id="rId72" Target="media/image64.png" Type="http://schemas.openxmlformats.org/officeDocument/2006/relationships/image"/><Relationship Id="rId73" Target="media/image65.png" Type="http://schemas.openxmlformats.org/officeDocument/2006/relationships/image"/><Relationship Id="rId74" Target="media/image66.png" Type="http://schemas.openxmlformats.org/officeDocument/2006/relationships/image"/><Relationship Id="rId75" Target="media/image67.png" Type="http://schemas.openxmlformats.org/officeDocument/2006/relationships/image"/><Relationship Id="rId76" Target="media/image68.png" Type="http://schemas.openxmlformats.org/officeDocument/2006/relationships/image"/><Relationship Id="rId77" Target="media/image69.png" Type="http://schemas.openxmlformats.org/officeDocument/2006/relationships/image"/><Relationship Id="rId78" Target="media/image70.png" Type="http://schemas.openxmlformats.org/officeDocument/2006/relationships/image"/><Relationship Id="rId79" Target="media/image71.png" Type="http://schemas.openxmlformats.org/officeDocument/2006/relationships/image"/><Relationship Id="rId8" Target="theme/theme1.xml" Type="http://schemas.openxmlformats.org/officeDocument/2006/relationships/theme"/><Relationship Id="rId80" Target="media/image72.png" Type="http://schemas.openxmlformats.org/officeDocument/2006/relationships/image"/><Relationship Id="rId81" Target="media/image73.png" Type="http://schemas.openxmlformats.org/officeDocument/2006/relationships/image"/><Relationship Id="rId82" Target="media/image74.png" Type="http://schemas.openxmlformats.org/officeDocument/2006/relationships/image"/><Relationship Id="rId83" Target="media/image75.png" Type="http://schemas.openxmlformats.org/officeDocument/2006/relationships/image"/><Relationship Id="rId84" Target="media/image76.png" Type="http://schemas.openxmlformats.org/officeDocument/2006/relationships/image"/><Relationship Id="rId85" Target="media/image77.png" Type="http://schemas.openxmlformats.org/officeDocument/2006/relationships/image"/><Relationship Id="rId86" Target="media/image78.png" Type="http://schemas.openxmlformats.org/officeDocument/2006/relationships/image"/><Relationship Id="rId87" Target="media/image79.png" Type="http://schemas.openxmlformats.org/officeDocument/2006/relationships/image"/><Relationship Id="rId88" Target="media/image80.png" Type="http://schemas.openxmlformats.org/officeDocument/2006/relationships/image"/><Relationship Id="rId89" Target="media/image81.png" Type="http://schemas.openxmlformats.org/officeDocument/2006/relationships/image"/><Relationship Id="rId9" Target="media/image1.png" Type="http://schemas.openxmlformats.org/officeDocument/2006/relationships/image"/><Relationship Id="rId90" Target="media/image82.png" Type="http://schemas.openxmlformats.org/officeDocument/2006/relationships/image"/><Relationship Id="rId91" Target="media/image83.png" Type="http://schemas.openxmlformats.org/officeDocument/2006/relationships/image"/><Relationship Id="rId92" Target="media/image84.png" Type="http://schemas.openxmlformats.org/officeDocument/2006/relationships/image"/><Relationship Id="rId93" Target="media/image85.png" Type="http://schemas.openxmlformats.org/officeDocument/2006/relationships/image"/><Relationship Id="rId94" Target="media/image86.png" Type="http://schemas.openxmlformats.org/officeDocument/2006/relationships/image"/><Relationship Id="rId95" Target="media/image87.png" Type="http://schemas.openxmlformats.org/officeDocument/2006/relationships/image"/><Relationship Id="rId96" Target="media/image88.png" Type="http://schemas.openxmlformats.org/officeDocument/2006/relationships/image"/><Relationship Id="rId97" Target="media/image89.png" Type="http://schemas.openxmlformats.org/officeDocument/2006/relationships/image"/><Relationship Id="rId98" Target="media/image90.png" Type="http://schemas.openxmlformats.org/officeDocument/2006/relationships/image"/><Relationship Id="rId99" Target="media/image91.png" Type="http://schemas.openxmlformats.org/officeDocument/2006/relationships/image"/></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6E9672-B487-489B-8A08-A21C17F143A4}">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54026</Words>
  <Characters>58867</Characters>
  <Lines>377</Lines>
  <Paragraphs>106</Paragraphs>
  <TotalTime>37</TotalTime>
  <ScaleCrop>false</ScaleCrop>
  <LinksUpToDate>false</LinksUpToDate>
  <CharactersWithSpaces>64385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2022-09-03T07:39:00Z</dcterms:created>
  <dc:creator>admin</dc:creator>
  <cp:lastModifiedBy>北极熊不吃鱼</cp:lastModifiedBy>
  <cp:lastPrinted>2022-10-18T07:11:00Z</cp:lastPrinted>
  <dcterms:modified xsi:type="dcterms:W3CDTF">2022-10-28T12:41:46Z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501967475B764304BA7E1C6434ACBA6B</vt:lpwstr>
  </property>
</Properties>
</file>