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黑体" w:hAnsi="宋体" w:eastAsia="黑体"/>
          <w:b/>
          <w:sz w:val="52"/>
        </w:rPr>
      </w:pPr>
    </w:p>
    <w:p>
      <w:pPr>
        <w:spacing w:line="600" w:lineRule="exact"/>
        <w:jc w:val="center"/>
        <w:rPr>
          <w:rFonts w:ascii="黑体" w:hAnsi="宋体" w:eastAsia="黑体"/>
          <w:b/>
          <w:sz w:val="52"/>
        </w:rPr>
      </w:pPr>
    </w:p>
    <w:p>
      <w:pPr>
        <w:spacing w:line="600" w:lineRule="exact"/>
        <w:jc w:val="center"/>
        <w:rPr>
          <w:rFonts w:ascii="黑体" w:hAnsi="宋体" w:eastAsia="黑体"/>
          <w:b/>
          <w:sz w:val="52"/>
        </w:rPr>
      </w:pPr>
    </w:p>
    <w:p>
      <w:pPr>
        <w:spacing w:line="600" w:lineRule="exact"/>
        <w:jc w:val="center"/>
        <w:rPr>
          <w:rFonts w:ascii="黑体" w:hAnsi="宋体" w:eastAsia="黑体"/>
          <w:b/>
          <w:sz w:val="52"/>
        </w:rPr>
      </w:pPr>
    </w:p>
    <w:p>
      <w:pPr>
        <w:jc w:val="center"/>
        <w:rPr>
          <w:rFonts w:ascii="宋体" w:hAnsi="宋体"/>
          <w:b/>
          <w:bCs/>
          <w:sz w:val="84"/>
          <w:szCs w:val="84"/>
        </w:rPr>
      </w:pPr>
      <w:r>
        <w:rPr>
          <w:rFonts w:hint="eastAsia" w:ascii="宋体" w:hAnsi="宋体"/>
          <w:b/>
          <w:bCs/>
          <w:sz w:val="84"/>
          <w:szCs w:val="84"/>
        </w:rPr>
        <w:t>公开招标文件</w:t>
      </w:r>
    </w:p>
    <w:p>
      <w:pPr>
        <w:snapToGrid w:val="0"/>
        <w:spacing w:beforeLines="50" w:line="360" w:lineRule="auto"/>
        <w:rPr>
          <w:rFonts w:ascii="宋体" w:hAnsi="宋体"/>
          <w:b/>
          <w:color w:val="000000"/>
          <w:sz w:val="72"/>
        </w:rPr>
      </w:pPr>
    </w:p>
    <w:p>
      <w:pPr>
        <w:snapToGrid w:val="0"/>
        <w:spacing w:beforeLines="50" w:line="360" w:lineRule="auto"/>
        <w:rPr>
          <w:rFonts w:ascii="宋体" w:hAnsi="宋体"/>
          <w:color w:val="000000"/>
          <w:sz w:val="30"/>
        </w:rPr>
      </w:pPr>
    </w:p>
    <w:p>
      <w:pPr>
        <w:tabs>
          <w:tab w:val="left" w:pos="1620"/>
        </w:tabs>
        <w:snapToGrid w:val="0"/>
        <w:spacing w:beforeLines="50" w:line="360" w:lineRule="auto"/>
        <w:ind w:firstLine="1260" w:firstLineChars="420"/>
        <w:rPr>
          <w:rFonts w:ascii="宋体" w:hAnsi="宋体"/>
          <w:color w:val="000000"/>
          <w:sz w:val="30"/>
        </w:rPr>
      </w:pPr>
    </w:p>
    <w:p>
      <w:pPr>
        <w:pStyle w:val="150"/>
        <w:tabs>
          <w:tab w:val="left" w:pos="1620"/>
        </w:tabs>
        <w:snapToGrid w:val="0"/>
        <w:spacing w:before="120" w:after="120" w:line="360" w:lineRule="auto"/>
        <w:ind w:firstLine="602" w:firstLineChars="200"/>
        <w:rPr>
          <w:rFonts w:hint="eastAsia" w:hAnsi="宋体" w:eastAsia="宋体"/>
          <w:b/>
          <w:sz w:val="30"/>
          <w:szCs w:val="30"/>
          <w:lang w:eastAsia="zh-CN"/>
        </w:rPr>
      </w:pPr>
      <w:r>
        <w:rPr>
          <w:rFonts w:hAnsi="宋体"/>
          <w:b/>
          <w:sz w:val="30"/>
          <w:szCs w:val="30"/>
        </w:rPr>
        <w:t>项目编号：</w:t>
      </w:r>
      <w:r>
        <w:rPr>
          <w:rFonts w:hint="eastAsia" w:hAnsi="宋体"/>
          <w:b/>
          <w:sz w:val="30"/>
          <w:szCs w:val="30"/>
          <w:lang w:eastAsia="zh-CN"/>
        </w:rPr>
        <w:t>GYTZ[2022]-021</w:t>
      </w:r>
    </w:p>
    <w:p>
      <w:pPr>
        <w:pStyle w:val="150"/>
        <w:tabs>
          <w:tab w:val="left" w:pos="1620"/>
        </w:tabs>
        <w:snapToGrid w:val="0"/>
        <w:spacing w:before="120" w:after="120" w:line="360" w:lineRule="auto"/>
        <w:ind w:left="2104" w:leftChars="166" w:hanging="1506" w:hangingChars="500"/>
        <w:rPr>
          <w:rFonts w:hAnsi="宋体"/>
          <w:b/>
          <w:color w:val="000000"/>
          <w:sz w:val="30"/>
          <w:szCs w:val="30"/>
          <w:highlight w:val="yellow"/>
        </w:rPr>
      </w:pPr>
      <w:r>
        <w:rPr>
          <w:rFonts w:hAnsi="宋体"/>
          <w:b/>
          <w:sz w:val="30"/>
          <w:szCs w:val="30"/>
        </w:rPr>
        <w:t>项目名称：</w:t>
      </w:r>
      <w:r>
        <w:rPr>
          <w:rFonts w:hint="eastAsia" w:hAnsi="宋体"/>
          <w:b/>
          <w:color w:val="000000"/>
          <w:sz w:val="30"/>
          <w:szCs w:val="30"/>
        </w:rPr>
        <w:t>仙居县基层矛调“五环智控”应用</w:t>
      </w:r>
    </w:p>
    <w:p>
      <w:pPr>
        <w:pStyle w:val="150"/>
        <w:tabs>
          <w:tab w:val="left" w:pos="1620"/>
        </w:tabs>
        <w:snapToGrid w:val="0"/>
        <w:spacing w:before="120" w:after="120" w:line="360" w:lineRule="auto"/>
        <w:ind w:firstLine="602" w:firstLineChars="200"/>
        <w:rPr>
          <w:rFonts w:hAnsi="宋体"/>
          <w:b/>
          <w:sz w:val="30"/>
          <w:szCs w:val="30"/>
        </w:rPr>
      </w:pPr>
      <w:r>
        <w:rPr>
          <w:rFonts w:hAnsi="宋体"/>
          <w:b/>
          <w:sz w:val="30"/>
          <w:szCs w:val="30"/>
        </w:rPr>
        <w:t>采购单位：</w:t>
      </w:r>
      <w:r>
        <w:rPr>
          <w:rFonts w:hint="eastAsia" w:hAnsi="宋体"/>
          <w:b/>
          <w:sz w:val="30"/>
          <w:szCs w:val="30"/>
        </w:rPr>
        <w:t>中共仙居县委政法委员会</w:t>
      </w:r>
    </w:p>
    <w:p>
      <w:pPr>
        <w:pStyle w:val="150"/>
        <w:tabs>
          <w:tab w:val="left" w:pos="1620"/>
        </w:tabs>
        <w:snapToGrid w:val="0"/>
        <w:spacing w:before="120" w:after="120" w:line="360" w:lineRule="auto"/>
        <w:ind w:firstLine="602" w:firstLineChars="200"/>
        <w:rPr>
          <w:rFonts w:hAnsi="宋体"/>
          <w:b/>
          <w:sz w:val="30"/>
          <w:szCs w:val="30"/>
        </w:rPr>
      </w:pPr>
      <w:r>
        <w:rPr>
          <w:rFonts w:hAnsi="宋体"/>
          <w:b/>
          <w:sz w:val="30"/>
          <w:szCs w:val="30"/>
        </w:rPr>
        <w:t>代理机构：</w:t>
      </w:r>
      <w:r>
        <w:rPr>
          <w:rFonts w:hint="eastAsia" w:hAnsi="宋体"/>
          <w:b/>
          <w:sz w:val="30"/>
          <w:szCs w:val="30"/>
        </w:rPr>
        <w:t>浙江华域高宇项目管理有限公司</w:t>
      </w:r>
    </w:p>
    <w:p>
      <w:pPr>
        <w:pStyle w:val="150"/>
        <w:snapToGrid w:val="0"/>
        <w:spacing w:before="120" w:after="120" w:line="360" w:lineRule="auto"/>
        <w:rPr>
          <w:rFonts w:hAnsi="宋体"/>
          <w:b/>
          <w:sz w:val="30"/>
        </w:rPr>
      </w:pPr>
    </w:p>
    <w:p>
      <w:pPr>
        <w:pStyle w:val="150"/>
        <w:snapToGrid w:val="0"/>
        <w:spacing w:before="120" w:after="120" w:line="360" w:lineRule="auto"/>
        <w:rPr>
          <w:rFonts w:hAnsi="宋体"/>
          <w:b/>
          <w:sz w:val="30"/>
        </w:rPr>
      </w:pPr>
    </w:p>
    <w:p>
      <w:pPr>
        <w:pStyle w:val="150"/>
        <w:snapToGrid w:val="0"/>
        <w:spacing w:before="120" w:after="120" w:line="360" w:lineRule="auto"/>
        <w:rPr>
          <w:rFonts w:hAnsi="宋体"/>
          <w:b/>
          <w:sz w:val="30"/>
        </w:rPr>
      </w:pPr>
    </w:p>
    <w:p>
      <w:pPr>
        <w:pStyle w:val="35"/>
        <w:rPr>
          <w:color w:val="000000"/>
          <w:sz w:val="36"/>
        </w:rPr>
        <w:sectPr>
          <w:headerReference r:id="rId3" w:type="default"/>
          <w:footerReference r:id="rId4" w:type="default"/>
          <w:pgSz w:w="11905" w:h="16838"/>
          <w:pgMar w:top="1361" w:right="1587" w:bottom="1361" w:left="1587" w:header="850" w:footer="811" w:gutter="0"/>
          <w:pgNumType w:start="1"/>
          <w:cols w:space="720" w:num="1"/>
          <w:docGrid w:type="lines" w:linePitch="306" w:charSpace="0"/>
        </w:sectPr>
      </w:pPr>
      <w:r>
        <w:rPr>
          <w:rFonts w:hint="eastAsia" w:ascii="宋体" w:hAnsi="宋体"/>
          <w:b w:val="0"/>
          <w:w w:val="95"/>
          <w:sz w:val="30"/>
        </w:rPr>
        <w:t>二〇二二年九月</w:t>
      </w:r>
    </w:p>
    <w:p>
      <w:pPr>
        <w:pStyle w:val="35"/>
        <w:rPr>
          <w:color w:val="000000"/>
          <w:sz w:val="36"/>
        </w:rPr>
      </w:pPr>
      <w:r>
        <w:rPr>
          <w:rFonts w:hint="eastAsia"/>
          <w:color w:val="000000"/>
          <w:sz w:val="36"/>
        </w:rPr>
        <w:t>目录</w:t>
      </w:r>
    </w:p>
    <w:p>
      <w:pPr>
        <w:pStyle w:val="35"/>
        <w:rPr>
          <w:rFonts w:ascii="宋体" w:hAnsi="宋体"/>
          <w:b w:val="0"/>
          <w:sz w:val="24"/>
        </w:rPr>
      </w:pPr>
      <w:r>
        <w:rPr>
          <w:rFonts w:hint="eastAsia" w:ascii="宋体" w:hAnsi="宋体"/>
          <w:color w:val="000000"/>
          <w:sz w:val="30"/>
        </w:rPr>
        <w:fldChar w:fldCharType="begin"/>
      </w:r>
      <w:r>
        <w:rPr>
          <w:rFonts w:hint="eastAsia" w:ascii="宋体" w:hAnsi="宋体"/>
          <w:color w:val="000000"/>
          <w:sz w:val="30"/>
        </w:rPr>
        <w:instrText xml:space="preserve"> TOC \o "1-3" \h \z \u </w:instrText>
      </w:r>
      <w:r>
        <w:rPr>
          <w:rFonts w:hint="eastAsia" w:ascii="宋体" w:hAnsi="宋体"/>
          <w:color w:val="000000"/>
          <w:sz w:val="30"/>
        </w:rPr>
        <w:fldChar w:fldCharType="separate"/>
      </w:r>
      <w:r>
        <w:fldChar w:fldCharType="begin"/>
      </w:r>
      <w:r>
        <w:instrText xml:space="preserve"> HYPERLINK \l "_Toc306901419" </w:instrText>
      </w:r>
      <w:r>
        <w:fldChar w:fldCharType="separate"/>
      </w:r>
      <w:r>
        <w:rPr>
          <w:rStyle w:val="56"/>
          <w:rFonts w:hint="eastAsia" w:ascii="宋体" w:hAnsi="宋体"/>
          <w:sz w:val="24"/>
        </w:rPr>
        <w:t>第一章 招标公告</w:t>
      </w:r>
      <w:r>
        <w:rPr>
          <w:rFonts w:hint="eastAsia" w:ascii="宋体" w:hAnsi="宋体"/>
          <w:sz w:val="24"/>
        </w:rPr>
        <w:tab/>
      </w:r>
      <w:r>
        <w:rPr>
          <w:rFonts w:hint="eastAsia" w:ascii="宋体" w:hAnsi="宋体"/>
          <w:sz w:val="24"/>
        </w:rPr>
        <w:t>2</w:t>
      </w:r>
      <w:r>
        <w:rPr>
          <w:rFonts w:hint="eastAsia" w:ascii="宋体" w:hAnsi="宋体"/>
          <w:sz w:val="24"/>
        </w:rPr>
        <w:fldChar w:fldCharType="end"/>
      </w:r>
    </w:p>
    <w:p>
      <w:pPr>
        <w:pStyle w:val="35"/>
        <w:rPr>
          <w:rFonts w:ascii="宋体" w:hAnsi="宋体"/>
          <w:b w:val="0"/>
          <w:sz w:val="24"/>
        </w:rPr>
      </w:pPr>
      <w:r>
        <w:fldChar w:fldCharType="begin"/>
      </w:r>
      <w:r>
        <w:instrText xml:space="preserve"> HYPERLINK \l "_Toc306901436" </w:instrText>
      </w:r>
      <w:r>
        <w:fldChar w:fldCharType="separate"/>
      </w:r>
      <w:r>
        <w:rPr>
          <w:rStyle w:val="56"/>
          <w:rFonts w:hint="eastAsia" w:ascii="宋体" w:hAnsi="宋体"/>
          <w:sz w:val="24"/>
        </w:rPr>
        <w:t>第二章 公开招标需求</w:t>
      </w:r>
      <w:r>
        <w:rPr>
          <w:rFonts w:hint="eastAsia" w:ascii="宋体" w:hAnsi="宋体"/>
          <w:sz w:val="24"/>
        </w:rPr>
        <w:tab/>
      </w:r>
      <w:r>
        <w:rPr>
          <w:rFonts w:hint="eastAsia" w:ascii="宋体" w:hAnsi="宋体"/>
          <w:sz w:val="24"/>
        </w:rPr>
        <w:t>5</w:t>
      </w:r>
      <w:r>
        <w:rPr>
          <w:rFonts w:hint="eastAsia" w:ascii="宋体" w:hAnsi="宋体"/>
          <w:sz w:val="24"/>
        </w:rPr>
        <w:fldChar w:fldCharType="end"/>
      </w:r>
    </w:p>
    <w:p>
      <w:pPr>
        <w:pStyle w:val="35"/>
        <w:rPr>
          <w:rFonts w:ascii="宋体" w:hAnsi="宋体"/>
          <w:b w:val="0"/>
          <w:sz w:val="24"/>
        </w:rPr>
      </w:pPr>
      <w:r>
        <w:fldChar w:fldCharType="begin"/>
      </w:r>
      <w:r>
        <w:instrText xml:space="preserve"> HYPERLINK \l "_Toc306901444" </w:instrText>
      </w:r>
      <w:r>
        <w:fldChar w:fldCharType="separate"/>
      </w:r>
      <w:r>
        <w:rPr>
          <w:rStyle w:val="56"/>
          <w:rFonts w:hint="eastAsia" w:ascii="宋体" w:hAnsi="宋体"/>
          <w:sz w:val="24"/>
        </w:rPr>
        <w:t>第三章 投标人须知</w:t>
      </w:r>
      <w:r>
        <w:rPr>
          <w:rFonts w:hint="eastAsia" w:ascii="宋体" w:hAnsi="宋体"/>
          <w:sz w:val="24"/>
        </w:rPr>
        <w:tab/>
      </w:r>
      <w:r>
        <w:rPr>
          <w:rFonts w:hint="eastAsia" w:ascii="宋体" w:hAnsi="宋体"/>
          <w:sz w:val="24"/>
        </w:rPr>
        <w:t>9</w:t>
      </w:r>
      <w:r>
        <w:rPr>
          <w:rFonts w:hint="eastAsia" w:ascii="宋体" w:hAnsi="宋体"/>
          <w:sz w:val="24"/>
        </w:rPr>
        <w:fldChar w:fldCharType="end"/>
      </w:r>
    </w:p>
    <w:p>
      <w:pPr>
        <w:pStyle w:val="35"/>
        <w:rPr>
          <w:rFonts w:ascii="宋体" w:hAnsi="宋体"/>
          <w:b w:val="0"/>
          <w:sz w:val="24"/>
        </w:rPr>
      </w:pPr>
      <w:r>
        <w:fldChar w:fldCharType="begin"/>
      </w:r>
      <w:r>
        <w:instrText xml:space="preserve"> HYPERLINK \l "_Toc306901457" </w:instrText>
      </w:r>
      <w:r>
        <w:fldChar w:fldCharType="separate"/>
      </w:r>
      <w:r>
        <w:rPr>
          <w:rStyle w:val="56"/>
          <w:rFonts w:hint="eastAsia" w:ascii="宋体" w:hAnsi="宋体"/>
          <w:sz w:val="24"/>
        </w:rPr>
        <w:t>第四章 评标办法及评分标准</w:t>
      </w:r>
      <w:r>
        <w:rPr>
          <w:rFonts w:hint="eastAsia" w:ascii="宋体" w:hAnsi="宋体"/>
          <w:sz w:val="24"/>
        </w:rPr>
        <w:tab/>
      </w:r>
      <w:r>
        <w:rPr>
          <w:rFonts w:hint="eastAsia" w:ascii="宋体" w:hAnsi="宋体"/>
          <w:sz w:val="24"/>
        </w:rPr>
        <w:t>2</w:t>
      </w:r>
      <w:r>
        <w:rPr>
          <w:rFonts w:hint="eastAsia" w:ascii="宋体" w:hAnsi="宋体"/>
          <w:sz w:val="24"/>
        </w:rPr>
        <w:fldChar w:fldCharType="end"/>
      </w:r>
      <w:r>
        <w:rPr>
          <w:rFonts w:hint="eastAsia" w:ascii="宋体" w:hAnsi="宋体"/>
          <w:sz w:val="24"/>
        </w:rPr>
        <w:t>3</w:t>
      </w:r>
    </w:p>
    <w:p>
      <w:pPr>
        <w:pStyle w:val="35"/>
        <w:rPr>
          <w:rFonts w:ascii="宋体" w:hAnsi="宋体"/>
          <w:b w:val="0"/>
          <w:sz w:val="24"/>
        </w:rPr>
      </w:pPr>
      <w:r>
        <w:fldChar w:fldCharType="begin"/>
      </w:r>
      <w:r>
        <w:instrText xml:space="preserve"> HYPERLINK \l "_Toc306901461" </w:instrText>
      </w:r>
      <w:r>
        <w:fldChar w:fldCharType="separate"/>
      </w:r>
      <w:r>
        <w:rPr>
          <w:rStyle w:val="56"/>
          <w:rFonts w:hint="eastAsia" w:ascii="宋体" w:hAnsi="宋体"/>
          <w:sz w:val="24"/>
        </w:rPr>
        <w:t>第五章 合同主要条款</w:t>
      </w:r>
      <w:r>
        <w:rPr>
          <w:rFonts w:hint="eastAsia" w:ascii="宋体" w:hAnsi="宋体"/>
          <w:sz w:val="24"/>
        </w:rPr>
        <w:tab/>
      </w:r>
      <w:r>
        <w:rPr>
          <w:rFonts w:hint="eastAsia" w:ascii="宋体" w:hAnsi="宋体"/>
          <w:sz w:val="24"/>
        </w:rPr>
        <w:t>2</w:t>
      </w:r>
      <w:r>
        <w:rPr>
          <w:rFonts w:hint="eastAsia" w:ascii="宋体" w:hAnsi="宋体"/>
          <w:sz w:val="24"/>
        </w:rPr>
        <w:fldChar w:fldCharType="end"/>
      </w:r>
      <w:r>
        <w:rPr>
          <w:rFonts w:hint="eastAsia" w:ascii="宋体" w:hAnsi="宋体"/>
          <w:sz w:val="24"/>
        </w:rPr>
        <w:t>6</w:t>
      </w:r>
    </w:p>
    <w:p>
      <w:pPr>
        <w:pStyle w:val="35"/>
        <w:rPr>
          <w:rFonts w:ascii="宋体" w:hAnsi="宋体"/>
          <w:b w:val="0"/>
          <w:sz w:val="32"/>
        </w:rPr>
      </w:pPr>
      <w:r>
        <w:fldChar w:fldCharType="begin"/>
      </w:r>
      <w:r>
        <w:instrText xml:space="preserve"> HYPERLINK \l "_Toc306901462" </w:instrText>
      </w:r>
      <w:r>
        <w:fldChar w:fldCharType="separate"/>
      </w:r>
      <w:r>
        <w:rPr>
          <w:rStyle w:val="56"/>
          <w:rFonts w:hint="eastAsia" w:ascii="宋体" w:hAnsi="宋体"/>
          <w:sz w:val="24"/>
        </w:rPr>
        <w:t>第六章 投标文件格式</w:t>
      </w:r>
      <w:r>
        <w:rPr>
          <w:rFonts w:hint="eastAsia" w:ascii="宋体" w:hAnsi="宋体"/>
          <w:sz w:val="24"/>
        </w:rPr>
        <w:tab/>
      </w:r>
      <w:r>
        <w:rPr>
          <w:rFonts w:hint="eastAsia" w:ascii="宋体" w:hAnsi="宋体"/>
          <w:sz w:val="24"/>
        </w:rPr>
        <w:t>3</w:t>
      </w:r>
      <w:r>
        <w:rPr>
          <w:rFonts w:hint="eastAsia" w:ascii="宋体" w:hAnsi="宋体"/>
          <w:sz w:val="24"/>
        </w:rPr>
        <w:fldChar w:fldCharType="end"/>
      </w:r>
      <w:r>
        <w:rPr>
          <w:rFonts w:hint="eastAsia" w:ascii="宋体" w:hAnsi="宋体"/>
          <w:sz w:val="24"/>
        </w:rPr>
        <w:t>2</w:t>
      </w:r>
    </w:p>
    <w:p>
      <w:pPr>
        <w:adjustRightInd w:val="0"/>
        <w:snapToGrid w:val="0"/>
        <w:spacing w:line="480" w:lineRule="exact"/>
        <w:jc w:val="center"/>
        <w:outlineLvl w:val="0"/>
        <w:rPr>
          <w:b/>
          <w:sz w:val="32"/>
          <w:szCs w:val="32"/>
        </w:rPr>
      </w:pPr>
      <w:r>
        <w:rPr>
          <w:rFonts w:hint="eastAsia" w:ascii="宋体" w:hAnsi="宋体"/>
          <w:b/>
          <w:color w:val="000000"/>
          <w:sz w:val="30"/>
        </w:rPr>
        <w:fldChar w:fldCharType="end"/>
      </w:r>
      <w:r>
        <w:rPr>
          <w:rFonts w:ascii="宋体" w:hAnsi="宋体"/>
          <w:b/>
          <w:color w:val="000000"/>
          <w:sz w:val="44"/>
        </w:rPr>
        <w:br w:type="page"/>
      </w:r>
      <w:bookmarkStart w:id="0" w:name="_Toc306901419"/>
      <w:bookmarkStart w:id="1" w:name="B30_其他事项"/>
      <w:r>
        <w:rPr>
          <w:rFonts w:hint="eastAsia"/>
          <w:b/>
          <w:sz w:val="32"/>
          <w:szCs w:val="32"/>
        </w:rPr>
        <w:t>第一章 公开招标公告</w:t>
      </w:r>
      <w:bookmarkEnd w:id="0"/>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9" w:hRule="atLeast"/>
        </w:trPr>
        <w:tc>
          <w:tcPr>
            <w:tcW w:w="9242" w:type="dxa"/>
          </w:tcPr>
          <w:p>
            <w:pPr>
              <w:snapToGrid w:val="0"/>
              <w:spacing w:line="336" w:lineRule="auto"/>
              <w:rPr>
                <w:rFonts w:ascii="宋体" w:hAnsi="宋体"/>
                <w:kern w:val="0"/>
                <w:sz w:val="21"/>
                <w:szCs w:val="21"/>
              </w:rPr>
            </w:pPr>
            <w:r>
              <w:rPr>
                <w:rFonts w:hint="eastAsia" w:ascii="宋体" w:hAnsi="宋体"/>
                <w:kern w:val="0"/>
                <w:sz w:val="21"/>
                <w:szCs w:val="21"/>
              </w:rPr>
              <w:t xml:space="preserve">项目概况     </w:t>
            </w:r>
          </w:p>
          <w:p>
            <w:pPr>
              <w:snapToGrid w:val="0"/>
              <w:spacing w:line="336" w:lineRule="auto"/>
              <w:rPr>
                <w:rFonts w:ascii="宋体" w:hAnsi="宋体"/>
                <w:kern w:val="0"/>
                <w:sz w:val="21"/>
                <w:szCs w:val="21"/>
              </w:rPr>
            </w:pPr>
            <w:r>
              <w:rPr>
                <w:rFonts w:hint="eastAsia" w:ascii="宋体" w:hAnsi="宋体"/>
                <w:kern w:val="0"/>
                <w:sz w:val="21"/>
                <w:szCs w:val="21"/>
              </w:rPr>
              <w:t>  仙居县基层矛调“五环智控”应用的潜在投标人应在浙江政府采购网（http://zfcg.czt.zj.gov.cn）本项目公告附件获取（下载）招标文件，并于 2022年</w:t>
            </w:r>
            <w:r>
              <w:rPr>
                <w:rFonts w:hint="eastAsia" w:ascii="宋体" w:hAnsi="宋体"/>
                <w:kern w:val="0"/>
                <w:sz w:val="21"/>
                <w:szCs w:val="21"/>
                <w:lang w:val="en-US" w:eastAsia="zh-CN"/>
              </w:rPr>
              <w:t>10</w:t>
            </w:r>
            <w:r>
              <w:rPr>
                <w:rFonts w:hint="eastAsia" w:ascii="宋体" w:hAnsi="宋体"/>
                <w:kern w:val="0"/>
                <w:sz w:val="21"/>
                <w:szCs w:val="21"/>
              </w:rPr>
              <w:t>月</w:t>
            </w:r>
            <w:r>
              <w:rPr>
                <w:rFonts w:hint="eastAsia" w:ascii="宋体" w:hAnsi="宋体"/>
                <w:kern w:val="0"/>
                <w:sz w:val="21"/>
                <w:szCs w:val="21"/>
                <w:lang w:val="en-US" w:eastAsia="zh-CN"/>
              </w:rPr>
              <w:t>21</w:t>
            </w:r>
            <w:r>
              <w:rPr>
                <w:rFonts w:hint="eastAsia" w:ascii="宋体" w:hAnsi="宋体"/>
                <w:kern w:val="0"/>
                <w:sz w:val="21"/>
                <w:szCs w:val="21"/>
              </w:rPr>
              <w:t xml:space="preserve">日 09:00（北京时间）前递交（上传）投标文件。    </w:t>
            </w:r>
            <w:r>
              <w:rPr>
                <w:rFonts w:hint="eastAsia" w:ascii="宋体" w:hAnsi="宋体" w:cs="宋体"/>
                <w:color w:val="000000"/>
                <w:sz w:val="21"/>
                <w:szCs w:val="21"/>
              </w:rPr>
              <w:t>             </w:t>
            </w:r>
          </w:p>
        </w:tc>
      </w:tr>
    </w:tbl>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
          <w:color w:val="000000"/>
          <w:sz w:val="21"/>
          <w:szCs w:val="21"/>
        </w:rPr>
        <w:t>一、项目基本情况</w:t>
      </w:r>
    </w:p>
    <w:p>
      <w:pPr>
        <w:autoSpaceDE w:val="0"/>
        <w:autoSpaceDN w:val="0"/>
        <w:adjustRightInd w:val="0"/>
        <w:snapToGrid w:val="0"/>
        <w:spacing w:line="360" w:lineRule="auto"/>
        <w:ind w:firstLine="480"/>
        <w:rPr>
          <w:rFonts w:hint="eastAsia" w:ascii="宋体" w:hAnsi="宋体" w:eastAsia="宋体"/>
          <w:bCs/>
          <w:color w:val="000000"/>
          <w:sz w:val="21"/>
          <w:szCs w:val="21"/>
          <w:lang w:eastAsia="zh-CN"/>
        </w:rPr>
      </w:pPr>
      <w:r>
        <w:rPr>
          <w:rFonts w:ascii="宋体" w:hAnsi="宋体"/>
          <w:bCs/>
          <w:color w:val="000000"/>
          <w:sz w:val="21"/>
          <w:szCs w:val="21"/>
        </w:rPr>
        <w:t>项目编号：</w:t>
      </w:r>
      <w:r>
        <w:rPr>
          <w:rFonts w:hint="eastAsia" w:ascii="宋体" w:hAnsi="宋体"/>
          <w:bCs/>
          <w:color w:val="000000"/>
          <w:sz w:val="21"/>
          <w:szCs w:val="21"/>
          <w:lang w:eastAsia="zh-CN"/>
        </w:rPr>
        <w:t>GYTZ[2022]-021</w:t>
      </w:r>
    </w:p>
    <w:p>
      <w:pPr>
        <w:autoSpaceDE w:val="0"/>
        <w:autoSpaceDN w:val="0"/>
        <w:adjustRightInd w:val="0"/>
        <w:snapToGrid w:val="0"/>
        <w:spacing w:line="360" w:lineRule="auto"/>
        <w:ind w:firstLine="480"/>
        <w:rPr>
          <w:rFonts w:ascii="宋体" w:hAnsi="宋体"/>
          <w:bCs/>
          <w:color w:val="000000"/>
          <w:sz w:val="21"/>
          <w:szCs w:val="21"/>
        </w:rPr>
      </w:pPr>
      <w:r>
        <w:rPr>
          <w:rFonts w:ascii="宋体" w:hAnsi="宋体"/>
          <w:bCs/>
          <w:color w:val="000000"/>
          <w:sz w:val="21"/>
          <w:szCs w:val="21"/>
        </w:rPr>
        <w:t>项目名称：</w:t>
      </w:r>
      <w:r>
        <w:rPr>
          <w:rFonts w:hint="eastAsia" w:ascii="宋体" w:hAnsi="宋体"/>
          <w:kern w:val="0"/>
          <w:sz w:val="21"/>
          <w:szCs w:val="21"/>
        </w:rPr>
        <w:t>仙居县基层矛调“五环智控”应用</w:t>
      </w:r>
    </w:p>
    <w:p>
      <w:pPr>
        <w:autoSpaceDE w:val="0"/>
        <w:autoSpaceDN w:val="0"/>
        <w:adjustRightInd w:val="0"/>
        <w:snapToGrid w:val="0"/>
        <w:spacing w:line="360" w:lineRule="auto"/>
        <w:ind w:firstLine="480"/>
        <w:rPr>
          <w:rFonts w:ascii="宋体" w:hAnsi="宋体"/>
          <w:bCs/>
          <w:color w:val="000000"/>
          <w:sz w:val="21"/>
          <w:szCs w:val="21"/>
        </w:rPr>
      </w:pPr>
      <w:r>
        <w:rPr>
          <w:rFonts w:ascii="宋体" w:hAnsi="宋体"/>
          <w:bCs/>
          <w:color w:val="000000"/>
          <w:sz w:val="21"/>
          <w:szCs w:val="21"/>
        </w:rPr>
        <w:t>预算金额（元）：</w:t>
      </w:r>
      <w:r>
        <w:rPr>
          <w:rFonts w:hint="eastAsia" w:ascii="宋体" w:hAnsi="宋体"/>
          <w:bCs/>
          <w:color w:val="000000"/>
          <w:sz w:val="21"/>
          <w:szCs w:val="21"/>
        </w:rPr>
        <w:t>6000000；其中标段一：3620000、标段二：2380000</w:t>
      </w:r>
    </w:p>
    <w:p>
      <w:pPr>
        <w:autoSpaceDE w:val="0"/>
        <w:autoSpaceDN w:val="0"/>
        <w:adjustRightInd w:val="0"/>
        <w:snapToGrid w:val="0"/>
        <w:spacing w:line="360" w:lineRule="auto"/>
        <w:ind w:firstLine="480"/>
        <w:rPr>
          <w:rFonts w:ascii="宋体" w:hAnsi="宋体"/>
          <w:bCs/>
          <w:color w:val="000000"/>
          <w:sz w:val="21"/>
          <w:szCs w:val="21"/>
        </w:rPr>
      </w:pPr>
      <w:r>
        <w:rPr>
          <w:rFonts w:ascii="宋体" w:hAnsi="宋体"/>
          <w:bCs/>
          <w:color w:val="000000"/>
          <w:sz w:val="21"/>
          <w:szCs w:val="21"/>
        </w:rPr>
        <w:t>最高限价（元）：</w:t>
      </w:r>
      <w:r>
        <w:rPr>
          <w:rFonts w:hint="eastAsia" w:ascii="宋体" w:hAnsi="宋体"/>
          <w:bCs/>
          <w:color w:val="000000"/>
          <w:sz w:val="21"/>
          <w:szCs w:val="21"/>
        </w:rPr>
        <w:t>标段一：3439000、标段二：2261000</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 单位：项 </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 简要规格描述：见招标需求。</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 备注： </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 合同履约期限：标项</w:t>
      </w:r>
      <w:r>
        <w:rPr>
          <w:rFonts w:hint="eastAsia" w:ascii="宋体" w:hAnsi="宋体"/>
          <w:bCs/>
          <w:color w:val="000000"/>
          <w:sz w:val="21"/>
          <w:szCs w:val="21"/>
          <w:lang w:eastAsia="zh-CN"/>
        </w:rPr>
        <w:t>一、二</w:t>
      </w:r>
      <w:bookmarkStart w:id="56" w:name="_GoBack"/>
      <w:bookmarkEnd w:id="56"/>
      <w:r>
        <w:rPr>
          <w:rFonts w:hint="eastAsia" w:ascii="宋体" w:hAnsi="宋体"/>
          <w:bCs/>
          <w:color w:val="000000"/>
          <w:sz w:val="21"/>
          <w:szCs w:val="21"/>
        </w:rPr>
        <w:t>，见招标需求。</w:t>
      </w:r>
    </w:p>
    <w:p>
      <w:pPr>
        <w:autoSpaceDE w:val="0"/>
        <w:autoSpaceDN w:val="0"/>
        <w:adjustRightInd w:val="0"/>
        <w:snapToGrid w:val="0"/>
        <w:spacing w:line="312" w:lineRule="auto"/>
        <w:ind w:firstLine="480"/>
        <w:rPr>
          <w:rFonts w:ascii="宋体" w:hAnsi="宋体"/>
          <w:bCs/>
          <w:color w:val="000000"/>
          <w:sz w:val="21"/>
          <w:szCs w:val="21"/>
        </w:rPr>
      </w:pPr>
      <w:r>
        <w:rPr>
          <w:rFonts w:ascii="宋体" w:hAnsi="宋体"/>
          <w:bCs/>
          <w:color w:val="000000"/>
          <w:sz w:val="21"/>
          <w:szCs w:val="21"/>
        </w:rPr>
        <w:t>本项目（否）接受联合体投标。</w:t>
      </w:r>
    </w:p>
    <w:p>
      <w:pPr>
        <w:autoSpaceDE w:val="0"/>
        <w:autoSpaceDN w:val="0"/>
        <w:adjustRightInd w:val="0"/>
        <w:snapToGrid w:val="0"/>
        <w:spacing w:line="312" w:lineRule="auto"/>
        <w:ind w:firstLine="480"/>
        <w:rPr>
          <w:rFonts w:ascii="宋体" w:hAnsi="宋体"/>
          <w:b/>
          <w:color w:val="000000"/>
          <w:sz w:val="21"/>
          <w:szCs w:val="21"/>
        </w:rPr>
      </w:pPr>
      <w:r>
        <w:rPr>
          <w:rFonts w:hint="eastAsia" w:ascii="宋体" w:hAnsi="宋体"/>
          <w:b/>
          <w:color w:val="000000"/>
          <w:sz w:val="21"/>
          <w:szCs w:val="21"/>
        </w:rPr>
        <w:t>二、申请人的资格要求：</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1.符合《中华人民共和国政府采购法》第二十二条投标人应当具备的条件，浙财采监【2013】24号《关于规范政府采购投标人资格设定及资格审查的通知》第六条规定，以及未被“信用中国”（www.creditchina.gov.cn）、中国政府采购网（www.ccgp.gov.cn）列入失信被执行人、重大税收违法案件当事人名单、政府采购严重违法失信行为记录名单；</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2.落实政府采购政策需满足的资格要求：无。 </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3.本项目的特定资格要求：无。  </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
          <w:color w:val="000000"/>
          <w:sz w:val="21"/>
          <w:szCs w:val="21"/>
        </w:rPr>
        <w:t>三、获取招标文件</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时间： / 至2022年</w:t>
      </w:r>
      <w:r>
        <w:rPr>
          <w:rFonts w:hint="eastAsia" w:ascii="宋体" w:hAnsi="宋体"/>
          <w:bCs/>
          <w:color w:val="000000"/>
          <w:sz w:val="21"/>
          <w:szCs w:val="21"/>
          <w:lang w:val="en-US" w:eastAsia="zh-CN"/>
        </w:rPr>
        <w:t>10</w:t>
      </w:r>
      <w:r>
        <w:rPr>
          <w:rFonts w:hint="eastAsia" w:ascii="宋体" w:hAnsi="宋体"/>
          <w:bCs/>
          <w:color w:val="000000"/>
          <w:sz w:val="21"/>
          <w:szCs w:val="21"/>
        </w:rPr>
        <w:t>月</w:t>
      </w:r>
      <w:r>
        <w:rPr>
          <w:rFonts w:hint="eastAsia" w:ascii="宋体" w:hAnsi="宋体"/>
          <w:bCs/>
          <w:color w:val="000000"/>
          <w:sz w:val="21"/>
          <w:szCs w:val="21"/>
          <w:lang w:val="en-US" w:eastAsia="zh-CN"/>
        </w:rPr>
        <w:t>21</w:t>
      </w:r>
      <w:r>
        <w:rPr>
          <w:rFonts w:hint="eastAsia" w:ascii="宋体" w:hAnsi="宋体"/>
          <w:bCs/>
          <w:color w:val="000000"/>
          <w:sz w:val="21"/>
          <w:szCs w:val="21"/>
        </w:rPr>
        <w:t>日 ，每天上午 00:00至12:00 ，下午 12:00至23:59 （北京时间，线上获取法定节假日均可，线下获取文件法定节假日除外）；</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地点（网址）：</w:t>
      </w:r>
      <w:r>
        <w:rPr>
          <w:rFonts w:ascii="宋体" w:hAnsi="宋体"/>
          <w:bCs/>
          <w:color w:val="000000"/>
          <w:sz w:val="21"/>
          <w:szCs w:val="21"/>
        </w:rPr>
        <w:t>浙江政府采购网（http://zfcg.czt.zj.gov.cn）本项目公告附件</w:t>
      </w:r>
      <w:r>
        <w:rPr>
          <w:rFonts w:hint="eastAsia" w:ascii="宋体" w:hAnsi="宋体"/>
          <w:bCs/>
          <w:color w:val="000000"/>
          <w:sz w:val="21"/>
          <w:szCs w:val="21"/>
        </w:rPr>
        <w:t>； </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方式：投标人登录政采云平台https://www.zcygov.cn/在线申请获取采购文件（进入“项目采购”应用，在获取采购文件菜单中选择项目，申请获取采购文件），本项目不提供纸制版采购文件；投标人只有在“浙江政府采购网”完成获取采购文件申请并下载采购文件后才视作依法获取采购文件（法律法规所指的投标人获取采购文件时间以投标人完成获取采购文件申请后下载采购文件的时间为准）。通过公告下方“游客→浏览采购文件”下载的采购文件仅供浏览，不视作依法获取采购文件</w:t>
      </w:r>
      <w:r>
        <w:rPr>
          <w:rFonts w:hint="eastAsia" w:ascii="宋体" w:hAnsi="宋体" w:cs="宋体"/>
          <w:kern w:val="0"/>
          <w:sz w:val="21"/>
          <w:szCs w:val="21"/>
        </w:rPr>
        <w:t>。</w:t>
      </w:r>
      <w:r>
        <w:rPr>
          <w:rFonts w:hint="eastAsia" w:ascii="宋体" w:hAnsi="宋体"/>
          <w:bCs/>
          <w:color w:val="000000"/>
          <w:sz w:val="21"/>
          <w:szCs w:val="21"/>
        </w:rPr>
        <w:t> </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售价（元）： 0 </w:t>
      </w:r>
    </w:p>
    <w:p>
      <w:pPr>
        <w:pStyle w:val="42"/>
        <w:widowControl w:val="0"/>
        <w:spacing w:before="0" w:beforeAutospacing="0" w:after="0" w:afterAutospacing="0" w:line="400" w:lineRule="exact"/>
        <w:ind w:firstLine="422" w:firstLineChars="200"/>
        <w:jc w:val="both"/>
        <w:rPr>
          <w:rFonts w:cs="宋体"/>
          <w:b/>
          <w:kern w:val="2"/>
          <w:sz w:val="21"/>
          <w:szCs w:val="21"/>
        </w:rPr>
      </w:pPr>
      <w:r>
        <w:rPr>
          <w:rFonts w:hint="eastAsia" w:cs="宋体"/>
          <w:b/>
          <w:kern w:val="2"/>
          <w:sz w:val="21"/>
          <w:szCs w:val="21"/>
        </w:rPr>
        <w:t>四、提交投标文件截止时间、开标时间和地点</w:t>
      </w:r>
    </w:p>
    <w:p>
      <w:pPr>
        <w:pStyle w:val="42"/>
        <w:widowControl w:val="0"/>
        <w:spacing w:before="0" w:beforeAutospacing="0" w:after="0" w:afterAutospacing="0" w:line="400" w:lineRule="exact"/>
        <w:ind w:right="360" w:rightChars="100" w:firstLine="420" w:firstLineChars="200"/>
        <w:jc w:val="both"/>
        <w:rPr>
          <w:rFonts w:cs="宋体"/>
          <w:sz w:val="21"/>
          <w:szCs w:val="21"/>
        </w:rPr>
      </w:pPr>
      <w:r>
        <w:rPr>
          <w:rFonts w:hint="eastAsia" w:cs="宋体"/>
          <w:sz w:val="21"/>
          <w:szCs w:val="21"/>
        </w:rPr>
        <w:t>1.提交投标文件截止时间：2022年</w:t>
      </w:r>
      <w:r>
        <w:rPr>
          <w:rFonts w:hint="eastAsia" w:cs="宋体"/>
          <w:sz w:val="21"/>
          <w:szCs w:val="21"/>
          <w:lang w:val="en-US" w:eastAsia="zh-CN"/>
        </w:rPr>
        <w:t>10</w:t>
      </w:r>
      <w:r>
        <w:rPr>
          <w:rFonts w:hint="eastAsia" w:cs="宋体"/>
          <w:sz w:val="21"/>
          <w:szCs w:val="21"/>
        </w:rPr>
        <w:t>月</w:t>
      </w:r>
      <w:r>
        <w:rPr>
          <w:rFonts w:hint="eastAsia" w:cs="宋体"/>
          <w:sz w:val="21"/>
          <w:szCs w:val="21"/>
          <w:lang w:val="en-US" w:eastAsia="zh-CN"/>
        </w:rPr>
        <w:t>21</w:t>
      </w:r>
      <w:r>
        <w:rPr>
          <w:rFonts w:hint="eastAsia" w:cs="宋体"/>
          <w:sz w:val="21"/>
          <w:szCs w:val="21"/>
        </w:rPr>
        <w:t>日09:00（北京时间）</w:t>
      </w:r>
    </w:p>
    <w:p>
      <w:pPr>
        <w:pStyle w:val="42"/>
        <w:widowControl w:val="0"/>
        <w:spacing w:before="0" w:beforeAutospacing="0" w:after="0" w:afterAutospacing="0" w:line="400" w:lineRule="exact"/>
        <w:ind w:right="360" w:rightChars="100" w:firstLine="420" w:firstLineChars="200"/>
        <w:jc w:val="both"/>
        <w:rPr>
          <w:rFonts w:cs="宋体"/>
          <w:sz w:val="21"/>
          <w:szCs w:val="21"/>
        </w:rPr>
      </w:pPr>
      <w:r>
        <w:rPr>
          <w:rFonts w:hint="eastAsia" w:cs="宋体"/>
          <w:sz w:val="21"/>
          <w:szCs w:val="21"/>
        </w:rPr>
        <w:t>2.投标地点（网址）：（1）电子加密响应文件：在“政府采购云平台”上传提交。“电子加密响应文件”成功上传提交后，</w:t>
      </w:r>
      <w:r>
        <w:rPr>
          <w:rFonts w:hint="eastAsia"/>
          <w:bCs/>
          <w:color w:val="000000"/>
          <w:sz w:val="21"/>
          <w:szCs w:val="21"/>
        </w:rPr>
        <w:t>投标人</w:t>
      </w:r>
      <w:r>
        <w:rPr>
          <w:rFonts w:hint="eastAsia" w:cs="宋体"/>
          <w:sz w:val="21"/>
          <w:szCs w:val="21"/>
        </w:rPr>
        <w:t xml:space="preserve">自行打印响应文件接收回执。 </w:t>
      </w:r>
    </w:p>
    <w:p>
      <w:pPr>
        <w:pStyle w:val="42"/>
        <w:widowControl w:val="0"/>
        <w:spacing w:before="0" w:beforeAutospacing="0" w:after="0" w:afterAutospacing="0" w:line="400" w:lineRule="exact"/>
        <w:ind w:right="360" w:rightChars="100" w:firstLine="420" w:firstLineChars="200"/>
        <w:jc w:val="both"/>
        <w:rPr>
          <w:rFonts w:cs="宋体"/>
          <w:sz w:val="21"/>
          <w:szCs w:val="21"/>
        </w:rPr>
      </w:pPr>
      <w:r>
        <w:rPr>
          <w:rFonts w:hint="eastAsia" w:cs="宋体"/>
          <w:sz w:val="21"/>
          <w:szCs w:val="21"/>
        </w:rPr>
        <w:t>（2）备份响应文件：</w:t>
      </w:r>
      <w:r>
        <w:rPr>
          <w:rFonts w:hint="eastAsia"/>
          <w:bCs/>
          <w:color w:val="000000"/>
          <w:sz w:val="21"/>
          <w:szCs w:val="21"/>
        </w:rPr>
        <w:t>投标人</w:t>
      </w:r>
      <w:r>
        <w:rPr>
          <w:rFonts w:hint="eastAsia" w:cs="宋体"/>
          <w:sz w:val="21"/>
          <w:szCs w:val="21"/>
        </w:rPr>
        <w:t>自行确定是否提交。若提交请在响应文件截止时间前将备份响应文件打包压缩加密（未加密造成泄密的由</w:t>
      </w:r>
      <w:r>
        <w:rPr>
          <w:rFonts w:hint="eastAsia"/>
          <w:bCs/>
          <w:color w:val="000000"/>
          <w:sz w:val="21"/>
          <w:szCs w:val="21"/>
        </w:rPr>
        <w:t>投标人</w:t>
      </w:r>
      <w:r>
        <w:rPr>
          <w:rFonts w:hint="eastAsia" w:cs="宋体"/>
          <w:sz w:val="21"/>
          <w:szCs w:val="21"/>
        </w:rPr>
        <w:t>自行承担）后以电子邮件的形式发送至313195311@qq.com 。</w:t>
      </w:r>
    </w:p>
    <w:p>
      <w:pPr>
        <w:autoSpaceDE w:val="0"/>
        <w:autoSpaceDN w:val="0"/>
        <w:adjustRightInd w:val="0"/>
        <w:snapToGrid w:val="0"/>
        <w:spacing w:line="312" w:lineRule="auto"/>
        <w:ind w:firstLine="420" w:firstLineChars="200"/>
        <w:rPr>
          <w:rFonts w:ascii="宋体" w:hAnsi="宋体"/>
          <w:bCs/>
          <w:sz w:val="21"/>
          <w:szCs w:val="21"/>
        </w:rPr>
      </w:pPr>
      <w:r>
        <w:rPr>
          <w:rFonts w:hint="eastAsia" w:ascii="宋体" w:hAnsi="宋体"/>
          <w:bCs/>
          <w:sz w:val="21"/>
          <w:szCs w:val="21"/>
        </w:rPr>
        <w:t>3.开标时间：2022年</w:t>
      </w:r>
      <w:r>
        <w:rPr>
          <w:rFonts w:hint="eastAsia" w:ascii="宋体" w:hAnsi="宋体"/>
          <w:bCs/>
          <w:sz w:val="21"/>
          <w:szCs w:val="21"/>
          <w:lang w:val="en-US" w:eastAsia="zh-CN"/>
        </w:rPr>
        <w:t>10</w:t>
      </w:r>
      <w:r>
        <w:rPr>
          <w:rFonts w:hint="eastAsia" w:ascii="宋体" w:hAnsi="宋体"/>
          <w:bCs/>
          <w:sz w:val="21"/>
          <w:szCs w:val="21"/>
        </w:rPr>
        <w:t>月</w:t>
      </w:r>
      <w:r>
        <w:rPr>
          <w:rFonts w:hint="eastAsia" w:ascii="宋体" w:hAnsi="宋体"/>
          <w:bCs/>
          <w:sz w:val="21"/>
          <w:szCs w:val="21"/>
          <w:lang w:val="en-US" w:eastAsia="zh-CN"/>
        </w:rPr>
        <w:t>21</w:t>
      </w:r>
      <w:r>
        <w:rPr>
          <w:rFonts w:hint="eastAsia" w:ascii="宋体" w:hAnsi="宋体"/>
          <w:bCs/>
          <w:sz w:val="21"/>
          <w:szCs w:val="21"/>
        </w:rPr>
        <w:t>日 09:00 </w:t>
      </w:r>
    </w:p>
    <w:p>
      <w:pPr>
        <w:autoSpaceDE w:val="0"/>
        <w:autoSpaceDN w:val="0"/>
        <w:adjustRightInd w:val="0"/>
        <w:snapToGrid w:val="0"/>
        <w:spacing w:line="312" w:lineRule="auto"/>
        <w:ind w:firstLine="420" w:firstLineChars="200"/>
      </w:pPr>
      <w:r>
        <w:rPr>
          <w:rFonts w:hint="eastAsia" w:ascii="宋体" w:hAnsi="宋体"/>
          <w:bCs/>
          <w:sz w:val="21"/>
          <w:szCs w:val="21"/>
        </w:rPr>
        <w:t>4.地点（网址）：</w:t>
      </w:r>
      <w:r>
        <w:rPr>
          <w:rFonts w:ascii="宋体" w:hAnsi="宋体"/>
          <w:bCs/>
          <w:sz w:val="21"/>
          <w:szCs w:val="21"/>
        </w:rPr>
        <w:t>投标人无需在开标当天到达开标现场，但须准时在线（政府采购云平台</w:t>
      </w:r>
      <w:r>
        <w:fldChar w:fldCharType="begin"/>
      </w:r>
      <w:r>
        <w:instrText xml:space="preserve"> HYPERLINK "https://www.zcygov.cn" </w:instrText>
      </w:r>
      <w:r>
        <w:fldChar w:fldCharType="separate"/>
      </w:r>
      <w:r>
        <w:rPr>
          <w:rStyle w:val="56"/>
          <w:rFonts w:ascii="宋体" w:hAnsi="宋体"/>
          <w:bCs/>
          <w:color w:val="auto"/>
          <w:sz w:val="21"/>
          <w:szCs w:val="21"/>
        </w:rPr>
        <w:t>https://www.zcygov.cn</w:t>
      </w:r>
      <w:r>
        <w:rPr>
          <w:rStyle w:val="56"/>
          <w:rFonts w:ascii="宋体" w:hAnsi="宋体"/>
          <w:bCs/>
          <w:color w:val="auto"/>
          <w:sz w:val="21"/>
          <w:szCs w:val="21"/>
        </w:rPr>
        <w:fldChar w:fldCharType="end"/>
      </w:r>
      <w:r>
        <w:rPr>
          <w:rFonts w:hint="eastAsia" w:ascii="宋体" w:hAnsi="宋体"/>
          <w:bCs/>
          <w:sz w:val="21"/>
          <w:szCs w:val="21"/>
        </w:rPr>
        <w:t>和不见面开标大厅</w:t>
      </w:r>
      <w:r>
        <w:rPr>
          <w:rFonts w:ascii="宋体" w:hAnsi="宋体"/>
          <w:bCs/>
          <w:sz w:val="21"/>
          <w:szCs w:val="21"/>
        </w:rPr>
        <w:t>）参加，直至项目开评标结束</w:t>
      </w:r>
      <w:r>
        <w:rPr>
          <w:rFonts w:hint="eastAsia" w:ascii="宋体" w:hAnsi="宋体"/>
          <w:bCs/>
          <w:sz w:val="21"/>
          <w:szCs w:val="21"/>
        </w:rPr>
        <w:t>。</w:t>
      </w:r>
    </w:p>
    <w:p>
      <w:pPr>
        <w:autoSpaceDE w:val="0"/>
        <w:autoSpaceDN w:val="0"/>
        <w:adjustRightInd w:val="0"/>
        <w:snapToGrid w:val="0"/>
        <w:spacing w:line="312" w:lineRule="auto"/>
        <w:ind w:firstLine="480"/>
        <w:rPr>
          <w:rFonts w:ascii="宋体" w:hAnsi="宋体"/>
          <w:b/>
          <w:color w:val="000000"/>
          <w:sz w:val="21"/>
          <w:szCs w:val="21"/>
        </w:rPr>
      </w:pPr>
      <w:r>
        <w:rPr>
          <w:rFonts w:hint="eastAsia" w:ascii="宋体" w:hAnsi="宋体"/>
          <w:b/>
          <w:color w:val="000000"/>
          <w:sz w:val="21"/>
          <w:szCs w:val="21"/>
        </w:rPr>
        <w:t>五、公告期限</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Cs/>
          <w:color w:val="000000"/>
          <w:sz w:val="21"/>
          <w:szCs w:val="21"/>
        </w:rPr>
        <w:t>自本公告发布之日起5个工作日。</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b/>
          <w:color w:val="000000"/>
          <w:sz w:val="21"/>
          <w:szCs w:val="21"/>
        </w:rPr>
        <w:t>六、其他补充事宜</w:t>
      </w:r>
    </w:p>
    <w:p>
      <w:pPr>
        <w:snapToGrid w:val="0"/>
        <w:spacing w:line="360" w:lineRule="auto"/>
        <w:ind w:firstLine="420" w:firstLineChars="200"/>
        <w:rPr>
          <w:rFonts w:ascii="宋体" w:hAnsi="宋体"/>
          <w:bCs/>
          <w:color w:val="000000"/>
          <w:sz w:val="21"/>
          <w:szCs w:val="21"/>
        </w:rPr>
      </w:pPr>
      <w:r>
        <w:rPr>
          <w:rFonts w:hint="eastAsia" w:ascii="宋体" w:hAnsi="宋体"/>
          <w:bCs/>
          <w:color w:val="000000"/>
          <w:sz w:val="21"/>
          <w:szCs w:val="21"/>
        </w:rPr>
        <w:t>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20" w:firstLineChars="200"/>
        <w:rPr>
          <w:rFonts w:ascii="宋体" w:hAnsi="宋体" w:cs="宋体"/>
          <w:sz w:val="21"/>
          <w:szCs w:val="21"/>
        </w:rPr>
      </w:pPr>
      <w:r>
        <w:rPr>
          <w:rFonts w:hint="eastAsia" w:ascii="宋体" w:hAnsi="宋体" w:cs="宋体"/>
          <w:bCs/>
          <w:kern w:val="0"/>
          <w:sz w:val="21"/>
          <w:szCs w:val="21"/>
        </w:rPr>
        <w:t>2.标前准备：</w:t>
      </w:r>
      <w:r>
        <w:rPr>
          <w:rFonts w:hint="eastAsia" w:ascii="宋体" w:hAnsi="宋体" w:cs="宋体"/>
          <w:sz w:val="21"/>
          <w:szCs w:val="21"/>
        </w:rPr>
        <w:t>各投标人应及时完成CA数字证书办理，拿到CA后在政采云平台进行绑定。因未办理CA数字证书等原因造成无法投标或投标失败等后果由投标人自行承担。</w:t>
      </w:r>
    </w:p>
    <w:p>
      <w:pPr>
        <w:wordWrap w:val="0"/>
        <w:snapToGrid w:val="0"/>
        <w:spacing w:line="360" w:lineRule="auto"/>
        <w:ind w:firstLine="420" w:firstLineChars="200"/>
        <w:jc w:val="left"/>
        <w:rPr>
          <w:rFonts w:ascii="宋体" w:hAnsi="宋体" w:cs="宋体"/>
          <w:b/>
          <w:iCs/>
          <w:kern w:val="0"/>
          <w:sz w:val="21"/>
          <w:szCs w:val="21"/>
        </w:rPr>
      </w:pPr>
      <w:r>
        <w:rPr>
          <w:rFonts w:hint="eastAsia" w:ascii="宋体" w:hAnsi="宋体" w:cs="宋体"/>
          <w:sz w:val="21"/>
          <w:szCs w:val="21"/>
        </w:rPr>
        <w:t>3.</w:t>
      </w:r>
      <w:r>
        <w:rPr>
          <w:rFonts w:hint="eastAsia" w:ascii="宋体" w:hAnsi="宋体" w:cs="宋体"/>
          <w:kern w:val="0"/>
          <w:sz w:val="21"/>
          <w:szCs w:val="21"/>
        </w:rPr>
        <w:t>本项目通过</w:t>
      </w:r>
      <w:r>
        <w:rPr>
          <w:rFonts w:hint="eastAsia" w:ascii="宋体" w:hAnsi="宋体" w:cs="宋体"/>
          <w:sz w:val="21"/>
          <w:szCs w:val="21"/>
        </w:rPr>
        <w:t>“政府采购云平台”</w:t>
      </w:r>
      <w:r>
        <w:rPr>
          <w:rFonts w:hint="eastAsia" w:ascii="宋体" w:hAnsi="宋体" w:cs="宋体"/>
          <w:kern w:val="0"/>
          <w:sz w:val="21"/>
          <w:szCs w:val="21"/>
        </w:rPr>
        <w:t>实行电子投标，</w:t>
      </w:r>
      <w:r>
        <w:rPr>
          <w:rFonts w:hint="eastAsia" w:ascii="宋体" w:hAnsi="宋体"/>
          <w:bCs/>
          <w:color w:val="000000"/>
          <w:sz w:val="21"/>
          <w:szCs w:val="21"/>
        </w:rPr>
        <w:t>投标人</w:t>
      </w:r>
      <w:r>
        <w:rPr>
          <w:rFonts w:hint="eastAsia" w:ascii="宋体" w:hAnsi="宋体" w:cs="宋体"/>
          <w:sz w:val="21"/>
          <w:szCs w:val="21"/>
        </w:rPr>
        <w:t>应通过“政府采购云平台”电子投标工具制作投标文件，电子投标工具请自行前往浙江政府采购网下载并安装（“政采云电子交易客户端”下载网址：</w:t>
      </w:r>
      <w:r>
        <w:fldChar w:fldCharType="begin"/>
      </w:r>
      <w:r>
        <w:instrText xml:space="preserve"> HYPERLINK "http://zfcg.czt.zj.gov.cn/bidClientTemplate/2019-09-24/12975.html" </w:instrText>
      </w:r>
      <w:r>
        <w:fldChar w:fldCharType="separate"/>
      </w:r>
      <w:r>
        <w:rPr>
          <w:rStyle w:val="56"/>
          <w:rFonts w:hint="eastAsia" w:ascii="宋体" w:hAnsi="宋体" w:cs="宋体"/>
          <w:color w:val="auto"/>
          <w:sz w:val="21"/>
          <w:szCs w:val="21"/>
        </w:rPr>
        <w:t>http://zfcg.czt.zj.gov.cn/bidClientTemplate/2019-09-24/12975.html</w:t>
      </w:r>
      <w:r>
        <w:rPr>
          <w:rStyle w:val="56"/>
          <w:rFonts w:hint="eastAsia" w:ascii="宋体" w:hAnsi="宋体" w:cs="宋体"/>
          <w:color w:val="auto"/>
          <w:sz w:val="21"/>
          <w:szCs w:val="21"/>
        </w:rPr>
        <w:fldChar w:fldCharType="end"/>
      </w:r>
      <w:r>
        <w:rPr>
          <w:rFonts w:hint="eastAsia" w:ascii="宋体" w:hAnsi="宋体" w:cs="宋体"/>
          <w:b/>
          <w:iCs/>
          <w:kern w:val="0"/>
          <w:sz w:val="21"/>
          <w:szCs w:val="21"/>
        </w:rPr>
        <w:t>，</w:t>
      </w:r>
      <w:r>
        <w:rPr>
          <w:rFonts w:hint="eastAsia" w:ascii="宋体" w:hAnsi="宋体" w:cs="宋体"/>
          <w:sz w:val="21"/>
          <w:szCs w:val="21"/>
        </w:rPr>
        <w:t>具体</w:t>
      </w:r>
      <w:r>
        <w:rPr>
          <w:rFonts w:hint="eastAsia" w:ascii="宋体" w:hAnsi="宋体" w:cs="宋体"/>
          <w:bCs/>
          <w:iCs/>
          <w:kern w:val="0"/>
          <w:sz w:val="21"/>
          <w:szCs w:val="21"/>
        </w:rPr>
        <w:t>以浙江政府采购网最新网址为准</w:t>
      </w:r>
      <w:r>
        <w:rPr>
          <w:rFonts w:hint="eastAsia" w:ascii="宋体" w:hAnsi="宋体" w:cs="宋体"/>
          <w:sz w:val="21"/>
          <w:szCs w:val="21"/>
        </w:rPr>
        <w:t>），电子投标（【浙江省】</w:t>
      </w:r>
      <w:r>
        <w:rPr>
          <w:rFonts w:hint="eastAsia" w:ascii="宋体" w:hAnsi="宋体"/>
          <w:bCs/>
          <w:color w:val="000000"/>
          <w:sz w:val="21"/>
          <w:szCs w:val="21"/>
        </w:rPr>
        <w:t>投标人</w:t>
      </w:r>
      <w:r>
        <w:rPr>
          <w:rFonts w:hint="eastAsia" w:ascii="宋体" w:hAnsi="宋体" w:cs="宋体"/>
          <w:sz w:val="21"/>
          <w:szCs w:val="21"/>
        </w:rPr>
        <w:t>-政府采购项目电子交易操作指南）具体流程详见网址：</w:t>
      </w:r>
      <w:r>
        <w:fldChar w:fldCharType="begin"/>
      </w:r>
      <w:r>
        <w:instrText xml:space="preserve"> HYPERLINK "https://service.zcygov.cn/" \l "/knowledges/CW1EtGwBFdiHxlNd6I3m/6IMVAG0BFdiHxlNdQ8Na" </w:instrText>
      </w:r>
      <w:r>
        <w:fldChar w:fldCharType="separate"/>
      </w:r>
      <w:r>
        <w:rPr>
          <w:rStyle w:val="56"/>
          <w:rFonts w:hint="eastAsia" w:ascii="宋体" w:hAnsi="宋体" w:cs="宋体"/>
          <w:color w:val="auto"/>
          <w:sz w:val="21"/>
          <w:szCs w:val="21"/>
        </w:rPr>
        <w:t>https://service.zcygov.cn/#/knowledges/CW1EtGwBFdiHxlNd6I3m/6IMVAG0BFdiHxlNdQ8Na</w:t>
      </w:r>
      <w:r>
        <w:rPr>
          <w:rStyle w:val="56"/>
          <w:rFonts w:hint="eastAsia" w:ascii="宋体" w:hAnsi="宋体" w:cs="宋体"/>
          <w:color w:val="auto"/>
          <w:sz w:val="21"/>
          <w:szCs w:val="21"/>
        </w:rPr>
        <w:fldChar w:fldCharType="end"/>
      </w:r>
      <w:r>
        <w:rPr>
          <w:rFonts w:hint="eastAsia" w:ascii="宋体" w:hAnsi="宋体" w:cs="宋体"/>
          <w:b/>
          <w:iCs/>
          <w:kern w:val="0"/>
          <w:sz w:val="21"/>
          <w:szCs w:val="21"/>
        </w:rPr>
        <w:t>，</w:t>
      </w:r>
      <w:r>
        <w:rPr>
          <w:rFonts w:hint="eastAsia" w:ascii="宋体" w:hAnsi="宋体" w:cs="宋体"/>
          <w:bCs/>
          <w:iCs/>
          <w:kern w:val="0"/>
          <w:sz w:val="21"/>
          <w:szCs w:val="21"/>
        </w:rPr>
        <w:t>具体以政采云平台最新网址为准。</w:t>
      </w:r>
    </w:p>
    <w:p>
      <w:pPr>
        <w:pStyle w:val="338"/>
        <w:spacing w:line="360" w:lineRule="auto"/>
        <w:ind w:firstLine="420" w:firstLineChars="200"/>
        <w:rPr>
          <w:rFonts w:ascii="宋体" w:hAnsi="宋体" w:eastAsia="宋体" w:cs="宋体"/>
          <w:sz w:val="21"/>
          <w:szCs w:val="21"/>
          <w:u w:val="single"/>
        </w:rPr>
      </w:pPr>
      <w:r>
        <w:rPr>
          <w:rFonts w:hint="eastAsia" w:ascii="宋体" w:hAnsi="宋体" w:cs="宋体"/>
          <w:sz w:val="21"/>
          <w:szCs w:val="21"/>
          <w:u w:val="single"/>
        </w:rPr>
        <w:t>4.</w:t>
      </w:r>
      <w:r>
        <w:rPr>
          <w:rFonts w:hint="eastAsia" w:ascii="宋体" w:hAnsi="宋体" w:eastAsia="宋体" w:cs="宋体"/>
          <w:sz w:val="21"/>
          <w:szCs w:val="21"/>
          <w:u w:val="single"/>
        </w:rPr>
        <w:t>投标文件</w:t>
      </w:r>
      <w:r>
        <w:rPr>
          <w:rFonts w:hint="eastAsia" w:ascii="宋体" w:hAnsi="宋体" w:eastAsia="宋体" w:cs="宋体"/>
          <w:kern w:val="2"/>
          <w:sz w:val="21"/>
          <w:szCs w:val="21"/>
          <w:u w:val="single"/>
        </w:rPr>
        <w:t>解密时间：开标时间</w:t>
      </w:r>
      <w:r>
        <w:rPr>
          <w:rFonts w:hint="eastAsia" w:ascii="宋体" w:hAnsi="宋体" w:eastAsia="宋体" w:cs="宋体"/>
          <w:sz w:val="21"/>
          <w:szCs w:val="21"/>
          <w:u w:val="single"/>
        </w:rPr>
        <w:t>后60分钟内投标人可以登录</w:t>
      </w:r>
      <w:r>
        <w:rPr>
          <w:rFonts w:hint="eastAsia" w:ascii="宋体" w:hAnsi="宋体" w:eastAsia="宋体" w:cs="宋体"/>
          <w:kern w:val="2"/>
          <w:sz w:val="21"/>
          <w:szCs w:val="21"/>
          <w:u w:val="single"/>
        </w:rPr>
        <w:t>“政府采购云平台”的</w:t>
      </w:r>
      <w:r>
        <w:rPr>
          <w:rFonts w:hint="eastAsia" w:ascii="宋体" w:hAnsi="宋体" w:eastAsia="宋体" w:cs="宋体"/>
          <w:sz w:val="21"/>
          <w:szCs w:val="21"/>
          <w:u w:val="single"/>
        </w:rPr>
        <w:t>“项目采购-开标评标”，用制作电子标书的CA锁对电子加密投标文件进行解密。若投标人在规定时间内投标文件无法解密，或解密失败且备份文件读取失败（含未提交），则投标无效。</w:t>
      </w:r>
    </w:p>
    <w:p>
      <w:pPr>
        <w:autoSpaceDE w:val="0"/>
        <w:autoSpaceDN w:val="0"/>
        <w:adjustRightInd w:val="0"/>
        <w:snapToGrid w:val="0"/>
        <w:spacing w:line="312" w:lineRule="auto"/>
        <w:ind w:firstLine="480"/>
        <w:rPr>
          <w:rFonts w:ascii="宋体" w:hAnsi="宋体" w:cs="宋体"/>
          <w:bCs/>
          <w:kern w:val="0"/>
          <w:sz w:val="21"/>
          <w:szCs w:val="21"/>
        </w:rPr>
      </w:pPr>
      <w:r>
        <w:rPr>
          <w:rFonts w:hint="eastAsia" w:ascii="宋体" w:hAnsi="宋体" w:cs="宋体"/>
          <w:bCs/>
          <w:kern w:val="0"/>
          <w:sz w:val="21"/>
          <w:szCs w:val="21"/>
        </w:rPr>
        <w:t>6.中标结果公告发出后，采购监管部门如发现投标人出现投标硬件异常的，若查证后存在违法事实的，将取消该投标人的中标资格，剩余投标人达3家及以上的，由采购人决定是否按中标顺位替补；不足3家的，该项目作废标处理。</w:t>
      </w:r>
    </w:p>
    <w:p>
      <w:pPr>
        <w:autoSpaceDE w:val="0"/>
        <w:autoSpaceDN w:val="0"/>
        <w:adjustRightInd w:val="0"/>
        <w:snapToGrid w:val="0"/>
        <w:spacing w:line="312" w:lineRule="auto"/>
        <w:ind w:firstLine="480"/>
        <w:rPr>
          <w:rFonts w:ascii="宋体" w:hAnsi="宋体"/>
          <w:bCs/>
          <w:color w:val="000000"/>
          <w:sz w:val="21"/>
          <w:szCs w:val="21"/>
        </w:rPr>
      </w:pPr>
      <w:r>
        <w:rPr>
          <w:rFonts w:hint="eastAsia" w:ascii="宋体" w:hAnsi="宋体" w:cs="宋体"/>
          <w:bCs/>
          <w:kern w:val="0"/>
          <w:sz w:val="21"/>
          <w:szCs w:val="21"/>
        </w:rPr>
        <w:t>7.本项目钉钉群二维码：见公告附件。</w:t>
      </w:r>
    </w:p>
    <w:p>
      <w:pPr>
        <w:widowControl/>
        <w:snapToGrid w:val="0"/>
        <w:spacing w:line="312" w:lineRule="auto"/>
        <w:ind w:firstLine="316" w:firstLineChars="150"/>
        <w:jc w:val="left"/>
        <w:outlineLvl w:val="0"/>
        <w:rPr>
          <w:sz w:val="21"/>
        </w:rPr>
      </w:pPr>
      <w:r>
        <w:rPr>
          <w:rFonts w:hint="eastAsia"/>
          <w:b/>
          <w:color w:val="000000"/>
          <w:sz w:val="21"/>
          <w:szCs w:val="21"/>
        </w:rPr>
        <w:t>七</w:t>
      </w:r>
      <w:r>
        <w:rPr>
          <w:b/>
          <w:color w:val="000000"/>
          <w:sz w:val="21"/>
          <w:szCs w:val="21"/>
        </w:rPr>
        <w:t>、</w:t>
      </w:r>
      <w:r>
        <w:rPr>
          <w:rStyle w:val="51"/>
          <w:rFonts w:cs="宋体"/>
          <w:color w:val="000000"/>
          <w:sz w:val="21"/>
          <w:szCs w:val="21"/>
        </w:rPr>
        <w:t>对本次招标提出询问、质疑、投诉，请按以下方式联系</w:t>
      </w:r>
    </w:p>
    <w:bookmarkEnd w:id="1"/>
    <w:p>
      <w:pPr>
        <w:snapToGrid w:val="0"/>
        <w:spacing w:line="312" w:lineRule="auto"/>
        <w:ind w:firstLine="420" w:firstLineChars="200"/>
        <w:rPr>
          <w:rFonts w:ascii="宋体" w:hAnsi="宋体"/>
          <w:kern w:val="0"/>
          <w:sz w:val="21"/>
        </w:rPr>
      </w:pPr>
      <w:bookmarkStart w:id="2" w:name="_Toc306901436"/>
      <w:bookmarkStart w:id="3" w:name="_Toc173810692"/>
      <w:r>
        <w:rPr>
          <w:rFonts w:hint="eastAsia" w:ascii="宋体" w:hAnsi="宋体"/>
          <w:kern w:val="0"/>
          <w:sz w:val="21"/>
        </w:rPr>
        <w:t>1、采购人：中共仙居县委政法委员会</w:t>
      </w:r>
    </w:p>
    <w:p>
      <w:pPr>
        <w:widowControl/>
        <w:snapToGrid w:val="0"/>
        <w:spacing w:line="312" w:lineRule="auto"/>
        <w:ind w:firstLine="630" w:firstLineChars="300"/>
        <w:jc w:val="left"/>
        <w:rPr>
          <w:rFonts w:ascii="宋体" w:hAnsi="宋体"/>
          <w:kern w:val="0"/>
          <w:sz w:val="21"/>
        </w:rPr>
      </w:pPr>
      <w:r>
        <w:rPr>
          <w:rFonts w:hint="eastAsia" w:ascii="宋体" w:hAnsi="宋体"/>
          <w:kern w:val="0"/>
          <w:sz w:val="21"/>
        </w:rPr>
        <w:t>项目联系人（询问）：陈伟　　　　　</w:t>
      </w:r>
    </w:p>
    <w:p>
      <w:pPr>
        <w:snapToGrid w:val="0"/>
        <w:spacing w:line="312" w:lineRule="auto"/>
        <w:ind w:firstLine="630" w:firstLineChars="300"/>
        <w:rPr>
          <w:rFonts w:ascii="宋体" w:hAnsi="宋体"/>
          <w:kern w:val="0"/>
          <w:sz w:val="21"/>
          <w:szCs w:val="22"/>
        </w:rPr>
      </w:pPr>
      <w:r>
        <w:rPr>
          <w:rFonts w:hint="eastAsia" w:ascii="宋体" w:hAnsi="宋体"/>
          <w:kern w:val="0"/>
          <w:sz w:val="21"/>
        </w:rPr>
        <w:t>项目联系方式（询问）：15967634848</w:t>
      </w:r>
    </w:p>
    <w:p>
      <w:pPr>
        <w:snapToGrid w:val="0"/>
        <w:spacing w:line="312" w:lineRule="auto"/>
        <w:ind w:firstLine="630" w:firstLineChars="300"/>
        <w:rPr>
          <w:rFonts w:ascii="宋体" w:hAnsi="宋体"/>
          <w:kern w:val="0"/>
          <w:sz w:val="21"/>
        </w:rPr>
      </w:pPr>
      <w:r>
        <w:rPr>
          <w:rFonts w:hint="eastAsia" w:ascii="宋体" w:hAnsi="宋体"/>
          <w:kern w:val="0"/>
          <w:sz w:val="21"/>
          <w:szCs w:val="22"/>
        </w:rPr>
        <w:t>质疑答</w:t>
      </w:r>
      <w:r>
        <w:rPr>
          <w:rFonts w:hint="eastAsia" w:ascii="宋体" w:hAnsi="宋体"/>
          <w:kern w:val="0"/>
          <w:sz w:val="21"/>
        </w:rPr>
        <w:t>复联系人：王涛</w:t>
      </w:r>
    </w:p>
    <w:p>
      <w:pPr>
        <w:snapToGrid w:val="0"/>
        <w:spacing w:line="312" w:lineRule="auto"/>
        <w:ind w:firstLine="630" w:firstLineChars="300"/>
        <w:rPr>
          <w:rFonts w:ascii="宋体" w:hAnsi="宋体"/>
          <w:kern w:val="0"/>
          <w:sz w:val="21"/>
        </w:rPr>
      </w:pPr>
      <w:r>
        <w:rPr>
          <w:rFonts w:hint="eastAsia" w:ascii="宋体" w:hAnsi="宋体"/>
          <w:kern w:val="0"/>
          <w:sz w:val="21"/>
        </w:rPr>
        <w:t>联系电话： 13958518695</w:t>
      </w:r>
    </w:p>
    <w:p>
      <w:pPr>
        <w:snapToGrid w:val="0"/>
        <w:spacing w:line="312" w:lineRule="auto"/>
        <w:ind w:firstLine="630" w:firstLineChars="300"/>
        <w:rPr>
          <w:rFonts w:ascii="宋体" w:hAnsi="宋体"/>
          <w:kern w:val="0"/>
          <w:sz w:val="21"/>
        </w:rPr>
      </w:pPr>
      <w:r>
        <w:rPr>
          <w:rFonts w:hint="eastAsia" w:ascii="宋体" w:hAnsi="宋体"/>
          <w:kern w:val="0"/>
          <w:sz w:val="21"/>
        </w:rPr>
        <w:t>地址： 仙居县南峰街道工业路2号</w:t>
      </w:r>
    </w:p>
    <w:p>
      <w:pPr>
        <w:snapToGrid w:val="0"/>
        <w:spacing w:line="312" w:lineRule="auto"/>
        <w:ind w:firstLine="420" w:firstLineChars="200"/>
        <w:rPr>
          <w:rFonts w:ascii="宋体" w:hAnsi="宋体"/>
          <w:kern w:val="0"/>
          <w:sz w:val="21"/>
        </w:rPr>
      </w:pPr>
      <w:r>
        <w:rPr>
          <w:rFonts w:ascii="宋体" w:hAnsi="宋体"/>
          <w:kern w:val="0"/>
          <w:sz w:val="21"/>
        </w:rPr>
        <w:t>2.采购代理机构信息</w:t>
      </w:r>
    </w:p>
    <w:p>
      <w:pPr>
        <w:snapToGrid w:val="0"/>
        <w:spacing w:line="312" w:lineRule="auto"/>
        <w:ind w:firstLine="630" w:firstLineChars="300"/>
        <w:rPr>
          <w:rFonts w:ascii="宋体" w:hAnsi="宋体"/>
          <w:kern w:val="0"/>
          <w:sz w:val="21"/>
        </w:rPr>
      </w:pPr>
      <w:r>
        <w:rPr>
          <w:rFonts w:hint="eastAsia" w:ascii="宋体" w:hAnsi="宋体"/>
          <w:kern w:val="0"/>
          <w:sz w:val="21"/>
        </w:rPr>
        <w:t>名称： 浙江华域高宇项目管理有限公司 　　　　　　　　　　　</w:t>
      </w:r>
    </w:p>
    <w:p>
      <w:pPr>
        <w:snapToGrid w:val="0"/>
        <w:spacing w:line="312" w:lineRule="auto"/>
        <w:ind w:firstLine="630" w:firstLineChars="300"/>
        <w:rPr>
          <w:rFonts w:ascii="宋体" w:hAnsi="宋体"/>
          <w:kern w:val="0"/>
          <w:sz w:val="21"/>
        </w:rPr>
      </w:pPr>
      <w:r>
        <w:rPr>
          <w:rFonts w:hint="eastAsia" w:ascii="宋体" w:hAnsi="宋体"/>
          <w:kern w:val="0"/>
          <w:sz w:val="21"/>
        </w:rPr>
        <w:t>地址： 仙居县福应街道永安街216号5楼 　     　</w:t>
      </w:r>
    </w:p>
    <w:p>
      <w:pPr>
        <w:snapToGrid w:val="0"/>
        <w:spacing w:line="312" w:lineRule="auto"/>
        <w:ind w:firstLine="420" w:firstLineChars="200"/>
        <w:rPr>
          <w:rFonts w:ascii="宋体" w:hAnsi="宋体"/>
          <w:kern w:val="0"/>
          <w:sz w:val="21"/>
        </w:rPr>
      </w:pPr>
      <w:r>
        <w:rPr>
          <w:rFonts w:hint="eastAsia" w:ascii="宋体" w:hAnsi="宋体"/>
          <w:kern w:val="0"/>
          <w:sz w:val="21"/>
        </w:rPr>
        <w:t> 项目联系人（询问）：罗翌晨 　   　　　　　　　　　　　</w:t>
      </w:r>
    </w:p>
    <w:p>
      <w:pPr>
        <w:snapToGrid w:val="0"/>
        <w:spacing w:line="312" w:lineRule="auto"/>
        <w:rPr>
          <w:rFonts w:ascii="宋体" w:hAnsi="宋体"/>
          <w:kern w:val="0"/>
          <w:sz w:val="21"/>
        </w:rPr>
      </w:pPr>
      <w:r>
        <w:rPr>
          <w:rFonts w:hint="eastAsia" w:ascii="宋体" w:hAnsi="宋体"/>
          <w:kern w:val="0"/>
          <w:sz w:val="21"/>
        </w:rPr>
        <w:t>     项目联系方式（询问）：13575875110 </w:t>
      </w:r>
    </w:p>
    <w:p>
      <w:pPr>
        <w:snapToGrid w:val="0"/>
        <w:spacing w:line="312" w:lineRule="auto"/>
        <w:ind w:firstLine="630" w:firstLineChars="300"/>
        <w:rPr>
          <w:rFonts w:ascii="宋体" w:hAnsi="宋体"/>
          <w:kern w:val="0"/>
          <w:sz w:val="21"/>
        </w:rPr>
      </w:pPr>
      <w:r>
        <w:rPr>
          <w:rFonts w:hint="eastAsia" w:ascii="宋体" w:hAnsi="宋体"/>
          <w:kern w:val="0"/>
          <w:sz w:val="21"/>
        </w:rPr>
        <w:t>质疑联系人：郑颖 </w:t>
      </w:r>
    </w:p>
    <w:p>
      <w:pPr>
        <w:snapToGrid w:val="0"/>
        <w:spacing w:line="312" w:lineRule="auto"/>
        <w:ind w:firstLine="630" w:firstLineChars="300"/>
        <w:rPr>
          <w:rFonts w:ascii="宋体" w:hAnsi="宋体"/>
          <w:kern w:val="0"/>
          <w:sz w:val="21"/>
        </w:rPr>
      </w:pPr>
      <w:r>
        <w:rPr>
          <w:rFonts w:hint="eastAsia" w:ascii="宋体" w:hAnsi="宋体"/>
          <w:kern w:val="0"/>
          <w:sz w:val="21"/>
        </w:rPr>
        <w:t>质疑联系方式：0576-87668998　　　　　　　　　　　　　　　　　　　</w:t>
      </w:r>
    </w:p>
    <w:p>
      <w:pPr>
        <w:snapToGrid w:val="0"/>
        <w:spacing w:line="312" w:lineRule="auto"/>
        <w:ind w:firstLine="210" w:firstLineChars="100"/>
        <w:rPr>
          <w:rFonts w:ascii="宋体" w:hAnsi="宋体"/>
          <w:kern w:val="0"/>
          <w:sz w:val="21"/>
        </w:rPr>
      </w:pPr>
      <w:r>
        <w:rPr>
          <w:rFonts w:ascii="宋体" w:hAnsi="宋体"/>
          <w:kern w:val="0"/>
          <w:sz w:val="21"/>
        </w:rPr>
        <w:t xml:space="preserve"> 3.同级政府采购监督管理部门</w:t>
      </w:r>
    </w:p>
    <w:p>
      <w:pPr>
        <w:snapToGrid w:val="0"/>
        <w:spacing w:line="312" w:lineRule="auto"/>
        <w:ind w:firstLine="630" w:firstLineChars="300"/>
        <w:rPr>
          <w:rFonts w:ascii="宋体" w:hAnsi="宋体"/>
          <w:kern w:val="0"/>
          <w:sz w:val="21"/>
        </w:rPr>
      </w:pPr>
      <w:r>
        <w:rPr>
          <w:rFonts w:hint="eastAsia" w:ascii="宋体" w:hAnsi="宋体"/>
          <w:kern w:val="0"/>
          <w:sz w:val="21"/>
        </w:rPr>
        <w:t> 名称： 仙居县财政局政府采购监管科 　　　　　　　　　　　</w:t>
      </w:r>
    </w:p>
    <w:p>
      <w:pPr>
        <w:snapToGrid w:val="0"/>
        <w:spacing w:line="312" w:lineRule="auto"/>
        <w:ind w:firstLine="630" w:firstLineChars="300"/>
        <w:rPr>
          <w:rFonts w:ascii="宋体" w:hAnsi="宋体"/>
          <w:kern w:val="0"/>
          <w:sz w:val="21"/>
        </w:rPr>
      </w:pPr>
      <w:r>
        <w:rPr>
          <w:rFonts w:hint="eastAsia" w:ascii="宋体" w:hAnsi="宋体"/>
          <w:kern w:val="0"/>
          <w:sz w:val="21"/>
        </w:rPr>
        <w:t> 地址： 仙居县南峰街道环城南路财政大楼  　　　　　　　　　　　</w:t>
      </w:r>
    </w:p>
    <w:p>
      <w:pPr>
        <w:snapToGrid w:val="0"/>
        <w:spacing w:line="312" w:lineRule="auto"/>
        <w:ind w:firstLine="630" w:firstLineChars="300"/>
        <w:rPr>
          <w:rFonts w:ascii="宋体" w:hAnsi="宋体"/>
          <w:kern w:val="0"/>
          <w:sz w:val="21"/>
        </w:rPr>
      </w:pPr>
      <w:r>
        <w:rPr>
          <w:rFonts w:hint="eastAsia" w:ascii="宋体" w:hAnsi="宋体"/>
          <w:kern w:val="0"/>
          <w:sz w:val="21"/>
        </w:rPr>
        <w:t> 传真： 0576-87720209 　   </w:t>
      </w:r>
    </w:p>
    <w:p>
      <w:pPr>
        <w:snapToGrid w:val="0"/>
        <w:spacing w:line="312" w:lineRule="auto"/>
        <w:ind w:firstLine="630" w:firstLineChars="300"/>
        <w:rPr>
          <w:rFonts w:ascii="宋体" w:hAnsi="宋体"/>
          <w:kern w:val="0"/>
          <w:sz w:val="21"/>
        </w:rPr>
      </w:pPr>
      <w:r>
        <w:rPr>
          <w:rFonts w:hint="eastAsia" w:ascii="宋体" w:hAnsi="宋体"/>
          <w:kern w:val="0"/>
          <w:sz w:val="21"/>
        </w:rPr>
        <w:t> 联系人 ： 郑女士、陈女士   　　　　　　　　　　　</w:t>
      </w:r>
    </w:p>
    <w:p>
      <w:pPr>
        <w:widowControl/>
        <w:snapToGrid w:val="0"/>
        <w:spacing w:before="60" w:after="60" w:line="312" w:lineRule="auto"/>
        <w:ind w:firstLine="540"/>
        <w:jc w:val="left"/>
        <w:rPr>
          <w:rFonts w:ascii="宋体" w:hAnsi="宋体"/>
          <w:color w:val="000000"/>
          <w:kern w:val="0"/>
          <w:sz w:val="21"/>
        </w:rPr>
      </w:pPr>
      <w:r>
        <w:rPr>
          <w:rFonts w:hint="eastAsia" w:ascii="宋体" w:hAnsi="宋体"/>
          <w:kern w:val="0"/>
          <w:sz w:val="21"/>
        </w:rPr>
        <w:t> 监督投诉电话：0576-87720209</w:t>
      </w:r>
    </w:p>
    <w:p>
      <w:pPr>
        <w:jc w:val="center"/>
        <w:rPr>
          <w:b/>
          <w:bCs/>
          <w:sz w:val="32"/>
          <w:szCs w:val="32"/>
        </w:rPr>
      </w:pPr>
      <w:r>
        <w:rPr>
          <w:b/>
          <w:color w:val="000000"/>
        </w:rPr>
        <w:br w:type="page"/>
      </w:r>
      <w:r>
        <w:rPr>
          <w:rFonts w:hint="eastAsia"/>
          <w:b/>
          <w:color w:val="000000"/>
        </w:rPr>
        <w:t>第二章</w:t>
      </w:r>
      <w:bookmarkEnd w:id="2"/>
      <w:bookmarkStart w:id="4" w:name="_Toc306901444"/>
      <w:r>
        <w:rPr>
          <w:rFonts w:hint="eastAsia"/>
          <w:b/>
          <w:bCs/>
          <w:sz w:val="32"/>
          <w:szCs w:val="32"/>
        </w:rPr>
        <w:t>采购需求</w:t>
      </w:r>
    </w:p>
    <w:p>
      <w:pPr>
        <w:adjustRightInd w:val="0"/>
        <w:snapToGrid w:val="0"/>
        <w:spacing w:line="360" w:lineRule="auto"/>
        <w:ind w:firstLine="211" w:firstLineChars="1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一、招标项目一览表</w:t>
      </w:r>
    </w:p>
    <w:tbl>
      <w:tblPr>
        <w:tblStyle w:val="48"/>
        <w:tblpPr w:leftFromText="180" w:rightFromText="180" w:vertAnchor="text" w:horzAnchor="page" w:tblpX="1785" w:tblpY="1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149"/>
        <w:gridCol w:w="1095"/>
        <w:gridCol w:w="1137"/>
        <w:gridCol w:w="1392"/>
        <w:gridCol w:w="139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91"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ind w:firstLine="420" w:firstLineChars="200"/>
              <w:rPr>
                <w:rFonts w:ascii="宋体" w:hAnsi="宋体"/>
                <w:kern w:val="0"/>
                <w:sz w:val="21"/>
              </w:rPr>
            </w:pPr>
            <w:r>
              <w:rPr>
                <w:rFonts w:hint="eastAsia" w:ascii="宋体" w:hAnsi="宋体"/>
                <w:kern w:val="0"/>
                <w:sz w:val="21"/>
              </w:rPr>
              <w:t>标项</w:t>
            </w:r>
          </w:p>
        </w:tc>
        <w:tc>
          <w:tcPr>
            <w:tcW w:w="1149"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rPr>
                <w:rFonts w:ascii="宋体" w:hAnsi="宋体"/>
                <w:kern w:val="0"/>
                <w:sz w:val="21"/>
              </w:rPr>
            </w:pPr>
            <w:r>
              <w:rPr>
                <w:rFonts w:hint="eastAsia" w:ascii="宋体" w:hAnsi="宋体"/>
                <w:kern w:val="0"/>
                <w:sz w:val="21"/>
              </w:rPr>
              <w:t>标项内容</w:t>
            </w: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rPr>
                <w:rFonts w:ascii="宋体" w:hAnsi="宋体"/>
                <w:kern w:val="0"/>
                <w:sz w:val="21"/>
              </w:rPr>
            </w:pPr>
            <w:r>
              <w:rPr>
                <w:rFonts w:hint="eastAsia" w:ascii="宋体" w:hAnsi="宋体"/>
                <w:kern w:val="0"/>
                <w:sz w:val="21"/>
              </w:rPr>
              <w:t>数量</w:t>
            </w:r>
          </w:p>
        </w:tc>
        <w:tc>
          <w:tcPr>
            <w:tcW w:w="1137"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ind w:firstLine="210" w:firstLineChars="100"/>
              <w:rPr>
                <w:rFonts w:ascii="宋体" w:hAnsi="宋体"/>
                <w:kern w:val="0"/>
                <w:sz w:val="21"/>
              </w:rPr>
            </w:pPr>
            <w:r>
              <w:rPr>
                <w:rFonts w:hint="eastAsia" w:ascii="宋体" w:hAnsi="宋体"/>
                <w:kern w:val="0"/>
                <w:sz w:val="21"/>
              </w:rPr>
              <w:t>单位</w:t>
            </w:r>
          </w:p>
        </w:tc>
        <w:tc>
          <w:tcPr>
            <w:tcW w:w="1392"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ind w:firstLine="210" w:firstLineChars="100"/>
              <w:rPr>
                <w:rFonts w:ascii="宋体" w:hAnsi="宋体"/>
                <w:kern w:val="0"/>
                <w:sz w:val="21"/>
              </w:rPr>
            </w:pPr>
            <w:r>
              <w:rPr>
                <w:rFonts w:hint="eastAsia" w:ascii="宋体" w:hAnsi="宋体"/>
                <w:kern w:val="0"/>
                <w:sz w:val="21"/>
              </w:rPr>
              <w:t>预算金额</w:t>
            </w:r>
          </w:p>
          <w:p>
            <w:pPr>
              <w:snapToGrid w:val="0"/>
              <w:spacing w:line="312" w:lineRule="auto"/>
              <w:ind w:firstLine="210" w:firstLineChars="100"/>
              <w:rPr>
                <w:rFonts w:ascii="宋体" w:hAnsi="宋体"/>
                <w:kern w:val="0"/>
                <w:sz w:val="21"/>
              </w:rPr>
            </w:pPr>
            <w:r>
              <w:rPr>
                <w:rFonts w:hint="eastAsia" w:ascii="宋体" w:hAnsi="宋体"/>
                <w:kern w:val="0"/>
                <w:sz w:val="21"/>
              </w:rPr>
              <w:t>（万元）</w:t>
            </w:r>
          </w:p>
        </w:tc>
        <w:tc>
          <w:tcPr>
            <w:tcW w:w="1392"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ind w:firstLine="210" w:firstLineChars="100"/>
              <w:rPr>
                <w:rFonts w:ascii="宋体" w:hAnsi="宋体"/>
                <w:kern w:val="0"/>
                <w:sz w:val="21"/>
              </w:rPr>
            </w:pPr>
            <w:r>
              <w:rPr>
                <w:rFonts w:hint="eastAsia" w:ascii="宋体" w:hAnsi="宋体"/>
                <w:kern w:val="0"/>
                <w:sz w:val="21"/>
              </w:rPr>
              <w:t>最高限价</w:t>
            </w:r>
          </w:p>
          <w:p>
            <w:pPr>
              <w:snapToGrid w:val="0"/>
              <w:spacing w:line="312" w:lineRule="auto"/>
              <w:ind w:firstLine="210" w:firstLineChars="100"/>
              <w:rPr>
                <w:rFonts w:ascii="宋体" w:hAnsi="宋体"/>
                <w:kern w:val="0"/>
                <w:sz w:val="21"/>
              </w:rPr>
            </w:pPr>
            <w:r>
              <w:rPr>
                <w:rFonts w:hint="eastAsia" w:ascii="宋体" w:hAnsi="宋体"/>
                <w:kern w:val="0"/>
                <w:sz w:val="21"/>
              </w:rPr>
              <w:t>（万元）</w:t>
            </w:r>
          </w:p>
        </w:tc>
        <w:tc>
          <w:tcPr>
            <w:tcW w:w="999"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ind w:firstLine="630" w:firstLineChars="300"/>
              <w:rPr>
                <w:rFonts w:ascii="宋体" w:hAnsi="宋体"/>
                <w:kern w:val="0"/>
                <w:sz w:val="21"/>
              </w:rPr>
            </w:pPr>
            <w:r>
              <w:rPr>
                <w:rFonts w:hint="eastAsia" w:ascii="宋体" w:hAnsi="宋体"/>
                <w:kern w:val="0"/>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391"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ind w:firstLine="420" w:firstLineChars="200"/>
              <w:rPr>
                <w:rFonts w:ascii="宋体" w:hAnsi="宋体"/>
                <w:kern w:val="0"/>
                <w:sz w:val="21"/>
              </w:rPr>
            </w:pPr>
            <w:r>
              <w:rPr>
                <w:rFonts w:hint="eastAsia" w:ascii="宋体" w:hAnsi="宋体"/>
                <w:kern w:val="0"/>
                <w:sz w:val="21"/>
              </w:rPr>
              <w:t>一</w:t>
            </w:r>
          </w:p>
        </w:tc>
        <w:tc>
          <w:tcPr>
            <w:tcW w:w="1149"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rPr>
                <w:rFonts w:ascii="宋体" w:hAnsi="宋体"/>
                <w:kern w:val="0"/>
                <w:sz w:val="21"/>
              </w:rPr>
            </w:pPr>
            <w:r>
              <w:rPr>
                <w:rFonts w:hint="eastAsia" w:ascii="宋体" w:hAnsi="宋体"/>
                <w:kern w:val="0"/>
                <w:sz w:val="21"/>
              </w:rPr>
              <w:t>软件开发</w:t>
            </w: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ind w:firstLine="210" w:firstLineChars="100"/>
              <w:rPr>
                <w:rFonts w:ascii="宋体" w:hAnsi="宋体"/>
                <w:kern w:val="0"/>
                <w:sz w:val="21"/>
              </w:rPr>
            </w:pPr>
            <w:r>
              <w:rPr>
                <w:rFonts w:hint="eastAsia" w:ascii="宋体" w:hAnsi="宋体"/>
                <w:kern w:val="0"/>
                <w:sz w:val="21"/>
              </w:rPr>
              <w:t>1</w:t>
            </w:r>
          </w:p>
        </w:tc>
        <w:tc>
          <w:tcPr>
            <w:tcW w:w="1137"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ind w:firstLine="420" w:firstLineChars="200"/>
              <w:rPr>
                <w:rFonts w:ascii="宋体" w:hAnsi="宋体"/>
                <w:kern w:val="0"/>
                <w:sz w:val="21"/>
              </w:rPr>
            </w:pPr>
            <w:r>
              <w:rPr>
                <w:rFonts w:hint="eastAsia" w:ascii="宋体" w:hAnsi="宋体"/>
                <w:kern w:val="0"/>
                <w:sz w:val="21"/>
              </w:rPr>
              <w:t>项</w:t>
            </w:r>
          </w:p>
        </w:tc>
        <w:tc>
          <w:tcPr>
            <w:tcW w:w="1392"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ind w:firstLine="420" w:firstLineChars="200"/>
              <w:rPr>
                <w:rFonts w:ascii="宋体" w:hAnsi="宋体"/>
                <w:kern w:val="0"/>
                <w:sz w:val="21"/>
              </w:rPr>
            </w:pPr>
            <w:r>
              <w:rPr>
                <w:rFonts w:hint="eastAsia" w:ascii="宋体" w:hAnsi="宋体"/>
                <w:kern w:val="0"/>
                <w:sz w:val="21"/>
              </w:rPr>
              <w:t>362</w:t>
            </w:r>
          </w:p>
        </w:tc>
        <w:tc>
          <w:tcPr>
            <w:tcW w:w="1392"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ind w:firstLine="210" w:firstLineChars="100"/>
              <w:rPr>
                <w:rFonts w:ascii="宋体" w:hAnsi="宋体"/>
                <w:kern w:val="0"/>
                <w:sz w:val="21"/>
              </w:rPr>
            </w:pPr>
            <w:r>
              <w:rPr>
                <w:rFonts w:hint="eastAsia" w:ascii="宋体" w:hAnsi="宋体"/>
                <w:kern w:val="0"/>
                <w:sz w:val="21"/>
              </w:rPr>
              <w:t>343.9</w:t>
            </w:r>
          </w:p>
        </w:tc>
        <w:tc>
          <w:tcPr>
            <w:tcW w:w="999" w:type="dxa"/>
            <w:vMerge w:val="restart"/>
            <w:noWrap/>
            <w:vAlign w:val="center"/>
          </w:tcPr>
          <w:p>
            <w:pPr>
              <w:snapToGrid w:val="0"/>
              <w:spacing w:line="312" w:lineRule="auto"/>
              <w:jc w:val="center"/>
              <w:rPr>
                <w:rFonts w:hint="eastAsia" w:ascii="宋体" w:hAnsi="宋体" w:eastAsia="宋体"/>
                <w:kern w:val="0"/>
                <w:sz w:val="21"/>
                <w:lang w:val="en-US" w:eastAsia="zh-CN"/>
              </w:rPr>
            </w:pPr>
            <w:r>
              <w:rPr>
                <w:rFonts w:hint="eastAsia" w:ascii="宋体" w:hAnsi="宋体"/>
                <w:kern w:val="0"/>
                <w:sz w:val="21"/>
                <w:lang w:val="en-US" w:eastAsia="zh-CN"/>
              </w:rPr>
              <w:t>知识产权归属中共仙居县委政法委员会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391"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ind w:firstLine="420" w:firstLineChars="200"/>
              <w:rPr>
                <w:rFonts w:ascii="宋体" w:hAnsi="宋体"/>
                <w:kern w:val="0"/>
                <w:sz w:val="21"/>
              </w:rPr>
            </w:pPr>
            <w:r>
              <w:rPr>
                <w:rFonts w:hint="eastAsia" w:ascii="宋体" w:hAnsi="宋体"/>
                <w:kern w:val="0"/>
                <w:sz w:val="21"/>
              </w:rPr>
              <w:t>二</w:t>
            </w:r>
          </w:p>
        </w:tc>
        <w:tc>
          <w:tcPr>
            <w:tcW w:w="1149"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rPr>
                <w:rFonts w:ascii="宋体" w:hAnsi="宋体"/>
                <w:kern w:val="0"/>
                <w:sz w:val="21"/>
              </w:rPr>
            </w:pPr>
            <w:r>
              <w:rPr>
                <w:rFonts w:hint="eastAsia" w:ascii="宋体" w:hAnsi="宋体"/>
                <w:kern w:val="0"/>
                <w:sz w:val="21"/>
              </w:rPr>
              <w:t>数据驾驶舱、现场服务支撑、云服务配置及安全产品等</w:t>
            </w: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ind w:firstLine="210" w:firstLineChars="100"/>
              <w:rPr>
                <w:rFonts w:ascii="宋体" w:hAnsi="宋体"/>
                <w:kern w:val="0"/>
                <w:sz w:val="21"/>
              </w:rPr>
            </w:pPr>
            <w:r>
              <w:rPr>
                <w:rFonts w:hint="eastAsia" w:ascii="宋体" w:hAnsi="宋体"/>
                <w:kern w:val="0"/>
                <w:sz w:val="21"/>
              </w:rPr>
              <w:t>1</w:t>
            </w:r>
          </w:p>
        </w:tc>
        <w:tc>
          <w:tcPr>
            <w:tcW w:w="1137"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ind w:firstLine="420" w:firstLineChars="200"/>
              <w:rPr>
                <w:rFonts w:ascii="宋体" w:hAnsi="宋体"/>
                <w:kern w:val="0"/>
                <w:sz w:val="21"/>
              </w:rPr>
            </w:pPr>
            <w:r>
              <w:rPr>
                <w:rFonts w:hint="eastAsia" w:ascii="宋体" w:hAnsi="宋体"/>
                <w:kern w:val="0"/>
                <w:sz w:val="21"/>
              </w:rPr>
              <w:t>项</w:t>
            </w:r>
          </w:p>
        </w:tc>
        <w:tc>
          <w:tcPr>
            <w:tcW w:w="1392"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ind w:firstLine="420" w:firstLineChars="200"/>
              <w:rPr>
                <w:rFonts w:ascii="宋体" w:hAnsi="宋体"/>
                <w:kern w:val="0"/>
                <w:sz w:val="21"/>
              </w:rPr>
            </w:pPr>
            <w:r>
              <w:rPr>
                <w:rFonts w:hint="eastAsia" w:ascii="宋体" w:hAnsi="宋体"/>
                <w:kern w:val="0"/>
                <w:sz w:val="21"/>
              </w:rPr>
              <w:t>238</w:t>
            </w:r>
          </w:p>
        </w:tc>
        <w:tc>
          <w:tcPr>
            <w:tcW w:w="1392"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ind w:firstLine="210" w:firstLineChars="100"/>
              <w:rPr>
                <w:rFonts w:ascii="宋体" w:hAnsi="宋体"/>
                <w:kern w:val="0"/>
                <w:sz w:val="21"/>
              </w:rPr>
            </w:pPr>
            <w:r>
              <w:rPr>
                <w:rFonts w:hint="eastAsia" w:ascii="宋体" w:hAnsi="宋体"/>
                <w:kern w:val="0"/>
                <w:sz w:val="21"/>
              </w:rPr>
              <w:t>226.1</w:t>
            </w:r>
          </w:p>
        </w:tc>
        <w:tc>
          <w:tcPr>
            <w:tcW w:w="999" w:type="dxa"/>
            <w:vMerge w:val="continue"/>
            <w:noWrap/>
            <w:vAlign w:val="center"/>
          </w:tcPr>
          <w:p>
            <w:pPr>
              <w:snapToGrid w:val="0"/>
              <w:spacing w:line="312" w:lineRule="auto"/>
              <w:ind w:firstLine="630" w:firstLineChars="300"/>
              <w:rPr>
                <w:rFonts w:ascii="宋体" w:hAnsi="宋体"/>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772"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ind w:firstLine="3780" w:firstLineChars="1800"/>
              <w:rPr>
                <w:rFonts w:ascii="宋体" w:hAnsi="宋体"/>
                <w:kern w:val="0"/>
                <w:sz w:val="21"/>
              </w:rPr>
            </w:pPr>
            <w:r>
              <w:rPr>
                <w:rFonts w:hint="eastAsia" w:ascii="宋体" w:hAnsi="宋体"/>
                <w:kern w:val="0"/>
                <w:sz w:val="21"/>
              </w:rPr>
              <w:t>总计：</w:t>
            </w:r>
          </w:p>
        </w:tc>
        <w:tc>
          <w:tcPr>
            <w:tcW w:w="1392"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ind w:firstLine="420" w:firstLineChars="200"/>
              <w:rPr>
                <w:rFonts w:ascii="宋体" w:hAnsi="宋体"/>
                <w:kern w:val="0"/>
                <w:sz w:val="21"/>
              </w:rPr>
            </w:pPr>
            <w:r>
              <w:rPr>
                <w:rFonts w:hint="eastAsia" w:ascii="宋体" w:hAnsi="宋体"/>
                <w:kern w:val="0"/>
                <w:sz w:val="21"/>
              </w:rPr>
              <w:t>600</w:t>
            </w:r>
          </w:p>
        </w:tc>
        <w:tc>
          <w:tcPr>
            <w:tcW w:w="1392" w:type="dxa"/>
            <w:tcBorders>
              <w:top w:val="single" w:color="auto" w:sz="4" w:space="0"/>
              <w:left w:val="single" w:color="auto" w:sz="4" w:space="0"/>
              <w:bottom w:val="single" w:color="auto" w:sz="4" w:space="0"/>
              <w:right w:val="single" w:color="auto" w:sz="4" w:space="0"/>
            </w:tcBorders>
            <w:noWrap/>
            <w:vAlign w:val="center"/>
          </w:tcPr>
          <w:p>
            <w:pPr>
              <w:snapToGrid w:val="0"/>
              <w:spacing w:line="312" w:lineRule="auto"/>
              <w:ind w:firstLine="420" w:firstLineChars="200"/>
              <w:rPr>
                <w:rFonts w:ascii="宋体" w:hAnsi="宋体"/>
                <w:kern w:val="0"/>
                <w:sz w:val="21"/>
              </w:rPr>
            </w:pPr>
            <w:r>
              <w:rPr>
                <w:rFonts w:hint="eastAsia" w:ascii="宋体" w:hAnsi="宋体"/>
                <w:kern w:val="0"/>
                <w:sz w:val="21"/>
              </w:rPr>
              <w:t>570</w:t>
            </w:r>
          </w:p>
        </w:tc>
        <w:tc>
          <w:tcPr>
            <w:tcW w:w="999" w:type="dxa"/>
            <w:noWrap/>
            <w:vAlign w:val="center"/>
          </w:tcPr>
          <w:p>
            <w:pPr>
              <w:snapToGrid w:val="0"/>
              <w:spacing w:line="312" w:lineRule="auto"/>
              <w:ind w:firstLine="630" w:firstLineChars="300"/>
              <w:rPr>
                <w:rFonts w:ascii="宋体" w:hAnsi="宋体"/>
                <w:kern w:val="0"/>
                <w:sz w:val="21"/>
              </w:rPr>
            </w:pPr>
          </w:p>
        </w:tc>
      </w:tr>
    </w:tbl>
    <w:p>
      <w:pPr>
        <w:widowControl/>
        <w:spacing w:before="60" w:after="60" w:line="360" w:lineRule="exact"/>
        <w:ind w:right="60" w:firstLine="420" w:firstLineChars="200"/>
        <w:jc w:val="left"/>
        <w:rPr>
          <w:rFonts w:ascii="宋体" w:hAnsi="宋体" w:cs="宋体"/>
          <w:color w:val="000000"/>
          <w:sz w:val="21"/>
          <w:szCs w:val="21"/>
        </w:rPr>
      </w:pPr>
      <w:r>
        <w:rPr>
          <w:rFonts w:hint="eastAsia" w:ascii="宋体" w:hAnsi="宋体" w:cs="宋体"/>
          <w:color w:val="000000"/>
          <w:sz w:val="21"/>
          <w:szCs w:val="21"/>
        </w:rPr>
        <w:t>注：①本项目按标项依次开标，各供应商可参与任一标项或多个标项投标，但最多只能成为其中一个标项的第一中标候选人，若供应商已在之前任一标项中成为第一中标候选人，则将不参加后续标项评审，也不会在后续标项中被推荐为中标候选人。</w:t>
      </w:r>
    </w:p>
    <w:p>
      <w:pPr>
        <w:widowControl/>
        <w:spacing w:before="60" w:after="60" w:line="360" w:lineRule="exact"/>
        <w:ind w:right="60" w:firstLine="420" w:firstLineChars="200"/>
        <w:jc w:val="left"/>
        <w:rPr>
          <w:rFonts w:ascii="宋体" w:hAnsi="宋体" w:cs="宋体"/>
          <w:color w:val="000000"/>
          <w:sz w:val="21"/>
          <w:szCs w:val="21"/>
        </w:rPr>
      </w:pPr>
      <w:r>
        <w:rPr>
          <w:rFonts w:hint="eastAsia" w:ascii="宋体" w:hAnsi="宋体" w:cs="宋体"/>
          <w:color w:val="000000"/>
          <w:sz w:val="21"/>
          <w:szCs w:val="21"/>
        </w:rPr>
        <w:t>②除了已成为前面任一标项的第一中标候选人的供应商外，各标项提交投标文件供应商或实质性响应供应商的家数须满足至少三家才可继续采购活动，否则该标项将作废标处理。</w:t>
      </w:r>
    </w:p>
    <w:p>
      <w:pPr>
        <w:widowControl/>
        <w:spacing w:line="360" w:lineRule="exact"/>
        <w:ind w:firstLine="420" w:firstLineChars="200"/>
        <w:jc w:val="left"/>
        <w:rPr>
          <w:rFonts w:ascii="宋体" w:hAnsi="宋体" w:cs="宋体"/>
          <w:sz w:val="21"/>
          <w:szCs w:val="21"/>
        </w:rPr>
      </w:pPr>
      <w:r>
        <w:rPr>
          <w:rFonts w:hint="eastAsia" w:ascii="宋体" w:hAnsi="宋体" w:cs="宋体"/>
          <w:sz w:val="21"/>
          <w:szCs w:val="21"/>
        </w:rPr>
        <w:t>③在合同期内，由采购人根据各标项服务范围对中标供应商进行任务分配，采购人不保证各中标供应商在服务期内所发生的业务量。中标供应商如多次出现服务质量不合格、响应速度较慢等情况，采购人有权取消其服务资格。</w:t>
      </w:r>
    </w:p>
    <w:p>
      <w:pPr>
        <w:snapToGrid w:val="0"/>
        <w:spacing w:line="312" w:lineRule="auto"/>
        <w:ind w:firstLine="630" w:firstLineChars="300"/>
        <w:rPr>
          <w:rFonts w:ascii="宋体" w:hAnsi="宋体"/>
          <w:kern w:val="0"/>
          <w:sz w:val="21"/>
        </w:rPr>
      </w:pPr>
    </w:p>
    <w:p>
      <w:pPr>
        <w:adjustRightInd w:val="0"/>
        <w:snapToGrid w:val="0"/>
        <w:spacing w:line="360" w:lineRule="auto"/>
        <w:ind w:firstLine="211" w:firstLineChars="1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二、项目背景和目的</w:t>
      </w:r>
    </w:p>
    <w:p>
      <w:pPr>
        <w:snapToGrid w:val="0"/>
        <w:spacing w:line="312" w:lineRule="auto"/>
        <w:ind w:firstLine="630" w:firstLineChars="300"/>
        <w:rPr>
          <w:rFonts w:ascii="宋体" w:hAnsi="宋体"/>
          <w:kern w:val="0"/>
          <w:sz w:val="21"/>
        </w:rPr>
      </w:pPr>
      <w:r>
        <w:rPr>
          <w:rFonts w:hint="eastAsia" w:ascii="宋体" w:hAnsi="宋体"/>
          <w:kern w:val="0"/>
          <w:sz w:val="21"/>
        </w:rPr>
        <w:t>为深入贯彻落实全省数字化改革大会、全省政法系统数字化改革动员部署会、台州市数字化改革大会的会议精神和任务要求，以《浙江省数字化改革总体方案》《2020 年浙江省深化“最多跑一次”改革推进政府数字化转型工作要点》《浙江省平安市、县(市、区)考核评审条件》为指导，促进仙居县域社会治理新模式，形成具有县域特色的场景应用，打造综合四大评价体系进行督促倒逼，真正构建矛盾纠纷“136”化解体系，形成一套四级闭环考核体系新。率先探索具有县域特色数字化社会治理体系。</w:t>
      </w:r>
    </w:p>
    <w:p>
      <w:pPr>
        <w:snapToGrid w:val="0"/>
        <w:spacing w:line="312" w:lineRule="auto"/>
        <w:ind w:firstLine="630" w:firstLineChars="300"/>
        <w:rPr>
          <w:rFonts w:ascii="宋体" w:hAnsi="宋体"/>
          <w:kern w:val="0"/>
          <w:sz w:val="21"/>
        </w:rPr>
      </w:pPr>
      <w:r>
        <w:rPr>
          <w:rFonts w:hint="eastAsia" w:ascii="宋体" w:hAnsi="宋体"/>
          <w:kern w:val="0"/>
          <w:sz w:val="21"/>
        </w:rPr>
        <w:t>整合汇聚综治业务、各个职能部门系统、人联网、互联网等多维度数据，通过对数据的深入分析准确把握危险点，依托大数据关联构建对于风险主体的画像，并为风险预警模型提供海量数据样本，同时支撑分析研判。</w:t>
      </w:r>
    </w:p>
    <w:p>
      <w:pPr>
        <w:snapToGrid w:val="0"/>
        <w:spacing w:line="312" w:lineRule="auto"/>
        <w:ind w:firstLine="630" w:firstLineChars="300"/>
        <w:rPr>
          <w:rFonts w:ascii="宋体" w:hAnsi="宋体"/>
          <w:kern w:val="0"/>
          <w:sz w:val="21"/>
        </w:rPr>
      </w:pPr>
      <w:r>
        <w:rPr>
          <w:rFonts w:hint="eastAsia" w:ascii="宋体" w:hAnsi="宋体"/>
          <w:kern w:val="0"/>
          <w:sz w:val="21"/>
        </w:rPr>
        <w:t>通过机制创新、管理创新和技术创新加强基层在风险防范化解中的作用，依托线上线下结合的一体化防范体系对基层走访核查更新结果实时跟踪，评估风险的扩展影响，实现对风险预警防范的全流程管理。</w:t>
      </w:r>
    </w:p>
    <w:p>
      <w:pPr>
        <w:snapToGrid w:val="0"/>
        <w:spacing w:line="312" w:lineRule="auto"/>
        <w:ind w:firstLine="630" w:firstLineChars="300"/>
        <w:rPr>
          <w:rFonts w:ascii="宋体" w:hAnsi="宋体"/>
          <w:kern w:val="0"/>
          <w:sz w:val="21"/>
        </w:rPr>
      </w:pPr>
      <w:r>
        <w:rPr>
          <w:rFonts w:hint="eastAsia" w:ascii="宋体" w:hAnsi="宋体"/>
          <w:kern w:val="0"/>
          <w:sz w:val="21"/>
        </w:rPr>
        <w:t>中共仙居县委政法委员会委托拟通过公开招标方式确定委托第三方技术单位承担仙居县基层矛调“五环智控”应用项目。</w:t>
      </w:r>
    </w:p>
    <w:p>
      <w:pPr>
        <w:snapToGrid w:val="0"/>
        <w:spacing w:line="312" w:lineRule="auto"/>
        <w:ind w:firstLine="630" w:firstLineChars="300"/>
        <w:rPr>
          <w:rFonts w:ascii="宋体" w:hAnsi="宋体"/>
          <w:kern w:val="0"/>
          <w:sz w:val="21"/>
        </w:rPr>
      </w:pPr>
    </w:p>
    <w:p>
      <w:pPr>
        <w:adjustRightInd w:val="0"/>
        <w:snapToGrid w:val="0"/>
        <w:spacing w:line="360" w:lineRule="auto"/>
        <w:ind w:firstLine="211" w:firstLineChars="1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三、项目需求</w:t>
      </w:r>
    </w:p>
    <w:p>
      <w:pPr>
        <w:snapToGrid w:val="0"/>
        <w:spacing w:line="312" w:lineRule="auto"/>
        <w:ind w:firstLine="630" w:firstLineChars="300"/>
        <w:rPr>
          <w:rFonts w:ascii="宋体" w:hAnsi="宋体"/>
          <w:kern w:val="0"/>
          <w:sz w:val="21"/>
        </w:rPr>
      </w:pPr>
      <w:r>
        <w:rPr>
          <w:rFonts w:hint="eastAsia" w:ascii="宋体" w:hAnsi="宋体"/>
          <w:kern w:val="0"/>
          <w:sz w:val="21"/>
        </w:rPr>
        <w:t>1、提升量化数据考核功能</w:t>
      </w:r>
    </w:p>
    <w:p>
      <w:pPr>
        <w:snapToGrid w:val="0"/>
        <w:spacing w:line="312" w:lineRule="auto"/>
        <w:ind w:firstLine="630" w:firstLineChars="300"/>
        <w:rPr>
          <w:rFonts w:ascii="宋体" w:hAnsi="宋体"/>
          <w:kern w:val="0"/>
          <w:sz w:val="21"/>
        </w:rPr>
      </w:pPr>
      <w:r>
        <w:rPr>
          <w:rFonts w:hint="eastAsia" w:ascii="宋体" w:hAnsi="宋体"/>
          <w:kern w:val="0"/>
          <w:sz w:val="21"/>
        </w:rPr>
        <w:t>基层矛盾纠纷化解工作“化解难、联动难、管控难、定责难”的问题，通过数字赋能，流程重塑压实基层责任。</w:t>
      </w:r>
    </w:p>
    <w:tbl>
      <w:tblPr>
        <w:tblStyle w:val="48"/>
        <w:tblW w:w="0" w:type="auto"/>
        <w:tblInd w:w="0" w:type="dxa"/>
        <w:tblLayout w:type="autofit"/>
        <w:tblCellMar>
          <w:top w:w="15" w:type="dxa"/>
          <w:left w:w="15" w:type="dxa"/>
          <w:bottom w:w="15" w:type="dxa"/>
          <w:right w:w="15" w:type="dxa"/>
        </w:tblCellMar>
      </w:tblPr>
      <w:tblGrid>
        <w:gridCol w:w="1370"/>
        <w:gridCol w:w="7392"/>
      </w:tblGrid>
      <w:tr>
        <w:tblPrEx>
          <w:tblCellMar>
            <w:top w:w="15" w:type="dxa"/>
            <w:left w:w="15" w:type="dxa"/>
            <w:bottom w:w="15" w:type="dxa"/>
            <w:right w:w="15"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12" w:lineRule="auto"/>
              <w:rPr>
                <w:rFonts w:ascii="宋体" w:hAnsi="宋体"/>
                <w:kern w:val="0"/>
                <w:sz w:val="21"/>
              </w:rPr>
            </w:pPr>
            <w:r>
              <w:rPr>
                <w:rFonts w:hint="eastAsia" w:ascii="宋体" w:hAnsi="宋体"/>
                <w:kern w:val="0"/>
                <w:sz w:val="21"/>
              </w:rPr>
              <w:t>应录未录数据模板导出功能</w:t>
            </w:r>
          </w:p>
        </w:tc>
        <w:tc>
          <w:tcPr>
            <w:tcW w:w="73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12" w:lineRule="auto"/>
              <w:rPr>
                <w:rFonts w:ascii="宋体" w:hAnsi="宋体"/>
                <w:kern w:val="0"/>
                <w:sz w:val="21"/>
              </w:rPr>
            </w:pPr>
            <w:r>
              <w:rPr>
                <w:rFonts w:hint="eastAsia" w:ascii="宋体" w:hAnsi="宋体"/>
                <w:kern w:val="0"/>
                <w:sz w:val="21"/>
              </w:rPr>
              <w:t>根据（街道）或村（社区）实际情况“历史诉求”和“属地调处情况”，系统可以导出的excel应录未录数据模板，进行数据标识整理。</w:t>
            </w:r>
          </w:p>
        </w:tc>
      </w:tr>
      <w:tr>
        <w:tblPrEx>
          <w:tblCellMar>
            <w:top w:w="15" w:type="dxa"/>
            <w:left w:w="15" w:type="dxa"/>
            <w:bottom w:w="15" w:type="dxa"/>
            <w:right w:w="15"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12" w:lineRule="auto"/>
              <w:rPr>
                <w:rFonts w:ascii="宋体" w:hAnsi="宋体"/>
                <w:kern w:val="0"/>
                <w:sz w:val="21"/>
              </w:rPr>
            </w:pPr>
            <w:r>
              <w:rPr>
                <w:rFonts w:hint="eastAsia" w:ascii="宋体" w:hAnsi="宋体"/>
                <w:kern w:val="0"/>
                <w:sz w:val="21"/>
              </w:rPr>
              <w:t>应录未录数据导入功能</w:t>
            </w:r>
          </w:p>
        </w:tc>
        <w:tc>
          <w:tcPr>
            <w:tcW w:w="73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12" w:lineRule="auto"/>
              <w:rPr>
                <w:rFonts w:ascii="宋体" w:hAnsi="宋体"/>
                <w:kern w:val="0"/>
                <w:sz w:val="21"/>
              </w:rPr>
            </w:pPr>
            <w:r>
              <w:rPr>
                <w:rFonts w:hint="eastAsia" w:ascii="宋体" w:hAnsi="宋体"/>
                <w:kern w:val="0"/>
                <w:sz w:val="21"/>
              </w:rPr>
              <w:t>整理好的应录未录数据模板，可以通过导入功能导入系统。有逾期案件的，按规则自动显示为红码或者黄码标记。同时数据同步到PC版驾驶舱和手机看板。</w:t>
            </w:r>
          </w:p>
        </w:tc>
      </w:tr>
      <w:tr>
        <w:tblPrEx>
          <w:tblCellMar>
            <w:top w:w="15" w:type="dxa"/>
            <w:left w:w="15" w:type="dxa"/>
            <w:bottom w:w="15" w:type="dxa"/>
            <w:right w:w="15"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12" w:lineRule="auto"/>
              <w:rPr>
                <w:rFonts w:ascii="宋体" w:hAnsi="宋体"/>
                <w:kern w:val="0"/>
                <w:sz w:val="21"/>
              </w:rPr>
            </w:pPr>
            <w:r>
              <w:rPr>
                <w:rFonts w:hint="eastAsia" w:ascii="宋体" w:hAnsi="宋体"/>
                <w:kern w:val="0"/>
                <w:sz w:val="21"/>
              </w:rPr>
              <w:t>应调未调数据导出功能</w:t>
            </w:r>
          </w:p>
        </w:tc>
        <w:tc>
          <w:tcPr>
            <w:tcW w:w="73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12" w:lineRule="auto"/>
              <w:rPr>
                <w:rFonts w:ascii="宋体" w:hAnsi="宋体"/>
                <w:kern w:val="0"/>
                <w:sz w:val="21"/>
              </w:rPr>
            </w:pPr>
            <w:r>
              <w:rPr>
                <w:rFonts w:hint="eastAsia" w:ascii="宋体" w:hAnsi="宋体"/>
                <w:kern w:val="0"/>
                <w:sz w:val="21"/>
              </w:rPr>
              <w:t>办理过程中要上传调解过程的照片或视频，若未上传直接办结，视作应调未调。系统可以导出应调未调数据模板。</w:t>
            </w:r>
          </w:p>
        </w:tc>
      </w:tr>
      <w:tr>
        <w:tblPrEx>
          <w:tblCellMar>
            <w:top w:w="15" w:type="dxa"/>
            <w:left w:w="15" w:type="dxa"/>
            <w:bottom w:w="15" w:type="dxa"/>
            <w:right w:w="15"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12" w:lineRule="auto"/>
              <w:rPr>
                <w:rFonts w:ascii="宋体" w:hAnsi="宋体"/>
                <w:kern w:val="0"/>
                <w:sz w:val="21"/>
              </w:rPr>
            </w:pPr>
            <w:r>
              <w:rPr>
                <w:rFonts w:hint="eastAsia" w:ascii="宋体" w:hAnsi="宋体"/>
                <w:kern w:val="0"/>
                <w:sz w:val="21"/>
              </w:rPr>
              <w:t>应调未调数据导入功能</w:t>
            </w:r>
          </w:p>
        </w:tc>
        <w:tc>
          <w:tcPr>
            <w:tcW w:w="73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12" w:lineRule="auto"/>
              <w:rPr>
                <w:rFonts w:ascii="宋体" w:hAnsi="宋体"/>
                <w:kern w:val="0"/>
                <w:sz w:val="21"/>
              </w:rPr>
            </w:pPr>
            <w:r>
              <w:rPr>
                <w:rFonts w:hint="eastAsia" w:ascii="宋体" w:hAnsi="宋体"/>
                <w:kern w:val="0"/>
                <w:sz w:val="21"/>
              </w:rPr>
              <w:t>整理好的应调未调数据，可以通过导入功能进行数据导入。系统根据规则智能匹配红黄码。</w:t>
            </w:r>
          </w:p>
        </w:tc>
      </w:tr>
      <w:tr>
        <w:tblPrEx>
          <w:tblCellMar>
            <w:top w:w="15" w:type="dxa"/>
            <w:left w:w="15" w:type="dxa"/>
            <w:bottom w:w="15" w:type="dxa"/>
            <w:right w:w="15"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12" w:lineRule="auto"/>
              <w:rPr>
                <w:rFonts w:ascii="宋体" w:hAnsi="宋体"/>
                <w:kern w:val="0"/>
                <w:sz w:val="21"/>
              </w:rPr>
            </w:pPr>
            <w:r>
              <w:rPr>
                <w:rFonts w:hint="eastAsia" w:ascii="宋体" w:hAnsi="宋体"/>
                <w:kern w:val="0"/>
                <w:sz w:val="21"/>
              </w:rPr>
              <w:t>虚假数据分类入库功能</w:t>
            </w:r>
          </w:p>
        </w:tc>
        <w:tc>
          <w:tcPr>
            <w:tcW w:w="73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12" w:lineRule="auto"/>
              <w:rPr>
                <w:rFonts w:ascii="宋体" w:hAnsi="宋体"/>
                <w:kern w:val="0"/>
                <w:sz w:val="21"/>
              </w:rPr>
            </w:pPr>
            <w:r>
              <w:rPr>
                <w:rFonts w:hint="eastAsia" w:ascii="宋体" w:hAnsi="宋体"/>
                <w:kern w:val="0"/>
                <w:sz w:val="21"/>
              </w:rPr>
              <w:t>督查部门通过已有库里数据信息进行电话等形式回访。发现虚假数据进行批量分类入库考核。</w:t>
            </w:r>
          </w:p>
        </w:tc>
      </w:tr>
      <w:tr>
        <w:tblPrEx>
          <w:tblCellMar>
            <w:top w:w="15" w:type="dxa"/>
            <w:left w:w="15" w:type="dxa"/>
            <w:bottom w:w="15" w:type="dxa"/>
            <w:right w:w="15"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12" w:lineRule="auto"/>
              <w:rPr>
                <w:rFonts w:ascii="宋体" w:hAnsi="宋体"/>
                <w:kern w:val="0"/>
                <w:sz w:val="21"/>
              </w:rPr>
            </w:pPr>
            <w:r>
              <w:rPr>
                <w:rFonts w:hint="eastAsia" w:ascii="宋体" w:hAnsi="宋体"/>
                <w:kern w:val="0"/>
                <w:sz w:val="21"/>
              </w:rPr>
              <w:t>事心双解方面</w:t>
            </w:r>
          </w:p>
        </w:tc>
        <w:tc>
          <w:tcPr>
            <w:tcW w:w="739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12" w:lineRule="auto"/>
              <w:rPr>
                <w:rFonts w:ascii="宋体" w:hAnsi="宋体"/>
                <w:kern w:val="0"/>
                <w:sz w:val="21"/>
              </w:rPr>
            </w:pPr>
            <w:r>
              <w:rPr>
                <w:rFonts w:hint="eastAsia" w:ascii="宋体" w:hAnsi="宋体"/>
                <w:kern w:val="0"/>
                <w:sz w:val="21"/>
              </w:rPr>
              <w:t>有调解协议书的，上传系统后，经审核后加星，自行导入专门数据库，纳入统计。</w:t>
            </w:r>
          </w:p>
        </w:tc>
      </w:tr>
    </w:tbl>
    <w:p>
      <w:pPr>
        <w:snapToGrid w:val="0"/>
        <w:spacing w:line="312" w:lineRule="auto"/>
        <w:ind w:firstLine="630" w:firstLineChars="300"/>
        <w:rPr>
          <w:rFonts w:ascii="宋体" w:hAnsi="宋体"/>
          <w:kern w:val="0"/>
          <w:sz w:val="21"/>
        </w:rPr>
      </w:pPr>
      <w:r>
        <w:rPr>
          <w:rFonts w:hint="eastAsia" w:ascii="宋体" w:hAnsi="宋体"/>
          <w:kern w:val="0"/>
          <w:sz w:val="21"/>
        </w:rPr>
        <w:t>2、开发“民声卡”通用功能、通用制度</w:t>
      </w:r>
    </w:p>
    <w:p>
      <w:pPr>
        <w:snapToGrid w:val="0"/>
        <w:spacing w:line="312" w:lineRule="auto"/>
        <w:ind w:firstLine="630" w:firstLineChars="300"/>
        <w:rPr>
          <w:rFonts w:ascii="宋体" w:hAnsi="宋体"/>
          <w:kern w:val="0"/>
          <w:sz w:val="21"/>
        </w:rPr>
      </w:pPr>
      <w:r>
        <w:rPr>
          <w:rFonts w:hint="eastAsia" w:ascii="宋体" w:hAnsi="宋体"/>
          <w:kern w:val="0"/>
          <w:sz w:val="21"/>
        </w:rPr>
        <w:t>通过与群众建立数字化桥梁，相当于县一级督办机制给群众发放了一张保障凭证。通过“五环智控”机制来为群众构建数字化保障体系。通过梳理核心业务逻辑，形成可复制、可推广的通用组件。</w:t>
      </w:r>
    </w:p>
    <w:p>
      <w:pPr>
        <w:snapToGrid w:val="0"/>
        <w:spacing w:line="312" w:lineRule="auto"/>
        <w:ind w:firstLine="630" w:firstLineChars="300"/>
        <w:rPr>
          <w:rFonts w:ascii="宋体" w:hAnsi="宋体"/>
          <w:kern w:val="0"/>
          <w:sz w:val="21"/>
        </w:rPr>
      </w:pPr>
      <w:r>
        <w:rPr>
          <w:rFonts w:hint="eastAsia" w:ascii="宋体" w:hAnsi="宋体"/>
          <w:kern w:val="0"/>
          <w:sz w:val="21"/>
        </w:rPr>
        <w:t>3、进一步完善“四力调解库”机制</w:t>
      </w:r>
    </w:p>
    <w:p>
      <w:pPr>
        <w:snapToGrid w:val="0"/>
        <w:spacing w:line="312" w:lineRule="auto"/>
        <w:ind w:firstLine="630" w:firstLineChars="300"/>
        <w:rPr>
          <w:rFonts w:ascii="宋体" w:hAnsi="宋体"/>
          <w:kern w:val="0"/>
          <w:sz w:val="21"/>
        </w:rPr>
      </w:pPr>
      <w:r>
        <w:rPr>
          <w:rFonts w:hint="eastAsia" w:ascii="宋体" w:hAnsi="宋体"/>
          <w:kern w:val="0"/>
          <w:sz w:val="21"/>
        </w:rPr>
        <w:t>通过线上会商调解功能，业务上通过与司法局、统战部、法院等调解相关单位对接，将相关人员、岗位纳入四力调解库，并完善在线点单、派单、抢单等功能。</w:t>
      </w:r>
    </w:p>
    <w:p>
      <w:pPr>
        <w:snapToGrid w:val="0"/>
        <w:spacing w:line="312" w:lineRule="auto"/>
        <w:ind w:firstLine="630" w:firstLineChars="300"/>
        <w:rPr>
          <w:rFonts w:ascii="宋体" w:hAnsi="宋体"/>
          <w:kern w:val="0"/>
          <w:sz w:val="21"/>
        </w:rPr>
      </w:pPr>
    </w:p>
    <w:p>
      <w:pPr>
        <w:adjustRightInd w:val="0"/>
        <w:snapToGrid w:val="0"/>
        <w:spacing w:line="360" w:lineRule="auto"/>
        <w:ind w:firstLine="211" w:firstLineChars="1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四、</w:t>
      </w:r>
      <w:bookmarkStart w:id="5" w:name="_Toc64986420"/>
      <w:bookmarkStart w:id="6" w:name="_Toc25106"/>
      <w:bookmarkStart w:id="7" w:name="_Toc97835730"/>
      <w:r>
        <w:rPr>
          <w:rFonts w:hint="eastAsia" w:cs="宋体" w:asciiTheme="minorEastAsia" w:hAnsiTheme="minorEastAsia" w:eastAsiaTheme="minorEastAsia"/>
          <w:b/>
          <w:kern w:val="0"/>
          <w:sz w:val="21"/>
          <w:szCs w:val="21"/>
        </w:rPr>
        <w:t>系统功能</w:t>
      </w:r>
      <w:bookmarkEnd w:id="5"/>
      <w:r>
        <w:rPr>
          <w:rFonts w:hint="eastAsia" w:cs="宋体" w:asciiTheme="minorEastAsia" w:hAnsiTheme="minorEastAsia" w:eastAsiaTheme="minorEastAsia"/>
          <w:b/>
          <w:kern w:val="0"/>
          <w:sz w:val="21"/>
          <w:szCs w:val="21"/>
        </w:rPr>
        <w:t>需求</w:t>
      </w:r>
      <w:bookmarkEnd w:id="6"/>
      <w:bookmarkEnd w:id="7"/>
    </w:p>
    <w:p>
      <w:pPr>
        <w:snapToGrid w:val="0"/>
        <w:spacing w:line="312" w:lineRule="auto"/>
        <w:ind w:firstLine="630" w:firstLineChars="300"/>
        <w:rPr>
          <w:rFonts w:ascii="宋体" w:hAnsi="宋体"/>
          <w:kern w:val="0"/>
          <w:sz w:val="21"/>
        </w:rPr>
      </w:pPr>
      <w:r>
        <w:rPr>
          <w:rFonts w:hint="eastAsia" w:ascii="宋体" w:hAnsi="宋体"/>
          <w:kern w:val="0"/>
          <w:sz w:val="21"/>
        </w:rPr>
        <w:t>“五环智控”是浙江“解纷码”、省矛调协同应用系统、基层治理四平台压实责任的子应用，主要从即时感知、多元调处、责任监督、考评反馈、预警研判5个环节形成责任闭环。</w:t>
      </w:r>
    </w:p>
    <w:p>
      <w:pPr>
        <w:snapToGrid w:val="0"/>
        <w:spacing w:line="312" w:lineRule="auto"/>
        <w:ind w:firstLine="630" w:firstLineChars="300"/>
        <w:rPr>
          <w:rFonts w:ascii="宋体" w:hAnsi="宋体"/>
          <w:kern w:val="0"/>
          <w:sz w:val="21"/>
        </w:rPr>
      </w:pPr>
      <w:r>
        <w:rPr>
          <w:rFonts w:hint="eastAsia" w:ascii="宋体" w:hAnsi="宋体"/>
          <w:kern w:val="0"/>
          <w:sz w:val="21"/>
        </w:rPr>
        <w:t>1.即时感知。线上受理以浙江“解纷码”为入口，县社会治理中心受理以省矛调协同应用系统为入口，乡镇（街道）受理以基层治理四平台为入口。普通事项在原系统办理，疑难事项转协同至“五环智控”，进一步压实基层干部责任。群众在线上实时查看进度、补充材料、评价反馈等。</w:t>
      </w:r>
    </w:p>
    <w:p>
      <w:pPr>
        <w:snapToGrid w:val="0"/>
        <w:spacing w:line="312" w:lineRule="auto"/>
        <w:ind w:firstLine="630" w:firstLineChars="300"/>
        <w:rPr>
          <w:rFonts w:ascii="宋体" w:hAnsi="宋体"/>
          <w:kern w:val="0"/>
          <w:sz w:val="21"/>
        </w:rPr>
      </w:pPr>
      <w:r>
        <w:rPr>
          <w:rFonts w:hint="eastAsia" w:ascii="宋体" w:hAnsi="宋体"/>
          <w:kern w:val="0"/>
          <w:sz w:val="21"/>
        </w:rPr>
        <w:t>2.多元调处。对于转协同至“五环智控”的事项，依托“浙政钉”，线上组建由属地乡镇（街道）和职能部门分管领导、责任人员，四治团组人员（自治、德治、法治、智治）等构成的调解团队，“一事一专班”，启动云会商、云调解，线上实时反馈群众。</w:t>
      </w:r>
    </w:p>
    <w:p>
      <w:pPr>
        <w:snapToGrid w:val="0"/>
        <w:spacing w:line="312" w:lineRule="auto"/>
        <w:ind w:firstLine="630" w:firstLineChars="300"/>
        <w:rPr>
          <w:rFonts w:ascii="宋体" w:hAnsi="宋体"/>
          <w:kern w:val="0"/>
          <w:sz w:val="21"/>
        </w:rPr>
      </w:pPr>
      <w:r>
        <w:rPr>
          <w:rFonts w:hint="eastAsia" w:ascii="宋体" w:hAnsi="宋体"/>
          <w:kern w:val="0"/>
          <w:sz w:val="21"/>
        </w:rPr>
        <w:t>3.责任监督。通过受理、履职、群众、过程、事后5大监督模块，将责任落实量化、可视化。建立“三色督办”机制，新增矛盾纠纷超过7日未办结转为黄码、超过14日转为红码，分别推至单位“一把手”、县分管领导督办。督查室、纪委、检察等跟进，实时监督、追责。</w:t>
      </w:r>
    </w:p>
    <w:p>
      <w:pPr>
        <w:snapToGrid w:val="0"/>
        <w:spacing w:line="312" w:lineRule="auto"/>
        <w:ind w:firstLine="630" w:firstLineChars="300"/>
        <w:rPr>
          <w:rFonts w:ascii="宋体" w:hAnsi="宋体"/>
          <w:kern w:val="0"/>
          <w:sz w:val="21"/>
        </w:rPr>
      </w:pPr>
      <w:r>
        <w:rPr>
          <w:rFonts w:hint="eastAsia" w:ascii="宋体" w:hAnsi="宋体"/>
          <w:kern w:val="0"/>
          <w:sz w:val="21"/>
        </w:rPr>
        <w:t>4.考评反馈。建立干部责任压实指数，通过设定落实、实效、质效、稳定、反向5个方面的判断规则，运用相匹配的算法，设置5+1个指数模型，输入“浙江解纷码”、省矛调协同应用系统、基层治理四平台、“民呼我为”等系统的外部数据和“五环智控”应用本身5个子场景产生的内部数据，以5个子指数和总指数的形式输出分领域分区域指数值，精准评价干部工作状态；其中，根据指数值以三色图的形式呈现，并将结果靶向运用于通报、督查、挂牌整治、领导约谈等压实干部责任的各种举措中。</w:t>
      </w:r>
    </w:p>
    <w:p>
      <w:pPr>
        <w:snapToGrid w:val="0"/>
        <w:spacing w:line="312" w:lineRule="auto"/>
        <w:ind w:firstLine="630" w:firstLineChars="300"/>
        <w:rPr>
          <w:rFonts w:ascii="宋体" w:hAnsi="宋体"/>
          <w:kern w:val="0"/>
          <w:sz w:val="21"/>
        </w:rPr>
      </w:pPr>
      <w:r>
        <w:rPr>
          <w:rFonts w:hint="eastAsia" w:ascii="宋体" w:hAnsi="宋体"/>
          <w:kern w:val="0"/>
          <w:sz w:val="21"/>
        </w:rPr>
        <w:t>5.预警研判。依托IRS公共数据平台，回流归集浙江“解纷码”、省矛调协同应用系统、基层治理四平台、“民呼我为”等数源系统全量数据，抓取污水、道路、干部、腐败等关键词，分析共性问题、共性部门、共性领域，进行源头治理；对问题突出的领域，提交县委常委会、县政府常务会议研究决策，或以“7张问题清单”进行交办。</w:t>
      </w:r>
    </w:p>
    <w:p>
      <w:pPr>
        <w:snapToGrid w:val="0"/>
        <w:spacing w:line="312" w:lineRule="auto"/>
        <w:ind w:firstLine="630" w:firstLineChars="300"/>
        <w:rPr>
          <w:rFonts w:ascii="宋体" w:hAnsi="宋体"/>
          <w:kern w:val="0"/>
          <w:sz w:val="21"/>
        </w:rPr>
      </w:pPr>
    </w:p>
    <w:p>
      <w:pPr>
        <w:adjustRightInd w:val="0"/>
        <w:snapToGrid w:val="0"/>
        <w:spacing w:line="360" w:lineRule="auto"/>
        <w:ind w:firstLine="211" w:firstLineChars="1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五、拟派驻本项目人员要求</w:t>
      </w:r>
    </w:p>
    <w:p>
      <w:pPr>
        <w:snapToGrid w:val="0"/>
        <w:spacing w:line="312" w:lineRule="auto"/>
        <w:ind w:firstLine="630" w:firstLineChars="300"/>
        <w:rPr>
          <w:rFonts w:ascii="宋体" w:hAnsi="宋体"/>
          <w:kern w:val="0"/>
          <w:sz w:val="21"/>
        </w:rPr>
      </w:pPr>
      <w:r>
        <w:rPr>
          <w:rFonts w:hint="eastAsia" w:ascii="宋体" w:hAnsi="宋体"/>
          <w:kern w:val="0"/>
          <w:sz w:val="21"/>
        </w:rPr>
        <w:t>项目团队应包含项目经理1名、技术负责人1名和项目团队人员若干名。针对本项目，须建立专门的项目服务小组，项目服务小组人员主要包括：项目服务保障小组组长、应用系统服务人员、系统平台维护人员、数据库维护人员、系统开发人员、服务小组文档管理，服务保障组成员在项目开始阶段即参与项目实施，熟悉项目的具体情况，便于项目服务小组在系统上线后平滑过渡，顺利承担起售后服务和技术支持工作，主要工作内容包括：</w:t>
      </w:r>
    </w:p>
    <w:p>
      <w:pPr>
        <w:snapToGrid w:val="0"/>
        <w:spacing w:line="312" w:lineRule="auto"/>
        <w:ind w:firstLine="630" w:firstLineChars="300"/>
        <w:rPr>
          <w:rFonts w:ascii="宋体" w:hAnsi="宋体"/>
          <w:kern w:val="0"/>
          <w:sz w:val="21"/>
        </w:rPr>
      </w:pPr>
      <w:r>
        <w:rPr>
          <w:rFonts w:hint="eastAsia" w:ascii="宋体" w:hAnsi="宋体"/>
          <w:kern w:val="0"/>
          <w:sz w:val="21"/>
        </w:rPr>
        <w:t>1、项目服务保障小组组长负责项目服务组内部的交通、协调与交流，向项目经理汇报小组工作情况，监督小组成员工作，保障服务质量，负责现场与用户的沟通和协调。</w:t>
      </w:r>
    </w:p>
    <w:p>
      <w:pPr>
        <w:snapToGrid w:val="0"/>
        <w:spacing w:line="312" w:lineRule="auto"/>
        <w:ind w:firstLine="630" w:firstLineChars="300"/>
        <w:rPr>
          <w:rFonts w:ascii="宋体" w:hAnsi="宋体"/>
          <w:kern w:val="0"/>
          <w:sz w:val="21"/>
        </w:rPr>
      </w:pPr>
      <w:r>
        <w:rPr>
          <w:rFonts w:hint="eastAsia" w:ascii="宋体" w:hAnsi="宋体"/>
          <w:kern w:val="0"/>
          <w:sz w:val="21"/>
        </w:rPr>
        <w:t>2、应用系统服务人员负责上线的各应用系统日常维护，与业主方应用系统管理员互相协作，完成应用系统现场服务工作，及时回答服务现场用户的问题，及时反馈用户的需求和建议，系统日常备份，系统升级。</w:t>
      </w:r>
    </w:p>
    <w:p>
      <w:pPr>
        <w:snapToGrid w:val="0"/>
        <w:spacing w:line="312" w:lineRule="auto"/>
        <w:ind w:firstLine="630" w:firstLineChars="300"/>
        <w:rPr>
          <w:rFonts w:ascii="宋体" w:hAnsi="宋体"/>
          <w:kern w:val="0"/>
          <w:sz w:val="21"/>
        </w:rPr>
      </w:pPr>
      <w:r>
        <w:rPr>
          <w:rFonts w:hint="eastAsia" w:ascii="宋体" w:hAnsi="宋体"/>
          <w:kern w:val="0"/>
          <w:sz w:val="21"/>
        </w:rPr>
        <w:t>3、系统平台维护人员负责本项目系统平台的日常维护，与业主方系统管理员间互相协作，完成系统平台现场服务工作，当系统出现故障，现场无法解决时，与厂家联系共同解决问题。</w:t>
      </w:r>
    </w:p>
    <w:p>
      <w:pPr>
        <w:snapToGrid w:val="0"/>
        <w:spacing w:line="312" w:lineRule="auto"/>
        <w:ind w:firstLine="630" w:firstLineChars="300"/>
        <w:rPr>
          <w:rFonts w:ascii="宋体" w:hAnsi="宋体"/>
          <w:kern w:val="0"/>
          <w:sz w:val="21"/>
        </w:rPr>
      </w:pPr>
      <w:r>
        <w:rPr>
          <w:rFonts w:hint="eastAsia" w:ascii="宋体" w:hAnsi="宋体"/>
          <w:kern w:val="0"/>
          <w:sz w:val="21"/>
        </w:rPr>
        <w:t>4、数据库维护人员负责数据库平台的日常维护，数据库性能的优化整合，数据备份。</w:t>
      </w:r>
    </w:p>
    <w:p>
      <w:pPr>
        <w:snapToGrid w:val="0"/>
        <w:spacing w:line="312" w:lineRule="auto"/>
        <w:ind w:firstLine="630" w:firstLineChars="300"/>
        <w:rPr>
          <w:rFonts w:ascii="宋体" w:hAnsi="宋体"/>
          <w:kern w:val="0"/>
          <w:sz w:val="21"/>
        </w:rPr>
      </w:pPr>
      <w:r>
        <w:rPr>
          <w:rFonts w:hint="eastAsia" w:ascii="宋体" w:hAnsi="宋体"/>
          <w:kern w:val="0"/>
          <w:sz w:val="21"/>
        </w:rPr>
        <w:t>5、系统开发人员负责系统运行过程中应用需求的二次开发，系统性能的优化整合，对业主单位技术开发人员的技术指导。</w:t>
      </w:r>
    </w:p>
    <w:p>
      <w:pPr>
        <w:snapToGrid w:val="0"/>
        <w:spacing w:line="312" w:lineRule="auto"/>
        <w:ind w:firstLine="630" w:firstLineChars="300"/>
        <w:rPr>
          <w:rFonts w:ascii="宋体" w:hAnsi="宋体"/>
          <w:kern w:val="0"/>
          <w:sz w:val="21"/>
        </w:rPr>
      </w:pPr>
      <w:r>
        <w:rPr>
          <w:rFonts w:hint="eastAsia" w:ascii="宋体" w:hAnsi="宋体"/>
          <w:kern w:val="0"/>
          <w:sz w:val="21"/>
        </w:rPr>
        <w:t>6、服务小组文档管理员负责项目维护文档的管理和保管，服务记录的管理，服务过程中文档的保管。</w:t>
      </w:r>
    </w:p>
    <w:p>
      <w:pPr>
        <w:snapToGrid w:val="0"/>
        <w:spacing w:line="312" w:lineRule="auto"/>
        <w:ind w:firstLine="630" w:firstLineChars="300"/>
        <w:rPr>
          <w:rFonts w:ascii="宋体" w:hAnsi="宋体"/>
          <w:kern w:val="0"/>
          <w:sz w:val="21"/>
        </w:rPr>
      </w:pPr>
      <w:r>
        <w:rPr>
          <w:rFonts w:hint="eastAsia" w:ascii="宋体" w:hAnsi="宋体"/>
          <w:kern w:val="0"/>
          <w:sz w:val="21"/>
        </w:rPr>
        <w:t>7、部分研发工程师和项目实施工程师也将作为售后服务人员，参与售后服务。</w:t>
      </w:r>
    </w:p>
    <w:p>
      <w:pPr>
        <w:snapToGrid w:val="0"/>
        <w:spacing w:line="312" w:lineRule="auto"/>
        <w:ind w:firstLine="630" w:firstLineChars="300"/>
        <w:rPr>
          <w:rFonts w:ascii="宋体" w:hAnsi="宋体"/>
          <w:kern w:val="0"/>
          <w:sz w:val="21"/>
        </w:rPr>
      </w:pPr>
    </w:p>
    <w:p>
      <w:pPr>
        <w:adjustRightInd w:val="0"/>
        <w:snapToGrid w:val="0"/>
        <w:spacing w:line="360" w:lineRule="auto"/>
        <w:ind w:firstLine="211" w:firstLineChars="1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六、技术服务要求</w:t>
      </w:r>
    </w:p>
    <w:p>
      <w:pPr>
        <w:snapToGrid w:val="0"/>
        <w:spacing w:line="312" w:lineRule="auto"/>
        <w:ind w:firstLine="630" w:firstLineChars="300"/>
        <w:rPr>
          <w:rFonts w:ascii="宋体" w:hAnsi="宋体"/>
          <w:kern w:val="0"/>
          <w:sz w:val="21"/>
        </w:rPr>
      </w:pPr>
      <w:r>
        <w:rPr>
          <w:rFonts w:hint="eastAsia" w:ascii="宋体" w:hAnsi="宋体"/>
          <w:kern w:val="0"/>
          <w:sz w:val="21"/>
        </w:rPr>
        <w:t>1、投标人应确保其技术建议以及所提供的设备的完整性、实用性，保证全部系统及时投入正常运行。否则若出现因投标人提供的设备不满足要求、不合理，或者其所提供的技术支持和服务不全面，而导致系统无法实现或不能完全实现的状况，投标人负全部责任。</w:t>
      </w:r>
    </w:p>
    <w:p>
      <w:pPr>
        <w:snapToGrid w:val="0"/>
        <w:spacing w:line="312" w:lineRule="auto"/>
        <w:ind w:firstLine="630" w:firstLineChars="300"/>
        <w:rPr>
          <w:rFonts w:ascii="宋体" w:hAnsi="宋体"/>
          <w:kern w:val="0"/>
          <w:sz w:val="21"/>
        </w:rPr>
      </w:pPr>
      <w:r>
        <w:rPr>
          <w:rFonts w:hint="eastAsia" w:ascii="宋体" w:hAnsi="宋体"/>
          <w:kern w:val="0"/>
          <w:sz w:val="21"/>
        </w:rPr>
        <w:t>2、投标人必须保证解决本次采购所涉及的技术问题，如因技术原因无法满足招标人需求，由此产生的风险由投标人承担。</w:t>
      </w:r>
    </w:p>
    <w:p>
      <w:pPr>
        <w:snapToGrid w:val="0"/>
        <w:spacing w:line="312" w:lineRule="auto"/>
        <w:ind w:firstLine="630" w:firstLineChars="300"/>
        <w:rPr>
          <w:rFonts w:ascii="宋体" w:hAnsi="宋体"/>
          <w:kern w:val="0"/>
          <w:sz w:val="21"/>
        </w:rPr>
      </w:pPr>
      <w:r>
        <w:rPr>
          <w:rFonts w:hint="eastAsia" w:ascii="宋体" w:hAnsi="宋体"/>
          <w:kern w:val="0"/>
          <w:sz w:val="21"/>
        </w:rPr>
        <w:t>3、如果系统或设备在维保期内发生故障，投标人应及时予以响应（免费上门服务），否则招标人将自行采取必要的措施，由此产生风险和费用由投标人承担。维保期从招标人对系统验收合格之日起开始计算。</w:t>
      </w:r>
    </w:p>
    <w:p>
      <w:pPr>
        <w:snapToGrid w:val="0"/>
        <w:spacing w:line="312" w:lineRule="auto"/>
        <w:ind w:firstLine="630" w:firstLineChars="300"/>
        <w:rPr>
          <w:rFonts w:ascii="宋体" w:hAnsi="宋体"/>
          <w:kern w:val="0"/>
          <w:sz w:val="21"/>
        </w:rPr>
      </w:pPr>
      <w:r>
        <w:rPr>
          <w:rFonts w:hint="eastAsia" w:ascii="宋体" w:hAnsi="宋体"/>
          <w:kern w:val="0"/>
          <w:sz w:val="21"/>
        </w:rPr>
        <w:t>4、特别提示：如招标文件中遗漏了必须具备的设备、配件或服务，请投标人在投标文件中指出，并提出解决方案供招标人、采购机构参考；中标人有义务保证招标人系统的完整性，如项目实施过程中因缺少设备、配件或服务导致招标人系统无法正常运行，中标人须承诺免费提供。</w:t>
      </w:r>
    </w:p>
    <w:p>
      <w:pPr>
        <w:adjustRightInd w:val="0"/>
        <w:snapToGrid w:val="0"/>
        <w:spacing w:line="360" w:lineRule="auto"/>
        <w:ind w:firstLine="211" w:firstLineChars="100"/>
        <w:rPr>
          <w:rFonts w:cs="宋体" w:asciiTheme="minorEastAsia" w:hAnsiTheme="minorEastAsia" w:eastAsiaTheme="minorEastAsia"/>
          <w:b/>
          <w:kern w:val="0"/>
          <w:sz w:val="21"/>
          <w:szCs w:val="21"/>
        </w:rPr>
      </w:pPr>
    </w:p>
    <w:p>
      <w:pPr>
        <w:adjustRightInd w:val="0"/>
        <w:snapToGrid w:val="0"/>
        <w:spacing w:line="360" w:lineRule="auto"/>
        <w:ind w:firstLine="211" w:firstLineChars="1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七、付款方式</w:t>
      </w:r>
    </w:p>
    <w:p>
      <w:pPr>
        <w:snapToGrid w:val="0"/>
        <w:spacing w:line="312" w:lineRule="auto"/>
        <w:ind w:firstLine="630" w:firstLineChars="300"/>
        <w:rPr>
          <w:rFonts w:ascii="宋体" w:hAnsi="宋体"/>
          <w:kern w:val="0"/>
          <w:sz w:val="21"/>
        </w:rPr>
      </w:pPr>
      <w:r>
        <w:rPr>
          <w:rFonts w:hint="eastAsia" w:ascii="宋体" w:hAnsi="宋体"/>
          <w:kern w:val="0"/>
          <w:sz w:val="21"/>
        </w:rPr>
        <w:t>第一期：合同签订后，采购人在7日内向中标供应商支付项目预付款，项目预付款为合同金额的40%，同时中标供应商向采购人提交银行、保险公司等金融机构出具同等金额的预付款保函。</w:t>
      </w:r>
    </w:p>
    <w:p>
      <w:pPr>
        <w:snapToGrid w:val="0"/>
        <w:spacing w:line="312" w:lineRule="auto"/>
        <w:ind w:firstLine="630" w:firstLineChars="300"/>
        <w:rPr>
          <w:rFonts w:ascii="宋体" w:hAnsi="宋体"/>
          <w:kern w:val="0"/>
          <w:sz w:val="21"/>
        </w:rPr>
      </w:pPr>
      <w:r>
        <w:rPr>
          <w:rFonts w:hint="eastAsia" w:ascii="宋体" w:hAnsi="宋体"/>
          <w:kern w:val="0"/>
          <w:sz w:val="21"/>
        </w:rPr>
        <w:t>第二期：项目验收合格，采购人自收到发票后7日内将按实结算余下款项。如项目结束时验收不合格的，中标供应商应全额退还采购人已支付的项目预付款。</w:t>
      </w:r>
    </w:p>
    <w:p>
      <w:pPr>
        <w:snapToGrid w:val="0"/>
        <w:spacing w:line="312" w:lineRule="auto"/>
        <w:ind w:firstLine="630" w:firstLineChars="300"/>
        <w:rPr>
          <w:rFonts w:ascii="宋体" w:hAnsi="宋体"/>
          <w:kern w:val="0"/>
          <w:sz w:val="21"/>
        </w:rPr>
      </w:pPr>
      <w:r>
        <w:rPr>
          <w:rFonts w:hint="eastAsia" w:ascii="宋体" w:hAnsi="宋体"/>
          <w:kern w:val="0"/>
          <w:sz w:val="21"/>
        </w:rPr>
        <w:t>注：当采购数量与实际使用数量不一致时，由采购单位向同级财政部门申请并经批准后，可以由乙方根据实际使用量供货，合同的最终结算金额按实际使用量乘以成交单价进行计算。</w:t>
      </w:r>
    </w:p>
    <w:p>
      <w:pPr>
        <w:snapToGrid w:val="0"/>
        <w:spacing w:line="312" w:lineRule="auto"/>
        <w:ind w:firstLine="630" w:firstLineChars="300"/>
        <w:rPr>
          <w:rFonts w:ascii="宋体" w:hAnsi="宋体"/>
          <w:kern w:val="0"/>
          <w:sz w:val="21"/>
        </w:rPr>
      </w:pPr>
    </w:p>
    <w:p>
      <w:pPr>
        <w:adjustRightInd w:val="0"/>
        <w:snapToGrid w:val="0"/>
        <w:spacing w:line="360" w:lineRule="auto"/>
        <w:ind w:firstLine="211" w:firstLineChars="1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八、履约保证金交纳</w:t>
      </w:r>
    </w:p>
    <w:p>
      <w:pPr>
        <w:snapToGrid w:val="0"/>
        <w:spacing w:line="312" w:lineRule="auto"/>
        <w:ind w:firstLine="630" w:firstLineChars="300"/>
        <w:rPr>
          <w:rFonts w:ascii="宋体" w:hAnsi="宋体"/>
          <w:kern w:val="0"/>
          <w:sz w:val="21"/>
        </w:rPr>
      </w:pPr>
      <w:r>
        <w:rPr>
          <w:rFonts w:hint="eastAsia" w:ascii="宋体" w:hAnsi="宋体"/>
          <w:kern w:val="0"/>
          <w:sz w:val="21"/>
        </w:rPr>
        <w:t>履约保证金金额：向采购人交纳合同金额的1%，在合同约定交货验收合格满12个月起15个工作日内无息退还。（履约保证金可以采用保函、担保、转账等形式）。</w:t>
      </w:r>
    </w:p>
    <w:p>
      <w:pPr>
        <w:snapToGrid w:val="0"/>
        <w:spacing w:line="312" w:lineRule="auto"/>
        <w:ind w:firstLine="630" w:firstLineChars="300"/>
        <w:rPr>
          <w:rFonts w:ascii="宋体" w:hAnsi="宋体"/>
          <w:kern w:val="0"/>
          <w:sz w:val="21"/>
        </w:rPr>
      </w:pPr>
    </w:p>
    <w:p>
      <w:pPr>
        <w:adjustRightInd w:val="0"/>
        <w:snapToGrid w:val="0"/>
        <w:spacing w:line="360" w:lineRule="auto"/>
        <w:ind w:firstLine="211" w:firstLineChars="1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九、质保期</w:t>
      </w:r>
    </w:p>
    <w:p>
      <w:pPr>
        <w:snapToGrid w:val="0"/>
        <w:spacing w:line="312" w:lineRule="auto"/>
        <w:ind w:firstLine="630" w:firstLineChars="300"/>
        <w:rPr>
          <w:rFonts w:ascii="宋体" w:hAnsi="宋体"/>
          <w:kern w:val="0"/>
          <w:sz w:val="21"/>
        </w:rPr>
      </w:pPr>
      <w:r>
        <w:rPr>
          <w:rFonts w:hint="eastAsia" w:ascii="宋体" w:hAnsi="宋体"/>
          <w:kern w:val="0"/>
          <w:sz w:val="21"/>
        </w:rPr>
        <w:t>本项目提供至少一</w:t>
      </w:r>
      <w:r>
        <w:rPr>
          <w:rFonts w:hint="eastAsia" w:ascii="宋体" w:hAnsi="宋体"/>
          <w:kern w:val="0"/>
          <w:sz w:val="21"/>
          <w:lang w:val="zh-CN"/>
        </w:rPr>
        <w:t>年质保</w:t>
      </w:r>
      <w:r>
        <w:rPr>
          <w:rFonts w:hint="eastAsia" w:ascii="宋体" w:hAnsi="宋体"/>
          <w:kern w:val="0"/>
          <w:sz w:val="21"/>
        </w:rPr>
        <w:t>（投标人可提供更优惠的质保期，产品实际质保期以高者为准）</w:t>
      </w:r>
      <w:r>
        <w:rPr>
          <w:rFonts w:hint="eastAsia" w:ascii="宋体" w:hAnsi="宋体"/>
          <w:kern w:val="0"/>
          <w:sz w:val="21"/>
          <w:lang w:val="zh-CN"/>
        </w:rPr>
        <w:t>，</w:t>
      </w:r>
      <w:r>
        <w:rPr>
          <w:rFonts w:hint="eastAsia" w:ascii="宋体" w:hAnsi="宋体"/>
          <w:kern w:val="0"/>
          <w:sz w:val="21"/>
        </w:rPr>
        <w:t>自项目验收合格次日起计算。</w:t>
      </w:r>
    </w:p>
    <w:p>
      <w:pPr>
        <w:adjustRightInd w:val="0"/>
        <w:snapToGrid w:val="0"/>
        <w:spacing w:line="360" w:lineRule="auto"/>
        <w:ind w:firstLine="420" w:firstLineChars="200"/>
        <w:rPr>
          <w:sz w:val="21"/>
          <w:szCs w:val="21"/>
        </w:rPr>
      </w:pPr>
    </w:p>
    <w:p>
      <w:pPr>
        <w:adjustRightInd w:val="0"/>
        <w:snapToGrid w:val="0"/>
        <w:spacing w:line="360" w:lineRule="auto"/>
        <w:ind w:firstLine="211" w:firstLineChars="1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十、</w:t>
      </w:r>
    </w:p>
    <w:p>
      <w:pPr>
        <w:adjustRightInd w:val="0"/>
        <w:snapToGrid w:val="0"/>
        <w:spacing w:line="360" w:lineRule="auto"/>
        <w:ind w:firstLine="211" w:firstLineChars="100"/>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（1）标段一服务清单</w:t>
      </w:r>
    </w:p>
    <w:tbl>
      <w:tblPr>
        <w:tblStyle w:val="48"/>
        <w:tblW w:w="5382" w:type="pct"/>
        <w:tblInd w:w="-407" w:type="dxa"/>
        <w:tblLayout w:type="fixed"/>
        <w:tblCellMar>
          <w:top w:w="0" w:type="dxa"/>
          <w:left w:w="108" w:type="dxa"/>
          <w:bottom w:w="0" w:type="dxa"/>
          <w:right w:w="108" w:type="dxa"/>
        </w:tblCellMar>
      </w:tblPr>
      <w:tblGrid>
        <w:gridCol w:w="694"/>
        <w:gridCol w:w="1551"/>
        <w:gridCol w:w="1137"/>
        <w:gridCol w:w="1233"/>
        <w:gridCol w:w="3354"/>
        <w:gridCol w:w="869"/>
        <w:gridCol w:w="794"/>
      </w:tblGrid>
      <w:tr>
        <w:tblPrEx>
          <w:tblCellMar>
            <w:top w:w="0" w:type="dxa"/>
            <w:left w:w="108" w:type="dxa"/>
            <w:bottom w:w="0" w:type="dxa"/>
            <w:right w:w="108" w:type="dxa"/>
          </w:tblCellMar>
        </w:tblPrEx>
        <w:trPr>
          <w:trHeight w:val="872" w:hRule="atLeast"/>
          <w:tblHead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rPr>
              <w:t>序号</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rPr>
              <w:t>项目模块</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rPr>
              <w:t>子模块</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rPr>
              <w:t>功能点</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rPr>
              <w:t>功能描述</w:t>
            </w:r>
          </w:p>
        </w:tc>
        <w:tc>
          <w:tcPr>
            <w:tcW w:w="451" w:type="pc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1"/>
                <w:szCs w:val="21"/>
              </w:rPr>
            </w:pPr>
            <w:r>
              <w:rPr>
                <w:rFonts w:hint="eastAsia" w:ascii="仿宋" w:hAnsi="仿宋" w:eastAsia="仿宋" w:cs="仿宋"/>
                <w:b/>
                <w:bCs/>
                <w:color w:val="000000"/>
                <w:kern w:val="0"/>
                <w:sz w:val="21"/>
                <w:szCs w:val="21"/>
              </w:rPr>
              <w:t>数量</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1"/>
                <w:szCs w:val="21"/>
              </w:rPr>
            </w:pPr>
            <w:r>
              <w:rPr>
                <w:rFonts w:hint="eastAsia" w:ascii="仿宋" w:hAnsi="仿宋" w:eastAsia="仿宋" w:cs="仿宋"/>
                <w:b/>
                <w:bCs/>
                <w:color w:val="000000"/>
                <w:kern w:val="0"/>
                <w:sz w:val="21"/>
                <w:szCs w:val="21"/>
              </w:rPr>
              <w:t>单位</w:t>
            </w:r>
          </w:p>
        </w:tc>
      </w:tr>
      <w:tr>
        <w:tblPrEx>
          <w:tblCellMar>
            <w:top w:w="0" w:type="dxa"/>
            <w:left w:w="108" w:type="dxa"/>
            <w:bottom w:w="0" w:type="dxa"/>
            <w:right w:w="108" w:type="dxa"/>
          </w:tblCellMar>
        </w:tblPrEx>
        <w:trPr>
          <w:trHeight w:val="6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民声卡管理模块升级</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（即时感知环）</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民声卡信息登记</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身份证读卡器</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支持身份证读卡器读取姓名、身份证号等信息</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电子签字板</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支持手写签字，签字信息作为图片插入诉求单</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电子签名</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支持手写签字，存储为图片作为发放依据</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登记录入</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操作人员手工录入基础信息</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0.5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责任人列表</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从浙政钉通讯录选择责任人员</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0.5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群众端在线服务</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诉求描述</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现场工作人员完成登记群众收到短信。点击短信链接</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可以在线进行诉求描述</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责任干部查询</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现场工作人员完成登记群众收到短信，点击短信链接可以查询相关责任干部</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在线反馈</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群众可以通过线上聊天室在线反馈、补充材料、投诉建议</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853"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点赞</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群众可以通过线上聊天室中的点赞功能为办事满意的责任干部点赞</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送锦旗</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群众可以通过线上聊天室中的送锦旗功能为办事满意的责任干部赠送锦旗，表达感谢</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平安建设</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群众可以通过线上聊天室中的平安建设功能，查阅现金平安建设相关的资料网站</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仙城志愿者</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通过线上聊天室中的仙城志愿者功能，群众可以在线申请报名志愿者服务</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处置轨迹查询</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通过线上聊天室中处置轨迹查询，群众可以实时查询案件处置进度，办理情况</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打印民声卡</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群众服务码</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群众可扫码进行与治理端的联动</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事项自助服务</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支持补充材料、在线评价和查看进度</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3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五环智控群众端凭证</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A4格式的民声卡，群众可以以此作为凭证</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民声卡台账</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权限管理</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乡镇可见辖区内的所有民声卡，县级可以看到所有数据</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三色台账</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支持三色管理数据台账化管理</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9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在线会商模块</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（多元调处环）</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边聊边办</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上传图片</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通过专有钉钉相机拍摄图片，同时将图片数据加入证据库</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上传文件</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通过专有钉钉上传文件，上传至证据库，同时在边聊边办中显示</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签到</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支持GPS签到，签到数据可以在后台查询，也可以在边聊边办中查询</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发位置</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打开发位置版面，支持定位、筛选位置，将位置发送到边聊边办</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录音</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通过专有钉钉录制音频文件，发送到边聊边办，也可以在台账中查询</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录像</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通过专有钉钉相机录制视频，上传至证据库</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批示</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打开批示版面，可以发布批示数据必须有管理组权限</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里程碑</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打开关键节点录入版面，对关键节点信息进行总结，然后形成事件处置的里程碑过程</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一类事管理</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根据分类选择“情形”，自动完成拉人及检查权力事项内容推送到群的功能</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业务应用</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点赞</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打开点赞版面，可以对时间处置的部门或人员进行点赞</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0.8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评价</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打开评价版面，可以对参与事件的部门或人员进行评价</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0.8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云上联动</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调用视频会议接口，支持选择性拉回在线会商</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证据库</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打开证据库版面，查看该事件已经共享的所有的材料</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督办</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打开分级设置版面，可以针对事件发展态势设定不同督办等级</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2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快捷功能</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添加协同人员</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调用钉钉通讯录添加协同人员</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2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添加部门</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根据过滤规则，显示部门，可以添加部门，对添加的任务自动产生任务推送</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2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办结</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本人所在部门的指令任务，可以进行办结</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914"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督办管理模块</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（责任监督环）</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督办规则</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新建规则</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支持新建规则，可以设置操起时间、督办名称、发卡颜色</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587"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规则编辑</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支持对规则编辑</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规则禁用</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禁用的规则将不可用，可以重新启用</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自动督办</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系统根据督办规则可以自动进行督办</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手工督办</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红、黄牌督办</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可以根据纠纷调处情况，发放红、黄牌</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消除督办</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可以消除督办</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应录未录管理</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模板导出</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支持导出模板，手工标记</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标记导入</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将标记的结果重新导入系统</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应调未调管理</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登记</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支持登记应调未调的矛盾纠纷</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台账管理</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实现调账化管理</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虚假数据登记</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登记</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支持登记虚假数据</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台账管理</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实现调账化管理</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事心双解登记</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登记</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支持登记事心双解的矛盾纠纷</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台账管理</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实现调账化管理</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1132"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比学赶超模块</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（评价反馈环）</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自动多维评价规则</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部门矛调指数</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根据多维度评价规则形成每一个部门的矛调指数</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2.5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0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属地乡镇矛调指数</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根据多维度评价规则形成每一个部门的矛调指数</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2.5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检察院工作台</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检察院按照权限可以看到所有矛盾纠纷案件的详情，并根据工作要求登记督办</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纪委工作台</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纪委按照权限可以看到所有矛盾纠纷案件的详情，并根据工作要求登记督办</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报表</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群众不满意统计</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统计不满意的数据</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承诺件7日内办结率</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根据乡镇统计7日内办结率，并排名</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推送</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每日推送</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可以每日给乡镇自动推送数据</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每周推送</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每周推送汇总数据</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15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数据分析模块</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（预警研判环）</w:t>
            </w:r>
          </w:p>
        </w:tc>
        <w:tc>
          <w:tcPr>
            <w:tcW w:w="59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分镇街区域三色图</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三色标记</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运行初期，按照排名，前12名为绿色，13—17名为黄色，后3名为红色。运行一阶段后，统计全县平均矛调指数，以此确定三色标准。低于全县矛调指标平均数×0.9的为绿色，高于全县矛调指标平均数×1.1的为红色，介于中间的为黄色。</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标准管理</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分类管理</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支持省表大类、小类，可以添加县级分类</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标签管理</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支持省标标签，也支持自定义标签</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关联部门</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支持配置标签与部门的关系</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台账管理</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可以针对历史数据进行标准化分类定性</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分析看板</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支持根据省标进行纠纷数据分析</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数据治理服务</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数据模型</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在一体化智能化公共数据平台上通过仙居“五环智控”ODPS空间，用于归集相关数据，并通过关键词算法进行建模。</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数据清洗</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依据矛盾纠纷历史数据，进行标签推荐</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高频事项识别</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根据归集数据自动识别出高频事项分类</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81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风险实体识别</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根据业务数据的关联性识别出可能的风险源</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单人多事识别</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同一个人多次反应问题，将相关人员自动识别</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sz w:val="21"/>
                <w:szCs w:val="21"/>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群体事件识别</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根据群体性事件特征，自动发现相关风险源</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AI视频感知系统</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高频人员检测模块</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系统通过便民服务中心，门口设置的高频人员监测终端，抓拍的人脸图片与设定的最近一段时间（可自定义设置）抓拍人脸库进行比对</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情绪监测指数模块</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通过视频画面，实时分析人脸面部表情，形成连续性的情绪正面或负面评价指标，形成愉悦曲线反馈到可视化看板，可根据预设规则（低于预设分值阀值等），自动研判并产生预警信息，将实施抓拍图片送至预警中心。</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预警通知模块</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通过视觉分析（声纹、图像、舆情、多人聚集）,接收并展示预警信息，可实现预警时视频画面的编码封装，保存为短视频录像，供前端可视化看板调阅。</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OSS对象存储</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用于预警视频存储，预览及分发。</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年</w:t>
            </w:r>
          </w:p>
        </w:tc>
      </w:tr>
      <w:tr>
        <w:tblPrEx>
          <w:tblCellMar>
            <w:top w:w="0" w:type="dxa"/>
            <w:left w:w="108" w:type="dxa"/>
            <w:bottom w:w="0" w:type="dxa"/>
            <w:right w:w="108" w:type="dxa"/>
          </w:tblCellMar>
        </w:tblPrEx>
        <w:trPr>
          <w:trHeight w:val="9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AI声纹识别服务</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仙居土话敏感词识别服务</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提供仙居土话敏感词识别服务，服务内容包括上访沟通场景进行侦听，识别系统指定的敏感词等服务</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14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仙居土话敏感词自定义服务</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提供仙居土话敏感词自定义服务，服务内容包括管理人员可以通过系统平台选择指定设备，对设备进行敏感词自定义，最多同时支持10个敏感词。</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87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仙居上访预警事件通知服务</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提供仙居上访预警事件通知服务，服务内容包括当设备监听到上报事件后，会根据绑定的联系人信息，利用电话、短信、微信不同的信道通知相关人员，方便用户及时对事件进行关注和干预。</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0.5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仙居上访事件统计分析服务</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提供仙居上访事件统计分析服务，服务内容包括通过区域、设备、时间，处理状态等不同的纬度对上报事件进行统计分析，并形成相应的统计图表，方便对于仙居的上访情况进行分析。</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0.75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仙居上访事件驾驶舱面板服务</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提供仙居上访事件驾驶舱面板服务，服务内容包括实时对于仙居上访智能声音预警系统下所有设备的上报事件和运行状况进行直观驾驶舱展示，方便总揽系统全局。</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0.75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设备管理功能服务</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提供设备管理功能服务，服务内容包括按照区域、位置等信息对接入系统的设备进行管理，并绑定设备联系人等信息，保障设备能够正常进行工作，实时了解设备当前的运行状况。</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0.5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9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IRS数据清洗及分析建模</w:t>
            </w:r>
          </w:p>
        </w:tc>
        <w:tc>
          <w:tcPr>
            <w:tcW w:w="590"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数据标准管理</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数据标准自动化采集</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数据标准自动化采集编制，其定义了数据标准原的获取方式，确定了各类数据标准的获取策略</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逻辑数据模型建设</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逻辑数据模型包含了数据实体和实体间的关系、属性、定义、描述和范例。</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元数据基础管理</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元数据维护、元数据变更管理、元数据查询</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数据标准采集日志</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主要对基础信息数据库的运行状态进行监控和分析，对基础信息数据库的数据抽取、清洗转换、加载入库、提供服务等过程进行全程监控</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数据标准维护</w:t>
            </w: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数据统计、数据标准检索。</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1309"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编制统一的数据资源目录</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目录规划、资源调查、目录生成。</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制定目录服务规范</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目录服务规范主要收集整合分布在各部门的数据资源，并形成完整的数据资源目录，为数据资源的交换建立良好的基础。</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数据模型设计整体思路</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基于内容的模型识别对数据协同过滤，基于群众上访的文本内容，发现内容和场景之间的相似度，然后根据内容的历史偏好信息，将类似的内容开发成对应的专题模型。</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数据专题模型建设</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数据仓库依据IRS数据清洗结果及相关数据目录，按照高频词汇模型设计整体思路建立NLP高频词汇分析模型。</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数据模型训练</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高频词汇模型训练包括根据网上大厅信件公开信息、预警处置信息中的数据进行模型训练。</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472"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数据专题模型分析</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开发20个专题匹配相应关键字的数据模型任务汇总成清单结果，针对清单结果提取部门、地点等相关信息记录，研判环展示排行前10关键字的汇总结果。</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数据模型优化</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高频词汇模型训练包括根据网上大厅信件公开信息、预警处置信息中的数据进行模型训练。</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restart"/>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重点人录入管理端</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基础信息录入</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可对关键人的基础信息进行录入，包括姓名、性别、身份证号码、户籍地、联系电话、信访定性和人员照片等信息。</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亲属关系录入</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可对关键人的亲属关系进行录入，包括关系、姓名、职业、户籍地和联系电话等信息。</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831"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诉求事项录入</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可对关键人的核心诉求进行录入。</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信访经历录入</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可对关键人的信访经历进行录入，包括信访方式、信访时长、信访频率、是否有信访经历和备注等信息。</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信访网络</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可对关键人的信访网络进行录入，包括姓名、户籍地、职业、联系电话和最近联系时间等信息。</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社交关系录入</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可对关键人的社交关系进行录入，包括编制、姓名、户籍地、职务、职业、联系电话等信息。</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最近联系人录入</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可对关键人的最近联系人信息进行录入，包括姓名、户籍地、职业、联系电话、最近联系时间等信息。</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录入信息展示</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可对主要关键人的录入信息进行展示，包括姓名、性别、户籍地和联系电话等信息。</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关键词搜索</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可对主要关键人的录入信息进行关键词搜索，可在管理端页面进行全局搜索。</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录入信息查询</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可对展示的关键人录入信息进行查询，可看到此人员录入的基础信息、亲属关系、诉求事项、信访经历、信访网络、社交关系等。</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重点人员删除</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可对重点人录入管理端界面展示的关键人录入信息进行删除操作。</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重点人信息编辑</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可对关键人录入的基础信息、亲属关系、诉求事项、信访经历、信访网络、社交关系等进行编辑。</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关键人信访五步法进展查看</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关键人信访五步法进展包括分析包案梳理、调查核实、会商稳定、分类处理、评估巩固五步进展分析，对关键人信访化解五步法的情况进行流程化展示。</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color w:val="000000" w:themeColor="text1"/>
                <w:kern w:val="0"/>
                <w:sz w:val="21"/>
                <w:szCs w:val="21"/>
              </w:rPr>
            </w:pPr>
          </w:p>
        </w:tc>
        <w:tc>
          <w:tcPr>
            <w:tcW w:w="804"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kern w:val="0"/>
                <w:sz w:val="21"/>
                <w:szCs w:val="21"/>
              </w:rPr>
              <w:t>用户权限管理</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kern w:val="0"/>
                <w:sz w:val="21"/>
                <w:szCs w:val="21"/>
              </w:rPr>
            </w:pPr>
          </w:p>
        </w:tc>
        <w:tc>
          <w:tcPr>
            <w:tcW w:w="1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eastAsia="仿宋" w:cs="仿宋"/>
                <w:color w:val="000000"/>
                <w:kern w:val="0"/>
                <w:sz w:val="21"/>
                <w:szCs w:val="21"/>
              </w:rPr>
              <w:t>用户的角色创建、修改、删除、权限配置，权限可以是基于角色进行操作。</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w:t>
            </w:r>
            <w:r>
              <w:rPr>
                <w:rFonts w:hint="eastAsia" w:ascii="仿宋" w:hAnsi="仿宋" w:cs="仿宋"/>
                <w:color w:val="000000"/>
                <w:kern w:val="0"/>
                <w:sz w:val="21"/>
                <w:szCs w:val="21"/>
              </w:rPr>
              <w:t>.</w:t>
            </w:r>
            <w:r>
              <w:rPr>
                <w:rFonts w:ascii="仿宋" w:hAnsi="仿宋" w:cs="仿宋"/>
                <w:color w:val="000000"/>
                <w:kern w:val="0"/>
                <w:sz w:val="21"/>
                <w:szCs w:val="21"/>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bl>
    <w:p>
      <w:pPr>
        <w:adjustRightInd w:val="0"/>
        <w:snapToGrid w:val="0"/>
        <w:spacing w:line="360" w:lineRule="auto"/>
        <w:rPr>
          <w:rFonts w:cs="宋体" w:asciiTheme="minorEastAsia" w:hAnsiTheme="minorEastAsia" w:eastAsiaTheme="minorEastAsia"/>
          <w:b/>
          <w:kern w:val="0"/>
          <w:sz w:val="21"/>
          <w:szCs w:val="21"/>
        </w:rPr>
      </w:pPr>
    </w:p>
    <w:p>
      <w:pPr>
        <w:adjustRightInd w:val="0"/>
        <w:snapToGrid w:val="0"/>
        <w:spacing w:line="360" w:lineRule="auto"/>
        <w:rPr>
          <w:rFonts w:cs="宋体" w:asciiTheme="minorEastAsia" w:hAnsiTheme="minorEastAsia" w:eastAsiaTheme="minorEastAsia"/>
          <w:b/>
          <w:kern w:val="0"/>
          <w:sz w:val="21"/>
          <w:szCs w:val="21"/>
        </w:rPr>
      </w:pPr>
      <w:r>
        <w:rPr>
          <w:rFonts w:hint="eastAsia" w:cs="宋体" w:asciiTheme="minorEastAsia" w:hAnsiTheme="minorEastAsia" w:eastAsiaTheme="minorEastAsia"/>
          <w:b/>
          <w:kern w:val="0"/>
          <w:sz w:val="21"/>
          <w:szCs w:val="21"/>
        </w:rPr>
        <w:t>（2）标段二服务清单</w:t>
      </w:r>
    </w:p>
    <w:p>
      <w:pPr>
        <w:pStyle w:val="46"/>
        <w:ind w:firstLine="210"/>
      </w:pPr>
    </w:p>
    <w:tbl>
      <w:tblPr>
        <w:tblStyle w:val="48"/>
        <w:tblW w:w="5382" w:type="pct"/>
        <w:tblInd w:w="-407" w:type="dxa"/>
        <w:tblLayout w:type="fixed"/>
        <w:tblCellMar>
          <w:top w:w="0" w:type="dxa"/>
          <w:left w:w="108" w:type="dxa"/>
          <w:bottom w:w="0" w:type="dxa"/>
          <w:right w:w="108" w:type="dxa"/>
        </w:tblCellMar>
      </w:tblPr>
      <w:tblGrid>
        <w:gridCol w:w="694"/>
        <w:gridCol w:w="1549"/>
        <w:gridCol w:w="1137"/>
        <w:gridCol w:w="6"/>
        <w:gridCol w:w="1225"/>
        <w:gridCol w:w="1597"/>
        <w:gridCol w:w="1759"/>
        <w:gridCol w:w="869"/>
        <w:gridCol w:w="796"/>
      </w:tblGrid>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10" w:firstLineChars="100"/>
              <w:textAlignment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业务数据管理端</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监督数据管理</w:t>
            </w: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领导监督</w:t>
            </w:r>
          </w:p>
        </w:tc>
        <w:tc>
          <w:tcPr>
            <w:tcW w:w="1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支持信访案件详情录入，包括领导批示及当前进度追踪</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10" w:firstLineChars="100"/>
              <w:textAlignment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2</w:t>
            </w: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纪委监督</w:t>
            </w:r>
          </w:p>
        </w:tc>
        <w:tc>
          <w:tcPr>
            <w:tcW w:w="1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纪委需进行处理的矛盾纠纷案件的详情，并根据工作要求登记督办</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3</w:t>
            </w: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检察监督</w:t>
            </w:r>
          </w:p>
        </w:tc>
        <w:tc>
          <w:tcPr>
            <w:tcW w:w="1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检察院需进行处理的矛盾纠纷案件的详情，并根据工作要求登记督办</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4</w:t>
            </w: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关联数据管理</w:t>
            </w: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风险案件</w:t>
            </w:r>
          </w:p>
        </w:tc>
        <w:tc>
          <w:tcPr>
            <w:tcW w:w="1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风险案件的录入及风险等级设定，及时予以预警</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5</w:t>
            </w: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积案统计</w:t>
            </w:r>
          </w:p>
        </w:tc>
        <w:tc>
          <w:tcPr>
            <w:tcW w:w="1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实现各区域的积案统计</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6</w:t>
            </w: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重点事项</w:t>
            </w:r>
          </w:p>
        </w:tc>
        <w:tc>
          <w:tcPr>
            <w:tcW w:w="1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重点事项的记录与管理</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7</w:t>
            </w: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重点人员</w:t>
            </w:r>
          </w:p>
        </w:tc>
        <w:tc>
          <w:tcPr>
            <w:tcW w:w="17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重点人员详细信息记录，及时予以预警</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8</w:t>
            </w: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亲属</w:t>
            </w:r>
          </w:p>
        </w:tc>
        <w:tc>
          <w:tcPr>
            <w:tcW w:w="17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支持重点人员的相关亲属录入，作为后续的调解抓手</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9</w:t>
            </w: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信访网络</w:t>
            </w:r>
          </w:p>
        </w:tc>
        <w:tc>
          <w:tcPr>
            <w:tcW w:w="17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支持重点人员的相关信访网络录入，便于后续拦截</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10</w:t>
            </w: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社交关系</w:t>
            </w:r>
          </w:p>
        </w:tc>
        <w:tc>
          <w:tcPr>
            <w:tcW w:w="17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支持重点人员的相关社交关系录入，作为后续的调解抓手</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11</w:t>
            </w: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文件/决策数据管理</w:t>
            </w: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会议决策</w:t>
            </w:r>
          </w:p>
        </w:tc>
        <w:tc>
          <w:tcPr>
            <w:tcW w:w="1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重大会议决策的记录与管理</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12</w:t>
            </w: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县乡会商</w:t>
            </w:r>
          </w:p>
        </w:tc>
        <w:tc>
          <w:tcPr>
            <w:tcW w:w="1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县级会商、乡级会商相关事项的记录与管理</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6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13</w:t>
            </w: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themeColor="text1"/>
                <w:sz w:val="21"/>
                <w:szCs w:val="21"/>
              </w:rPr>
            </w:pP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乡贤调解救助</w:t>
            </w:r>
          </w:p>
        </w:tc>
        <w:tc>
          <w:tcPr>
            <w:tcW w:w="1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统战部可以对助调资源进行登记、分类，包括乡贤、乡贤基金</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themeColor="text1"/>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1"/>
                <w:szCs w:val="21"/>
              </w:rPr>
            </w:pPr>
            <w:r>
              <w:rPr>
                <w:rFonts w:hint="eastAsia" w:ascii="仿宋" w:hAnsi="仿宋" w:eastAsia="仿宋" w:cs="仿宋"/>
                <w:color w:val="000000"/>
                <w:sz w:val="21"/>
                <w:szCs w:val="21"/>
              </w:rPr>
              <w:t>14</w:t>
            </w: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信访数据管理</w:t>
            </w: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重复访率</w:t>
            </w:r>
          </w:p>
        </w:tc>
        <w:tc>
          <w:tcPr>
            <w:tcW w:w="1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每个月的重复访趋势</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1"/>
                <w:szCs w:val="21"/>
              </w:rPr>
            </w:pPr>
            <w:r>
              <w:rPr>
                <w:rFonts w:hint="eastAsia" w:ascii="仿宋" w:hAnsi="仿宋" w:eastAsia="仿宋" w:cs="仿宋"/>
                <w:color w:val="000000"/>
                <w:sz w:val="21"/>
                <w:szCs w:val="21"/>
              </w:rPr>
              <w:t>15</w:t>
            </w: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四级走访</w:t>
            </w:r>
          </w:p>
        </w:tc>
        <w:tc>
          <w:tcPr>
            <w:tcW w:w="1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每个月各种上访类型（进京、赴省、去市、来县）数据趋势</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00" w:hRule="atLeast"/>
        </w:trPr>
        <w:tc>
          <w:tcPr>
            <w:tcW w:w="36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textAlignment w:val="center"/>
              <w:rPr>
                <w:rFonts w:ascii="仿宋" w:hAnsi="仿宋" w:eastAsia="仿宋" w:cs="仿宋"/>
                <w:color w:val="000000"/>
                <w:sz w:val="21"/>
                <w:szCs w:val="21"/>
              </w:rPr>
            </w:pPr>
            <w:r>
              <w:rPr>
                <w:rFonts w:hint="eastAsia" w:ascii="仿宋" w:hAnsi="仿宋" w:eastAsia="仿宋" w:cs="仿宋"/>
                <w:color w:val="000000"/>
                <w:sz w:val="21"/>
                <w:szCs w:val="21"/>
              </w:rPr>
              <w:t>16</w:t>
            </w:r>
          </w:p>
        </w:tc>
        <w:tc>
          <w:tcPr>
            <w:tcW w:w="804"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590"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1"/>
                <w:szCs w:val="21"/>
              </w:rPr>
            </w:pPr>
          </w:p>
        </w:tc>
        <w:tc>
          <w:tcPr>
            <w:tcW w:w="639"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四级走访详情</w:t>
            </w:r>
          </w:p>
        </w:tc>
        <w:tc>
          <w:tcPr>
            <w:tcW w:w="1740"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每个月各区域的走访人次、批次趋势</w:t>
            </w:r>
          </w:p>
        </w:tc>
        <w:tc>
          <w:tcPr>
            <w:tcW w:w="45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000000"/>
                <w:sz w:val="21"/>
                <w:szCs w:val="21"/>
              </w:rPr>
            </w:pPr>
            <w:r>
              <w:rPr>
                <w:rFonts w:hint="eastAsia" w:ascii="仿宋" w:hAnsi="仿宋" w:eastAsia="仿宋" w:cs="仿宋"/>
                <w:color w:val="000000"/>
                <w:sz w:val="21"/>
                <w:szCs w:val="21"/>
              </w:rPr>
              <w:t>17</w:t>
            </w:r>
          </w:p>
        </w:tc>
        <w:tc>
          <w:tcPr>
            <w:tcW w:w="804"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数据驾驶舱</w:t>
            </w:r>
          </w:p>
          <w:p>
            <w:pPr>
              <w:widowControl/>
              <w:jc w:val="center"/>
              <w:textAlignment w:val="center"/>
              <w:rPr>
                <w:rFonts w:ascii="仿宋" w:hAnsi="仿宋" w:eastAsia="仿宋" w:cs="仿宋"/>
                <w:color w:val="000000"/>
                <w:sz w:val="21"/>
                <w:szCs w:val="21"/>
              </w:rPr>
            </w:pPr>
          </w:p>
        </w:tc>
        <w:tc>
          <w:tcPr>
            <w:tcW w:w="593" w:type="pct"/>
            <w:gridSpan w:val="2"/>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主屏</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动态显示“五环”业务逻辑框架，暂时核心指标</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4</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000000"/>
                <w:sz w:val="21"/>
                <w:szCs w:val="21"/>
              </w:rPr>
            </w:pPr>
            <w:r>
              <w:rPr>
                <w:rFonts w:hint="eastAsia" w:ascii="仿宋" w:hAnsi="仿宋" w:eastAsia="仿宋" w:cs="仿宋"/>
                <w:color w:val="000000"/>
                <w:sz w:val="21"/>
                <w:szCs w:val="21"/>
              </w:rPr>
              <w:t>18</w:t>
            </w:r>
          </w:p>
        </w:tc>
        <w:tc>
          <w:tcPr>
            <w:tcW w:w="804" w:type="pct"/>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即时感知环子屏</w:t>
            </w: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本月发卡数量，及同比环比数据</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3</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000000"/>
                <w:sz w:val="21"/>
                <w:szCs w:val="21"/>
              </w:rPr>
            </w:pPr>
            <w:r>
              <w:rPr>
                <w:rFonts w:hint="eastAsia" w:ascii="仿宋" w:hAnsi="仿宋" w:eastAsia="仿宋" w:cs="仿宋"/>
                <w:color w:val="000000"/>
                <w:sz w:val="21"/>
                <w:szCs w:val="21"/>
              </w:rPr>
              <w:t>19</w:t>
            </w:r>
          </w:p>
        </w:tc>
        <w:tc>
          <w:tcPr>
            <w:tcW w:w="804" w:type="pct"/>
            <w:vMerge w:val="continue"/>
            <w:tcBorders>
              <w:left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1"/>
                <w:szCs w:val="21"/>
              </w:rPr>
            </w:pP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 w:val="21"/>
                <w:szCs w:val="21"/>
              </w:rPr>
            </w:pPr>
            <w:r>
              <w:rPr>
                <w:rFonts w:hint="eastAsia" w:ascii="仿宋" w:hAnsi="仿宋" w:eastAsia="仿宋" w:cs="仿宋"/>
                <w:color w:val="000000"/>
                <w:kern w:val="0"/>
                <w:sz w:val="21"/>
                <w:szCs w:val="21"/>
              </w:rPr>
              <w:t>前端感知</w:t>
            </w:r>
          </w:p>
        </w:tc>
        <w:tc>
          <w:tcPr>
            <w:tcW w:w="17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乡镇感知切换</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0.8</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000000"/>
                <w:sz w:val="21"/>
                <w:szCs w:val="21"/>
              </w:rPr>
            </w:pPr>
            <w:r>
              <w:rPr>
                <w:rFonts w:hint="eastAsia" w:ascii="仿宋" w:hAnsi="仿宋" w:eastAsia="仿宋" w:cs="仿宋"/>
                <w:color w:val="000000"/>
                <w:sz w:val="21"/>
                <w:szCs w:val="21"/>
              </w:rPr>
              <w:t>20</w:t>
            </w:r>
          </w:p>
        </w:tc>
        <w:tc>
          <w:tcPr>
            <w:tcW w:w="804" w:type="pct"/>
            <w:vMerge w:val="continue"/>
            <w:tcBorders>
              <w:left w:val="single" w:color="auto" w:sz="4" w:space="0"/>
              <w:right w:val="single" w:color="auto" w:sz="4" w:space="0"/>
            </w:tcBorders>
            <w:shd w:val="clear" w:color="auto" w:fill="auto"/>
            <w:vAlign w:val="center"/>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1"/>
                <w:szCs w:val="21"/>
              </w:rPr>
            </w:pP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当日新增诉求展示</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0.8</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21</w:t>
            </w:r>
          </w:p>
        </w:tc>
        <w:tc>
          <w:tcPr>
            <w:tcW w:w="804" w:type="pct"/>
            <w:vMerge w:val="continue"/>
            <w:tcBorders>
              <w:left w:val="single" w:color="auto" w:sz="4" w:space="0"/>
              <w:right w:val="single" w:color="auto" w:sz="4" w:space="0"/>
            </w:tcBorders>
            <w:shd w:val="clear" w:color="auto" w:fill="auto"/>
            <w:vAlign w:val="center"/>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当日新增来访数展示</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0.5</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22</w:t>
            </w:r>
          </w:p>
        </w:tc>
        <w:tc>
          <w:tcPr>
            <w:tcW w:w="804" w:type="pct"/>
            <w:vMerge w:val="continue"/>
            <w:tcBorders>
              <w:left w:val="single" w:color="auto" w:sz="4" w:space="0"/>
              <w:right w:val="single" w:color="auto" w:sz="4" w:space="0"/>
            </w:tcBorders>
            <w:shd w:val="clear" w:color="auto" w:fill="auto"/>
            <w:vAlign w:val="center"/>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当日新增重访数展示</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0.5</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23</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现存风险事项展示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0.5</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24</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近一周新增诉求数据图展示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25</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近七天Top10乡镇展示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26</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群众端实现路径展示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27</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群众端数据展示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28</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政府端数据展示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29</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报警类型查询</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30</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报警点位查询</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31</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情绪分析预警展示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32</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语音分析预警展示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33</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多人聚集预警展示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34</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历史告警清单展示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35</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实时告警总清单展示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499"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36</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社会治理中心实时视频切换</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37</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社会治理中心实时点位切换</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38</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反映人视频展示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39</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反映人愉悦指数展示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40</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接访人视频展示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41</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接访人愉悦指数展示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42</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实时场景展示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43</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群众扫码不满意事项分析</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0.5</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44</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总预警信息告警</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0.5</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45</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县乡镇社会治理中心分布定位展示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46</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乡镇社会治理中心告警数据展示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47</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预警卫星实景地图展示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1.5</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48</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预警信息告警开关</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569"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49</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视频系统及声纹系统对接工作</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kern w:val="0"/>
                <w:sz w:val="21"/>
                <w:szCs w:val="21"/>
              </w:rPr>
              <w:t>1.5</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50</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多元调处环子屏</w:t>
            </w:r>
          </w:p>
        </w:tc>
        <w:tc>
          <w:tcPr>
            <w:tcW w:w="63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本月参与人数，及同比环比数据</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3</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51</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任监督环子屏</w:t>
            </w:r>
          </w:p>
        </w:tc>
        <w:tc>
          <w:tcPr>
            <w:tcW w:w="63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本月应录未录件数，及同比环比数据</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3</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52</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考评反馈环子屏</w:t>
            </w:r>
          </w:p>
        </w:tc>
        <w:tc>
          <w:tcPr>
            <w:tcW w:w="63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总体满意率，及同比环比数据</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3</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53</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restart"/>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预警研判环子屏</w:t>
            </w:r>
          </w:p>
        </w:tc>
        <w:tc>
          <w:tcPr>
            <w:tcW w:w="63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督办件数，及同比环比数据</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3</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54</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r>
              <w:rPr>
                <w:rFonts w:hint="eastAsia" w:ascii="仿宋" w:hAnsi="仿宋" w:eastAsia="仿宋" w:cs="仿宋"/>
                <w:color w:val="000000"/>
                <w:kern w:val="0"/>
                <w:sz w:val="21"/>
                <w:szCs w:val="21"/>
              </w:rPr>
              <w:t>趋势研判</w:t>
            </w: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近六个月四级走访人数据展示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1</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55</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近六个月四级走访批次数据展示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1</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56</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20个乡镇积案总数柱状图展示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1</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57</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重点事项</w:t>
            </w: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重点事项分析展示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58</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核心指标</w:t>
            </w: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核心关心数据展示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59</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高风险领域</w:t>
            </w: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高风险领域数据告警</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60</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中风险领域</w:t>
            </w: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中风险领域数据告警</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61</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高频词汇</w:t>
            </w: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单一高频词汇对应总事件统计</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1.5</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62</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数据融合贯通统计</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63</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Top10高频词汇数据分析统计</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64</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房屋质量纠纷一类事分析</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65</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源头性矛盾破解分析</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66</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政府公权力行使方案统计</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67</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分层研判</w:t>
            </w: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建议县委常委会或县政府常务会决策事项数据</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68</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县级会商数据统计</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69</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乡级会商数据统计</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70</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重点人员</w:t>
            </w: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基础信息展示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71</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亲属关系展示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1</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72</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诉求事项展示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73</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信访经历展示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74</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信访网络展示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1</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75</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社交关系展示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1</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76</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最近联系人展示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0.8</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77</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重点关键人分布图展示</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1.5</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78</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关键人及关系网地图经纬度分类</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1.5</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79</w:t>
            </w:r>
          </w:p>
        </w:tc>
        <w:tc>
          <w:tcPr>
            <w:tcW w:w="804" w:type="pct"/>
            <w:vMerge w:val="continue"/>
            <w:tcBorders>
              <w:left w:val="single" w:color="auto" w:sz="4" w:space="0"/>
              <w:right w:val="single" w:color="auto" w:sz="4" w:space="0"/>
            </w:tcBorders>
          </w:tcPr>
          <w:p>
            <w:pPr>
              <w:jc w:val="center"/>
              <w:rPr>
                <w:rFonts w:ascii="仿宋" w:hAnsi="仿宋" w:eastAsia="仿宋" w:cs="仿宋"/>
                <w:color w:val="000000"/>
                <w:sz w:val="21"/>
                <w:szCs w:val="21"/>
              </w:rPr>
            </w:pPr>
          </w:p>
        </w:tc>
        <w:tc>
          <w:tcPr>
            <w:tcW w:w="593" w:type="pct"/>
            <w:gridSpan w:val="2"/>
            <w:vMerge w:val="continue"/>
            <w:tcBorders>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关键人信访五步法进展分析</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ascii="仿宋" w:hAnsi="仿宋" w:cs="仿宋"/>
                <w:color w:val="000000" w:themeColor="text1"/>
                <w:kern w:val="0"/>
                <w:sz w:val="21"/>
                <w:szCs w:val="21"/>
              </w:rPr>
              <w:t>1</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884"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80</w:t>
            </w:r>
          </w:p>
        </w:tc>
        <w:tc>
          <w:tcPr>
            <w:tcW w:w="804" w:type="pct"/>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rPr>
            </w:pPr>
          </w:p>
        </w:tc>
        <w:tc>
          <w:tcPr>
            <w:tcW w:w="593"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cs="仿宋"/>
                <w:color w:val="000000"/>
                <w:kern w:val="0"/>
                <w:sz w:val="21"/>
                <w:szCs w:val="21"/>
              </w:rPr>
            </w:pPr>
            <w:r>
              <w:rPr>
                <w:rFonts w:hint="eastAsia" w:ascii="仿宋" w:hAnsi="仿宋" w:eastAsia="仿宋" w:cs="仿宋"/>
                <w:color w:val="000000"/>
                <w:kern w:val="0"/>
                <w:sz w:val="21"/>
                <w:szCs w:val="21"/>
              </w:rPr>
              <w:t>子场景三级页面</w:t>
            </w: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三级页面场景业务逻辑</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3</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themeColor="text1"/>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81</w:t>
            </w:r>
          </w:p>
        </w:tc>
        <w:tc>
          <w:tcPr>
            <w:tcW w:w="804" w:type="pct"/>
            <w:vMerge w:val="restart"/>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现场服务支撑</w:t>
            </w:r>
          </w:p>
        </w:tc>
        <w:tc>
          <w:tcPr>
            <w:tcW w:w="593" w:type="pct"/>
            <w:gridSpan w:val="2"/>
            <w:vMerge w:val="restart"/>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技术服务</w:t>
            </w:r>
          </w:p>
        </w:tc>
        <w:tc>
          <w:tcPr>
            <w:tcW w:w="63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系统调研</w:t>
            </w: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系统相关需求的调研、访谈</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24</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845"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82</w:t>
            </w:r>
          </w:p>
        </w:tc>
        <w:tc>
          <w:tcPr>
            <w:tcW w:w="804" w:type="pct"/>
            <w:vMerge w:val="continue"/>
            <w:tcBorders>
              <w:left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p>
        </w:tc>
        <w:tc>
          <w:tcPr>
            <w:tcW w:w="593" w:type="pct"/>
            <w:gridSpan w:val="2"/>
            <w:vMerge w:val="continue"/>
            <w:tcBorders>
              <w:left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部署测试</w:t>
            </w: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系统部署实施维保工作</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785"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83</w:t>
            </w:r>
          </w:p>
        </w:tc>
        <w:tc>
          <w:tcPr>
            <w:tcW w:w="804" w:type="pct"/>
            <w:vMerge w:val="continue"/>
            <w:tcBorders>
              <w:left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p>
        </w:tc>
        <w:tc>
          <w:tcPr>
            <w:tcW w:w="593" w:type="pct"/>
            <w:gridSpan w:val="2"/>
            <w:vMerge w:val="continue"/>
            <w:tcBorders>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p>
        </w:tc>
        <w:tc>
          <w:tcPr>
            <w:tcW w:w="63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使用培训</w:t>
            </w: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针对乡镇部门使用人员进行培训</w:t>
            </w: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12</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0" w:type="dxa"/>
            <w:left w:w="108" w:type="dxa"/>
            <w:bottom w:w="0" w:type="dxa"/>
            <w:right w:w="108" w:type="dxa"/>
          </w:tblCellMar>
        </w:tblPrEx>
        <w:trPr>
          <w:trHeight w:val="320" w:hRule="atLeast"/>
        </w:trPr>
        <w:tc>
          <w:tcPr>
            <w:tcW w:w="360" w:type="pct"/>
            <w:tcBorders>
              <w:top w:val="single" w:color="auto" w:sz="4" w:space="0"/>
              <w:left w:val="single" w:color="auto" w:sz="4" w:space="0"/>
              <w:bottom w:val="single" w:color="auto" w:sz="4" w:space="0"/>
              <w:right w:val="single" w:color="auto" w:sz="4" w:space="0"/>
            </w:tcBorders>
          </w:tcPr>
          <w:p>
            <w:pPr>
              <w:widowControl/>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84</w:t>
            </w:r>
          </w:p>
        </w:tc>
        <w:tc>
          <w:tcPr>
            <w:tcW w:w="804" w:type="pct"/>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rPr>
            </w:pPr>
          </w:p>
        </w:tc>
        <w:tc>
          <w:tcPr>
            <w:tcW w:w="593"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驻场维保</w:t>
            </w:r>
          </w:p>
        </w:tc>
        <w:tc>
          <w:tcPr>
            <w:tcW w:w="63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1"/>
                <w:szCs w:val="21"/>
              </w:rPr>
            </w:pPr>
          </w:p>
        </w:tc>
        <w:tc>
          <w:tcPr>
            <w:tcW w:w="1740" w:type="pct"/>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p>
        </w:tc>
        <w:tc>
          <w:tcPr>
            <w:tcW w:w="451" w:type="pct"/>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12</w:t>
            </w:r>
          </w:p>
        </w:tc>
        <w:tc>
          <w:tcPr>
            <w:tcW w:w="41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21"/>
                <w:szCs w:val="21"/>
              </w:rPr>
            </w:pPr>
            <w:r>
              <w:rPr>
                <w:rFonts w:hint="eastAsia" w:ascii="仿宋" w:hAnsi="仿宋" w:cs="仿宋"/>
                <w:color w:val="000000"/>
                <w:kern w:val="0"/>
                <w:sz w:val="21"/>
                <w:szCs w:val="21"/>
              </w:rPr>
              <w:t>人月</w:t>
            </w:r>
          </w:p>
        </w:tc>
      </w:tr>
      <w:tr>
        <w:tblPrEx>
          <w:tblCellMar>
            <w:top w:w="15" w:type="dxa"/>
            <w:left w:w="15" w:type="dxa"/>
            <w:bottom w:w="15" w:type="dxa"/>
            <w:right w:w="15" w:type="dxa"/>
          </w:tblCellMar>
        </w:tblPrEx>
        <w:trPr>
          <w:trHeight w:val="28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归属云</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应用</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CPU</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内存</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数据盘</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带宽</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数量</w:t>
            </w:r>
          </w:p>
        </w:tc>
      </w:tr>
      <w:tr>
        <w:tblPrEx>
          <w:tblCellMar>
            <w:top w:w="15" w:type="dxa"/>
            <w:left w:w="15" w:type="dxa"/>
            <w:bottom w:w="15" w:type="dxa"/>
            <w:right w:w="15" w:type="dxa"/>
          </w:tblCellMar>
        </w:tblPrEx>
        <w:trPr>
          <w:trHeight w:val="285" w:hRule="atLeast"/>
        </w:trPr>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公有云</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应用服务器</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2（核）</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4（G）</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80（G）</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20（M）</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r>
      <w:tr>
        <w:tblPrEx>
          <w:tblCellMar>
            <w:top w:w="15" w:type="dxa"/>
            <w:left w:w="15" w:type="dxa"/>
            <w:bottom w:w="15" w:type="dxa"/>
            <w:right w:w="15" w:type="dxa"/>
          </w:tblCellMar>
        </w:tblPrEx>
        <w:trPr>
          <w:trHeight w:val="285"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视频服务器</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8（核）</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16（G）</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20（M）</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r>
      <w:tr>
        <w:tblPrEx>
          <w:tblCellMar>
            <w:top w:w="15" w:type="dxa"/>
            <w:left w:w="15" w:type="dxa"/>
            <w:bottom w:w="15" w:type="dxa"/>
            <w:right w:w="15" w:type="dxa"/>
          </w:tblCellMar>
        </w:tblPrEx>
        <w:trPr>
          <w:trHeight w:val="285"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04" w:type="pct"/>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驾驶舱应用服务器</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4（核）</w:t>
            </w:r>
          </w:p>
        </w:tc>
        <w:tc>
          <w:tcPr>
            <w:tcW w:w="636" w:type="pc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8（G）</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20（M）</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r>
      <w:tr>
        <w:tblPrEx>
          <w:tblCellMar>
            <w:top w:w="15" w:type="dxa"/>
            <w:left w:w="15" w:type="dxa"/>
            <w:bottom w:w="15" w:type="dxa"/>
            <w:right w:w="15" w:type="dxa"/>
          </w:tblCellMar>
        </w:tblPrEx>
        <w:trPr>
          <w:trHeight w:val="285"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公有云安全（二级）</w:t>
            </w:r>
          </w:p>
        </w:tc>
        <w:tc>
          <w:tcPr>
            <w:tcW w:w="29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防火墙：标准版 500M吞吐量</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r>
      <w:tr>
        <w:tblPrEx>
          <w:tblCellMar>
            <w:top w:w="15" w:type="dxa"/>
            <w:left w:w="15" w:type="dxa"/>
            <w:bottom w:w="15" w:type="dxa"/>
            <w:right w:w="15" w:type="dxa"/>
          </w:tblCellMar>
        </w:tblPrEx>
        <w:trPr>
          <w:trHeight w:val="285"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9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入侵防护：标准版 500M吞吐量</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r>
      <w:tr>
        <w:tblPrEx>
          <w:tblCellMar>
            <w:top w:w="15" w:type="dxa"/>
            <w:left w:w="15" w:type="dxa"/>
            <w:bottom w:w="15" w:type="dxa"/>
            <w:right w:w="15" w:type="dxa"/>
          </w:tblCellMar>
        </w:tblPrEx>
        <w:trPr>
          <w:trHeight w:val="285"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9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病毒防护：标准版 支持10个server或PC防护</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r>
      <w:tr>
        <w:tblPrEx>
          <w:tblCellMar>
            <w:top w:w="15" w:type="dxa"/>
            <w:left w:w="15" w:type="dxa"/>
            <w:bottom w:w="15" w:type="dxa"/>
            <w:right w:w="15" w:type="dxa"/>
          </w:tblCellMar>
        </w:tblPrEx>
        <w:trPr>
          <w:trHeight w:val="285"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9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终端检测与响应系统：标准版 支持10个server或PC防护</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r>
      <w:tr>
        <w:tblPrEx>
          <w:tblCellMar>
            <w:top w:w="15" w:type="dxa"/>
            <w:left w:w="15" w:type="dxa"/>
            <w:bottom w:w="15" w:type="dxa"/>
            <w:right w:w="15" w:type="dxa"/>
          </w:tblCellMar>
        </w:tblPrEx>
        <w:trPr>
          <w:trHeight w:val="285"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9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日志审计：标准版 20个日志源</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r>
      <w:tr>
        <w:tblPrEx>
          <w:tblCellMar>
            <w:top w:w="15" w:type="dxa"/>
            <w:left w:w="15" w:type="dxa"/>
            <w:bottom w:w="15" w:type="dxa"/>
            <w:right w:w="15" w:type="dxa"/>
          </w:tblCellMar>
        </w:tblPrEx>
        <w:trPr>
          <w:trHeight w:val="285"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9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waf：标准版 25M防护流量</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r>
      <w:tr>
        <w:tblPrEx>
          <w:tblCellMar>
            <w:top w:w="15" w:type="dxa"/>
            <w:left w:w="15" w:type="dxa"/>
            <w:bottom w:w="15" w:type="dxa"/>
            <w:right w:w="15" w:type="dxa"/>
          </w:tblCellMar>
        </w:tblPrEx>
        <w:trPr>
          <w:trHeight w:val="285"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9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安全堡垒机：标准版 20个资产管理</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r>
      <w:tr>
        <w:tblPrEx>
          <w:tblCellMar>
            <w:top w:w="15" w:type="dxa"/>
            <w:left w:w="15" w:type="dxa"/>
            <w:bottom w:w="15" w:type="dxa"/>
            <w:right w:w="15" w:type="dxa"/>
          </w:tblCellMar>
        </w:tblPrEx>
        <w:trPr>
          <w:trHeight w:val="285"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公有云小计</w:t>
            </w:r>
          </w:p>
        </w:tc>
        <w:tc>
          <w:tcPr>
            <w:tcW w:w="383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CellMar>
            <w:top w:w="15" w:type="dxa"/>
            <w:left w:w="15" w:type="dxa"/>
            <w:bottom w:w="15" w:type="dxa"/>
            <w:right w:w="15" w:type="dxa"/>
          </w:tblCellMar>
        </w:tblPrEx>
        <w:trPr>
          <w:trHeight w:val="285" w:hRule="atLeast"/>
        </w:trPr>
        <w:tc>
          <w:tcPr>
            <w:tcW w:w="360"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政务云</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政务云主机</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4（核）</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16（G）</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r>
      <w:tr>
        <w:tblPrEx>
          <w:tblCellMar>
            <w:top w:w="15" w:type="dxa"/>
            <w:left w:w="15" w:type="dxa"/>
            <w:bottom w:w="15" w:type="dxa"/>
            <w:right w:w="15" w:type="dxa"/>
          </w:tblCellMar>
        </w:tblPrEx>
        <w:trPr>
          <w:trHeight w:val="285" w:hRule="atLeast"/>
        </w:trPr>
        <w:tc>
          <w:tcPr>
            <w:tcW w:w="360" w:type="pct"/>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数据库</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4（核）</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8（G）</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r>
      <w:tr>
        <w:tblPrEx>
          <w:tblCellMar>
            <w:top w:w="15" w:type="dxa"/>
            <w:left w:w="15" w:type="dxa"/>
            <w:bottom w:w="15" w:type="dxa"/>
            <w:right w:w="15" w:type="dxa"/>
          </w:tblCellMar>
        </w:tblPrEx>
        <w:trPr>
          <w:trHeight w:val="285" w:hRule="atLeast"/>
        </w:trPr>
        <w:tc>
          <w:tcPr>
            <w:tcW w:w="360" w:type="pct"/>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驾驶舱云主机</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4（核）</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8（G）</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100（G）</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4" w:type="pct"/>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r>
      <w:tr>
        <w:tblPrEx>
          <w:tblCellMar>
            <w:top w:w="15" w:type="dxa"/>
            <w:left w:w="15" w:type="dxa"/>
            <w:bottom w:w="15" w:type="dxa"/>
            <w:right w:w="15" w:type="dxa"/>
          </w:tblCellMar>
        </w:tblPrEx>
        <w:trPr>
          <w:trHeight w:val="285" w:hRule="atLeast"/>
        </w:trPr>
        <w:tc>
          <w:tcPr>
            <w:tcW w:w="360" w:type="pct"/>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驾驶舱数据库</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4（核）</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8（G）</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500（G）</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864" w:type="pct"/>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r>
      <w:tr>
        <w:tblPrEx>
          <w:tblCellMar>
            <w:top w:w="15" w:type="dxa"/>
            <w:left w:w="15" w:type="dxa"/>
            <w:bottom w:w="15" w:type="dxa"/>
            <w:right w:w="15" w:type="dxa"/>
          </w:tblCellMar>
        </w:tblPrEx>
        <w:trPr>
          <w:trHeight w:val="285" w:hRule="atLeast"/>
        </w:trPr>
        <w:tc>
          <w:tcPr>
            <w:tcW w:w="360" w:type="pct"/>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vpc</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2"/>
                <w:szCs w:val="22"/>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r>
      <w:tr>
        <w:tblPrEx>
          <w:tblCellMar>
            <w:top w:w="15" w:type="dxa"/>
            <w:left w:w="15" w:type="dxa"/>
            <w:bottom w:w="15" w:type="dxa"/>
            <w:right w:w="15" w:type="dxa"/>
          </w:tblCellMar>
        </w:tblPrEx>
        <w:trPr>
          <w:trHeight w:val="285" w:hRule="atLeast"/>
        </w:trPr>
        <w:tc>
          <w:tcPr>
            <w:tcW w:w="360" w:type="pct"/>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数据交换点位</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r>
      <w:tr>
        <w:tblPrEx>
          <w:tblCellMar>
            <w:top w:w="15" w:type="dxa"/>
            <w:left w:w="15" w:type="dxa"/>
            <w:bottom w:w="15" w:type="dxa"/>
            <w:right w:w="15" w:type="dxa"/>
          </w:tblCellMar>
        </w:tblPrEx>
        <w:trPr>
          <w:trHeight w:val="285" w:hRule="atLeast"/>
        </w:trPr>
        <w:tc>
          <w:tcPr>
            <w:tcW w:w="360" w:type="pct"/>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0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政务云安全(二级)</w:t>
            </w:r>
          </w:p>
        </w:tc>
        <w:tc>
          <w:tcPr>
            <w:tcW w:w="29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主机安全</w:t>
            </w:r>
          </w:p>
        </w:tc>
        <w:tc>
          <w:tcPr>
            <w:tcW w:w="864" w:type="pct"/>
            <w:gridSpan w:val="2"/>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CellMar>
            <w:top w:w="15" w:type="dxa"/>
            <w:left w:w="15" w:type="dxa"/>
            <w:bottom w:w="15" w:type="dxa"/>
            <w:right w:w="15" w:type="dxa"/>
          </w:tblCellMar>
        </w:tblPrEx>
        <w:trPr>
          <w:trHeight w:val="285" w:hRule="atLeast"/>
        </w:trPr>
        <w:tc>
          <w:tcPr>
            <w:tcW w:w="360" w:type="pct"/>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04"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9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堡垒机</w:t>
            </w:r>
          </w:p>
        </w:tc>
        <w:tc>
          <w:tcPr>
            <w:tcW w:w="864" w:type="pct"/>
            <w:gridSpan w:val="2"/>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r>
      <w:tr>
        <w:tblPrEx>
          <w:tblCellMar>
            <w:top w:w="15" w:type="dxa"/>
            <w:left w:w="15" w:type="dxa"/>
            <w:bottom w:w="15" w:type="dxa"/>
            <w:right w:w="15" w:type="dxa"/>
          </w:tblCellMar>
        </w:tblPrEx>
        <w:trPr>
          <w:trHeight w:val="285" w:hRule="atLeast"/>
        </w:trPr>
        <w:tc>
          <w:tcPr>
            <w:tcW w:w="360" w:type="pct"/>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04"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9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日志审计</w:t>
            </w:r>
          </w:p>
        </w:tc>
        <w:tc>
          <w:tcPr>
            <w:tcW w:w="864" w:type="pct"/>
            <w:gridSpan w:val="2"/>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r>
      <w:tr>
        <w:tblPrEx>
          <w:tblCellMar>
            <w:top w:w="15" w:type="dxa"/>
            <w:left w:w="15" w:type="dxa"/>
            <w:bottom w:w="15" w:type="dxa"/>
            <w:right w:w="15" w:type="dxa"/>
          </w:tblCellMar>
        </w:tblPrEx>
        <w:trPr>
          <w:trHeight w:val="285" w:hRule="atLeast"/>
        </w:trPr>
        <w:tc>
          <w:tcPr>
            <w:tcW w:w="360" w:type="pct"/>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04"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97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漏洞扫描</w:t>
            </w:r>
          </w:p>
        </w:tc>
        <w:tc>
          <w:tcPr>
            <w:tcW w:w="864" w:type="pct"/>
            <w:gridSpan w:val="2"/>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r>
      <w:tr>
        <w:tblPrEx>
          <w:tblCellMar>
            <w:top w:w="15" w:type="dxa"/>
            <w:left w:w="15" w:type="dxa"/>
            <w:bottom w:w="15" w:type="dxa"/>
            <w:right w:w="15" w:type="dxa"/>
          </w:tblCellMar>
        </w:tblPrEx>
        <w:trPr>
          <w:trHeight w:val="285" w:hRule="atLeast"/>
        </w:trPr>
        <w:tc>
          <w:tcPr>
            <w:tcW w:w="360"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szCs w:val="22"/>
              </w:rPr>
            </w:pPr>
          </w:p>
        </w:tc>
        <w:tc>
          <w:tcPr>
            <w:tcW w:w="804" w:type="pct"/>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971" w:type="pct"/>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虚拟防火墙</w:t>
            </w:r>
          </w:p>
        </w:tc>
        <w:tc>
          <w:tcPr>
            <w:tcW w:w="864" w:type="pct"/>
            <w:gridSpan w:val="2"/>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r>
      <w:tr>
        <w:tblPrEx>
          <w:tblCellMar>
            <w:top w:w="15" w:type="dxa"/>
            <w:left w:w="15" w:type="dxa"/>
            <w:bottom w:w="15" w:type="dxa"/>
            <w:right w:w="15" w:type="dxa"/>
          </w:tblCellMar>
        </w:tblPrEx>
        <w:trPr>
          <w:trHeight w:val="285" w:hRule="atLeast"/>
        </w:trPr>
        <w:tc>
          <w:tcPr>
            <w:tcW w:w="360"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工作台</w:t>
            </w:r>
          </w:p>
        </w:tc>
        <w:tc>
          <w:tcPr>
            <w:tcW w:w="804"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移动终端</w:t>
            </w:r>
          </w:p>
        </w:tc>
        <w:tc>
          <w:tcPr>
            <w:tcW w:w="29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CPU 麒麟9000E</w:t>
            </w:r>
          </w:p>
        </w:tc>
        <w:tc>
          <w:tcPr>
            <w:tcW w:w="864" w:type="pct"/>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15" w:type="dxa"/>
            <w:left w:w="15" w:type="dxa"/>
            <w:bottom w:w="15" w:type="dxa"/>
            <w:right w:w="15" w:type="dxa"/>
          </w:tblCellMar>
        </w:tblPrEx>
        <w:trPr>
          <w:trHeight w:val="285" w:hRule="atLeast"/>
        </w:trPr>
        <w:tc>
          <w:tcPr>
            <w:tcW w:w="360"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804"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9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CPU频率 1×3.13GHz+3×2.54GHz+4×2.05GHz</w:t>
            </w:r>
          </w:p>
        </w:tc>
        <w:tc>
          <w:tcPr>
            <w:tcW w:w="864" w:type="pct"/>
            <w:gridSpan w:val="2"/>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r>
      <w:tr>
        <w:tblPrEx>
          <w:tblCellMar>
            <w:top w:w="15" w:type="dxa"/>
            <w:left w:w="15" w:type="dxa"/>
            <w:bottom w:w="15" w:type="dxa"/>
            <w:right w:w="15" w:type="dxa"/>
          </w:tblCellMar>
        </w:tblPrEx>
        <w:trPr>
          <w:trHeight w:val="285" w:hRule="atLeast"/>
        </w:trPr>
        <w:tc>
          <w:tcPr>
            <w:tcW w:w="360"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804"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9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NPU 大核NPU+微核NPU（神经网络处理单元）</w:t>
            </w:r>
          </w:p>
        </w:tc>
        <w:tc>
          <w:tcPr>
            <w:tcW w:w="864" w:type="pct"/>
            <w:gridSpan w:val="2"/>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r>
      <w:tr>
        <w:tblPrEx>
          <w:tblCellMar>
            <w:top w:w="15" w:type="dxa"/>
            <w:left w:w="15" w:type="dxa"/>
            <w:bottom w:w="15" w:type="dxa"/>
            <w:right w:w="15" w:type="dxa"/>
          </w:tblCellMar>
        </w:tblPrEx>
        <w:trPr>
          <w:trHeight w:val="285" w:hRule="atLeast"/>
        </w:trPr>
        <w:tc>
          <w:tcPr>
            <w:tcW w:w="360"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804"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9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运行内存 8GB</w:t>
            </w:r>
          </w:p>
        </w:tc>
        <w:tc>
          <w:tcPr>
            <w:tcW w:w="864" w:type="pct"/>
            <w:gridSpan w:val="2"/>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r>
      <w:tr>
        <w:tblPrEx>
          <w:tblCellMar>
            <w:top w:w="15" w:type="dxa"/>
            <w:left w:w="15" w:type="dxa"/>
            <w:bottom w:w="15" w:type="dxa"/>
            <w:right w:w="15" w:type="dxa"/>
          </w:tblCellMar>
        </w:tblPrEx>
        <w:trPr>
          <w:trHeight w:val="285" w:hRule="atLeast"/>
        </w:trPr>
        <w:tc>
          <w:tcPr>
            <w:tcW w:w="360"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804"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9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容量 256GB</w:t>
            </w:r>
          </w:p>
        </w:tc>
        <w:tc>
          <w:tcPr>
            <w:tcW w:w="864" w:type="pct"/>
            <w:gridSpan w:val="2"/>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r>
      <w:tr>
        <w:tblPrEx>
          <w:tblCellMar>
            <w:top w:w="15" w:type="dxa"/>
            <w:left w:w="15" w:type="dxa"/>
            <w:bottom w:w="15" w:type="dxa"/>
            <w:right w:w="15" w:type="dxa"/>
          </w:tblCellMar>
        </w:tblPrEx>
        <w:trPr>
          <w:trHeight w:val="285" w:hRule="atLeast"/>
        </w:trPr>
        <w:tc>
          <w:tcPr>
            <w:tcW w:w="360"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804"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9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扩展卡 支持NM存储卡</w:t>
            </w:r>
          </w:p>
        </w:tc>
        <w:tc>
          <w:tcPr>
            <w:tcW w:w="864" w:type="pct"/>
            <w:gridSpan w:val="2"/>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r>
      <w:tr>
        <w:tblPrEx>
          <w:tblCellMar>
            <w:top w:w="15" w:type="dxa"/>
            <w:left w:w="15" w:type="dxa"/>
            <w:bottom w:w="15" w:type="dxa"/>
            <w:right w:w="15" w:type="dxa"/>
          </w:tblCellMar>
        </w:tblPrEx>
        <w:trPr>
          <w:trHeight w:val="285" w:hRule="atLeast"/>
        </w:trPr>
        <w:tc>
          <w:tcPr>
            <w:tcW w:w="360"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804"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9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电池容量 4200mAh</w:t>
            </w:r>
          </w:p>
        </w:tc>
        <w:tc>
          <w:tcPr>
            <w:tcW w:w="864" w:type="pct"/>
            <w:gridSpan w:val="2"/>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r>
      <w:tr>
        <w:tblPrEx>
          <w:tblCellMar>
            <w:top w:w="15" w:type="dxa"/>
            <w:left w:w="15" w:type="dxa"/>
            <w:bottom w:w="15" w:type="dxa"/>
            <w:right w:w="15" w:type="dxa"/>
          </w:tblCellMar>
        </w:tblPrEx>
        <w:trPr>
          <w:trHeight w:val="285" w:hRule="atLeast"/>
        </w:trPr>
        <w:tc>
          <w:tcPr>
            <w:tcW w:w="360"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804"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9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传感器 重力感应,距离感应,光线感应,红外感应,电子罗盘,陀螺仪,指纹识别,加速传感,快速充电,OTG功能</w:t>
            </w:r>
          </w:p>
        </w:tc>
        <w:tc>
          <w:tcPr>
            <w:tcW w:w="864" w:type="pct"/>
            <w:gridSpan w:val="2"/>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r>
      <w:tr>
        <w:tblPrEx>
          <w:tblCellMar>
            <w:top w:w="15" w:type="dxa"/>
            <w:left w:w="15" w:type="dxa"/>
            <w:bottom w:w="15" w:type="dxa"/>
            <w:right w:w="15" w:type="dxa"/>
          </w:tblCellMar>
        </w:tblPrEx>
        <w:trPr>
          <w:trHeight w:val="285" w:hRule="atLeast"/>
        </w:trPr>
        <w:tc>
          <w:tcPr>
            <w:tcW w:w="360"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804" w:type="pct"/>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处理终端</w:t>
            </w:r>
          </w:p>
        </w:tc>
        <w:tc>
          <w:tcPr>
            <w:tcW w:w="29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11代I5处理器</w:t>
            </w:r>
          </w:p>
        </w:tc>
        <w:tc>
          <w:tcPr>
            <w:tcW w:w="864"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15" w:type="dxa"/>
            <w:left w:w="15" w:type="dxa"/>
            <w:bottom w:w="15" w:type="dxa"/>
            <w:right w:w="15" w:type="dxa"/>
          </w:tblCellMar>
        </w:tblPrEx>
        <w:trPr>
          <w:trHeight w:val="285" w:hRule="atLeast"/>
        </w:trPr>
        <w:tc>
          <w:tcPr>
            <w:tcW w:w="360"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804"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9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运行内存 16GB</w:t>
            </w:r>
          </w:p>
        </w:tc>
        <w:tc>
          <w:tcPr>
            <w:tcW w:w="864"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r>
      <w:tr>
        <w:tblPrEx>
          <w:tblCellMar>
            <w:top w:w="15" w:type="dxa"/>
            <w:left w:w="15" w:type="dxa"/>
            <w:bottom w:w="15" w:type="dxa"/>
            <w:right w:w="15" w:type="dxa"/>
          </w:tblCellMar>
        </w:tblPrEx>
        <w:trPr>
          <w:trHeight w:val="285" w:hRule="atLeast"/>
        </w:trPr>
        <w:tc>
          <w:tcPr>
            <w:tcW w:w="360"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804"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9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存储容量 512GB</w:t>
            </w:r>
          </w:p>
        </w:tc>
        <w:tc>
          <w:tcPr>
            <w:tcW w:w="864"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r>
      <w:tr>
        <w:tblPrEx>
          <w:tblCellMar>
            <w:top w:w="15" w:type="dxa"/>
            <w:left w:w="15" w:type="dxa"/>
            <w:bottom w:w="15" w:type="dxa"/>
            <w:right w:w="15" w:type="dxa"/>
          </w:tblCellMar>
        </w:tblPrEx>
        <w:trPr>
          <w:trHeight w:val="285" w:hRule="atLeast"/>
        </w:trPr>
        <w:tc>
          <w:tcPr>
            <w:tcW w:w="360"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804"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9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硬盘类型 SSD</w:t>
            </w:r>
          </w:p>
        </w:tc>
        <w:tc>
          <w:tcPr>
            <w:tcW w:w="864"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r>
      <w:tr>
        <w:tblPrEx>
          <w:tblCellMar>
            <w:top w:w="15" w:type="dxa"/>
            <w:left w:w="15" w:type="dxa"/>
            <w:bottom w:w="15" w:type="dxa"/>
            <w:right w:w="15" w:type="dxa"/>
          </w:tblCellMar>
        </w:tblPrEx>
        <w:trPr>
          <w:trHeight w:val="285" w:hRule="atLeast"/>
        </w:trPr>
        <w:tc>
          <w:tcPr>
            <w:tcW w:w="360"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804"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9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R5-5600H六核处理器</w:t>
            </w:r>
          </w:p>
        </w:tc>
        <w:tc>
          <w:tcPr>
            <w:tcW w:w="864"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15" w:type="dxa"/>
            <w:left w:w="15" w:type="dxa"/>
            <w:bottom w:w="15" w:type="dxa"/>
            <w:right w:w="15" w:type="dxa"/>
          </w:tblCellMar>
        </w:tblPrEx>
        <w:trPr>
          <w:trHeight w:val="285" w:hRule="atLeast"/>
        </w:trPr>
        <w:tc>
          <w:tcPr>
            <w:tcW w:w="360"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804"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9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运行内存 16GB</w:t>
            </w:r>
          </w:p>
        </w:tc>
        <w:tc>
          <w:tcPr>
            <w:tcW w:w="864"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r>
      <w:tr>
        <w:tblPrEx>
          <w:tblCellMar>
            <w:top w:w="15" w:type="dxa"/>
            <w:left w:w="15" w:type="dxa"/>
            <w:bottom w:w="15" w:type="dxa"/>
            <w:right w:w="15" w:type="dxa"/>
          </w:tblCellMar>
        </w:tblPrEx>
        <w:trPr>
          <w:trHeight w:val="285" w:hRule="atLeast"/>
        </w:trPr>
        <w:tc>
          <w:tcPr>
            <w:tcW w:w="360"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804" w:type="pct"/>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9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存储容量 512GB</w:t>
            </w:r>
          </w:p>
        </w:tc>
        <w:tc>
          <w:tcPr>
            <w:tcW w:w="864"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r>
      <w:tr>
        <w:tblPrEx>
          <w:tblCellMar>
            <w:top w:w="15" w:type="dxa"/>
            <w:left w:w="15" w:type="dxa"/>
            <w:bottom w:w="15" w:type="dxa"/>
            <w:right w:w="15" w:type="dxa"/>
          </w:tblCellMar>
        </w:tblPrEx>
        <w:trPr>
          <w:trHeight w:val="285" w:hRule="atLeast"/>
        </w:trPr>
        <w:tc>
          <w:tcPr>
            <w:tcW w:w="360"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804" w:type="pct"/>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9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硬盘类型 SSD</w:t>
            </w:r>
          </w:p>
        </w:tc>
        <w:tc>
          <w:tcPr>
            <w:tcW w:w="864"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p>
        </w:tc>
      </w:tr>
    </w:tbl>
    <w:p>
      <w:pPr>
        <w:adjustRightInd w:val="0"/>
        <w:snapToGrid w:val="0"/>
        <w:spacing w:line="360" w:lineRule="auto"/>
        <w:ind w:left="1440"/>
        <w:jc w:val="center"/>
        <w:rPr>
          <w:rFonts w:ascii="宋体"/>
          <w:color w:val="000000"/>
        </w:rPr>
      </w:pPr>
      <w:r>
        <w:rPr>
          <w:rFonts w:hint="eastAsia" w:cs="宋体" w:asciiTheme="minorEastAsia" w:hAnsiTheme="minorEastAsia" w:eastAsiaTheme="minorEastAsia"/>
          <w:b/>
          <w:kern w:val="0"/>
          <w:sz w:val="24"/>
          <w:szCs w:val="24"/>
        </w:rPr>
        <w:br w:type="page"/>
      </w:r>
      <w:r>
        <w:rPr>
          <w:rFonts w:hint="eastAsia"/>
          <w:b/>
          <w:color w:val="000000"/>
        </w:rPr>
        <w:t>第三章 投标人须知</w:t>
      </w:r>
      <w:bookmarkEnd w:id="4"/>
      <w:bookmarkStart w:id="8" w:name="_Toc257923936"/>
    </w:p>
    <w:p>
      <w:pPr>
        <w:adjustRightInd w:val="0"/>
        <w:snapToGrid w:val="0"/>
        <w:spacing w:line="360" w:lineRule="auto"/>
        <w:jc w:val="center"/>
        <w:outlineLvl w:val="0"/>
        <w:rPr>
          <w:b/>
          <w:color w:val="000000"/>
          <w:sz w:val="32"/>
        </w:rPr>
      </w:pPr>
      <w:bookmarkStart w:id="9" w:name="_Toc283973075"/>
      <w:bookmarkStart w:id="10" w:name="_Toc302983094"/>
      <w:bookmarkStart w:id="11" w:name="_Toc306901445"/>
      <w:r>
        <w:rPr>
          <w:rFonts w:hint="eastAsia"/>
          <w:b/>
          <w:color w:val="000000"/>
          <w:sz w:val="32"/>
        </w:rPr>
        <w:t xml:space="preserve"> 前附表</w:t>
      </w:r>
      <w:bookmarkEnd w:id="8"/>
      <w:bookmarkEnd w:id="9"/>
      <w:bookmarkEnd w:id="10"/>
      <w:bookmarkEnd w:id="11"/>
    </w:p>
    <w:tbl>
      <w:tblPr>
        <w:tblStyle w:val="48"/>
        <w:tblW w:w="10499" w:type="dxa"/>
        <w:tblInd w:w="-74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690"/>
        <w:gridCol w:w="81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709" w:type="dxa"/>
            <w:vAlign w:val="center"/>
          </w:tcPr>
          <w:p>
            <w:pPr>
              <w:spacing w:line="300" w:lineRule="exact"/>
              <w:jc w:val="center"/>
              <w:rPr>
                <w:rFonts w:ascii="宋体" w:hAnsi="宋体"/>
                <w:b/>
                <w:color w:val="000000"/>
                <w:sz w:val="21"/>
              </w:rPr>
            </w:pPr>
            <w:r>
              <w:rPr>
                <w:rFonts w:hint="eastAsia" w:ascii="宋体" w:hAnsi="宋体"/>
                <w:b/>
                <w:color w:val="000000"/>
                <w:sz w:val="21"/>
              </w:rPr>
              <w:t>序号</w:t>
            </w:r>
          </w:p>
        </w:tc>
        <w:tc>
          <w:tcPr>
            <w:tcW w:w="1690" w:type="dxa"/>
            <w:vAlign w:val="center"/>
          </w:tcPr>
          <w:p>
            <w:pPr>
              <w:spacing w:line="300" w:lineRule="exact"/>
              <w:ind w:firstLine="211" w:firstLineChars="100"/>
              <w:jc w:val="center"/>
              <w:rPr>
                <w:rFonts w:ascii="宋体" w:hAnsi="宋体"/>
                <w:b/>
                <w:color w:val="000000"/>
                <w:sz w:val="21"/>
              </w:rPr>
            </w:pPr>
            <w:r>
              <w:rPr>
                <w:rFonts w:hint="eastAsia" w:ascii="宋体" w:hAnsi="宋体"/>
                <w:b/>
                <w:color w:val="000000"/>
                <w:sz w:val="21"/>
              </w:rPr>
              <w:t>项   目</w:t>
            </w:r>
          </w:p>
        </w:tc>
        <w:tc>
          <w:tcPr>
            <w:tcW w:w="8100" w:type="dxa"/>
            <w:vAlign w:val="center"/>
          </w:tcPr>
          <w:p>
            <w:pPr>
              <w:spacing w:line="300" w:lineRule="exact"/>
              <w:jc w:val="center"/>
              <w:rPr>
                <w:rFonts w:ascii="宋体" w:hAnsi="宋体"/>
                <w:b/>
                <w:color w:val="000000"/>
                <w:sz w:val="21"/>
              </w:rPr>
            </w:pPr>
            <w:r>
              <w:rPr>
                <w:rFonts w:hint="eastAsia" w:ascii="宋体" w:hAnsi="宋体"/>
                <w:b/>
                <w:color w:val="000000"/>
                <w:sz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709" w:type="dxa"/>
            <w:vAlign w:val="center"/>
          </w:tcPr>
          <w:p>
            <w:pPr>
              <w:spacing w:line="320" w:lineRule="exact"/>
              <w:jc w:val="center"/>
              <w:rPr>
                <w:rFonts w:ascii="宋体" w:hAnsi="宋体"/>
                <w:color w:val="000000"/>
                <w:sz w:val="24"/>
              </w:rPr>
            </w:pPr>
            <w:r>
              <w:rPr>
                <w:rFonts w:hint="eastAsia" w:ascii="宋体" w:hAnsi="宋体"/>
                <w:color w:val="000000"/>
                <w:sz w:val="24"/>
              </w:rPr>
              <w:t>1</w:t>
            </w:r>
          </w:p>
        </w:tc>
        <w:tc>
          <w:tcPr>
            <w:tcW w:w="1690" w:type="dxa"/>
            <w:vAlign w:val="center"/>
          </w:tcPr>
          <w:p>
            <w:pPr>
              <w:spacing w:line="360" w:lineRule="exact"/>
              <w:jc w:val="center"/>
              <w:rPr>
                <w:rFonts w:ascii="宋体" w:hAnsi="宋体"/>
                <w:color w:val="000000"/>
                <w:sz w:val="21"/>
              </w:rPr>
            </w:pPr>
            <w:r>
              <w:rPr>
                <w:rFonts w:hint="eastAsia" w:ascii="宋体" w:hAnsi="宋体"/>
                <w:color w:val="000000"/>
                <w:sz w:val="21"/>
              </w:rPr>
              <w:t>项目名称</w:t>
            </w:r>
          </w:p>
        </w:tc>
        <w:tc>
          <w:tcPr>
            <w:tcW w:w="8100" w:type="dxa"/>
            <w:vAlign w:val="center"/>
          </w:tcPr>
          <w:p>
            <w:pPr>
              <w:spacing w:line="360" w:lineRule="exact"/>
              <w:ind w:left="-4" w:leftChars="-1" w:firstLine="2" w:firstLineChars="1"/>
              <w:rPr>
                <w:rFonts w:ascii="宋体" w:hAnsi="宋体"/>
                <w:color w:val="000000"/>
                <w:sz w:val="21"/>
              </w:rPr>
            </w:pPr>
            <w:r>
              <w:rPr>
                <w:rFonts w:hint="eastAsia" w:ascii="宋体" w:hAnsi="宋体"/>
                <w:color w:val="000000"/>
                <w:sz w:val="21"/>
              </w:rPr>
              <w:t>仙居县基层矛调“五环智控”应用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709" w:type="dxa"/>
            <w:vAlign w:val="center"/>
          </w:tcPr>
          <w:p>
            <w:pPr>
              <w:spacing w:line="320" w:lineRule="exact"/>
              <w:jc w:val="center"/>
              <w:rPr>
                <w:rFonts w:ascii="宋体" w:hAnsi="宋体"/>
                <w:color w:val="000000"/>
                <w:sz w:val="24"/>
              </w:rPr>
            </w:pPr>
            <w:r>
              <w:rPr>
                <w:rFonts w:hint="eastAsia" w:ascii="宋体" w:hAnsi="宋体"/>
                <w:color w:val="000000"/>
                <w:sz w:val="24"/>
              </w:rPr>
              <w:t>2</w:t>
            </w:r>
          </w:p>
        </w:tc>
        <w:tc>
          <w:tcPr>
            <w:tcW w:w="1690" w:type="dxa"/>
            <w:vAlign w:val="center"/>
          </w:tcPr>
          <w:p>
            <w:pPr>
              <w:spacing w:line="360" w:lineRule="exact"/>
              <w:jc w:val="center"/>
              <w:rPr>
                <w:rFonts w:ascii="宋体" w:hAnsi="宋体"/>
                <w:color w:val="000000"/>
                <w:sz w:val="21"/>
              </w:rPr>
            </w:pPr>
            <w:r>
              <w:rPr>
                <w:rFonts w:hint="eastAsia" w:ascii="宋体" w:hAnsi="宋体"/>
                <w:color w:val="000000"/>
                <w:sz w:val="21"/>
              </w:rPr>
              <w:t>招标内容</w:t>
            </w:r>
          </w:p>
        </w:tc>
        <w:tc>
          <w:tcPr>
            <w:tcW w:w="8100" w:type="dxa"/>
            <w:vAlign w:val="center"/>
          </w:tcPr>
          <w:p>
            <w:pPr>
              <w:spacing w:line="360" w:lineRule="exact"/>
              <w:ind w:left="-4" w:leftChars="-1" w:firstLine="2" w:firstLineChars="1"/>
              <w:rPr>
                <w:rFonts w:ascii="宋体" w:hAnsi="宋体"/>
                <w:color w:val="000000"/>
                <w:sz w:val="21"/>
              </w:rPr>
            </w:pPr>
            <w:r>
              <w:rPr>
                <w:rFonts w:hint="eastAsia" w:ascii="宋体" w:hAnsi="宋体"/>
                <w:color w:val="000000"/>
                <w:sz w:val="21"/>
              </w:rPr>
              <w:t>详见本招标文件“第二章招标需求”内容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709" w:type="dxa"/>
            <w:vAlign w:val="center"/>
          </w:tcPr>
          <w:p>
            <w:pPr>
              <w:spacing w:line="320" w:lineRule="exact"/>
              <w:jc w:val="center"/>
              <w:rPr>
                <w:rFonts w:ascii="宋体" w:hAnsi="宋体"/>
                <w:color w:val="000000"/>
                <w:sz w:val="24"/>
              </w:rPr>
            </w:pPr>
            <w:r>
              <w:rPr>
                <w:rFonts w:hint="eastAsia" w:ascii="宋体" w:hAnsi="宋体"/>
                <w:color w:val="000000"/>
                <w:sz w:val="24"/>
              </w:rPr>
              <w:t>3</w:t>
            </w:r>
          </w:p>
        </w:tc>
        <w:tc>
          <w:tcPr>
            <w:tcW w:w="1690" w:type="dxa"/>
            <w:vAlign w:val="center"/>
          </w:tcPr>
          <w:p>
            <w:pPr>
              <w:spacing w:line="360" w:lineRule="exact"/>
              <w:jc w:val="center"/>
              <w:rPr>
                <w:rFonts w:ascii="宋体" w:hAnsi="宋体"/>
                <w:color w:val="000000"/>
                <w:sz w:val="21"/>
              </w:rPr>
            </w:pPr>
            <w:r>
              <w:rPr>
                <w:rFonts w:hint="eastAsia" w:ascii="宋体" w:hAnsi="宋体"/>
                <w:color w:val="000000"/>
                <w:sz w:val="21"/>
              </w:rPr>
              <w:t>招标方式</w:t>
            </w:r>
          </w:p>
        </w:tc>
        <w:tc>
          <w:tcPr>
            <w:tcW w:w="8100" w:type="dxa"/>
            <w:vAlign w:val="center"/>
          </w:tcPr>
          <w:p>
            <w:pPr>
              <w:rPr>
                <w:rFonts w:ascii="宋体" w:hAnsi="宋体"/>
                <w:color w:val="000000"/>
                <w:sz w:val="21"/>
              </w:rPr>
            </w:pPr>
            <w:r>
              <w:rPr>
                <w:rFonts w:hint="eastAsia" w:ascii="宋体" w:hAnsi="宋体"/>
                <w:color w:val="000000"/>
                <w:sz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709" w:type="dxa"/>
            <w:vAlign w:val="center"/>
          </w:tcPr>
          <w:p>
            <w:pPr>
              <w:spacing w:line="320" w:lineRule="exact"/>
              <w:jc w:val="center"/>
              <w:rPr>
                <w:rFonts w:ascii="宋体" w:hAnsi="宋体"/>
                <w:sz w:val="24"/>
              </w:rPr>
            </w:pPr>
            <w:r>
              <w:rPr>
                <w:rFonts w:hint="eastAsia" w:ascii="宋体" w:hAnsi="宋体"/>
                <w:sz w:val="24"/>
              </w:rPr>
              <w:t>4</w:t>
            </w:r>
          </w:p>
        </w:tc>
        <w:tc>
          <w:tcPr>
            <w:tcW w:w="1690" w:type="dxa"/>
            <w:vAlign w:val="center"/>
          </w:tcPr>
          <w:p>
            <w:pPr>
              <w:spacing w:line="360" w:lineRule="exact"/>
              <w:jc w:val="center"/>
              <w:rPr>
                <w:rFonts w:ascii="宋体" w:hAnsi="宋体"/>
                <w:sz w:val="21"/>
              </w:rPr>
            </w:pPr>
            <w:r>
              <w:rPr>
                <w:rFonts w:hint="eastAsia" w:ascii="宋体" w:hAnsi="宋体"/>
                <w:color w:val="000000"/>
                <w:sz w:val="21"/>
              </w:rPr>
              <w:t>服务期限</w:t>
            </w:r>
          </w:p>
        </w:tc>
        <w:tc>
          <w:tcPr>
            <w:tcW w:w="8100" w:type="dxa"/>
            <w:vAlign w:val="center"/>
          </w:tcPr>
          <w:p>
            <w:pPr>
              <w:spacing w:line="360" w:lineRule="exact"/>
              <w:ind w:left="-4" w:leftChars="-1" w:firstLine="2" w:firstLineChars="1"/>
              <w:rPr>
                <w:rFonts w:ascii="宋体" w:hAnsi="宋体"/>
                <w:color w:val="000000"/>
                <w:sz w:val="21"/>
              </w:rPr>
            </w:pPr>
            <w:r>
              <w:rPr>
                <w:rFonts w:hint="eastAsia" w:ascii="宋体" w:hAnsi="宋体"/>
                <w:color w:val="000000"/>
                <w:sz w:val="21"/>
              </w:rPr>
              <w:t>详见招标需求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vAlign w:val="center"/>
          </w:tcPr>
          <w:p>
            <w:pPr>
              <w:spacing w:line="320" w:lineRule="exact"/>
              <w:jc w:val="center"/>
              <w:rPr>
                <w:rFonts w:ascii="宋体" w:hAnsi="宋体"/>
                <w:color w:val="000000"/>
                <w:sz w:val="24"/>
              </w:rPr>
            </w:pPr>
            <w:r>
              <w:rPr>
                <w:rFonts w:hint="eastAsia" w:ascii="宋体" w:hAnsi="宋体"/>
                <w:color w:val="000000"/>
                <w:sz w:val="24"/>
              </w:rPr>
              <w:t>5</w:t>
            </w:r>
          </w:p>
        </w:tc>
        <w:tc>
          <w:tcPr>
            <w:tcW w:w="1690" w:type="dxa"/>
            <w:vAlign w:val="center"/>
          </w:tcPr>
          <w:p>
            <w:pPr>
              <w:spacing w:line="360" w:lineRule="exact"/>
              <w:jc w:val="center"/>
              <w:rPr>
                <w:rFonts w:ascii="宋体" w:hAnsi="宋体"/>
                <w:color w:val="000000"/>
                <w:sz w:val="21"/>
              </w:rPr>
            </w:pPr>
            <w:r>
              <w:rPr>
                <w:rFonts w:hint="eastAsia" w:ascii="宋体" w:hAnsi="宋体"/>
                <w:color w:val="000000"/>
                <w:sz w:val="21"/>
              </w:rPr>
              <w:t>评标办法</w:t>
            </w:r>
          </w:p>
        </w:tc>
        <w:tc>
          <w:tcPr>
            <w:tcW w:w="8100" w:type="dxa"/>
            <w:vAlign w:val="center"/>
          </w:tcPr>
          <w:p>
            <w:pPr>
              <w:spacing w:line="360" w:lineRule="exact"/>
              <w:jc w:val="left"/>
              <w:rPr>
                <w:rFonts w:ascii="宋体" w:hAnsi="宋体"/>
                <w:color w:val="000000"/>
                <w:sz w:val="21"/>
                <w:lang w:val="zh-CN"/>
              </w:rPr>
            </w:pPr>
            <w:r>
              <w:rPr>
                <w:rFonts w:hint="eastAsia" w:ascii="宋体" w:hAnsi="宋体"/>
                <w:color w:val="000000"/>
                <w:kern w:val="0"/>
                <w:sz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709" w:type="dxa"/>
            <w:vAlign w:val="center"/>
          </w:tcPr>
          <w:p>
            <w:pPr>
              <w:spacing w:line="320" w:lineRule="exact"/>
              <w:jc w:val="center"/>
              <w:rPr>
                <w:rFonts w:ascii="宋体" w:hAnsi="宋体"/>
                <w:color w:val="000000"/>
                <w:sz w:val="24"/>
              </w:rPr>
            </w:pPr>
            <w:r>
              <w:rPr>
                <w:rFonts w:hint="eastAsia" w:ascii="宋体" w:hAnsi="宋体"/>
                <w:color w:val="000000"/>
                <w:sz w:val="24"/>
              </w:rPr>
              <w:t>6</w:t>
            </w:r>
          </w:p>
        </w:tc>
        <w:tc>
          <w:tcPr>
            <w:tcW w:w="1690" w:type="dxa"/>
            <w:vAlign w:val="center"/>
          </w:tcPr>
          <w:p>
            <w:pPr>
              <w:snapToGrid w:val="0"/>
              <w:jc w:val="center"/>
              <w:rPr>
                <w:rFonts w:ascii="宋体" w:hAnsi="宋体"/>
                <w:color w:val="000000"/>
                <w:sz w:val="21"/>
              </w:rPr>
            </w:pPr>
            <w:r>
              <w:rPr>
                <w:rFonts w:hint="eastAsia" w:ascii="宋体" w:hAnsi="宋体"/>
                <w:color w:val="000000"/>
                <w:sz w:val="21"/>
              </w:rPr>
              <w:t>投标文件有效期</w:t>
            </w:r>
          </w:p>
        </w:tc>
        <w:tc>
          <w:tcPr>
            <w:tcW w:w="8100" w:type="dxa"/>
            <w:vAlign w:val="center"/>
          </w:tcPr>
          <w:p>
            <w:pPr>
              <w:pStyle w:val="201"/>
              <w:snapToGrid w:val="0"/>
              <w:rPr>
                <w:color w:val="000000"/>
                <w:kern w:val="2"/>
                <w:sz w:val="21"/>
              </w:rPr>
            </w:pPr>
            <w:r>
              <w:rPr>
                <w:color w:val="000000"/>
                <w:kern w:val="2"/>
                <w:sz w:val="21"/>
              </w:rPr>
              <w:t>自投标文件提交截止之日起90天内有效。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709" w:type="dxa"/>
            <w:vAlign w:val="center"/>
          </w:tcPr>
          <w:p>
            <w:pPr>
              <w:spacing w:line="320" w:lineRule="exact"/>
              <w:jc w:val="center"/>
              <w:rPr>
                <w:rFonts w:ascii="宋体" w:hAnsi="宋体"/>
                <w:color w:val="000000"/>
                <w:sz w:val="24"/>
              </w:rPr>
            </w:pPr>
            <w:r>
              <w:rPr>
                <w:rFonts w:hint="eastAsia" w:ascii="宋体" w:hAnsi="宋体"/>
                <w:color w:val="000000"/>
                <w:sz w:val="24"/>
              </w:rPr>
              <w:t>7</w:t>
            </w:r>
          </w:p>
        </w:tc>
        <w:tc>
          <w:tcPr>
            <w:tcW w:w="1690" w:type="dxa"/>
            <w:vAlign w:val="center"/>
          </w:tcPr>
          <w:p>
            <w:pPr>
              <w:spacing w:line="360" w:lineRule="exact"/>
              <w:jc w:val="center"/>
              <w:rPr>
                <w:rFonts w:ascii="宋体" w:hAnsi="宋体"/>
                <w:color w:val="000000"/>
                <w:sz w:val="21"/>
              </w:rPr>
            </w:pPr>
            <w:r>
              <w:rPr>
                <w:rFonts w:hint="eastAsia" w:ascii="宋体" w:hAnsi="宋体"/>
                <w:color w:val="000000"/>
                <w:sz w:val="21"/>
              </w:rPr>
              <w:t>履约保证金</w:t>
            </w:r>
          </w:p>
        </w:tc>
        <w:tc>
          <w:tcPr>
            <w:tcW w:w="8100" w:type="dxa"/>
            <w:vAlign w:val="center"/>
          </w:tcPr>
          <w:p>
            <w:pPr>
              <w:spacing w:line="360" w:lineRule="exact"/>
              <w:rPr>
                <w:rFonts w:ascii="宋体" w:hAnsi="宋体"/>
                <w:sz w:val="21"/>
              </w:rPr>
            </w:pPr>
            <w:r>
              <w:rPr>
                <w:rFonts w:hint="eastAsia" w:ascii="宋体" w:hAnsi="宋体"/>
                <w:sz w:val="21"/>
                <w:szCs w:val="21"/>
              </w:rPr>
              <w:t>各投标人向采购人缴纳各标项合同金额的1%作为履约保证金，鼓励投标人开展政采贷、履约保函等政府采购金融服务，投标人以银行、保险公司出具保函形式提交履约保证金的，采购单位不得拒收。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vAlign w:val="center"/>
          </w:tcPr>
          <w:p>
            <w:pPr>
              <w:spacing w:line="320" w:lineRule="exact"/>
              <w:jc w:val="center"/>
              <w:rPr>
                <w:rFonts w:ascii="宋体" w:hAnsi="宋体"/>
                <w:color w:val="000000"/>
                <w:sz w:val="24"/>
              </w:rPr>
            </w:pPr>
            <w:r>
              <w:rPr>
                <w:rFonts w:hint="eastAsia" w:ascii="宋体" w:hAnsi="宋体"/>
                <w:color w:val="000000"/>
                <w:sz w:val="24"/>
              </w:rPr>
              <w:t>8</w:t>
            </w:r>
          </w:p>
        </w:tc>
        <w:tc>
          <w:tcPr>
            <w:tcW w:w="1690" w:type="dxa"/>
            <w:vAlign w:val="center"/>
          </w:tcPr>
          <w:p>
            <w:pPr>
              <w:spacing w:line="360" w:lineRule="exact"/>
              <w:jc w:val="center"/>
              <w:rPr>
                <w:rFonts w:ascii="宋体" w:hAnsi="宋体"/>
                <w:color w:val="000000"/>
                <w:sz w:val="21"/>
              </w:rPr>
            </w:pPr>
            <w:r>
              <w:rPr>
                <w:rFonts w:hint="eastAsia" w:ascii="宋体" w:hAnsi="宋体"/>
                <w:color w:val="000000"/>
                <w:sz w:val="21"/>
              </w:rPr>
              <w:t>投标文件形式、制作及组成</w:t>
            </w:r>
          </w:p>
        </w:tc>
        <w:tc>
          <w:tcPr>
            <w:tcW w:w="8100" w:type="dxa"/>
            <w:vAlign w:val="center"/>
          </w:tcPr>
          <w:p>
            <w:pPr>
              <w:adjustRightInd w:val="0"/>
              <w:snapToGrid w:val="0"/>
              <w:jc w:val="left"/>
              <w:rPr>
                <w:rFonts w:ascii="宋体" w:hAnsi="宋体"/>
                <w:sz w:val="21"/>
                <w:szCs w:val="21"/>
              </w:rPr>
            </w:pPr>
            <w:r>
              <w:rPr>
                <w:rFonts w:hint="eastAsia" w:ascii="宋体" w:hAnsi="宋体"/>
                <w:sz w:val="21"/>
                <w:szCs w:val="21"/>
              </w:rPr>
              <w:t>1. 电子加密投标文件：政府采购云平台在线提交、上传一份；</w:t>
            </w:r>
          </w:p>
          <w:p>
            <w:pPr>
              <w:adjustRightInd w:val="0"/>
              <w:snapToGrid w:val="0"/>
              <w:jc w:val="left"/>
              <w:rPr>
                <w:rFonts w:ascii="宋体" w:hAnsi="宋体"/>
                <w:sz w:val="21"/>
                <w:szCs w:val="21"/>
              </w:rPr>
            </w:pPr>
            <w:r>
              <w:rPr>
                <w:rFonts w:hint="eastAsia" w:ascii="宋体" w:hAnsi="宋体"/>
                <w:sz w:val="21"/>
                <w:szCs w:val="21"/>
              </w:rPr>
              <w:t>2. 备份投标文件（政采云平台上最后生成的具备电子签章的备份投标文件，文件名后缀为备份文件四字的首字母）：电子邮件提交一份，由投标人自行确定是否提交；若提交请将备份投标文件打包压缩加密后以电子邮件的形式发送至313195311@qq.com。</w:t>
            </w:r>
          </w:p>
          <w:p>
            <w:pPr>
              <w:pStyle w:val="201"/>
              <w:snapToGrid w:val="0"/>
              <w:spacing w:beforeAutospacing="0" w:afterAutospacing="0" w:line="360" w:lineRule="exact"/>
              <w:rPr>
                <w:kern w:val="2"/>
                <w:sz w:val="21"/>
              </w:rPr>
            </w:pPr>
            <w:r>
              <w:rPr>
                <w:rFonts w:hint="eastAsia"/>
                <w:sz w:val="21"/>
                <w:szCs w:val="21"/>
              </w:rPr>
              <w:t>注：投标人在线解密失败后，启用备份投标文件，否则不启用备份投标文件。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09" w:type="dxa"/>
            <w:vAlign w:val="center"/>
          </w:tcPr>
          <w:p>
            <w:pPr>
              <w:spacing w:line="320" w:lineRule="exact"/>
              <w:jc w:val="center"/>
              <w:rPr>
                <w:rFonts w:ascii="宋体" w:hAnsi="宋体"/>
                <w:color w:val="000000"/>
                <w:sz w:val="24"/>
              </w:rPr>
            </w:pPr>
            <w:r>
              <w:rPr>
                <w:rFonts w:hint="eastAsia" w:ascii="宋体" w:hAnsi="宋体"/>
                <w:color w:val="000000"/>
                <w:sz w:val="24"/>
              </w:rPr>
              <w:t>9</w:t>
            </w:r>
          </w:p>
        </w:tc>
        <w:tc>
          <w:tcPr>
            <w:tcW w:w="1690" w:type="dxa"/>
            <w:vAlign w:val="center"/>
          </w:tcPr>
          <w:p>
            <w:pPr>
              <w:snapToGrid w:val="0"/>
              <w:ind w:left="-68" w:leftChars="-19" w:right="-108" w:rightChars="-30"/>
              <w:jc w:val="center"/>
              <w:rPr>
                <w:rFonts w:ascii="宋体" w:hAnsi="宋体"/>
                <w:color w:val="000000"/>
                <w:sz w:val="21"/>
              </w:rPr>
            </w:pPr>
            <w:r>
              <w:rPr>
                <w:rFonts w:hint="eastAsia" w:ascii="宋体" w:hAnsi="宋体"/>
                <w:color w:val="000000"/>
                <w:sz w:val="21"/>
              </w:rPr>
              <w:t>投标文件提交截止时间及地点</w:t>
            </w:r>
          </w:p>
        </w:tc>
        <w:tc>
          <w:tcPr>
            <w:tcW w:w="8100" w:type="dxa"/>
            <w:vAlign w:val="center"/>
          </w:tcPr>
          <w:p>
            <w:pPr>
              <w:pStyle w:val="201"/>
              <w:adjustRightInd w:val="0"/>
              <w:snapToGrid w:val="0"/>
              <w:spacing w:beforeAutospacing="0" w:afterAutospacing="0"/>
              <w:rPr>
                <w:kern w:val="2"/>
                <w:sz w:val="21"/>
              </w:rPr>
            </w:pPr>
            <w:r>
              <w:rPr>
                <w:rFonts w:hint="eastAsia"/>
                <w:kern w:val="2"/>
                <w:sz w:val="21"/>
              </w:rPr>
              <w:t>见第一章公开招标公告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1" w:hRule="atLeast"/>
        </w:trPr>
        <w:tc>
          <w:tcPr>
            <w:tcW w:w="709" w:type="dxa"/>
            <w:vAlign w:val="center"/>
          </w:tcPr>
          <w:p>
            <w:pPr>
              <w:spacing w:line="320" w:lineRule="exact"/>
              <w:jc w:val="center"/>
              <w:rPr>
                <w:rFonts w:ascii="宋体" w:hAnsi="宋体"/>
                <w:color w:val="000000"/>
                <w:sz w:val="24"/>
              </w:rPr>
            </w:pPr>
            <w:r>
              <w:rPr>
                <w:rFonts w:hint="eastAsia" w:ascii="宋体" w:hAnsi="宋体"/>
                <w:color w:val="000000"/>
                <w:sz w:val="24"/>
              </w:rPr>
              <w:t>10</w:t>
            </w:r>
          </w:p>
        </w:tc>
        <w:tc>
          <w:tcPr>
            <w:tcW w:w="1690" w:type="dxa"/>
            <w:vAlign w:val="center"/>
          </w:tcPr>
          <w:p>
            <w:pPr>
              <w:snapToGrid w:val="0"/>
              <w:jc w:val="center"/>
              <w:rPr>
                <w:rFonts w:ascii="宋体" w:hAnsi="宋体"/>
                <w:color w:val="000000"/>
                <w:sz w:val="21"/>
              </w:rPr>
            </w:pPr>
            <w:r>
              <w:rPr>
                <w:rFonts w:hint="eastAsia" w:ascii="宋体" w:hAnsi="宋体"/>
                <w:color w:val="000000"/>
                <w:sz w:val="21"/>
              </w:rPr>
              <w:t>开标时间及地点</w:t>
            </w:r>
          </w:p>
        </w:tc>
        <w:tc>
          <w:tcPr>
            <w:tcW w:w="8100" w:type="dxa"/>
            <w:vAlign w:val="center"/>
          </w:tcPr>
          <w:p>
            <w:pPr>
              <w:adjustRightInd w:val="0"/>
              <w:snapToGrid w:val="0"/>
              <w:jc w:val="left"/>
              <w:rPr>
                <w:rFonts w:ascii="宋体" w:hAnsi="宋体"/>
                <w:sz w:val="21"/>
              </w:rPr>
            </w:pPr>
            <w:r>
              <w:rPr>
                <w:rFonts w:hint="eastAsia" w:ascii="宋体" w:hAnsi="宋体"/>
                <w:sz w:val="21"/>
              </w:rPr>
              <w:t>见第一章公开招标公告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709" w:type="dxa"/>
            <w:tcBorders>
              <w:bottom w:val="single" w:color="auto" w:sz="4" w:space="0"/>
            </w:tcBorders>
            <w:vAlign w:val="center"/>
          </w:tcPr>
          <w:p>
            <w:pPr>
              <w:spacing w:line="320" w:lineRule="exact"/>
              <w:jc w:val="center"/>
              <w:rPr>
                <w:rFonts w:ascii="宋体" w:hAnsi="宋体"/>
                <w:color w:val="000000"/>
                <w:sz w:val="24"/>
              </w:rPr>
            </w:pPr>
            <w:r>
              <w:rPr>
                <w:rFonts w:hint="eastAsia" w:ascii="宋体" w:hAnsi="宋体"/>
                <w:color w:val="000000"/>
                <w:sz w:val="24"/>
              </w:rPr>
              <w:t>11</w:t>
            </w:r>
          </w:p>
        </w:tc>
        <w:tc>
          <w:tcPr>
            <w:tcW w:w="1690" w:type="dxa"/>
            <w:tcBorders>
              <w:bottom w:val="single" w:color="auto" w:sz="4" w:space="0"/>
            </w:tcBorders>
            <w:vAlign w:val="center"/>
          </w:tcPr>
          <w:p>
            <w:pPr>
              <w:autoSpaceDE w:val="0"/>
              <w:autoSpaceDN w:val="0"/>
              <w:adjustRightInd w:val="0"/>
              <w:spacing w:line="360" w:lineRule="exact"/>
              <w:jc w:val="center"/>
              <w:rPr>
                <w:rFonts w:ascii="宋体" w:hAnsi="宋体"/>
                <w:b/>
                <w:color w:val="000000"/>
                <w:sz w:val="21"/>
                <w:lang w:val="zh-CN"/>
              </w:rPr>
            </w:pPr>
            <w:r>
              <w:rPr>
                <w:rFonts w:hint="eastAsia" w:ascii="宋体" w:hAnsi="宋体"/>
                <w:color w:val="000000"/>
                <w:sz w:val="21"/>
              </w:rPr>
              <w:t>答疑与澄清</w:t>
            </w:r>
          </w:p>
        </w:tc>
        <w:tc>
          <w:tcPr>
            <w:tcW w:w="8100" w:type="dxa"/>
            <w:tcBorders>
              <w:bottom w:val="single" w:color="auto" w:sz="4" w:space="0"/>
            </w:tcBorders>
            <w:vAlign w:val="center"/>
          </w:tcPr>
          <w:p>
            <w:pPr>
              <w:autoSpaceDE w:val="0"/>
              <w:autoSpaceDN w:val="0"/>
              <w:adjustRightInd w:val="0"/>
              <w:spacing w:line="360" w:lineRule="exact"/>
              <w:rPr>
                <w:rFonts w:ascii="宋体" w:hAnsi="宋体"/>
                <w:b/>
                <w:color w:val="000000"/>
                <w:kern w:val="0"/>
                <w:sz w:val="21"/>
                <w:lang w:val="zh-CN"/>
              </w:rPr>
            </w:pPr>
            <w:r>
              <w:rPr>
                <w:rFonts w:hint="eastAsia" w:ascii="宋体" w:hAnsi="宋体"/>
                <w:sz w:val="21"/>
              </w:rPr>
              <w:t>详见公开招标公告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tcBorders>
              <w:bottom w:val="single" w:color="auto" w:sz="4" w:space="0"/>
            </w:tcBorders>
            <w:vAlign w:val="center"/>
          </w:tcPr>
          <w:p>
            <w:pPr>
              <w:spacing w:line="320" w:lineRule="exact"/>
              <w:jc w:val="center"/>
              <w:rPr>
                <w:rFonts w:ascii="宋体" w:hAnsi="宋体"/>
                <w:color w:val="000000"/>
                <w:sz w:val="24"/>
              </w:rPr>
            </w:pPr>
            <w:r>
              <w:rPr>
                <w:rFonts w:hint="eastAsia" w:ascii="宋体" w:hAnsi="宋体"/>
                <w:color w:val="000000"/>
                <w:sz w:val="24"/>
              </w:rPr>
              <w:t>12</w:t>
            </w:r>
          </w:p>
        </w:tc>
        <w:tc>
          <w:tcPr>
            <w:tcW w:w="1690" w:type="dxa"/>
            <w:tcBorders>
              <w:bottom w:val="single" w:color="auto" w:sz="4" w:space="0"/>
            </w:tcBorders>
            <w:vAlign w:val="center"/>
          </w:tcPr>
          <w:p>
            <w:pPr>
              <w:autoSpaceDE w:val="0"/>
              <w:autoSpaceDN w:val="0"/>
              <w:adjustRightInd w:val="0"/>
              <w:spacing w:line="360" w:lineRule="exact"/>
              <w:jc w:val="center"/>
              <w:rPr>
                <w:rFonts w:ascii="宋体" w:hAnsi="宋体"/>
                <w:color w:val="000000"/>
                <w:sz w:val="21"/>
                <w:lang w:val="zh-CN"/>
              </w:rPr>
            </w:pPr>
            <w:r>
              <w:rPr>
                <w:rFonts w:hint="eastAsia" w:ascii="宋体" w:hAnsi="宋体"/>
                <w:color w:val="000000"/>
                <w:sz w:val="21"/>
                <w:lang w:val="zh-CN"/>
              </w:rPr>
              <w:t>实质性条款</w:t>
            </w:r>
          </w:p>
        </w:tc>
        <w:tc>
          <w:tcPr>
            <w:tcW w:w="8100" w:type="dxa"/>
            <w:tcBorders>
              <w:bottom w:val="single" w:color="auto" w:sz="4" w:space="0"/>
            </w:tcBorders>
            <w:vAlign w:val="center"/>
          </w:tcPr>
          <w:p>
            <w:pPr>
              <w:autoSpaceDE w:val="0"/>
              <w:autoSpaceDN w:val="0"/>
              <w:adjustRightInd w:val="0"/>
              <w:spacing w:line="360" w:lineRule="exact"/>
              <w:ind w:left="1050" w:hanging="1050"/>
              <w:rPr>
                <w:rFonts w:ascii="宋体" w:hAnsi="宋体"/>
                <w:color w:val="000000"/>
                <w:kern w:val="0"/>
                <w:sz w:val="21"/>
                <w:lang w:val="zh-CN"/>
              </w:rPr>
            </w:pPr>
            <w:r>
              <w:rPr>
                <w:rFonts w:hint="eastAsia" w:ascii="宋体" w:hAnsi="宋体"/>
                <w:color w:val="000000"/>
                <w:kern w:val="0"/>
                <w:sz w:val="21"/>
                <w:lang w:val="zh-CN"/>
              </w:rPr>
              <w:t>带</w:t>
            </w:r>
            <w:r>
              <w:rPr>
                <w:rFonts w:hint="eastAsia" w:ascii="宋体" w:hAnsi="宋体"/>
                <w:color w:val="000000"/>
                <w:sz w:val="21"/>
              </w:rPr>
              <w:t>▲是实质性条款，投标文件须作出实质性响应，否则作无效标处理。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709" w:type="dxa"/>
            <w:tcBorders>
              <w:top w:val="single" w:color="auto" w:sz="4" w:space="0"/>
              <w:bottom w:val="single" w:color="auto" w:sz="4" w:space="0"/>
            </w:tcBorders>
            <w:vAlign w:val="center"/>
          </w:tcPr>
          <w:p>
            <w:pPr>
              <w:spacing w:line="320" w:lineRule="exact"/>
              <w:jc w:val="center"/>
              <w:rPr>
                <w:rFonts w:ascii="宋体" w:hAnsi="宋体"/>
                <w:color w:val="000000"/>
                <w:sz w:val="24"/>
              </w:rPr>
            </w:pPr>
            <w:r>
              <w:rPr>
                <w:rFonts w:hint="eastAsia" w:ascii="宋体" w:hAnsi="宋体"/>
                <w:color w:val="000000"/>
                <w:sz w:val="24"/>
              </w:rPr>
              <w:t>13</w:t>
            </w:r>
          </w:p>
        </w:tc>
        <w:tc>
          <w:tcPr>
            <w:tcW w:w="1690" w:type="dxa"/>
            <w:tcBorders>
              <w:top w:val="single" w:color="auto" w:sz="4" w:space="0"/>
              <w:bottom w:val="single" w:color="auto" w:sz="4" w:space="0"/>
            </w:tcBorders>
            <w:vAlign w:val="center"/>
          </w:tcPr>
          <w:p>
            <w:pPr>
              <w:autoSpaceDE w:val="0"/>
              <w:autoSpaceDN w:val="0"/>
              <w:adjustRightInd w:val="0"/>
              <w:spacing w:line="360" w:lineRule="exact"/>
              <w:ind w:left="-173" w:leftChars="-48" w:right="-212" w:rightChars="-59"/>
              <w:jc w:val="center"/>
              <w:rPr>
                <w:rFonts w:ascii="宋体" w:hAnsi="宋体"/>
                <w:color w:val="000000"/>
                <w:sz w:val="21"/>
                <w:lang w:val="zh-CN"/>
              </w:rPr>
            </w:pPr>
            <w:r>
              <w:rPr>
                <w:rFonts w:hint="eastAsia" w:ascii="宋体" w:hAnsi="宋体"/>
                <w:color w:val="000000"/>
                <w:sz w:val="21"/>
              </w:rPr>
              <w:t>▲项目最高限价</w:t>
            </w:r>
          </w:p>
        </w:tc>
        <w:tc>
          <w:tcPr>
            <w:tcW w:w="8100" w:type="dxa"/>
            <w:tcBorders>
              <w:top w:val="single" w:color="auto" w:sz="4" w:space="0"/>
              <w:bottom w:val="single" w:color="auto" w:sz="4" w:space="0"/>
            </w:tcBorders>
            <w:vAlign w:val="center"/>
          </w:tcPr>
          <w:p>
            <w:pPr>
              <w:autoSpaceDE w:val="0"/>
              <w:autoSpaceDN w:val="0"/>
              <w:adjustRightInd w:val="0"/>
              <w:spacing w:line="360" w:lineRule="exact"/>
              <w:rPr>
                <w:rFonts w:ascii="宋体" w:hAnsi="宋体"/>
                <w:color w:val="000000"/>
                <w:sz w:val="21"/>
                <w:lang w:val="zh-CN"/>
              </w:rPr>
            </w:pPr>
            <w:r>
              <w:rPr>
                <w:rFonts w:hint="eastAsia" w:ascii="宋体" w:hAnsi="宋体"/>
                <w:bCs/>
                <w:color w:val="000000"/>
                <w:sz w:val="21"/>
                <w:szCs w:val="21"/>
              </w:rPr>
              <w:t>标段一</w:t>
            </w:r>
            <w:r>
              <w:rPr>
                <w:rFonts w:hint="eastAsia" w:ascii="宋体" w:hAnsi="宋体"/>
                <w:color w:val="000000"/>
                <w:sz w:val="21"/>
                <w:lang w:val="zh-CN"/>
              </w:rPr>
              <w:t>最高限价为：</w:t>
            </w:r>
            <w:r>
              <w:rPr>
                <w:rFonts w:hint="eastAsia" w:ascii="宋体" w:hAnsi="宋体"/>
                <w:bCs/>
                <w:color w:val="000000"/>
                <w:sz w:val="21"/>
                <w:szCs w:val="21"/>
                <w:u w:val="single"/>
              </w:rPr>
              <w:t>3439000元</w:t>
            </w:r>
            <w:r>
              <w:rPr>
                <w:rFonts w:hint="eastAsia" w:ascii="宋体" w:hAnsi="宋体"/>
                <w:bCs/>
                <w:color w:val="000000"/>
                <w:sz w:val="21"/>
                <w:szCs w:val="21"/>
              </w:rPr>
              <w:t>、标段二</w:t>
            </w:r>
            <w:r>
              <w:rPr>
                <w:rFonts w:hint="eastAsia" w:ascii="宋体" w:hAnsi="宋体"/>
                <w:color w:val="000000"/>
                <w:sz w:val="21"/>
                <w:lang w:val="zh-CN"/>
              </w:rPr>
              <w:t>最高限价为：</w:t>
            </w:r>
            <w:r>
              <w:rPr>
                <w:rFonts w:hint="eastAsia" w:ascii="宋体" w:hAnsi="宋体"/>
                <w:bCs/>
                <w:color w:val="000000"/>
                <w:sz w:val="21"/>
                <w:szCs w:val="21"/>
                <w:u w:val="single"/>
              </w:rPr>
              <w:t>2261000元</w:t>
            </w:r>
            <w:r>
              <w:rPr>
                <w:rFonts w:hint="eastAsia" w:ascii="宋体" w:hAnsi="宋体"/>
                <w:color w:val="000000"/>
                <w:sz w:val="21"/>
                <w:lang w:val="zh-CN"/>
              </w:rPr>
              <w:t>，如投标供应商的报价超过最高限价，其投标文件作无效标处理。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709" w:type="dxa"/>
            <w:tcBorders>
              <w:top w:val="single" w:color="auto" w:sz="4" w:space="0"/>
              <w:bottom w:val="single" w:color="auto" w:sz="4" w:space="0"/>
            </w:tcBorders>
            <w:vAlign w:val="center"/>
          </w:tcPr>
          <w:p>
            <w:pPr>
              <w:spacing w:line="320" w:lineRule="exact"/>
              <w:jc w:val="center"/>
              <w:rPr>
                <w:rFonts w:ascii="宋体" w:hAnsi="宋体"/>
                <w:sz w:val="24"/>
              </w:rPr>
            </w:pPr>
            <w:r>
              <w:rPr>
                <w:rFonts w:hint="eastAsia" w:ascii="宋体" w:hAnsi="宋体"/>
                <w:sz w:val="24"/>
              </w:rPr>
              <w:t>14</w:t>
            </w:r>
          </w:p>
        </w:tc>
        <w:tc>
          <w:tcPr>
            <w:tcW w:w="1690" w:type="dxa"/>
            <w:tcBorders>
              <w:top w:val="single" w:color="auto" w:sz="4" w:space="0"/>
              <w:bottom w:val="single" w:color="auto" w:sz="4" w:space="0"/>
            </w:tcBorders>
            <w:vAlign w:val="center"/>
          </w:tcPr>
          <w:p>
            <w:pPr>
              <w:autoSpaceDE w:val="0"/>
              <w:autoSpaceDN w:val="0"/>
              <w:adjustRightInd w:val="0"/>
              <w:spacing w:line="360" w:lineRule="exact"/>
              <w:jc w:val="center"/>
              <w:rPr>
                <w:rFonts w:ascii="宋体" w:hAnsi="宋体"/>
                <w:sz w:val="21"/>
              </w:rPr>
            </w:pPr>
            <w:r>
              <w:rPr>
                <w:rFonts w:hint="eastAsia" w:ascii="宋体" w:hAnsi="宋体"/>
                <w:sz w:val="21"/>
              </w:rPr>
              <w:t>解释权</w:t>
            </w:r>
          </w:p>
        </w:tc>
        <w:tc>
          <w:tcPr>
            <w:tcW w:w="8100" w:type="dxa"/>
            <w:tcBorders>
              <w:top w:val="single" w:color="auto" w:sz="4" w:space="0"/>
              <w:bottom w:val="single" w:color="auto" w:sz="4" w:space="0"/>
            </w:tcBorders>
            <w:vAlign w:val="center"/>
          </w:tcPr>
          <w:p>
            <w:pPr>
              <w:autoSpaceDE w:val="0"/>
              <w:autoSpaceDN w:val="0"/>
              <w:adjustRightInd w:val="0"/>
              <w:spacing w:line="360" w:lineRule="exact"/>
              <w:rPr>
                <w:rFonts w:ascii="宋体" w:hAnsi="宋体"/>
                <w:sz w:val="21"/>
              </w:rPr>
            </w:pPr>
            <w:r>
              <w:rPr>
                <w:rFonts w:hint="eastAsia" w:ascii="宋体" w:hAnsi="宋体"/>
                <w:sz w:val="21"/>
              </w:rPr>
              <w:t>本招标文件解释权属于招标采购单位（采购人和采购代理机构）</w:t>
            </w:r>
          </w:p>
        </w:tc>
      </w:tr>
    </w:tbl>
    <w:p>
      <w:pPr>
        <w:autoSpaceDE w:val="0"/>
        <w:autoSpaceDN w:val="0"/>
        <w:adjustRightInd w:val="0"/>
        <w:spacing w:line="360" w:lineRule="auto"/>
        <w:jc w:val="center"/>
        <w:outlineLvl w:val="1"/>
        <w:rPr>
          <w:rFonts w:ascii="宋体"/>
          <w:color w:val="000000"/>
          <w:sz w:val="24"/>
        </w:rPr>
      </w:pPr>
      <w:r>
        <w:rPr>
          <w:rFonts w:ascii="宋体"/>
          <w:color w:val="000000"/>
          <w:sz w:val="24"/>
        </w:rPr>
        <w:br w:type="page"/>
      </w:r>
    </w:p>
    <w:p>
      <w:pPr>
        <w:autoSpaceDE w:val="0"/>
        <w:autoSpaceDN w:val="0"/>
        <w:adjustRightInd w:val="0"/>
        <w:snapToGrid w:val="0"/>
        <w:spacing w:line="334" w:lineRule="auto"/>
        <w:ind w:firstLine="211" w:firstLineChars="100"/>
        <w:jc w:val="center"/>
        <w:rPr>
          <w:rFonts w:ascii="宋体" w:hAnsi="宋体"/>
          <w:bCs/>
          <w:color w:val="000000"/>
          <w:sz w:val="21"/>
          <w:szCs w:val="21"/>
        </w:rPr>
      </w:pPr>
      <w:r>
        <w:rPr>
          <w:rFonts w:hint="eastAsia" w:ascii="宋体" w:hAnsi="宋体"/>
          <w:b/>
          <w:color w:val="000000"/>
          <w:sz w:val="21"/>
          <w:szCs w:val="21"/>
        </w:rPr>
        <w:t>政采贷相关说明</w:t>
      </w:r>
    </w:p>
    <w:p>
      <w:pPr>
        <w:autoSpaceDE w:val="0"/>
        <w:autoSpaceDN w:val="0"/>
        <w:adjustRightInd w:val="0"/>
        <w:snapToGrid w:val="0"/>
        <w:spacing w:line="334" w:lineRule="auto"/>
        <w:ind w:firstLine="480"/>
        <w:rPr>
          <w:rFonts w:ascii="宋体" w:hAnsi="宋体"/>
          <w:bCs/>
          <w:color w:val="000000"/>
          <w:sz w:val="21"/>
          <w:szCs w:val="21"/>
        </w:rPr>
      </w:pPr>
      <w:r>
        <w:rPr>
          <w:rFonts w:hint="eastAsia" w:ascii="宋体" w:hAnsi="宋体"/>
          <w:bCs/>
          <w:color w:val="000000"/>
          <w:sz w:val="21"/>
          <w:szCs w:val="21"/>
        </w:rPr>
        <w:t>为优化政府采购营商环境，缓解投标人资金难题，政采云平台已推广“政采贷”服务，中标候选人如有融资需求，可使用以下银行的政采贷服务：</w:t>
      </w:r>
    </w:p>
    <w:tbl>
      <w:tblPr>
        <w:tblStyle w:val="48"/>
        <w:tblW w:w="0" w:type="auto"/>
        <w:tblCellSpacing w:w="15" w:type="dxa"/>
        <w:tblInd w:w="0" w:type="dxa"/>
        <w:tblLayout w:type="fixed"/>
        <w:tblCellMar>
          <w:top w:w="15" w:type="dxa"/>
          <w:left w:w="15" w:type="dxa"/>
          <w:bottom w:w="15" w:type="dxa"/>
          <w:right w:w="15" w:type="dxa"/>
        </w:tblCellMar>
      </w:tblPr>
      <w:tblGrid>
        <w:gridCol w:w="4107"/>
        <w:gridCol w:w="2180"/>
        <w:gridCol w:w="2824"/>
      </w:tblGrid>
      <w:tr>
        <w:tblPrEx>
          <w:tblCellMar>
            <w:top w:w="15" w:type="dxa"/>
            <w:left w:w="15" w:type="dxa"/>
            <w:bottom w:w="15" w:type="dxa"/>
            <w:right w:w="15" w:type="dxa"/>
          </w:tblCellMar>
        </w:tblPrEx>
        <w:trPr>
          <w:tblCellSpacing w:w="15" w:type="dxa"/>
        </w:trPr>
        <w:tc>
          <w:tcPr>
            <w:tcW w:w="406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银行名称</w:t>
            </w:r>
          </w:p>
        </w:tc>
        <w:tc>
          <w:tcPr>
            <w:tcW w:w="2150"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联系人</w:t>
            </w:r>
          </w:p>
        </w:tc>
        <w:tc>
          <w:tcPr>
            <w:tcW w:w="2779" w:type="dxa"/>
            <w:tcBorders>
              <w:top w:val="single" w:color="000000" w:sz="4" w:space="0"/>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联系方式</w:t>
            </w:r>
          </w:p>
        </w:tc>
      </w:tr>
      <w:tr>
        <w:tblPrEx>
          <w:tblCellMar>
            <w:top w:w="15" w:type="dxa"/>
            <w:left w:w="15" w:type="dxa"/>
            <w:bottom w:w="15" w:type="dxa"/>
            <w:right w:w="15" w:type="dxa"/>
          </w:tblCellMar>
        </w:tblPrEx>
        <w:trPr>
          <w:tblCellSpacing w:w="15" w:type="dxa"/>
        </w:trPr>
        <w:tc>
          <w:tcPr>
            <w:tcW w:w="4062" w:type="dxa"/>
            <w:tcBorders>
              <w:top w:val="nil"/>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中国工商银行</w:t>
            </w:r>
          </w:p>
        </w:tc>
        <w:tc>
          <w:tcPr>
            <w:tcW w:w="2150"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陈盈</w:t>
            </w:r>
          </w:p>
        </w:tc>
        <w:tc>
          <w:tcPr>
            <w:tcW w:w="2779"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13967614344</w:t>
            </w:r>
          </w:p>
        </w:tc>
      </w:tr>
      <w:tr>
        <w:tblPrEx>
          <w:tblCellMar>
            <w:top w:w="15" w:type="dxa"/>
            <w:left w:w="15" w:type="dxa"/>
            <w:bottom w:w="15" w:type="dxa"/>
            <w:right w:w="15" w:type="dxa"/>
          </w:tblCellMar>
        </w:tblPrEx>
        <w:trPr>
          <w:tblCellSpacing w:w="15" w:type="dxa"/>
        </w:trPr>
        <w:tc>
          <w:tcPr>
            <w:tcW w:w="4062" w:type="dxa"/>
            <w:tcBorders>
              <w:top w:val="nil"/>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浙江泰隆商业银行</w:t>
            </w:r>
          </w:p>
        </w:tc>
        <w:tc>
          <w:tcPr>
            <w:tcW w:w="2150"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陈超</w:t>
            </w:r>
          </w:p>
        </w:tc>
        <w:tc>
          <w:tcPr>
            <w:tcW w:w="2779"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17858683697</w:t>
            </w:r>
          </w:p>
        </w:tc>
      </w:tr>
      <w:tr>
        <w:tblPrEx>
          <w:tblCellMar>
            <w:top w:w="15" w:type="dxa"/>
            <w:left w:w="15" w:type="dxa"/>
            <w:bottom w:w="15" w:type="dxa"/>
            <w:right w:w="15" w:type="dxa"/>
          </w:tblCellMar>
        </w:tblPrEx>
        <w:trPr>
          <w:tblCellSpacing w:w="15" w:type="dxa"/>
        </w:trPr>
        <w:tc>
          <w:tcPr>
            <w:tcW w:w="4062" w:type="dxa"/>
            <w:tcBorders>
              <w:top w:val="nil"/>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浙江民泰商业银行</w:t>
            </w:r>
          </w:p>
        </w:tc>
        <w:tc>
          <w:tcPr>
            <w:tcW w:w="2150"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朱祖优</w:t>
            </w:r>
          </w:p>
        </w:tc>
        <w:tc>
          <w:tcPr>
            <w:tcW w:w="2779"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13858602876</w:t>
            </w:r>
          </w:p>
        </w:tc>
      </w:tr>
      <w:tr>
        <w:tblPrEx>
          <w:tblCellMar>
            <w:top w:w="15" w:type="dxa"/>
            <w:left w:w="15" w:type="dxa"/>
            <w:bottom w:w="15" w:type="dxa"/>
            <w:right w:w="15" w:type="dxa"/>
          </w:tblCellMar>
        </w:tblPrEx>
        <w:trPr>
          <w:tblCellSpacing w:w="15" w:type="dxa"/>
        </w:trPr>
        <w:tc>
          <w:tcPr>
            <w:tcW w:w="4062" w:type="dxa"/>
            <w:tcBorders>
              <w:top w:val="nil"/>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中国建设银行</w:t>
            </w:r>
          </w:p>
        </w:tc>
        <w:tc>
          <w:tcPr>
            <w:tcW w:w="2150"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徐旭霞</w:t>
            </w:r>
          </w:p>
        </w:tc>
        <w:tc>
          <w:tcPr>
            <w:tcW w:w="2779"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15988932355</w:t>
            </w:r>
          </w:p>
        </w:tc>
      </w:tr>
      <w:tr>
        <w:tblPrEx>
          <w:tblCellMar>
            <w:top w:w="15" w:type="dxa"/>
            <w:left w:w="15" w:type="dxa"/>
            <w:bottom w:w="15" w:type="dxa"/>
            <w:right w:w="15" w:type="dxa"/>
          </w:tblCellMar>
        </w:tblPrEx>
        <w:trPr>
          <w:tblCellSpacing w:w="15" w:type="dxa"/>
        </w:trPr>
        <w:tc>
          <w:tcPr>
            <w:tcW w:w="4062" w:type="dxa"/>
            <w:tcBorders>
              <w:top w:val="nil"/>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中国邮政储蓄银行</w:t>
            </w:r>
          </w:p>
        </w:tc>
        <w:tc>
          <w:tcPr>
            <w:tcW w:w="2150"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赵红芳</w:t>
            </w:r>
          </w:p>
        </w:tc>
        <w:tc>
          <w:tcPr>
            <w:tcW w:w="2779" w:type="dxa"/>
            <w:tcBorders>
              <w:top w:val="nil"/>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18968556112</w:t>
            </w:r>
          </w:p>
        </w:tc>
      </w:tr>
      <w:tr>
        <w:tblPrEx>
          <w:tblCellMar>
            <w:top w:w="15" w:type="dxa"/>
            <w:left w:w="15" w:type="dxa"/>
            <w:bottom w:w="15" w:type="dxa"/>
            <w:right w:w="15" w:type="dxa"/>
          </w:tblCellMar>
        </w:tblPrEx>
        <w:trPr>
          <w:tblCellSpacing w:w="15" w:type="dxa"/>
        </w:trPr>
        <w:tc>
          <w:tcPr>
            <w:tcW w:w="4062" w:type="dxa"/>
            <w:tcBorders>
              <w:top w:val="nil"/>
              <w:left w:val="single" w:color="000000" w:sz="4" w:space="0"/>
              <w:bottom w:val="nil"/>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农村商业银行</w:t>
            </w:r>
          </w:p>
        </w:tc>
        <w:tc>
          <w:tcPr>
            <w:tcW w:w="2150" w:type="dxa"/>
            <w:tcBorders>
              <w:top w:val="nil"/>
              <w:left w:val="nil"/>
              <w:bottom w:val="nil"/>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叶斌昇</w:t>
            </w:r>
          </w:p>
        </w:tc>
        <w:tc>
          <w:tcPr>
            <w:tcW w:w="2779" w:type="dxa"/>
            <w:tcBorders>
              <w:top w:val="nil"/>
              <w:left w:val="nil"/>
              <w:bottom w:val="nil"/>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13806593583</w:t>
            </w:r>
          </w:p>
        </w:tc>
      </w:tr>
      <w:tr>
        <w:tblPrEx>
          <w:tblCellMar>
            <w:top w:w="15" w:type="dxa"/>
            <w:left w:w="15" w:type="dxa"/>
            <w:bottom w:w="15" w:type="dxa"/>
            <w:right w:w="15" w:type="dxa"/>
          </w:tblCellMar>
        </w:tblPrEx>
        <w:trPr>
          <w:tblCellSpacing w:w="15" w:type="dxa"/>
        </w:trPr>
        <w:tc>
          <w:tcPr>
            <w:tcW w:w="4062" w:type="dxa"/>
            <w:tcBorders>
              <w:top w:val="single" w:color="auto" w:sz="4" w:space="0"/>
              <w:left w:val="single" w:color="000000" w:sz="4" w:space="0"/>
              <w:bottom w:val="nil"/>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台州银行</w:t>
            </w:r>
          </w:p>
        </w:tc>
        <w:tc>
          <w:tcPr>
            <w:tcW w:w="2150" w:type="dxa"/>
            <w:tcBorders>
              <w:top w:val="single" w:color="auto" w:sz="4" w:space="0"/>
              <w:left w:val="nil"/>
              <w:bottom w:val="nil"/>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朱翔</w:t>
            </w:r>
          </w:p>
        </w:tc>
        <w:tc>
          <w:tcPr>
            <w:tcW w:w="2779" w:type="dxa"/>
            <w:tcBorders>
              <w:top w:val="single" w:color="auto" w:sz="4" w:space="0"/>
              <w:left w:val="nil"/>
              <w:bottom w:val="nil"/>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13819660917</w:t>
            </w:r>
          </w:p>
        </w:tc>
      </w:tr>
      <w:tr>
        <w:tblPrEx>
          <w:tblCellMar>
            <w:top w:w="15" w:type="dxa"/>
            <w:left w:w="15" w:type="dxa"/>
            <w:bottom w:w="15" w:type="dxa"/>
            <w:right w:w="15" w:type="dxa"/>
          </w:tblCellMar>
        </w:tblPrEx>
        <w:trPr>
          <w:tblCellSpacing w:w="15" w:type="dxa"/>
        </w:trPr>
        <w:tc>
          <w:tcPr>
            <w:tcW w:w="4062" w:type="dxa"/>
            <w:tcBorders>
              <w:top w:val="single" w:color="auto"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中国农业银行</w:t>
            </w:r>
          </w:p>
        </w:tc>
        <w:tc>
          <w:tcPr>
            <w:tcW w:w="2150" w:type="dxa"/>
            <w:tcBorders>
              <w:top w:val="single" w:color="auto" w:sz="4" w:space="0"/>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娄志伟</w:t>
            </w:r>
          </w:p>
        </w:tc>
        <w:tc>
          <w:tcPr>
            <w:tcW w:w="2779" w:type="dxa"/>
            <w:tcBorders>
              <w:top w:val="single" w:color="auto" w:sz="4" w:space="0"/>
              <w:left w:val="nil"/>
              <w:bottom w:val="single" w:color="000000" w:sz="4" w:space="0"/>
              <w:right w:val="single" w:color="000000" w:sz="4" w:space="0"/>
            </w:tcBorders>
            <w:tcMar>
              <w:top w:w="12" w:type="dxa"/>
              <w:left w:w="12" w:type="dxa"/>
              <w:bottom w:w="0" w:type="dxa"/>
              <w:right w:w="12" w:type="dxa"/>
            </w:tcMar>
            <w:vAlign w:val="center"/>
          </w:tcPr>
          <w:p>
            <w:pPr>
              <w:widowControl/>
              <w:snapToGrid w:val="0"/>
              <w:spacing w:before="100" w:beforeAutospacing="1" w:after="100" w:afterAutospacing="1" w:line="360" w:lineRule="auto"/>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13958514828</w:t>
            </w:r>
          </w:p>
        </w:tc>
      </w:tr>
    </w:tbl>
    <w:p>
      <w:pPr>
        <w:pStyle w:val="46"/>
        <w:ind w:firstLine="210"/>
      </w:pPr>
    </w:p>
    <w:p>
      <w:pPr>
        <w:jc w:val="center"/>
        <w:rPr>
          <w:b/>
          <w:sz w:val="40"/>
          <w:szCs w:val="21"/>
        </w:rPr>
      </w:pPr>
      <w:r>
        <w:rPr>
          <w:rFonts w:hint="eastAsia" w:ascii="宋体" w:hAnsi="宋体"/>
          <w:b/>
          <w:color w:val="000000"/>
          <w:sz w:val="22"/>
          <w:szCs w:val="22"/>
        </w:rPr>
        <w:t>保函（保单）收费情况</w:t>
      </w:r>
    </w:p>
    <w:tbl>
      <w:tblPr>
        <w:tblStyle w:val="48"/>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7"/>
        <w:gridCol w:w="4819"/>
        <w:gridCol w:w="226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27" w:type="dxa"/>
            <w:tcBorders>
              <w:top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金融机构名称及意愿承担保函（保单）种类</w:t>
            </w:r>
          </w:p>
        </w:tc>
        <w:tc>
          <w:tcPr>
            <w:tcW w:w="4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保函（保单）收费情况</w:t>
            </w:r>
          </w:p>
        </w:tc>
        <w:tc>
          <w:tcPr>
            <w:tcW w:w="2268" w:type="dxa"/>
            <w:tcBorders>
              <w:top w:val="single" w:color="auto" w:sz="4" w:space="0"/>
              <w:left w:val="single" w:color="auto" w:sz="4" w:space="0"/>
              <w:bottom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联系人及联系方式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27" w:type="dxa"/>
            <w:tcBorders>
              <w:top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机构名称：中国工商银行股份有限公司仙居支行</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履约保函： 是</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预付款保函： 是</w:t>
            </w:r>
          </w:p>
          <w:p>
            <w:pPr>
              <w:autoSpaceDE w:val="0"/>
              <w:autoSpaceDN w:val="0"/>
              <w:adjustRightInd w:val="0"/>
              <w:snapToGrid w:val="0"/>
              <w:jc w:val="left"/>
              <w:rPr>
                <w:rFonts w:ascii="宋体" w:hAnsi="宋体"/>
                <w:bCs/>
                <w:color w:val="000000"/>
                <w:sz w:val="21"/>
                <w:szCs w:val="21"/>
              </w:rPr>
            </w:pPr>
          </w:p>
        </w:tc>
        <w:tc>
          <w:tcPr>
            <w:tcW w:w="4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对外保函服务</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1.开立及展期费担保费率：</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（1)融资性保函：期限在一年（含）以内，客户按担保额度0.05-0.25%/月计收。最小计费周期为实际月（按实际发生天数，从保函生效之日至失效日计算，30天为1月），期限不足1月的按1个月计收。最低500元／季。</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（2)非融资性保函：期限在一年（含）以内，客户按0.027-0.167%/月计收。最小计费周期为实际月（按实际发生天数，从保函生效之日至失效日计算，30天为1月），期限不足1月的按1个月计收。最低500元／季。</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3)担保期限超过一年的，每增加一年整体费率提高10%（单利）。若担保文本未明确确定的到期日或含有自动延展性质条款的，我行可按根据基础合同和担保文本的有关约定推算出的担保最长有效期调整对应的费率。如企业划型为小微企业的，以上手续费全免。</w:t>
            </w:r>
          </w:p>
        </w:tc>
        <w:tc>
          <w:tcPr>
            <w:tcW w:w="2268" w:type="dxa"/>
            <w:tcBorders>
              <w:top w:val="single" w:color="auto" w:sz="4" w:space="0"/>
              <w:left w:val="single" w:color="auto" w:sz="4" w:space="0"/>
              <w:bottom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陈盈13967614344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27" w:type="dxa"/>
            <w:tcBorders>
              <w:top w:val="single" w:color="auto" w:sz="4" w:space="0"/>
              <w:bottom w:val="single" w:color="auto" w:sz="4" w:space="0"/>
              <w:right w:val="single" w:color="auto" w:sz="4" w:space="0"/>
            </w:tcBorders>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机构名称：浙江泰隆商业银行台州仙居支行</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履约保函：是</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预付款保函：是</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备注：我行目前只有线下模式</w:t>
            </w:r>
          </w:p>
        </w:tc>
        <w:tc>
          <w:tcPr>
            <w:tcW w:w="481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根据保证金比例不同，参照下述费率计收：</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全额保证金，500一年；</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保证金比例50%以下，保函敞口金额的1.25‰/季，最低500元/季；</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保证金比例50%（含）以上，保函敞口金额的1‰/季，最低500元/季。</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涉及保函增额，增额部分参照开立保函收费标准另行收费，延期修改按照300/次的标准另行收费；</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按年收费项目不足一年按一年计收，超过一年三十天按照两年计收（从保函开立之日起390天（含）为一个年度三十天）</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按季收费项目不足一季按一季度计收，超过一季度十天的按两季度计收（从保函开立之日起100天（含）为一个季度十天）</w:t>
            </w:r>
          </w:p>
        </w:tc>
        <w:tc>
          <w:tcPr>
            <w:tcW w:w="2268" w:type="dxa"/>
            <w:tcBorders>
              <w:top w:val="single" w:color="auto" w:sz="4" w:space="0"/>
              <w:left w:val="single" w:color="auto" w:sz="4" w:space="0"/>
              <w:bottom w:val="single" w:color="auto" w:sz="4" w:space="0"/>
            </w:tcBorders>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银行联系人：陈超17858683697</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具体保函业务办理客户经理：王英17858683702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2127" w:type="dxa"/>
            <w:tcBorders>
              <w:top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机构名称：仙居农商银行</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履约保函：是；预付款保函：是</w:t>
            </w:r>
          </w:p>
        </w:tc>
        <w:tc>
          <w:tcPr>
            <w:tcW w:w="4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合同（质量）履约按履约保证金年费率万分之五，在出具保函前一次性收取。</w:t>
            </w:r>
          </w:p>
        </w:tc>
        <w:tc>
          <w:tcPr>
            <w:tcW w:w="2268" w:type="dxa"/>
            <w:tcBorders>
              <w:top w:val="single" w:color="auto" w:sz="4" w:space="0"/>
              <w:left w:val="single" w:color="auto" w:sz="4" w:space="0"/>
              <w:bottom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李杭13586233529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7" w:hRule="atLeast"/>
        </w:trPr>
        <w:tc>
          <w:tcPr>
            <w:tcW w:w="2127" w:type="dxa"/>
            <w:tcBorders>
              <w:top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机构名称：仙居中国银行</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履约保函：是；预付款保函：是</w:t>
            </w:r>
          </w:p>
        </w:tc>
        <w:tc>
          <w:tcPr>
            <w:tcW w:w="4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合同（质量）履约按履约保证金年费率1%（1.5%），每单保函最低保险费为500元。</w:t>
            </w:r>
          </w:p>
        </w:tc>
        <w:tc>
          <w:tcPr>
            <w:tcW w:w="2268" w:type="dxa"/>
            <w:tcBorders>
              <w:top w:val="single" w:color="auto" w:sz="4" w:space="0"/>
              <w:left w:val="single" w:color="auto" w:sz="4" w:space="0"/>
              <w:bottom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张弥0576-87796908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8" w:hRule="atLeast"/>
        </w:trPr>
        <w:tc>
          <w:tcPr>
            <w:tcW w:w="2127" w:type="dxa"/>
            <w:tcBorders>
              <w:top w:val="single" w:color="auto" w:sz="4" w:space="0"/>
              <w:bottom w:val="single" w:color="auto" w:sz="4" w:space="0"/>
              <w:right w:val="single" w:color="auto" w:sz="4" w:space="0"/>
            </w:tcBorders>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机构名称：中国人民财产保险股份有限公司仙居支公司</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履约保险：是</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预付款保函：是</w:t>
            </w:r>
          </w:p>
        </w:tc>
        <w:tc>
          <w:tcPr>
            <w:tcW w:w="481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建设工程合同款支付保证保险，年费率1.2%，每单最低保险费为1000元。</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建设工程预付款保证保险，年费率0.6%，每单最低保险费为1000元。</w:t>
            </w:r>
          </w:p>
        </w:tc>
        <w:tc>
          <w:tcPr>
            <w:tcW w:w="2268" w:type="dxa"/>
            <w:tcBorders>
              <w:top w:val="single" w:color="auto" w:sz="4" w:space="0"/>
              <w:left w:val="single" w:color="auto" w:sz="4" w:space="0"/>
              <w:bottom w:val="single" w:color="auto" w:sz="4" w:space="0"/>
            </w:tcBorders>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王巧红13968483573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2127" w:type="dxa"/>
            <w:tcBorders>
              <w:top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机构名称：中国大地财产保险股份有限公司仙居支公司</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履约保函：是</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预付款保函：否</w:t>
            </w:r>
          </w:p>
        </w:tc>
        <w:tc>
          <w:tcPr>
            <w:tcW w:w="4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合同（质量）履约按履约保证金年费率最低0.5%，每单保函最低保险费为1000元。</w:t>
            </w:r>
          </w:p>
        </w:tc>
        <w:tc>
          <w:tcPr>
            <w:tcW w:w="2268" w:type="dxa"/>
            <w:tcBorders>
              <w:top w:val="single" w:color="auto" w:sz="4" w:space="0"/>
              <w:left w:val="single" w:color="auto" w:sz="4" w:space="0"/>
              <w:bottom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吴琼17858699170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27" w:type="dxa"/>
            <w:tcBorders>
              <w:top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机构名称：天安财产保险股份有限公司台州中心支公司仙居县营销服务部</w:t>
            </w:r>
            <w:r>
              <w:rPr>
                <w:rFonts w:hint="eastAsia" w:ascii="宋体" w:hAnsi="宋体"/>
                <w:bCs/>
                <w:color w:val="000000"/>
                <w:sz w:val="21"/>
                <w:szCs w:val="21"/>
              </w:rPr>
              <w:br w:type="textWrapping"/>
            </w:r>
            <w:r>
              <w:rPr>
                <w:rFonts w:hint="eastAsia" w:ascii="宋体" w:hAnsi="宋体"/>
                <w:bCs/>
                <w:color w:val="000000"/>
                <w:sz w:val="21"/>
                <w:szCs w:val="21"/>
              </w:rPr>
              <w:t>履约保函：否</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预付款保函：是</w:t>
            </w:r>
          </w:p>
        </w:tc>
        <w:tc>
          <w:tcPr>
            <w:tcW w:w="4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预付款保函：按预付款金额投保，年费率为1%-2%，每单保函最低保险费为500元；保险期限最长不超过5年。</w:t>
            </w:r>
          </w:p>
        </w:tc>
        <w:tc>
          <w:tcPr>
            <w:tcW w:w="2268" w:type="dxa"/>
            <w:tcBorders>
              <w:top w:val="single" w:color="auto" w:sz="4" w:space="0"/>
              <w:left w:val="single" w:color="auto" w:sz="4" w:space="0"/>
              <w:bottom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陶正鹏13858613668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27" w:type="dxa"/>
            <w:tcBorders>
              <w:top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机构名称：仙居县台融融资担保有限公司</w:t>
            </w:r>
          </w:p>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履约保函：是</w:t>
            </w:r>
          </w:p>
        </w:tc>
        <w:tc>
          <w:tcPr>
            <w:tcW w:w="4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合同（质量）履约按履约保证金年费率0.2%，每单保函最低保险费为800元。</w:t>
            </w:r>
          </w:p>
        </w:tc>
        <w:tc>
          <w:tcPr>
            <w:tcW w:w="2268" w:type="dxa"/>
            <w:tcBorders>
              <w:top w:val="single" w:color="auto" w:sz="4" w:space="0"/>
              <w:left w:val="single" w:color="auto" w:sz="4" w:space="0"/>
              <w:bottom w:val="single" w:color="auto" w:sz="4" w:space="0"/>
            </w:tcBorders>
            <w:vAlign w:val="center"/>
          </w:tcPr>
          <w:p>
            <w:pPr>
              <w:autoSpaceDE w:val="0"/>
              <w:autoSpaceDN w:val="0"/>
              <w:adjustRightInd w:val="0"/>
              <w:snapToGrid w:val="0"/>
              <w:jc w:val="left"/>
              <w:rPr>
                <w:rFonts w:ascii="宋体" w:hAnsi="宋体"/>
                <w:bCs/>
                <w:color w:val="000000"/>
                <w:sz w:val="21"/>
                <w:szCs w:val="21"/>
              </w:rPr>
            </w:pPr>
            <w:r>
              <w:rPr>
                <w:rFonts w:hint="eastAsia" w:ascii="宋体" w:hAnsi="宋体"/>
                <w:bCs/>
                <w:color w:val="000000"/>
                <w:sz w:val="21"/>
                <w:szCs w:val="21"/>
              </w:rPr>
              <w:t>郭鹏飞13819645716</w:t>
            </w:r>
          </w:p>
        </w:tc>
      </w:tr>
    </w:tbl>
    <w:p>
      <w:pPr>
        <w:autoSpaceDE w:val="0"/>
        <w:autoSpaceDN w:val="0"/>
        <w:adjustRightInd w:val="0"/>
        <w:spacing w:line="360" w:lineRule="auto"/>
        <w:jc w:val="center"/>
        <w:outlineLvl w:val="1"/>
        <w:rPr>
          <w:rFonts w:ascii="宋体"/>
          <w:b/>
          <w:color w:val="000000"/>
          <w:sz w:val="24"/>
          <w:lang w:val="zh-CN"/>
        </w:rPr>
      </w:pPr>
      <w:r>
        <w:rPr>
          <w:rFonts w:ascii="宋体"/>
          <w:color w:val="000000"/>
          <w:sz w:val="24"/>
        </w:rPr>
        <w:br w:type="page"/>
      </w:r>
      <w:bookmarkStart w:id="12" w:name="_Toc302983095"/>
      <w:bookmarkStart w:id="13" w:name="_Toc306901446"/>
      <w:r>
        <w:rPr>
          <w:rFonts w:hint="eastAsia" w:ascii="宋体"/>
          <w:b/>
          <w:color w:val="000000"/>
          <w:sz w:val="24"/>
          <w:lang w:val="zh-CN"/>
        </w:rPr>
        <w:t>一、</w:t>
      </w:r>
      <w:bookmarkEnd w:id="12"/>
      <w:bookmarkEnd w:id="13"/>
      <w:r>
        <w:rPr>
          <w:rFonts w:hint="eastAsia" w:ascii="宋体"/>
          <w:b/>
          <w:color w:val="000000"/>
          <w:sz w:val="24"/>
          <w:lang w:val="zh-CN"/>
        </w:rPr>
        <w:t>总则</w:t>
      </w:r>
    </w:p>
    <w:p>
      <w:pPr>
        <w:snapToGrid w:val="0"/>
        <w:spacing w:line="312" w:lineRule="auto"/>
        <w:ind w:firstLine="411" w:firstLineChars="196"/>
        <w:jc w:val="left"/>
        <w:outlineLvl w:val="1"/>
        <w:rPr>
          <w:rFonts w:ascii="宋体" w:hAnsi="宋体"/>
          <w:color w:val="000000"/>
          <w:sz w:val="21"/>
        </w:rPr>
      </w:pPr>
      <w:r>
        <w:rPr>
          <w:rFonts w:hint="eastAsia" w:ascii="宋体" w:hAnsi="宋体"/>
          <w:color w:val="000000"/>
          <w:sz w:val="21"/>
          <w:lang w:val="zh-CN"/>
        </w:rPr>
        <w:t>（一）</w:t>
      </w:r>
      <w:r>
        <w:rPr>
          <w:rFonts w:ascii="宋体" w:hAnsi="宋体"/>
          <w:color w:val="000000"/>
          <w:sz w:val="21"/>
        </w:rPr>
        <w:t>适用范围</w:t>
      </w:r>
    </w:p>
    <w:p>
      <w:pPr>
        <w:autoSpaceDE w:val="0"/>
        <w:autoSpaceDN w:val="0"/>
        <w:adjustRightInd w:val="0"/>
        <w:snapToGrid w:val="0"/>
        <w:spacing w:line="312" w:lineRule="auto"/>
        <w:ind w:firstLine="480"/>
        <w:rPr>
          <w:rFonts w:ascii="宋体" w:hAnsi="宋体"/>
          <w:color w:val="000000"/>
          <w:sz w:val="21"/>
          <w:lang w:val="zh-CN"/>
        </w:rPr>
      </w:pPr>
      <w:r>
        <w:rPr>
          <w:rFonts w:hint="eastAsia" w:ascii="宋体" w:hAnsi="宋体"/>
          <w:color w:val="000000"/>
          <w:sz w:val="21"/>
        </w:rPr>
        <w:t>本招标文件适用于本次项目的招标、投标、评标、定标、验收、合同履约、付款等行为（法律、法规另有规定的，从其规定）。</w:t>
      </w:r>
    </w:p>
    <w:p>
      <w:pPr>
        <w:widowControl/>
        <w:snapToGrid w:val="0"/>
        <w:spacing w:line="312" w:lineRule="auto"/>
        <w:ind w:left="60" w:right="60" w:firstLine="405" w:firstLineChars="193"/>
        <w:jc w:val="left"/>
        <w:outlineLvl w:val="0"/>
        <w:rPr>
          <w:rFonts w:ascii="宋体" w:hAnsi="宋体"/>
          <w:color w:val="000000"/>
          <w:sz w:val="21"/>
          <w:lang w:val="zh-CN"/>
        </w:rPr>
      </w:pPr>
      <w:r>
        <w:rPr>
          <w:rFonts w:hint="eastAsia" w:ascii="宋体" w:hAnsi="宋体"/>
          <w:color w:val="000000"/>
          <w:sz w:val="21"/>
          <w:lang w:val="zh-CN"/>
        </w:rPr>
        <w:t>（二）定义</w:t>
      </w:r>
    </w:p>
    <w:p>
      <w:pPr>
        <w:autoSpaceDE w:val="0"/>
        <w:autoSpaceDN w:val="0"/>
        <w:adjustRightInd w:val="0"/>
        <w:snapToGrid w:val="0"/>
        <w:spacing w:line="312" w:lineRule="auto"/>
        <w:ind w:firstLine="420" w:firstLineChars="200"/>
        <w:rPr>
          <w:rFonts w:ascii="宋体" w:hAnsi="宋体"/>
          <w:color w:val="000000"/>
          <w:sz w:val="21"/>
        </w:rPr>
      </w:pPr>
      <w:r>
        <w:rPr>
          <w:rFonts w:hint="eastAsia" w:ascii="宋体" w:hAnsi="宋体"/>
          <w:color w:val="000000"/>
          <w:sz w:val="21"/>
        </w:rPr>
        <w:t>1、</w:t>
      </w:r>
      <w:r>
        <w:rPr>
          <w:rFonts w:hint="eastAsia" w:ascii="宋体" w:hAnsi="宋体"/>
          <w:color w:val="000000"/>
          <w:sz w:val="21"/>
          <w:lang w:val="zh-CN"/>
        </w:rPr>
        <w:t>“采购组织机构”指采购人委托组织招标的采购代理机构。</w:t>
      </w:r>
    </w:p>
    <w:p>
      <w:pPr>
        <w:autoSpaceDE w:val="0"/>
        <w:autoSpaceDN w:val="0"/>
        <w:adjustRightInd w:val="0"/>
        <w:snapToGrid w:val="0"/>
        <w:spacing w:line="312" w:lineRule="auto"/>
        <w:ind w:firstLine="420" w:firstLineChars="200"/>
        <w:rPr>
          <w:rFonts w:ascii="宋体" w:hAnsi="宋体"/>
          <w:color w:val="000000"/>
          <w:sz w:val="21"/>
        </w:rPr>
      </w:pPr>
      <w:r>
        <w:rPr>
          <w:rFonts w:hint="eastAsia" w:ascii="宋体" w:hAnsi="宋体"/>
          <w:color w:val="000000"/>
          <w:sz w:val="21"/>
        </w:rPr>
        <w:t>2、采购人：是指委托采购代理机构采购本次项目的国家机关、事业单位和团体组织。</w:t>
      </w:r>
    </w:p>
    <w:p>
      <w:pPr>
        <w:autoSpaceDE w:val="0"/>
        <w:autoSpaceDN w:val="0"/>
        <w:adjustRightInd w:val="0"/>
        <w:snapToGrid w:val="0"/>
        <w:spacing w:line="312" w:lineRule="auto"/>
        <w:ind w:firstLine="420" w:firstLineChars="200"/>
        <w:rPr>
          <w:rFonts w:ascii="宋体" w:hAnsi="宋体"/>
          <w:color w:val="000000"/>
          <w:sz w:val="21"/>
        </w:rPr>
      </w:pPr>
      <w:r>
        <w:rPr>
          <w:rFonts w:hint="eastAsia" w:ascii="宋体" w:hAnsi="宋体"/>
          <w:color w:val="000000"/>
          <w:sz w:val="21"/>
        </w:rPr>
        <w:t>3、</w:t>
      </w:r>
      <w:r>
        <w:rPr>
          <w:rFonts w:ascii="宋体" w:hAnsi="宋体"/>
          <w:color w:val="000000"/>
          <w:sz w:val="21"/>
        </w:rPr>
        <w:t>投标人</w:t>
      </w:r>
      <w:r>
        <w:rPr>
          <w:rFonts w:hint="eastAsia" w:ascii="宋体" w:hAnsi="宋体"/>
          <w:color w:val="000000"/>
          <w:sz w:val="21"/>
        </w:rPr>
        <w:t>：是</w:t>
      </w:r>
      <w:r>
        <w:rPr>
          <w:rFonts w:ascii="宋体" w:hAnsi="宋体"/>
          <w:color w:val="000000"/>
          <w:sz w:val="21"/>
        </w:rPr>
        <w:t>指向</w:t>
      </w:r>
      <w:r>
        <w:rPr>
          <w:rFonts w:hint="eastAsia" w:ascii="宋体" w:hAnsi="宋体"/>
          <w:color w:val="000000"/>
          <w:sz w:val="21"/>
        </w:rPr>
        <w:t>采购</w:t>
      </w:r>
      <w:r>
        <w:rPr>
          <w:rFonts w:hint="eastAsia" w:ascii="宋体" w:hAnsi="宋体"/>
          <w:color w:val="000000"/>
          <w:sz w:val="21"/>
          <w:lang w:val="zh-CN"/>
        </w:rPr>
        <w:t>组织</w:t>
      </w:r>
      <w:r>
        <w:rPr>
          <w:rFonts w:hint="eastAsia" w:ascii="宋体" w:hAnsi="宋体"/>
          <w:color w:val="000000"/>
          <w:sz w:val="21"/>
        </w:rPr>
        <w:t>机构</w:t>
      </w:r>
      <w:r>
        <w:rPr>
          <w:rFonts w:ascii="宋体" w:hAnsi="宋体"/>
          <w:color w:val="000000"/>
          <w:sz w:val="21"/>
        </w:rPr>
        <w:t>提交投标文件的单位或个人。</w:t>
      </w:r>
    </w:p>
    <w:p>
      <w:pPr>
        <w:autoSpaceDE w:val="0"/>
        <w:autoSpaceDN w:val="0"/>
        <w:adjustRightInd w:val="0"/>
        <w:snapToGrid w:val="0"/>
        <w:spacing w:line="312" w:lineRule="auto"/>
        <w:ind w:firstLine="420" w:firstLineChars="200"/>
        <w:rPr>
          <w:rFonts w:ascii="宋体" w:hAnsi="宋体"/>
          <w:color w:val="000000"/>
          <w:sz w:val="21"/>
        </w:rPr>
      </w:pPr>
      <w:r>
        <w:rPr>
          <w:rFonts w:hint="eastAsia" w:ascii="宋体" w:hAnsi="宋体"/>
          <w:color w:val="000000"/>
          <w:sz w:val="21"/>
        </w:rPr>
        <w:t>4、</w:t>
      </w:r>
      <w:r>
        <w:rPr>
          <w:rFonts w:ascii="宋体" w:hAnsi="宋体"/>
          <w:color w:val="000000"/>
          <w:sz w:val="21"/>
        </w:rPr>
        <w:t>货物</w:t>
      </w:r>
      <w:r>
        <w:rPr>
          <w:rFonts w:hint="eastAsia" w:ascii="宋体" w:hAnsi="宋体"/>
          <w:color w:val="000000"/>
          <w:sz w:val="21"/>
        </w:rPr>
        <w:t>：</w:t>
      </w:r>
      <w:r>
        <w:rPr>
          <w:rFonts w:ascii="宋体" w:hAnsi="宋体"/>
          <w:color w:val="000000"/>
          <w:sz w:val="21"/>
        </w:rPr>
        <w:t>是指各种形态和种类的物品，包括原材料、燃料、设备、产品等。</w:t>
      </w:r>
    </w:p>
    <w:p>
      <w:pPr>
        <w:autoSpaceDE w:val="0"/>
        <w:autoSpaceDN w:val="0"/>
        <w:adjustRightInd w:val="0"/>
        <w:snapToGrid w:val="0"/>
        <w:spacing w:line="312" w:lineRule="auto"/>
        <w:ind w:firstLine="420" w:firstLineChars="200"/>
        <w:rPr>
          <w:rFonts w:ascii="宋体" w:hAnsi="宋体"/>
          <w:color w:val="000000"/>
          <w:sz w:val="21"/>
        </w:rPr>
      </w:pPr>
      <w:r>
        <w:rPr>
          <w:rFonts w:hint="eastAsia" w:ascii="宋体" w:hAnsi="宋体"/>
          <w:color w:val="000000"/>
          <w:sz w:val="21"/>
        </w:rPr>
        <w:t>5、</w:t>
      </w:r>
      <w:r>
        <w:rPr>
          <w:rFonts w:ascii="宋体" w:hAnsi="宋体"/>
          <w:color w:val="000000"/>
          <w:sz w:val="21"/>
        </w:rPr>
        <w:t>服务</w:t>
      </w:r>
      <w:r>
        <w:rPr>
          <w:rFonts w:hint="eastAsia" w:ascii="宋体" w:hAnsi="宋体"/>
          <w:color w:val="000000"/>
          <w:sz w:val="21"/>
        </w:rPr>
        <w:t>：</w:t>
      </w:r>
      <w:r>
        <w:rPr>
          <w:rFonts w:ascii="宋体" w:hAnsi="宋体"/>
          <w:color w:val="000000"/>
          <w:sz w:val="21"/>
        </w:rPr>
        <w:t>是指除货物和工程以外的政府采购对象，包括各类专业服务、信息网络开发服务、金融保险服务、运输服务，以及维修与维护服务等。</w:t>
      </w:r>
    </w:p>
    <w:p>
      <w:pPr>
        <w:autoSpaceDE w:val="0"/>
        <w:autoSpaceDN w:val="0"/>
        <w:adjustRightInd w:val="0"/>
        <w:snapToGrid w:val="0"/>
        <w:spacing w:line="312" w:lineRule="auto"/>
        <w:ind w:firstLine="420" w:firstLineChars="200"/>
        <w:rPr>
          <w:rFonts w:ascii="宋体" w:hAnsi="宋体"/>
          <w:color w:val="000000"/>
          <w:sz w:val="21"/>
        </w:rPr>
      </w:pPr>
      <w:r>
        <w:rPr>
          <w:rFonts w:hint="eastAsia" w:ascii="宋体" w:hAnsi="宋体"/>
          <w:color w:val="000000"/>
          <w:sz w:val="21"/>
        </w:rPr>
        <w:t>6、</w:t>
      </w:r>
      <w:r>
        <w:rPr>
          <w:rFonts w:ascii="宋体" w:hAnsi="宋体"/>
          <w:color w:val="000000"/>
          <w:sz w:val="21"/>
        </w:rPr>
        <w:t>“书面形式”包括信函、传真等。</w:t>
      </w:r>
    </w:p>
    <w:p>
      <w:pPr>
        <w:autoSpaceDE w:val="0"/>
        <w:autoSpaceDN w:val="0"/>
        <w:adjustRightInd w:val="0"/>
        <w:snapToGrid w:val="0"/>
        <w:spacing w:line="312" w:lineRule="auto"/>
        <w:ind w:firstLine="420" w:firstLineChars="200"/>
        <w:rPr>
          <w:rFonts w:ascii="宋体" w:hAnsi="宋体"/>
          <w:color w:val="000000"/>
          <w:sz w:val="21"/>
        </w:rPr>
      </w:pPr>
      <w:r>
        <w:rPr>
          <w:rFonts w:hint="eastAsia" w:ascii="宋体" w:hAnsi="宋体"/>
          <w:color w:val="000000"/>
          <w:sz w:val="21"/>
        </w:rPr>
        <w:t>7、电子交易活动：是指以数据电文形式，依托政府采购项目电子交易平台进行的政府采购交易活动。</w:t>
      </w:r>
    </w:p>
    <w:p>
      <w:pPr>
        <w:autoSpaceDE w:val="0"/>
        <w:autoSpaceDN w:val="0"/>
        <w:adjustRightInd w:val="0"/>
        <w:snapToGrid w:val="0"/>
        <w:spacing w:line="312" w:lineRule="auto"/>
        <w:ind w:firstLine="420" w:firstLineChars="200"/>
        <w:rPr>
          <w:rFonts w:ascii="宋体" w:hAnsi="宋体"/>
          <w:color w:val="000000"/>
          <w:sz w:val="21"/>
          <w:lang w:val="zh-CN"/>
        </w:rPr>
      </w:pPr>
      <w:r>
        <w:rPr>
          <w:rFonts w:hint="eastAsia" w:ascii="宋体" w:hAnsi="宋体"/>
          <w:color w:val="000000"/>
          <w:sz w:val="21"/>
        </w:rPr>
        <w:t>8、</w:t>
      </w:r>
      <w:r>
        <w:rPr>
          <w:rFonts w:ascii="宋体" w:hAnsi="宋体"/>
          <w:color w:val="000000"/>
          <w:sz w:val="21"/>
        </w:rPr>
        <w:t>“▲”系指实质性要求条款。</w:t>
      </w:r>
    </w:p>
    <w:p>
      <w:pPr>
        <w:snapToGrid w:val="0"/>
        <w:spacing w:line="312" w:lineRule="auto"/>
        <w:ind w:firstLine="411" w:firstLineChars="196"/>
        <w:jc w:val="left"/>
        <w:outlineLvl w:val="1"/>
        <w:rPr>
          <w:rFonts w:ascii="宋体" w:hAnsi="宋体"/>
          <w:color w:val="000000"/>
          <w:sz w:val="21"/>
        </w:rPr>
      </w:pPr>
      <w:r>
        <w:rPr>
          <w:rFonts w:hint="eastAsia" w:ascii="宋体" w:hAnsi="宋体"/>
          <w:color w:val="000000"/>
          <w:sz w:val="21"/>
        </w:rPr>
        <w:t>（三）投标费用</w:t>
      </w:r>
    </w:p>
    <w:p>
      <w:pPr>
        <w:snapToGrid w:val="0"/>
        <w:spacing w:line="312" w:lineRule="auto"/>
        <w:ind w:firstLine="420" w:firstLineChars="200"/>
        <w:jc w:val="left"/>
        <w:rPr>
          <w:rFonts w:ascii="宋体" w:hAnsi="宋体"/>
          <w:sz w:val="21"/>
        </w:rPr>
      </w:pPr>
      <w:r>
        <w:rPr>
          <w:rFonts w:hint="eastAsia" w:ascii="宋体" w:hAnsi="宋体"/>
          <w:sz w:val="21"/>
        </w:rPr>
        <w:t>不论投标结果如何，投标人均应自行承担所有与投标有关的全部费用（招标文件有相关规定除外）。</w:t>
      </w:r>
    </w:p>
    <w:p>
      <w:pPr>
        <w:autoSpaceDE w:val="0"/>
        <w:autoSpaceDN w:val="0"/>
        <w:adjustRightInd w:val="0"/>
        <w:spacing w:line="360" w:lineRule="auto"/>
        <w:ind w:firstLine="413" w:firstLineChars="196"/>
        <w:rPr>
          <w:rFonts w:ascii="宋体"/>
          <w:b/>
          <w:color w:val="000000"/>
          <w:sz w:val="21"/>
          <w:lang w:val="zh-CN"/>
        </w:rPr>
      </w:pPr>
      <w:r>
        <w:rPr>
          <w:rFonts w:hint="eastAsia" w:ascii="宋体"/>
          <w:b/>
          <w:color w:val="000000"/>
          <w:sz w:val="21"/>
          <w:lang w:val="zh-CN"/>
        </w:rPr>
        <w:t>（四）特别说明</w:t>
      </w:r>
    </w:p>
    <w:p>
      <w:pPr>
        <w:pStyle w:val="150"/>
        <w:snapToGrid w:val="0"/>
        <w:spacing w:line="312" w:lineRule="auto"/>
        <w:ind w:left="4" w:leftChars="1" w:firstLine="420" w:firstLineChars="200"/>
        <w:rPr>
          <w:rFonts w:hAnsi="宋体"/>
        </w:rPr>
      </w:pPr>
      <w:bookmarkStart w:id="14" w:name="_Toc306901451"/>
      <w:bookmarkStart w:id="15" w:name="_Toc302983099"/>
      <w:r>
        <w:rPr>
          <w:rFonts w:hint="eastAsia" w:hAnsi="宋体"/>
        </w:rPr>
        <w:t>1、</w:t>
      </w:r>
      <w:r>
        <w:rPr>
          <w:rFonts w:hAnsi="宋体"/>
        </w:rPr>
        <w:t>投标人投标所使用的资格、信誉、荣誉、业绩与企业认证必须为本法人所拥有。投标人投标所使用的采购项目实施人员必须为本法人员工（</w:t>
      </w:r>
      <w:r>
        <w:rPr>
          <w:rFonts w:hint="eastAsia" w:hAnsi="宋体"/>
        </w:rPr>
        <w:t>指</w:t>
      </w:r>
      <w:r>
        <w:rPr>
          <w:rFonts w:hAnsi="宋体"/>
        </w:rPr>
        <w:t>本法人或控股公司正式员工）。</w:t>
      </w:r>
    </w:p>
    <w:p>
      <w:pPr>
        <w:snapToGrid w:val="0"/>
        <w:spacing w:line="312" w:lineRule="auto"/>
        <w:ind w:firstLine="420" w:firstLineChars="200"/>
        <w:rPr>
          <w:rFonts w:ascii="宋体" w:hAnsi="宋体"/>
          <w:sz w:val="21"/>
        </w:rPr>
      </w:pPr>
      <w:r>
        <w:rPr>
          <w:rFonts w:hint="eastAsia" w:ascii="宋体" w:hAnsi="宋体"/>
          <w:sz w:val="21"/>
        </w:rPr>
        <w:t>2、投标人所投产品除招标文件中明确规定要求“提供官网截图或相应检测报告的证明材料”以外，所有技术参数描述均以投标文件为准。投标人对所投产品技术参数的真实性承担法律责任。项目招标结束后、质疑期限内，如有质疑投标人认为中标候选人所投产品、投标文件技术参数与招标需求存在重大偏离、错误、甚至造假的情况，应提供具体有效的证明材料。</w:t>
      </w:r>
    </w:p>
    <w:p>
      <w:pPr>
        <w:pStyle w:val="410"/>
        <w:snapToGrid w:val="0"/>
        <w:spacing w:line="312" w:lineRule="auto"/>
        <w:ind w:firstLineChars="0"/>
        <w:rPr>
          <w:rFonts w:ascii="宋体" w:hAnsi="宋体"/>
        </w:rPr>
      </w:pPr>
      <w:r>
        <w:rPr>
          <w:rFonts w:hint="eastAsia" w:ascii="宋体" w:hAnsi="宋体"/>
        </w:rPr>
        <w:t>3、</w:t>
      </w:r>
      <w:r>
        <w:rPr>
          <w:rFonts w:ascii="宋体" w:hAnsi="宋体"/>
        </w:rPr>
        <w:t>投标人在投标活动中提供任何虚假材料,其投标无效，并报监管部门查处；中标后发现的,根据《中华人民共和国政府采购法》第七十七条第一款第一项之规定</w:t>
      </w:r>
      <w:r>
        <w:rPr>
          <w:rFonts w:hint="eastAsia" w:ascii="宋体" w:hAnsi="宋体"/>
        </w:rPr>
        <w:t>，</w:t>
      </w:r>
      <w:r>
        <w:rPr>
          <w:rFonts w:ascii="宋体" w:hAnsi="宋体"/>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rPr>
        <w:t>。</w:t>
      </w:r>
    </w:p>
    <w:p>
      <w:pPr>
        <w:pStyle w:val="6"/>
        <w:keepNext w:val="0"/>
        <w:keepLines w:val="0"/>
        <w:tabs>
          <w:tab w:val="left" w:pos="851"/>
        </w:tabs>
        <w:autoSpaceDE w:val="0"/>
        <w:autoSpaceDN w:val="0"/>
        <w:adjustRightInd w:val="0"/>
        <w:snapToGrid w:val="0"/>
        <w:spacing w:line="312" w:lineRule="auto"/>
        <w:ind w:firstLine="420" w:firstLineChars="200"/>
        <w:jc w:val="left"/>
        <w:rPr>
          <w:rFonts w:ascii="宋体" w:hAnsi="宋体" w:eastAsia="宋体"/>
          <w:b w:val="0"/>
          <w:sz w:val="21"/>
        </w:rPr>
      </w:pPr>
      <w:r>
        <w:rPr>
          <w:rFonts w:hint="eastAsia" w:ascii="宋体" w:hAnsi="宋体" w:eastAsia="宋体"/>
          <w:b w:val="0"/>
          <w:sz w:val="21"/>
        </w:rPr>
        <w:t>4、投标人不得相互串通投标报价，不得妨碍其他投标人的公平竞争，不得损害采购人或其他投标人的合法权益，投标人不得以向采购人、评标委员会成员行贿或者采取其他不正当手段谋取中标。</w:t>
      </w:r>
    </w:p>
    <w:p>
      <w:pPr>
        <w:pStyle w:val="6"/>
        <w:keepNext w:val="0"/>
        <w:keepLines w:val="0"/>
        <w:tabs>
          <w:tab w:val="left" w:pos="851"/>
        </w:tabs>
        <w:autoSpaceDE w:val="0"/>
        <w:autoSpaceDN w:val="0"/>
        <w:adjustRightInd w:val="0"/>
        <w:snapToGrid w:val="0"/>
        <w:spacing w:line="312" w:lineRule="auto"/>
        <w:ind w:firstLine="420" w:firstLineChars="200"/>
        <w:jc w:val="left"/>
        <w:rPr>
          <w:rFonts w:ascii="宋体" w:hAnsi="宋体" w:eastAsia="宋体"/>
          <w:b w:val="0"/>
          <w:sz w:val="21"/>
        </w:rPr>
      </w:pPr>
      <w:r>
        <w:rPr>
          <w:rFonts w:hint="eastAsia" w:ascii="宋体" w:hAnsi="宋体" w:eastAsia="宋体"/>
          <w:b w:val="0"/>
          <w:sz w:val="21"/>
        </w:rPr>
        <w:t>5、为采购项目提供整体设计、规范编制或者项目管理、监理、检测等服务的投标人，不得再参加该采购项目的其他采购活动。</w:t>
      </w:r>
    </w:p>
    <w:p>
      <w:pPr>
        <w:pStyle w:val="6"/>
        <w:keepNext w:val="0"/>
        <w:keepLines w:val="0"/>
        <w:tabs>
          <w:tab w:val="left" w:pos="851"/>
        </w:tabs>
        <w:autoSpaceDE w:val="0"/>
        <w:autoSpaceDN w:val="0"/>
        <w:adjustRightInd w:val="0"/>
        <w:snapToGrid w:val="0"/>
        <w:spacing w:line="312" w:lineRule="auto"/>
        <w:ind w:firstLine="420" w:firstLineChars="200"/>
        <w:jc w:val="left"/>
        <w:rPr>
          <w:rFonts w:ascii="宋体" w:hAnsi="宋体" w:eastAsia="宋体"/>
          <w:b w:val="0"/>
          <w:sz w:val="21"/>
        </w:rPr>
      </w:pPr>
      <w:r>
        <w:rPr>
          <w:rFonts w:hint="eastAsia" w:ascii="宋体" w:hAnsi="宋体" w:eastAsia="宋体"/>
          <w:b w:val="0"/>
          <w:sz w:val="21"/>
        </w:rPr>
        <w:t>6、投标文件格式中的表格式样可以根据项目差别做适当调整,但应当保持表格样式基本形态不变。</w:t>
      </w:r>
    </w:p>
    <w:p>
      <w:pPr>
        <w:pStyle w:val="6"/>
        <w:keepNext w:val="0"/>
        <w:keepLines w:val="0"/>
        <w:tabs>
          <w:tab w:val="left" w:pos="851"/>
        </w:tabs>
        <w:autoSpaceDE w:val="0"/>
        <w:autoSpaceDN w:val="0"/>
        <w:adjustRightInd w:val="0"/>
        <w:snapToGrid w:val="0"/>
        <w:spacing w:line="312" w:lineRule="auto"/>
        <w:ind w:firstLine="420" w:firstLineChars="200"/>
        <w:jc w:val="left"/>
        <w:rPr>
          <w:rFonts w:ascii="宋体" w:hAnsi="宋体" w:eastAsia="宋体"/>
          <w:b w:val="0"/>
          <w:sz w:val="21"/>
        </w:rPr>
      </w:pPr>
      <w:r>
        <w:rPr>
          <w:rFonts w:hint="eastAsia" w:ascii="宋体" w:hAnsi="宋体" w:eastAsia="宋体"/>
          <w:b w:val="0"/>
          <w:sz w:val="21"/>
        </w:rPr>
        <w:t>7、单位负责人为同一人或者存在直接控股、管理关系的不同投标人，不得参加同一合同项下的政府采购活动。</w:t>
      </w:r>
    </w:p>
    <w:p>
      <w:pPr>
        <w:pStyle w:val="6"/>
        <w:keepNext w:val="0"/>
        <w:keepLines w:val="0"/>
        <w:tabs>
          <w:tab w:val="left" w:pos="851"/>
        </w:tabs>
        <w:autoSpaceDE w:val="0"/>
        <w:autoSpaceDN w:val="0"/>
        <w:adjustRightInd w:val="0"/>
        <w:snapToGrid w:val="0"/>
        <w:spacing w:line="312" w:lineRule="auto"/>
        <w:ind w:firstLine="420" w:firstLineChars="200"/>
        <w:jc w:val="left"/>
        <w:rPr>
          <w:rFonts w:ascii="宋体" w:hAnsi="宋体" w:eastAsia="宋体"/>
          <w:b w:val="0"/>
          <w:sz w:val="21"/>
        </w:rPr>
      </w:pPr>
      <w:r>
        <w:rPr>
          <w:rFonts w:hint="eastAsia" w:ascii="宋体" w:hAnsi="宋体" w:eastAsia="宋体"/>
          <w:b w:val="0"/>
          <w:sz w:val="21"/>
        </w:rPr>
        <w:t>8、本项目不允许分包。</w:t>
      </w:r>
    </w:p>
    <w:p>
      <w:pPr>
        <w:pStyle w:val="6"/>
        <w:keepNext w:val="0"/>
        <w:keepLines w:val="0"/>
        <w:tabs>
          <w:tab w:val="left" w:pos="851"/>
        </w:tabs>
        <w:autoSpaceDE w:val="0"/>
        <w:autoSpaceDN w:val="0"/>
        <w:adjustRightInd w:val="0"/>
        <w:snapToGrid w:val="0"/>
        <w:spacing w:line="312" w:lineRule="auto"/>
        <w:ind w:firstLine="420" w:firstLineChars="200"/>
        <w:jc w:val="left"/>
        <w:rPr>
          <w:rFonts w:ascii="宋体" w:hAnsi="宋体" w:eastAsia="宋体"/>
          <w:b w:val="0"/>
          <w:sz w:val="21"/>
        </w:rPr>
      </w:pPr>
      <w:r>
        <w:rPr>
          <w:rFonts w:hint="eastAsia" w:ascii="宋体" w:hAnsi="宋体" w:eastAsia="宋体"/>
          <w:b w:val="0"/>
          <w:sz w:val="21"/>
        </w:rPr>
        <w:t>9、</w:t>
      </w:r>
      <w:r>
        <w:rPr>
          <w:rFonts w:ascii="宋体" w:hAnsi="宋体" w:eastAsia="宋体"/>
          <w:b w:val="0"/>
          <w:sz w:val="21"/>
        </w:rPr>
        <w:t>投标人信用信息查询渠道及截止时点、信用信息查询记录和证据留存的具体方式、信用信息的使用规则</w:t>
      </w:r>
      <w:r>
        <w:rPr>
          <w:rFonts w:hint="eastAsia" w:ascii="宋体" w:hAnsi="宋体" w:eastAsia="宋体"/>
          <w:b w:val="0"/>
          <w:sz w:val="21"/>
        </w:rPr>
        <w:t>：</w:t>
      </w:r>
    </w:p>
    <w:p>
      <w:pPr>
        <w:autoSpaceDE w:val="0"/>
        <w:autoSpaceDN w:val="0"/>
        <w:adjustRightInd w:val="0"/>
        <w:snapToGrid w:val="0"/>
        <w:spacing w:line="334" w:lineRule="auto"/>
        <w:ind w:firstLine="482"/>
        <w:rPr>
          <w:rFonts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zh-CN"/>
        </w:rPr>
        <w:t>查询渠道</w:t>
      </w:r>
      <w:r>
        <w:rPr>
          <w:rFonts w:hint="eastAsia" w:ascii="宋体" w:hAnsi="宋体"/>
          <w:color w:val="000000"/>
          <w:sz w:val="21"/>
          <w:szCs w:val="21"/>
        </w:rPr>
        <w:t>：</w:t>
      </w:r>
      <w:r>
        <w:rPr>
          <w:rFonts w:hint="eastAsia" w:ascii="宋体" w:hAnsi="宋体"/>
          <w:color w:val="000000"/>
          <w:sz w:val="21"/>
          <w:szCs w:val="21"/>
          <w:lang w:val="zh-CN"/>
        </w:rPr>
        <w:t>国家企业信用信息公示系统</w:t>
      </w:r>
      <w:r>
        <w:rPr>
          <w:rFonts w:hint="eastAsia" w:ascii="宋体" w:hAnsi="宋体"/>
          <w:color w:val="000000"/>
          <w:sz w:val="21"/>
          <w:szCs w:val="21"/>
        </w:rPr>
        <w:t>（http://www.gsxt.gov.cn/index.html）</w:t>
      </w:r>
      <w:r>
        <w:rPr>
          <w:rFonts w:hint="eastAsia" w:ascii="宋体" w:hAnsi="宋体"/>
          <w:color w:val="000000"/>
          <w:sz w:val="21"/>
          <w:szCs w:val="21"/>
          <w:lang w:val="zh-CN"/>
        </w:rPr>
        <w:t>或其他可被查询的渠道。</w:t>
      </w:r>
    </w:p>
    <w:p>
      <w:pPr>
        <w:autoSpaceDE w:val="0"/>
        <w:autoSpaceDN w:val="0"/>
        <w:adjustRightInd w:val="0"/>
        <w:snapToGrid w:val="0"/>
        <w:spacing w:line="334" w:lineRule="auto"/>
        <w:ind w:firstLine="482"/>
        <w:rPr>
          <w:rFonts w:ascii="宋体" w:hAnsi="宋体"/>
          <w:color w:val="000000"/>
          <w:sz w:val="21"/>
          <w:szCs w:val="21"/>
          <w:lang w:val="zh-CN"/>
        </w:rPr>
      </w:pPr>
      <w:r>
        <w:rPr>
          <w:rFonts w:hint="eastAsia" w:ascii="宋体" w:hAnsi="宋体"/>
          <w:color w:val="000000"/>
          <w:sz w:val="21"/>
          <w:szCs w:val="21"/>
          <w:lang w:val="zh-CN"/>
        </w:rPr>
        <w:t>（2）截止时点：开标后评标前。</w:t>
      </w:r>
    </w:p>
    <w:p>
      <w:pPr>
        <w:autoSpaceDE w:val="0"/>
        <w:autoSpaceDN w:val="0"/>
        <w:adjustRightInd w:val="0"/>
        <w:snapToGrid w:val="0"/>
        <w:spacing w:line="334" w:lineRule="auto"/>
        <w:ind w:firstLine="482"/>
        <w:rPr>
          <w:rFonts w:ascii="宋体" w:hAnsi="宋体"/>
          <w:color w:val="000000"/>
          <w:sz w:val="21"/>
          <w:szCs w:val="21"/>
          <w:lang w:val="zh-CN"/>
        </w:rPr>
      </w:pPr>
      <w:r>
        <w:rPr>
          <w:rFonts w:hint="eastAsia" w:ascii="宋体" w:hAnsi="宋体"/>
          <w:color w:val="000000"/>
          <w:sz w:val="21"/>
          <w:szCs w:val="21"/>
          <w:lang w:val="zh-CN"/>
        </w:rPr>
        <w:t>（3）信用信息查询记录和证据留存的具体方式：由采购组织机构在规定查询时间内打印信用信息查询记录并归入项目档案。</w:t>
      </w:r>
    </w:p>
    <w:p>
      <w:pPr>
        <w:autoSpaceDE w:val="0"/>
        <w:autoSpaceDN w:val="0"/>
        <w:adjustRightInd w:val="0"/>
        <w:snapToGrid w:val="0"/>
        <w:spacing w:line="334" w:lineRule="auto"/>
        <w:ind w:firstLine="482"/>
        <w:rPr>
          <w:rFonts w:ascii="宋体" w:hAnsi="宋体"/>
          <w:b/>
          <w:bCs/>
          <w:color w:val="000000"/>
          <w:sz w:val="21"/>
          <w:szCs w:val="21"/>
          <w:lang w:val="zh-CN"/>
        </w:rPr>
      </w:pPr>
      <w:r>
        <w:rPr>
          <w:rFonts w:hint="eastAsia" w:ascii="宋体" w:hAnsi="宋体"/>
          <w:b/>
          <w:bCs/>
          <w:color w:val="000000"/>
          <w:sz w:val="21"/>
          <w:szCs w:val="21"/>
          <w:lang w:val="zh-CN"/>
        </w:rPr>
        <w:t>（4）使用规则：对列入失信被执行人、重大税收违法案件当事人名单、政府采购严重违法失信行为记录名单及其他不符合《中华人民共和国政府采购法》第二十二条规定条件的投标人，将被拒绝其参与政府采购活动。</w:t>
      </w:r>
    </w:p>
    <w:p>
      <w:pPr>
        <w:spacing w:line="312" w:lineRule="auto"/>
        <w:ind w:firstLine="413" w:firstLineChars="196"/>
        <w:rPr>
          <w:rFonts w:ascii="宋体"/>
          <w:b/>
          <w:color w:val="000000"/>
          <w:sz w:val="21"/>
          <w:lang w:val="zh-CN"/>
        </w:rPr>
      </w:pPr>
      <w:r>
        <w:rPr>
          <w:rFonts w:hint="eastAsia" w:ascii="宋体"/>
          <w:b/>
          <w:color w:val="000000"/>
          <w:sz w:val="21"/>
          <w:lang w:val="zh-CN"/>
        </w:rPr>
        <w:t>（五）质疑与投诉</w:t>
      </w:r>
    </w:p>
    <w:p>
      <w:pPr>
        <w:pStyle w:val="150"/>
        <w:spacing w:line="312" w:lineRule="auto"/>
        <w:ind w:firstLine="420" w:firstLineChars="200"/>
        <w:rPr>
          <w:rFonts w:hAnsi="Times New Roman"/>
          <w:color w:val="000000"/>
          <w:lang w:val="zh-CN"/>
        </w:rPr>
      </w:pPr>
      <w:r>
        <w:rPr>
          <w:lang w:val="zh-CN"/>
        </w:rPr>
        <w:t>1</w:t>
      </w:r>
      <w:r>
        <w:rPr>
          <w:rFonts w:hint="eastAsia"/>
          <w:lang w:val="zh-CN"/>
        </w:rPr>
        <w:t>、投标人认为采购文件、采购过程和中标结果使自己的权益收到损害的，可以在知道或者应知其权益收到损害之日起七个工作日内，以书面形式向采购代理机构提出质疑。</w:t>
      </w:r>
    </w:p>
    <w:p>
      <w:pPr>
        <w:pStyle w:val="150"/>
        <w:spacing w:line="312" w:lineRule="auto"/>
        <w:ind w:firstLine="420" w:firstLineChars="200"/>
        <w:rPr>
          <w:rFonts w:hAnsi="Times New Roman"/>
          <w:color w:val="000000"/>
          <w:lang w:val="zh-CN"/>
        </w:rPr>
      </w:pPr>
      <w:r>
        <w:rPr>
          <w:rFonts w:hint="eastAsia" w:hAnsi="Times New Roman"/>
          <w:color w:val="000000"/>
          <w:lang w:val="zh-CN"/>
        </w:rPr>
        <w:t>2、质疑投标人可直接提交、传真或邮寄方式提交质疑书（一式三份），以其他方式提出的质疑，采购代理机构</w:t>
      </w:r>
      <w:r>
        <w:rPr>
          <w:rFonts w:hAnsi="Times New Roman"/>
          <w:color w:val="000000"/>
          <w:lang w:val="zh-CN"/>
        </w:rPr>
        <w:t>可不予接受、答复。</w:t>
      </w:r>
      <w:r>
        <w:rPr>
          <w:rFonts w:hint="eastAsia" w:hAnsi="Times New Roman"/>
          <w:color w:val="000000"/>
          <w:lang w:val="zh-CN"/>
        </w:rPr>
        <w:t>其中，以</w:t>
      </w:r>
      <w:r>
        <w:rPr>
          <w:rFonts w:hAnsi="Times New Roman"/>
          <w:color w:val="000000"/>
          <w:lang w:val="zh-CN"/>
        </w:rPr>
        <w:t>传真方式送达质疑书的，</w:t>
      </w:r>
      <w:r>
        <w:rPr>
          <w:rFonts w:hint="eastAsia" w:hAnsi="Times New Roman"/>
          <w:color w:val="000000"/>
          <w:lang w:val="zh-CN"/>
        </w:rPr>
        <w:t>应</w:t>
      </w:r>
      <w:r>
        <w:rPr>
          <w:rFonts w:hAnsi="Times New Roman"/>
          <w:color w:val="000000"/>
          <w:lang w:val="zh-CN"/>
        </w:rPr>
        <w:t>及时将质疑书原件送达</w:t>
      </w:r>
      <w:r>
        <w:rPr>
          <w:rFonts w:hint="eastAsia" w:hAnsi="Times New Roman"/>
          <w:color w:val="000000"/>
          <w:lang w:val="zh-CN"/>
        </w:rPr>
        <w:t>采购代理机构，采购代理机构</w:t>
      </w:r>
      <w:r>
        <w:rPr>
          <w:rFonts w:hAnsi="Times New Roman"/>
          <w:color w:val="000000"/>
          <w:lang w:val="zh-CN"/>
        </w:rPr>
        <w:t>以实际收到原件之日作为收到质疑的日期</w:t>
      </w:r>
      <w:r>
        <w:rPr>
          <w:rFonts w:hint="eastAsia" w:hAnsi="Times New Roman"/>
          <w:color w:val="000000"/>
          <w:lang w:val="zh-CN"/>
        </w:rPr>
        <w:t>（在质疑期限届满前质疑书已经传真成功的，质疑不视为过期）；</w:t>
      </w:r>
      <w:r>
        <w:rPr>
          <w:rFonts w:hAnsi="Times New Roman"/>
          <w:color w:val="000000"/>
          <w:lang w:val="zh-CN"/>
        </w:rPr>
        <w:t>邮寄方式送达质疑书的，以</w:t>
      </w:r>
      <w:r>
        <w:rPr>
          <w:rFonts w:hint="eastAsia" w:hAnsi="Times New Roman"/>
          <w:color w:val="000000"/>
          <w:lang w:val="zh-CN"/>
        </w:rPr>
        <w:t>采购代理机构</w:t>
      </w:r>
      <w:r>
        <w:rPr>
          <w:rFonts w:hAnsi="Times New Roman"/>
          <w:color w:val="000000"/>
          <w:lang w:val="zh-CN"/>
        </w:rPr>
        <w:t>实际收到邮件之日作为收到质疑的日期。</w:t>
      </w:r>
    </w:p>
    <w:p>
      <w:pPr>
        <w:pStyle w:val="150"/>
        <w:spacing w:line="312" w:lineRule="auto"/>
        <w:ind w:firstLine="420" w:firstLineChars="200"/>
        <w:rPr>
          <w:color w:val="000000"/>
          <w:lang w:val="zh-CN"/>
        </w:rPr>
      </w:pPr>
      <w:r>
        <w:rPr>
          <w:rFonts w:hint="eastAsia"/>
          <w:color w:val="000000"/>
          <w:lang w:val="zh-CN"/>
        </w:rPr>
        <w:t>3、</w:t>
      </w:r>
      <w:r>
        <w:rPr>
          <w:rFonts w:hint="eastAsia" w:hAnsi="Times New Roman"/>
          <w:color w:val="000000"/>
          <w:lang w:val="zh-CN"/>
        </w:rPr>
        <w:t>采购代理机构在收到质疑投标人的书面质疑后7个工作日内作出书面答复（涉及项目公开招标需求内容的由采购人答复），质疑人在收到答复后应于1 日内，以书面或传真形式（签署意见并加盖公章）向采购代理机构回复予以确认。过期未回复的，视为默认接受。</w:t>
      </w:r>
    </w:p>
    <w:p>
      <w:pPr>
        <w:spacing w:line="312" w:lineRule="auto"/>
        <w:ind w:firstLine="482"/>
        <w:rPr>
          <w:sz w:val="21"/>
          <w:lang w:val="zh-CN"/>
        </w:rPr>
      </w:pPr>
      <w:r>
        <w:rPr>
          <w:rFonts w:hint="eastAsia"/>
          <w:sz w:val="21"/>
          <w:lang w:val="zh-CN"/>
        </w:rPr>
        <w:t>4、质疑投标人捏造事实、提供虚假材料进行质疑的，采购代理机构报告同级财政部门。情况属实的，列入不良行为记录并在指定的媒体上公告。</w:t>
      </w:r>
    </w:p>
    <w:p>
      <w:pPr>
        <w:spacing w:line="312" w:lineRule="auto"/>
        <w:ind w:firstLine="482"/>
        <w:rPr>
          <w:rFonts w:ascii="宋体"/>
          <w:color w:val="000000"/>
          <w:sz w:val="21"/>
          <w:lang w:val="zh-CN"/>
        </w:rPr>
      </w:pPr>
      <w:r>
        <w:rPr>
          <w:rFonts w:hint="eastAsia"/>
          <w:color w:val="000000"/>
          <w:sz w:val="21"/>
          <w:lang w:val="zh-CN"/>
        </w:rPr>
        <w:t>5、</w:t>
      </w:r>
      <w:r>
        <w:rPr>
          <w:rFonts w:ascii="宋体" w:hAnsi="宋体"/>
          <w:color w:val="000000"/>
          <w:kern w:val="0"/>
          <w:sz w:val="21"/>
        </w:rPr>
        <w:t>质疑</w:t>
      </w:r>
      <w:r>
        <w:rPr>
          <w:rFonts w:hint="eastAsia"/>
          <w:sz w:val="21"/>
          <w:lang w:val="zh-CN"/>
        </w:rPr>
        <w:t>投标人</w:t>
      </w:r>
      <w:r>
        <w:rPr>
          <w:rFonts w:ascii="宋体" w:hAnsi="宋体"/>
          <w:color w:val="000000"/>
          <w:kern w:val="0"/>
          <w:sz w:val="21"/>
        </w:rPr>
        <w:t>对采购人、采购代理机构的答复不满意或者采购人、采购代理机构未在规定的时间内作出答复的，可以在答复期满后十五个工作日内向</w:t>
      </w:r>
      <w:r>
        <w:rPr>
          <w:rFonts w:hint="eastAsia" w:ascii="宋体" w:hAnsi="宋体"/>
          <w:color w:val="000000"/>
          <w:kern w:val="0"/>
          <w:sz w:val="21"/>
        </w:rPr>
        <w:t>仙居县财政局政府采购监管科</w:t>
      </w:r>
      <w:r>
        <w:rPr>
          <w:rFonts w:ascii="宋体" w:hAnsi="宋体"/>
          <w:color w:val="000000"/>
          <w:kern w:val="0"/>
          <w:sz w:val="21"/>
        </w:rPr>
        <w:t>投诉。</w:t>
      </w:r>
    </w:p>
    <w:p>
      <w:pPr>
        <w:autoSpaceDE w:val="0"/>
        <w:autoSpaceDN w:val="0"/>
        <w:adjustRightInd w:val="0"/>
        <w:spacing w:line="360" w:lineRule="auto"/>
        <w:jc w:val="center"/>
        <w:outlineLvl w:val="1"/>
        <w:rPr>
          <w:rFonts w:ascii="宋体"/>
          <w:b/>
          <w:color w:val="000000"/>
          <w:sz w:val="21"/>
          <w:lang w:val="zh-CN"/>
        </w:rPr>
      </w:pPr>
      <w:r>
        <w:rPr>
          <w:rFonts w:hint="eastAsia" w:ascii="宋体"/>
          <w:b/>
          <w:color w:val="000000"/>
          <w:sz w:val="21"/>
          <w:lang w:val="zh-CN"/>
        </w:rPr>
        <w:t>二、招标文件</w:t>
      </w:r>
      <w:bookmarkEnd w:id="14"/>
      <w:bookmarkEnd w:id="15"/>
    </w:p>
    <w:p>
      <w:pPr>
        <w:autoSpaceDE w:val="0"/>
        <w:autoSpaceDN w:val="0"/>
        <w:adjustRightInd w:val="0"/>
        <w:snapToGrid w:val="0"/>
        <w:spacing w:line="312" w:lineRule="auto"/>
        <w:rPr>
          <w:rFonts w:ascii="宋体" w:hAnsi="宋体"/>
          <w:kern w:val="0"/>
          <w:sz w:val="21"/>
        </w:rPr>
      </w:pPr>
      <w:r>
        <w:rPr>
          <w:rFonts w:hint="eastAsia" w:ascii="宋体" w:hAnsi="宋体"/>
          <w:kern w:val="0"/>
          <w:sz w:val="21"/>
        </w:rPr>
        <w:t xml:space="preserve">   （一）招标文件由招标文件总目录所列内容组成。</w:t>
      </w:r>
    </w:p>
    <w:p>
      <w:pPr>
        <w:autoSpaceDE w:val="0"/>
        <w:autoSpaceDN w:val="0"/>
        <w:adjustRightInd w:val="0"/>
        <w:snapToGrid w:val="0"/>
        <w:spacing w:line="312" w:lineRule="auto"/>
        <w:ind w:firstLine="315" w:firstLineChars="150"/>
        <w:rPr>
          <w:rFonts w:ascii="宋体" w:hAnsi="宋体"/>
          <w:kern w:val="0"/>
          <w:sz w:val="21"/>
        </w:rPr>
      </w:pPr>
      <w:r>
        <w:rPr>
          <w:rFonts w:hint="eastAsia" w:ascii="宋体" w:hAnsi="宋体"/>
          <w:kern w:val="0"/>
          <w:sz w:val="21"/>
        </w:rPr>
        <w:t>（二）招标文件的澄清或修改</w:t>
      </w:r>
    </w:p>
    <w:p>
      <w:pPr>
        <w:autoSpaceDE w:val="0"/>
        <w:autoSpaceDN w:val="0"/>
        <w:adjustRightInd w:val="0"/>
        <w:snapToGrid w:val="0"/>
        <w:spacing w:line="312" w:lineRule="auto"/>
        <w:ind w:firstLine="420" w:firstLineChars="200"/>
        <w:rPr>
          <w:rFonts w:ascii="宋体" w:hAnsi="宋体"/>
          <w:kern w:val="0"/>
          <w:sz w:val="21"/>
        </w:rPr>
      </w:pPr>
      <w:r>
        <w:rPr>
          <w:rFonts w:hint="eastAsia" w:ascii="宋体" w:hAnsi="宋体"/>
          <w:kern w:val="0"/>
          <w:sz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20" w:firstLineChars="200"/>
        <w:rPr>
          <w:rFonts w:ascii="宋体" w:hAnsi="宋体"/>
          <w:kern w:val="0"/>
          <w:sz w:val="21"/>
        </w:rPr>
      </w:pPr>
      <w:r>
        <w:rPr>
          <w:rFonts w:hint="eastAsia" w:ascii="宋体" w:hAnsi="宋体"/>
          <w:kern w:val="0"/>
          <w:sz w:val="21"/>
        </w:rPr>
        <w:t>2、</w:t>
      </w:r>
      <w:r>
        <w:rPr>
          <w:rFonts w:ascii="宋体" w:hAnsi="宋体"/>
          <w:kern w:val="0"/>
          <w:sz w:val="21"/>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宋体" w:hAnsi="宋体"/>
          <w:kern w:val="0"/>
          <w:sz w:val="21"/>
        </w:rPr>
        <w:t>。</w:t>
      </w:r>
    </w:p>
    <w:p>
      <w:pPr>
        <w:autoSpaceDE w:val="0"/>
        <w:autoSpaceDN w:val="0"/>
        <w:adjustRightInd w:val="0"/>
        <w:spacing w:line="360" w:lineRule="auto"/>
        <w:ind w:firstLine="420" w:firstLineChars="200"/>
        <w:rPr>
          <w:rFonts w:ascii="宋体" w:hAnsi="宋体"/>
          <w:color w:val="FF0000"/>
          <w:sz w:val="21"/>
        </w:rPr>
      </w:pPr>
      <w:r>
        <w:rPr>
          <w:rFonts w:hint="eastAsia" w:ascii="宋体" w:hAnsi="宋体"/>
          <w:kern w:val="0"/>
          <w:sz w:val="21"/>
        </w:rPr>
        <w:t>3、当招标文件与招标文件的澄清、修改、补充等在同一内容的表述上不一致时，以最后发出的书面文件为准。</w:t>
      </w:r>
    </w:p>
    <w:p>
      <w:pPr>
        <w:autoSpaceDE w:val="0"/>
        <w:autoSpaceDN w:val="0"/>
        <w:adjustRightInd w:val="0"/>
        <w:spacing w:line="360" w:lineRule="auto"/>
        <w:jc w:val="center"/>
        <w:outlineLvl w:val="1"/>
        <w:rPr>
          <w:rFonts w:ascii="宋体"/>
          <w:b/>
          <w:color w:val="000000"/>
          <w:sz w:val="21"/>
          <w:lang w:val="zh-CN"/>
        </w:rPr>
      </w:pPr>
      <w:bookmarkStart w:id="16" w:name="_Toc306901452"/>
      <w:bookmarkStart w:id="17" w:name="_Toc255459640"/>
      <w:bookmarkStart w:id="18" w:name="_Toc173810695"/>
      <w:bookmarkStart w:id="19" w:name="_Toc302983100"/>
      <w:bookmarkStart w:id="20" w:name="_Toc255819824"/>
      <w:bookmarkStart w:id="21" w:name="_Toc255821818"/>
      <w:r>
        <w:rPr>
          <w:rFonts w:hint="eastAsia" w:ascii="宋体"/>
          <w:b/>
          <w:color w:val="000000"/>
          <w:sz w:val="21"/>
          <w:lang w:val="zh-CN"/>
        </w:rPr>
        <w:t>三、投标文件</w:t>
      </w:r>
      <w:bookmarkEnd w:id="16"/>
      <w:bookmarkEnd w:id="17"/>
      <w:bookmarkEnd w:id="18"/>
      <w:bookmarkEnd w:id="19"/>
      <w:bookmarkEnd w:id="20"/>
      <w:bookmarkEnd w:id="21"/>
      <w:r>
        <w:rPr>
          <w:rFonts w:hint="eastAsia" w:ascii="宋体"/>
          <w:b/>
          <w:color w:val="000000"/>
          <w:sz w:val="21"/>
          <w:lang w:val="zh-CN"/>
        </w:rPr>
        <w:t>的编制</w:t>
      </w:r>
    </w:p>
    <w:p>
      <w:pPr>
        <w:autoSpaceDE w:val="0"/>
        <w:autoSpaceDN w:val="0"/>
        <w:adjustRightInd w:val="0"/>
        <w:snapToGrid w:val="0"/>
        <w:spacing w:line="312" w:lineRule="auto"/>
        <w:ind w:firstLine="420" w:firstLineChars="200"/>
        <w:rPr>
          <w:rFonts w:ascii="宋体" w:hAnsi="宋体"/>
          <w:kern w:val="0"/>
          <w:sz w:val="21"/>
        </w:rPr>
      </w:pPr>
      <w:r>
        <w:rPr>
          <w:rFonts w:hint="eastAsia" w:ascii="宋体" w:hAnsi="宋体"/>
          <w:color w:val="000000"/>
          <w:sz w:val="21"/>
          <w:lang w:val="zh-CN"/>
        </w:rPr>
        <w:t>（一）</w:t>
      </w:r>
      <w:r>
        <w:rPr>
          <w:rFonts w:hint="eastAsia" w:ascii="宋体" w:hAnsi="宋体"/>
          <w:kern w:val="0"/>
          <w:sz w:val="21"/>
        </w:rPr>
        <w:t>投标文件的组成</w:t>
      </w:r>
    </w:p>
    <w:p>
      <w:pPr>
        <w:snapToGrid w:val="0"/>
        <w:spacing w:line="334" w:lineRule="auto"/>
        <w:ind w:firstLine="422" w:firstLineChars="200"/>
        <w:rPr>
          <w:lang w:val="zh-CN"/>
        </w:rPr>
      </w:pPr>
      <w:r>
        <w:rPr>
          <w:rFonts w:hint="eastAsia" w:ascii="宋体" w:hAnsi="宋体" w:cs="宋体"/>
          <w:b/>
          <w:bCs/>
          <w:sz w:val="21"/>
          <w:szCs w:val="21"/>
        </w:rPr>
        <w:t>投标文件由资格证明文件、商务与技术文件、报价文件组成。</w:t>
      </w:r>
      <w:r>
        <w:rPr>
          <w:rFonts w:hint="eastAsia"/>
          <w:color w:val="000000"/>
          <w:kern w:val="0"/>
          <w:sz w:val="21"/>
          <w:szCs w:val="21"/>
          <w:lang w:val="zh-CN"/>
        </w:rPr>
        <w:t>【</w:t>
      </w:r>
      <w:r>
        <w:rPr>
          <w:rFonts w:hint="eastAsia"/>
          <w:b/>
          <w:color w:val="000000"/>
          <w:kern w:val="0"/>
          <w:sz w:val="21"/>
          <w:szCs w:val="21"/>
          <w:u w:val="single"/>
          <w:lang w:val="zh-CN"/>
        </w:rPr>
        <w:t>特别提示：①如有要求提供资料原件的，原件另行包装，并与投标文件一起通过邮寄方式提交，投标截止时间后所有原件不予接收。资料原件也可以用与原件相符的公证原件替代；②投标文件中所有证书证件等证明材料复印件应加盖单位公章，否则可能影响评分。</w:t>
      </w:r>
      <w:r>
        <w:rPr>
          <w:rFonts w:hint="eastAsia"/>
          <w:color w:val="000000"/>
          <w:kern w:val="0"/>
          <w:sz w:val="21"/>
          <w:szCs w:val="21"/>
          <w:lang w:val="zh-CN"/>
        </w:rPr>
        <w:t>】</w:t>
      </w:r>
    </w:p>
    <w:p>
      <w:pPr>
        <w:snapToGrid w:val="0"/>
        <w:spacing w:line="312" w:lineRule="auto"/>
        <w:ind w:firstLine="525" w:firstLineChars="250"/>
        <w:rPr>
          <w:rFonts w:ascii="宋体" w:hAnsi="宋体"/>
          <w:sz w:val="21"/>
        </w:rPr>
      </w:pPr>
      <w:r>
        <w:rPr>
          <w:rFonts w:hint="eastAsia" w:ascii="宋体" w:hAnsi="宋体"/>
          <w:sz w:val="21"/>
        </w:rPr>
        <w:t>▲1、资格证明文件的组成：</w:t>
      </w:r>
    </w:p>
    <w:p>
      <w:pPr>
        <w:snapToGrid w:val="0"/>
        <w:spacing w:line="348" w:lineRule="auto"/>
        <w:ind w:firstLine="420" w:firstLineChars="200"/>
        <w:rPr>
          <w:rFonts w:ascii="宋体" w:hAnsi="宋体" w:cs="宋体"/>
          <w:sz w:val="21"/>
          <w:szCs w:val="21"/>
          <w:lang w:val="zh-CN"/>
        </w:rPr>
      </w:pPr>
      <w:r>
        <w:rPr>
          <w:rFonts w:hint="eastAsia" w:ascii="宋体" w:hAnsi="宋体" w:cs="宋体"/>
          <w:sz w:val="21"/>
          <w:szCs w:val="21"/>
          <w:lang w:val="zh-CN"/>
        </w:rPr>
        <w:t>（1）</w:t>
      </w:r>
      <w:r>
        <w:rPr>
          <w:rFonts w:hint="eastAsia" w:ascii="宋体" w:hAnsi="宋体"/>
          <w:sz w:val="21"/>
          <w:szCs w:val="21"/>
        </w:rPr>
        <w:t>投标声明书（格式见附件）；</w:t>
      </w:r>
    </w:p>
    <w:p>
      <w:pPr>
        <w:snapToGrid w:val="0"/>
        <w:spacing w:line="348" w:lineRule="auto"/>
        <w:ind w:firstLine="420" w:firstLineChars="200"/>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2</w:t>
      </w:r>
      <w:r>
        <w:rPr>
          <w:rFonts w:hint="eastAsia" w:ascii="宋体" w:hAnsi="宋体" w:cs="宋体"/>
          <w:sz w:val="21"/>
          <w:szCs w:val="21"/>
          <w:lang w:val="zh-CN"/>
        </w:rPr>
        <w:t>）授权委托书（法定代表人亲自办理投标事宜的，则无需提交)；（</w:t>
      </w:r>
      <w:r>
        <w:rPr>
          <w:rFonts w:hint="eastAsia" w:ascii="宋体" w:hAnsi="宋体"/>
          <w:sz w:val="21"/>
          <w:szCs w:val="21"/>
        </w:rPr>
        <w:t>格式见附件</w:t>
      </w:r>
      <w:r>
        <w:rPr>
          <w:rFonts w:hint="eastAsia" w:ascii="宋体" w:hAnsi="宋体" w:cs="宋体"/>
          <w:sz w:val="21"/>
          <w:szCs w:val="21"/>
          <w:lang w:val="zh-CN"/>
        </w:rPr>
        <w:t>）</w:t>
      </w:r>
    </w:p>
    <w:p>
      <w:pPr>
        <w:snapToGrid w:val="0"/>
        <w:spacing w:line="348" w:lineRule="auto"/>
        <w:ind w:firstLine="420" w:firstLineChars="200"/>
        <w:rPr>
          <w:rFonts w:ascii="宋体" w:hAnsi="宋体"/>
          <w:sz w:val="21"/>
          <w:szCs w:val="21"/>
        </w:rPr>
      </w:pPr>
      <w:r>
        <w:rPr>
          <w:rFonts w:hint="eastAsia" w:ascii="宋体" w:hAnsi="宋体"/>
          <w:sz w:val="21"/>
          <w:szCs w:val="21"/>
        </w:rPr>
        <w:t>（3）</w:t>
      </w:r>
      <w:r>
        <w:rPr>
          <w:rFonts w:ascii="宋体" w:hAnsi="宋体"/>
          <w:sz w:val="21"/>
          <w:szCs w:val="21"/>
        </w:rPr>
        <w:t>政府采购诚信竞投承诺书</w:t>
      </w:r>
      <w:r>
        <w:rPr>
          <w:rFonts w:hint="eastAsia" w:ascii="宋体" w:hAnsi="宋体"/>
          <w:sz w:val="21"/>
          <w:szCs w:val="21"/>
        </w:rPr>
        <w:t>；</w:t>
      </w:r>
      <w:r>
        <w:rPr>
          <w:rFonts w:hint="eastAsia" w:ascii="宋体" w:hAnsi="宋体"/>
          <w:sz w:val="21"/>
          <w:szCs w:val="21"/>
          <w:lang w:val="zh-CN"/>
        </w:rPr>
        <w:t>（格式见附件）</w:t>
      </w:r>
    </w:p>
    <w:p>
      <w:pPr>
        <w:pStyle w:val="2"/>
        <w:snapToGrid w:val="0"/>
        <w:spacing w:line="348" w:lineRule="auto"/>
        <w:ind w:firstLine="420" w:firstLineChars="200"/>
        <w:rPr>
          <w:lang w:val="zh-CN"/>
        </w:rPr>
      </w:pPr>
      <w:r>
        <w:rPr>
          <w:rFonts w:hint="eastAsia"/>
        </w:rPr>
        <w:t>（</w:t>
      </w:r>
      <w:r>
        <w:rPr>
          <w:rFonts w:hint="eastAsia" w:ascii="宋体" w:hAnsi="宋体" w:cs="宋体"/>
        </w:rPr>
        <w:t>4</w:t>
      </w:r>
      <w:r>
        <w:rPr>
          <w:rFonts w:hint="eastAsia"/>
          <w:lang w:val="zh-CN"/>
        </w:rPr>
        <w:t>）具备履行合同所必需的设备和专业技术能力的承诺（格式见附件）；</w:t>
      </w:r>
    </w:p>
    <w:p>
      <w:pPr>
        <w:snapToGrid w:val="0"/>
        <w:spacing w:line="348" w:lineRule="auto"/>
        <w:ind w:firstLine="420" w:firstLineChars="200"/>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）提供有效的营业执照复印件；如事业单位参加投标的，则提供有效的《事业单位法人证书》复印件；</w:t>
      </w:r>
    </w:p>
    <w:p>
      <w:pPr>
        <w:snapToGrid w:val="0"/>
        <w:spacing w:line="348" w:lineRule="auto"/>
        <w:ind w:firstLine="420" w:firstLineChars="200"/>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6</w:t>
      </w:r>
      <w:r>
        <w:rPr>
          <w:rFonts w:hint="eastAsia" w:ascii="宋体" w:hAnsi="宋体" w:cs="宋体"/>
          <w:sz w:val="21"/>
          <w:szCs w:val="21"/>
          <w:lang w:val="zh-CN"/>
        </w:rPr>
        <w:t>）财务状况报告：提供健全的财务会计制度承诺函（格式见附件）或提供最近年度的资产负债表、利润表或者投标截止时间前三个月内任意一个月银行出具的资信证明（</w:t>
      </w:r>
      <w:r>
        <w:rPr>
          <w:rFonts w:hint="eastAsia"/>
          <w:sz w:val="21"/>
          <w:lang w:val="zh-CN"/>
        </w:rPr>
        <w:t>投标人</w:t>
      </w:r>
      <w:r>
        <w:rPr>
          <w:rFonts w:hint="eastAsia" w:ascii="宋体" w:hAnsi="宋体" w:cs="宋体"/>
          <w:sz w:val="21"/>
          <w:szCs w:val="21"/>
          <w:lang w:val="zh-CN"/>
        </w:rPr>
        <w:t>为法人的，提供其基本开户银行出具的资信证明；</w:t>
      </w:r>
      <w:r>
        <w:rPr>
          <w:rFonts w:hint="eastAsia"/>
          <w:sz w:val="21"/>
          <w:lang w:val="zh-CN"/>
        </w:rPr>
        <w:t>投标人</w:t>
      </w:r>
      <w:r>
        <w:rPr>
          <w:rFonts w:hint="eastAsia" w:ascii="宋体" w:hAnsi="宋体" w:cs="宋体"/>
          <w:sz w:val="21"/>
          <w:szCs w:val="21"/>
          <w:lang w:val="zh-CN"/>
        </w:rPr>
        <w:t>为其他组织或自然人的，提供银行出具的资信证明）；</w:t>
      </w:r>
    </w:p>
    <w:p>
      <w:pPr>
        <w:snapToGrid w:val="0"/>
        <w:spacing w:line="348" w:lineRule="auto"/>
        <w:ind w:firstLine="420" w:firstLineChars="200"/>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依法缴纳税收和社会保障资金：提供依法缴纳税收及社会保障资金的书面承诺（格式见附件）或提供①②两点证明材料（①依法缴纳税收：投标截止时间前六个月中，任一月税务部门出具的有税种的完税证明电子文档或税务部门出具的无欠税证明（享受免税政策的，应出具说明函或者提供依法免税证明资料）；②社会保障资金：投标截止时间前六个月中，任一月缴纳社会保险的凭据电子文档（税务部门出具的专用收据或社保部门出具的社会保险缴纳清单或社保部门出具的社保证明））；</w:t>
      </w:r>
    </w:p>
    <w:p>
      <w:pPr>
        <w:snapToGrid w:val="0"/>
        <w:spacing w:line="348" w:lineRule="auto"/>
        <w:ind w:firstLine="420" w:firstLineChars="200"/>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8</w:t>
      </w:r>
      <w:r>
        <w:rPr>
          <w:rFonts w:hint="eastAsia" w:ascii="宋体" w:hAnsi="宋体" w:cs="宋体"/>
          <w:sz w:val="21"/>
          <w:szCs w:val="21"/>
          <w:lang w:val="zh-CN"/>
        </w:rPr>
        <w:t>）参加政府采购活动前3年内在经营活动中没有重大违法记录的书面声明（声明书格式见附件）；</w:t>
      </w:r>
    </w:p>
    <w:p>
      <w:pPr>
        <w:snapToGrid w:val="0"/>
        <w:spacing w:line="348" w:lineRule="auto"/>
        <w:ind w:firstLine="420" w:firstLineChars="200"/>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9</w:t>
      </w:r>
      <w:r>
        <w:rPr>
          <w:rFonts w:hint="eastAsia" w:ascii="宋体" w:hAnsi="宋体" w:cs="宋体"/>
          <w:sz w:val="21"/>
          <w:szCs w:val="21"/>
          <w:lang w:val="zh-CN"/>
        </w:rPr>
        <w:t>）提供采购公告中符合</w:t>
      </w:r>
      <w:r>
        <w:rPr>
          <w:rFonts w:hint="eastAsia"/>
          <w:sz w:val="21"/>
          <w:lang w:val="zh-CN"/>
        </w:rPr>
        <w:t>投标人</w:t>
      </w:r>
      <w:r>
        <w:rPr>
          <w:rFonts w:hint="eastAsia" w:ascii="宋体" w:hAnsi="宋体" w:cs="宋体"/>
          <w:sz w:val="21"/>
          <w:szCs w:val="21"/>
          <w:lang w:val="zh-CN"/>
        </w:rPr>
        <w:t>特定资格要求的有效证明材料复印件（</w:t>
      </w:r>
      <w:r>
        <w:rPr>
          <w:rFonts w:hint="eastAsia"/>
          <w:sz w:val="21"/>
          <w:lang w:val="zh-CN"/>
        </w:rPr>
        <w:t>投标人</w:t>
      </w:r>
      <w:r>
        <w:rPr>
          <w:rFonts w:hint="eastAsia" w:ascii="宋体" w:hAnsi="宋体" w:cs="宋体"/>
          <w:sz w:val="21"/>
          <w:szCs w:val="21"/>
          <w:lang w:val="zh-CN"/>
        </w:rPr>
        <w:t>特定条件中有要求的必须提供），以及需要说明的其他资料。</w:t>
      </w:r>
    </w:p>
    <w:p>
      <w:pPr>
        <w:snapToGrid w:val="0"/>
        <w:spacing w:line="312" w:lineRule="auto"/>
        <w:ind w:firstLine="630" w:firstLineChars="300"/>
        <w:rPr>
          <w:rFonts w:ascii="宋体" w:hAnsi="宋体"/>
          <w:sz w:val="21"/>
        </w:rPr>
      </w:pPr>
      <w:r>
        <w:rPr>
          <w:rFonts w:hint="eastAsia" w:ascii="宋体" w:hAnsi="宋体"/>
          <w:sz w:val="21"/>
        </w:rPr>
        <w:t>2、商务与技术文件的组成：</w:t>
      </w:r>
    </w:p>
    <w:p>
      <w:pPr>
        <w:snapToGrid w:val="0"/>
        <w:spacing w:line="312" w:lineRule="auto"/>
        <w:ind w:firstLine="420" w:firstLineChars="200"/>
        <w:rPr>
          <w:rFonts w:ascii="宋体" w:hAnsi="宋体"/>
          <w:sz w:val="21"/>
        </w:rPr>
      </w:pPr>
      <w:r>
        <w:rPr>
          <w:rFonts w:hint="eastAsia" w:ascii="宋体" w:hAnsi="宋体"/>
          <w:sz w:val="21"/>
        </w:rPr>
        <w:t>（1）商务响应承诺函（见附件）。</w:t>
      </w:r>
    </w:p>
    <w:p>
      <w:pPr>
        <w:snapToGrid w:val="0"/>
        <w:spacing w:line="312" w:lineRule="auto"/>
        <w:ind w:firstLine="420" w:firstLineChars="200"/>
        <w:rPr>
          <w:rFonts w:ascii="宋体" w:hAnsi="宋体"/>
          <w:sz w:val="21"/>
        </w:rPr>
      </w:pPr>
      <w:r>
        <w:rPr>
          <w:rFonts w:hint="eastAsia" w:ascii="宋体" w:hAnsi="宋体"/>
          <w:sz w:val="21"/>
        </w:rPr>
        <w:t>（2）投标响应产品描述及相关资料：</w:t>
      </w:r>
    </w:p>
    <w:p>
      <w:pPr>
        <w:snapToGrid w:val="0"/>
        <w:spacing w:line="312" w:lineRule="auto"/>
        <w:ind w:firstLine="420" w:firstLineChars="200"/>
        <w:rPr>
          <w:rFonts w:ascii="宋体" w:hAnsi="宋体"/>
          <w:sz w:val="21"/>
        </w:rPr>
      </w:pPr>
      <w:r>
        <w:rPr>
          <w:rFonts w:hint="eastAsia" w:ascii="宋体" w:hAnsi="宋体"/>
          <w:sz w:val="21"/>
        </w:rPr>
        <w:t>A.供货清单（均不含报价）；</w:t>
      </w:r>
    </w:p>
    <w:p>
      <w:pPr>
        <w:snapToGrid w:val="0"/>
        <w:spacing w:line="312" w:lineRule="auto"/>
        <w:ind w:firstLine="420" w:firstLineChars="200"/>
        <w:rPr>
          <w:rFonts w:ascii="宋体" w:hAnsi="宋体"/>
          <w:sz w:val="21"/>
        </w:rPr>
      </w:pPr>
      <w:r>
        <w:rPr>
          <w:rFonts w:hint="eastAsia" w:ascii="宋体" w:hAnsi="宋体"/>
          <w:sz w:val="21"/>
        </w:rPr>
        <w:t>B.产品品牌及型号、技术参数指标、性能特点、图片资料以及所遵循的技术规范、产品质保期、出厂标准、产品质量相关检测报告等内容；</w:t>
      </w:r>
    </w:p>
    <w:p>
      <w:pPr>
        <w:snapToGrid w:val="0"/>
        <w:spacing w:line="312" w:lineRule="auto"/>
        <w:ind w:firstLine="420" w:firstLineChars="200"/>
        <w:rPr>
          <w:rFonts w:ascii="宋体" w:hAnsi="宋体"/>
          <w:sz w:val="21"/>
        </w:rPr>
      </w:pPr>
      <w:r>
        <w:rPr>
          <w:rFonts w:hint="eastAsia" w:ascii="宋体" w:hAnsi="宋体"/>
          <w:sz w:val="21"/>
        </w:rPr>
        <w:t>（3）类似项目业绩一览表（如有）</w:t>
      </w:r>
    </w:p>
    <w:p>
      <w:pPr>
        <w:snapToGrid w:val="0"/>
        <w:spacing w:line="312" w:lineRule="auto"/>
        <w:ind w:firstLine="420" w:firstLineChars="200"/>
        <w:rPr>
          <w:rFonts w:ascii="宋体" w:hAnsi="宋体"/>
          <w:sz w:val="21"/>
        </w:rPr>
      </w:pPr>
      <w:r>
        <w:rPr>
          <w:rFonts w:hint="eastAsia" w:ascii="宋体" w:hAnsi="宋体"/>
          <w:sz w:val="21"/>
        </w:rPr>
        <w:t>（4）投标人根据评分办法编制的各项内容（缺项的得0分）。</w:t>
      </w:r>
    </w:p>
    <w:p>
      <w:pPr>
        <w:snapToGrid w:val="0"/>
        <w:spacing w:line="312" w:lineRule="auto"/>
        <w:ind w:firstLine="420" w:firstLineChars="200"/>
        <w:rPr>
          <w:rFonts w:ascii="宋体" w:hAnsi="宋体"/>
          <w:sz w:val="21"/>
        </w:rPr>
      </w:pPr>
      <w:r>
        <w:rPr>
          <w:rFonts w:hint="eastAsia" w:ascii="宋体" w:hAnsi="宋体"/>
          <w:sz w:val="21"/>
        </w:rPr>
        <w:t>（5）</w:t>
      </w:r>
      <w:r>
        <w:rPr>
          <w:rFonts w:hint="eastAsia" w:ascii="宋体" w:hAnsi="宋体"/>
          <w:kern w:val="0"/>
          <w:sz w:val="21"/>
        </w:rPr>
        <w:t>投标人认为需要提供的其他资料</w:t>
      </w:r>
      <w:r>
        <w:rPr>
          <w:rFonts w:hint="eastAsia" w:ascii="宋体" w:hAnsi="宋体"/>
          <w:sz w:val="21"/>
        </w:rPr>
        <w:t>。</w:t>
      </w:r>
    </w:p>
    <w:p>
      <w:pPr>
        <w:snapToGrid w:val="0"/>
        <w:spacing w:line="312" w:lineRule="auto"/>
        <w:ind w:firstLine="420" w:firstLineChars="200"/>
        <w:rPr>
          <w:rFonts w:ascii="宋体" w:hAnsi="宋体"/>
          <w:sz w:val="21"/>
        </w:rPr>
      </w:pPr>
      <w:r>
        <w:rPr>
          <w:rFonts w:hint="eastAsia" w:ascii="宋体" w:hAnsi="宋体"/>
          <w:sz w:val="21"/>
        </w:rPr>
        <w:t>3、报价文件的组成：</w:t>
      </w:r>
    </w:p>
    <w:p>
      <w:pPr>
        <w:snapToGrid w:val="0"/>
        <w:spacing w:line="312" w:lineRule="auto"/>
        <w:ind w:firstLine="420" w:firstLineChars="200"/>
        <w:rPr>
          <w:rFonts w:ascii="宋体" w:hAnsi="宋体"/>
          <w:sz w:val="21"/>
        </w:rPr>
      </w:pPr>
      <w:r>
        <w:rPr>
          <w:rFonts w:hint="eastAsia" w:ascii="宋体" w:hAnsi="宋体"/>
          <w:sz w:val="21"/>
        </w:rPr>
        <w:t>（1）开标一览表（见附件）；</w:t>
      </w:r>
    </w:p>
    <w:p>
      <w:pPr>
        <w:snapToGrid w:val="0"/>
        <w:spacing w:line="312" w:lineRule="auto"/>
        <w:ind w:firstLine="420" w:firstLineChars="200"/>
        <w:rPr>
          <w:rFonts w:ascii="宋体" w:hAnsi="宋体"/>
          <w:sz w:val="21"/>
        </w:rPr>
      </w:pPr>
      <w:r>
        <w:rPr>
          <w:rFonts w:hint="eastAsia" w:ascii="宋体" w:hAnsi="宋体"/>
          <w:sz w:val="21"/>
        </w:rPr>
        <w:t>（2）投标报价明细表（见附件）。</w:t>
      </w:r>
    </w:p>
    <w:p>
      <w:pPr>
        <w:autoSpaceDE w:val="0"/>
        <w:autoSpaceDN w:val="0"/>
        <w:adjustRightInd w:val="0"/>
        <w:snapToGrid w:val="0"/>
        <w:spacing w:line="334" w:lineRule="auto"/>
        <w:ind w:firstLine="210" w:firstLineChars="100"/>
        <w:rPr>
          <w:rFonts w:ascii="宋体" w:hAnsi="宋体" w:cs="宋体"/>
          <w:sz w:val="21"/>
          <w:szCs w:val="21"/>
          <w:lang w:val="zh-CN"/>
        </w:rPr>
      </w:pPr>
      <w:r>
        <w:rPr>
          <w:rFonts w:hint="eastAsia" w:ascii="宋体" w:hAnsi="宋体" w:cs="宋体"/>
          <w:sz w:val="21"/>
          <w:szCs w:val="21"/>
          <w:lang w:val="zh-CN"/>
        </w:rPr>
        <w:t>（二）投标报价</w:t>
      </w:r>
    </w:p>
    <w:p>
      <w:pPr>
        <w:autoSpaceDE w:val="0"/>
        <w:autoSpaceDN w:val="0"/>
        <w:adjustRightInd w:val="0"/>
        <w:spacing w:line="312" w:lineRule="auto"/>
        <w:ind w:firstLine="420" w:firstLineChars="200"/>
        <w:rPr>
          <w:kern w:val="0"/>
          <w:sz w:val="21"/>
        </w:rPr>
      </w:pPr>
      <w:r>
        <w:rPr>
          <w:rFonts w:hint="eastAsia" w:ascii="宋体" w:hAnsi="宋体" w:cs="宋体"/>
          <w:sz w:val="21"/>
          <w:szCs w:val="21"/>
        </w:rPr>
        <w:t>1、</w:t>
      </w:r>
      <w:r>
        <w:rPr>
          <w:rFonts w:hint="eastAsia"/>
          <w:kern w:val="0"/>
          <w:sz w:val="21"/>
        </w:rPr>
        <w:t>此报价为投标人一次性报出唯一的最终价格，包含其它一切所要涉及到的费用，有选择的报价将被拒绝。</w:t>
      </w:r>
    </w:p>
    <w:p>
      <w:pPr>
        <w:autoSpaceDE w:val="0"/>
        <w:autoSpaceDN w:val="0"/>
        <w:adjustRightInd w:val="0"/>
        <w:snapToGrid w:val="0"/>
        <w:spacing w:line="334" w:lineRule="auto"/>
        <w:ind w:firstLine="420" w:firstLineChars="200"/>
        <w:rPr>
          <w:rFonts w:ascii="宋体" w:hAnsi="宋体" w:cs="宋体"/>
          <w:sz w:val="21"/>
          <w:szCs w:val="21"/>
        </w:rPr>
      </w:pPr>
      <w:r>
        <w:rPr>
          <w:rFonts w:hint="eastAsia" w:ascii="宋体" w:hAnsi="宋体" w:cs="宋体"/>
          <w:sz w:val="21"/>
          <w:szCs w:val="21"/>
        </w:rPr>
        <w:t>2、</w:t>
      </w:r>
      <w:r>
        <w:rPr>
          <w:rFonts w:hint="eastAsia"/>
          <w:kern w:val="0"/>
          <w:sz w:val="21"/>
          <w:lang w:val="zh-CN"/>
        </w:rPr>
        <w:t>投标报价是</w:t>
      </w:r>
      <w:r>
        <w:rPr>
          <w:rFonts w:hint="eastAsia"/>
          <w:kern w:val="0"/>
          <w:sz w:val="21"/>
        </w:rPr>
        <w:t>为完成本项目服务可能发生的全部费用包括但不限于货款、标准附件、备品备件、专用工具、包装、运输、装卸、保险、税金、货到就位以及安装、调试、培训、保修、采购代理费、完成合同所需的一切本身和不可缺的所有工作开支、政策性文件规定及合同包含的所有风险、责任等各项全部费用并承担一切风险责任。</w:t>
      </w:r>
      <w:r>
        <w:rPr>
          <w:rFonts w:hint="eastAsia"/>
          <w:kern w:val="0"/>
          <w:sz w:val="21"/>
          <w:lang w:val="zh-CN"/>
        </w:rPr>
        <w:t>投标人</w:t>
      </w:r>
      <w:r>
        <w:rPr>
          <w:rFonts w:hint="eastAsia"/>
          <w:kern w:val="0"/>
          <w:sz w:val="21"/>
        </w:rPr>
        <w:t>在总价中应充分考虑作业期间成本投入的市场风险、政策性调整及其他不可预见因素，今后不再作调整。</w:t>
      </w:r>
    </w:p>
    <w:p>
      <w:pPr>
        <w:autoSpaceDE w:val="0"/>
        <w:autoSpaceDN w:val="0"/>
        <w:adjustRightInd w:val="0"/>
        <w:snapToGrid w:val="0"/>
        <w:spacing w:line="334" w:lineRule="auto"/>
        <w:ind w:firstLine="210" w:firstLineChars="100"/>
        <w:rPr>
          <w:kern w:val="0"/>
          <w:sz w:val="21"/>
          <w:lang w:val="zh-CN"/>
        </w:rPr>
      </w:pPr>
      <w:r>
        <w:rPr>
          <w:rFonts w:hint="eastAsia" w:ascii="宋体" w:hAnsi="宋体" w:cs="宋体"/>
          <w:sz w:val="21"/>
          <w:szCs w:val="21"/>
        </w:rPr>
        <w:t>▲3、投标文件只允许有一个报价（包含其它一切所要涉及到的费用），投标报价应按招标文件中相关附表格式填报，相关报价表需打印或用不退色的墨水填写， 开标一览表不得涂改和增删，如有错漏必须修改，修改处须由同一签署人签字或盖章。由于字迹模糊或表达不清引起的后果由投标人负责。</w:t>
      </w:r>
    </w:p>
    <w:p>
      <w:pPr>
        <w:snapToGrid w:val="0"/>
        <w:spacing w:line="312" w:lineRule="auto"/>
        <w:ind w:left="245" w:leftChars="68" w:firstLine="210" w:firstLineChars="100"/>
        <w:rPr>
          <w:rFonts w:ascii="宋体" w:hAnsi="宋体"/>
          <w:kern w:val="0"/>
          <w:sz w:val="21"/>
        </w:rPr>
      </w:pPr>
      <w:r>
        <w:rPr>
          <w:rFonts w:hint="eastAsia" w:ascii="宋体" w:hAnsi="宋体"/>
          <w:kern w:val="0"/>
          <w:sz w:val="21"/>
        </w:rPr>
        <w:t>（三）投标文件的制作、封装及递交要求</w:t>
      </w:r>
    </w:p>
    <w:p>
      <w:pPr>
        <w:autoSpaceDE w:val="0"/>
        <w:autoSpaceDN w:val="0"/>
        <w:adjustRightInd w:val="0"/>
        <w:snapToGrid w:val="0"/>
        <w:spacing w:line="312" w:lineRule="auto"/>
        <w:ind w:firstLine="586" w:firstLineChars="278"/>
        <w:rPr>
          <w:rFonts w:ascii="宋体" w:hAnsi="宋体"/>
          <w:b/>
          <w:bCs/>
          <w:sz w:val="21"/>
        </w:rPr>
      </w:pPr>
      <w:r>
        <w:rPr>
          <w:rFonts w:hint="eastAsia" w:ascii="宋体" w:hAnsi="宋体"/>
          <w:b/>
          <w:bCs/>
          <w:sz w:val="21"/>
        </w:rPr>
        <w:t>1、投标文件的制作要求</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（1）本招标文件中若有多标项的，若参与多标项投标的，则按每个标项分别独立编制投标文件；</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（2）电子投标文件编制请按政府采购云平台</w:t>
      </w:r>
      <w:r>
        <w:rPr>
          <w:rFonts w:hint="eastAsia"/>
          <w:sz w:val="21"/>
          <w:lang w:val="zh-CN"/>
        </w:rPr>
        <w:t>供应商</w:t>
      </w:r>
      <w:r>
        <w:rPr>
          <w:rFonts w:hint="eastAsia" w:ascii="宋体" w:hAnsi="宋体" w:cs="宋体"/>
          <w:sz w:val="21"/>
          <w:szCs w:val="21"/>
        </w:rPr>
        <w:t>项目采购-电子招投标操作指南（网址：</w:t>
      </w:r>
      <w:r>
        <w:fldChar w:fldCharType="begin"/>
      </w:r>
      <w:r>
        <w:instrText xml:space="preserve"> HYPERLINK "https://service.zcygov.cn/" \l "/knowledges/CW1EtGwBFdiHxlNd6I3m/6IMVAG0BFdiHxlNdQ8Na" </w:instrText>
      </w:r>
      <w:r>
        <w:fldChar w:fldCharType="separate"/>
      </w:r>
      <w:r>
        <w:rPr>
          <w:rFonts w:hint="eastAsia" w:ascii="宋体" w:hAnsi="宋体" w:cs="宋体"/>
          <w:sz w:val="21"/>
          <w:szCs w:val="21"/>
        </w:rPr>
        <w:t>https://service.zcygov.cn/#/knowledges/CW1EtGwBFdiHxlNd6I3m/6IMVAG0BFdiHxlNdQ8Na</w:t>
      </w:r>
      <w:r>
        <w:rPr>
          <w:rFonts w:hint="eastAsia" w:ascii="宋体" w:hAnsi="宋体" w:cs="宋体"/>
          <w:sz w:val="21"/>
          <w:szCs w:val="21"/>
        </w:rPr>
        <w:fldChar w:fldCharType="end"/>
      </w:r>
      <w:r>
        <w:rPr>
          <w:rFonts w:hint="eastAsia" w:ascii="宋体" w:hAnsi="宋体" w:cs="宋体"/>
          <w:sz w:val="21"/>
          <w:szCs w:val="21"/>
        </w:rPr>
        <w:t>，具体以政采云平台最新网址为准）和本招标文件要求编制并进行关联定位。</w:t>
      </w:r>
    </w:p>
    <w:p>
      <w:pPr>
        <w:snapToGrid w:val="0"/>
        <w:spacing w:line="334" w:lineRule="auto"/>
        <w:ind w:firstLine="420" w:firstLineChars="200"/>
        <w:rPr>
          <w:rFonts w:ascii="宋体" w:hAnsi="宋体" w:cs="宋体"/>
          <w:sz w:val="21"/>
          <w:szCs w:val="21"/>
          <w:lang w:val="zh-CN"/>
        </w:rPr>
      </w:pPr>
      <w:r>
        <w:rPr>
          <w:rFonts w:hint="eastAsia" w:ascii="宋体" w:hAnsi="宋体" w:cs="宋体"/>
          <w:sz w:val="21"/>
          <w:szCs w:val="21"/>
        </w:rPr>
        <w:t>▲（3）投标人应对所提供的全部资料的真实性承担法律责任，</w:t>
      </w:r>
      <w:r>
        <w:rPr>
          <w:rFonts w:hint="eastAsia" w:ascii="宋体" w:hAnsi="宋体" w:cs="宋体"/>
          <w:sz w:val="21"/>
          <w:szCs w:val="21"/>
          <w:lang w:val="zh-CN"/>
        </w:rPr>
        <w:t>投标文件内容中有要求盖章的地方，必须</w:t>
      </w:r>
      <w:r>
        <w:rPr>
          <w:rFonts w:hint="eastAsia" w:ascii="宋体" w:hAnsi="宋体" w:cs="宋体"/>
          <w:sz w:val="21"/>
          <w:szCs w:val="21"/>
        </w:rPr>
        <w:t>采用</w:t>
      </w:r>
      <w:r>
        <w:rPr>
          <w:rFonts w:hint="eastAsia" w:ascii="宋体" w:hAnsi="宋体" w:cs="宋体"/>
          <w:sz w:val="21"/>
          <w:szCs w:val="21"/>
          <w:lang w:val="zh-CN"/>
        </w:rPr>
        <w:t>投标人CA签章</w:t>
      </w:r>
      <w:r>
        <w:rPr>
          <w:rFonts w:hint="eastAsia" w:ascii="宋体" w:hAnsi="宋体" w:cs="宋体"/>
          <w:sz w:val="21"/>
          <w:szCs w:val="21"/>
        </w:rPr>
        <w:t>进行盖章。</w:t>
      </w:r>
    </w:p>
    <w:p>
      <w:pPr>
        <w:snapToGrid w:val="0"/>
        <w:spacing w:line="334" w:lineRule="auto"/>
        <w:ind w:firstLine="420" w:firstLineChars="200"/>
        <w:rPr>
          <w:rFonts w:ascii="宋体" w:hAnsi="宋体" w:cs="宋体"/>
          <w:sz w:val="21"/>
          <w:szCs w:val="21"/>
        </w:rPr>
      </w:pPr>
      <w:r>
        <w:rPr>
          <w:rFonts w:hint="eastAsia" w:ascii="宋体" w:hAnsi="宋体" w:cs="宋体"/>
          <w:sz w:val="21"/>
          <w:szCs w:val="21"/>
          <w:lang w:val="zh-CN"/>
        </w:rPr>
        <w:t>（</w:t>
      </w:r>
      <w:r>
        <w:rPr>
          <w:rFonts w:hint="eastAsia" w:ascii="宋体" w:hAnsi="宋体" w:cs="宋体"/>
          <w:sz w:val="21"/>
          <w:szCs w:val="21"/>
        </w:rPr>
        <w:t>4</w:t>
      </w:r>
      <w:r>
        <w:rPr>
          <w:rFonts w:hint="eastAsia" w:ascii="宋体" w:hAnsi="宋体" w:cs="宋体"/>
          <w:sz w:val="21"/>
          <w:szCs w:val="21"/>
          <w:lang w:val="zh-CN"/>
        </w:rPr>
        <w:t>）投标文件编制时应有正确的索引目录及连续页码标注。因投标文件内容不完整、编排混乱导致投标文件被误读、漏读或者查找不到相关内容的责任由投标人自行承担。</w:t>
      </w:r>
    </w:p>
    <w:p>
      <w:pPr>
        <w:snapToGrid w:val="0"/>
        <w:spacing w:line="334" w:lineRule="auto"/>
        <w:ind w:firstLine="420" w:firstLineChars="200"/>
        <w:rPr>
          <w:rFonts w:ascii="宋体" w:hAnsi="宋体" w:cs="宋体"/>
          <w:sz w:val="21"/>
          <w:szCs w:val="21"/>
        </w:rPr>
      </w:pP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w:t>
      </w:r>
      <w:r>
        <w:rPr>
          <w:rFonts w:hint="eastAsia" w:ascii="宋体" w:hAnsi="宋体" w:cs="宋体"/>
          <w:sz w:val="21"/>
          <w:szCs w:val="21"/>
        </w:rPr>
        <w:t>投标文件以及投标人与采购代理机构就有关投标事宜的所有来往函电，均应以中文汉语书写。除签字、盖章、专用名称等特殊情形外，以中文汉语以外的文字表述的投标文件视同未提供。</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（6）投标计量单位，招标文件已有明确规定的，使用招标文件规定的计量单位；招标文件没有规定的，应采用中华人民共和国法定计量单位（货币单位：人民币元）。</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（7）投标文件须清晰可辨，因模糊不清所引起的后果由投标人自行负责。与本次投标无关的内容请不要制作在内，确保投标文件有针对性、简洁明了。</w:t>
      </w:r>
    </w:p>
    <w:p>
      <w:pPr>
        <w:autoSpaceDE w:val="0"/>
        <w:autoSpaceDN w:val="0"/>
        <w:adjustRightInd w:val="0"/>
        <w:snapToGrid w:val="0"/>
        <w:spacing w:line="334" w:lineRule="auto"/>
        <w:ind w:firstLine="413" w:firstLineChars="196"/>
        <w:rPr>
          <w:rFonts w:ascii="宋体" w:hAnsi="宋体" w:cs="宋体"/>
          <w:b/>
          <w:color w:val="000000"/>
          <w:sz w:val="21"/>
          <w:szCs w:val="21"/>
          <w:lang w:val="zh-CN"/>
        </w:rPr>
      </w:pPr>
      <w:r>
        <w:rPr>
          <w:rFonts w:hint="eastAsia" w:ascii="宋体" w:hAnsi="宋体" w:cs="宋体"/>
          <w:b/>
          <w:color w:val="000000"/>
          <w:sz w:val="21"/>
          <w:szCs w:val="21"/>
          <w:lang w:val="zh-CN"/>
        </w:rPr>
        <w:t>2、投标文件的封装要求</w:t>
      </w:r>
    </w:p>
    <w:p>
      <w:pPr>
        <w:autoSpaceDE w:val="0"/>
        <w:autoSpaceDN w:val="0"/>
        <w:adjustRightInd w:val="0"/>
        <w:snapToGrid w:val="0"/>
        <w:spacing w:line="334" w:lineRule="auto"/>
        <w:ind w:firstLine="480"/>
        <w:rPr>
          <w:rFonts w:ascii="宋体" w:hAnsi="宋体"/>
          <w:color w:val="000000"/>
          <w:sz w:val="21"/>
          <w:szCs w:val="21"/>
          <w:lang w:val="zh-CN"/>
        </w:rPr>
      </w:pPr>
      <w:r>
        <w:rPr>
          <w:rFonts w:hint="eastAsia" w:ascii="宋体" w:hAnsi="宋体"/>
          <w:color w:val="000000"/>
          <w:sz w:val="21"/>
          <w:szCs w:val="21"/>
          <w:lang w:val="zh-CN"/>
        </w:rPr>
        <w:t>（</w:t>
      </w:r>
      <w:r>
        <w:rPr>
          <w:rFonts w:hint="eastAsia" w:ascii="宋体" w:hAnsi="宋体"/>
          <w:color w:val="000000"/>
          <w:sz w:val="21"/>
          <w:szCs w:val="21"/>
        </w:rPr>
        <w:t>1</w:t>
      </w:r>
      <w:r>
        <w:rPr>
          <w:rFonts w:hint="eastAsia" w:ascii="宋体" w:hAnsi="宋体"/>
          <w:color w:val="000000"/>
          <w:sz w:val="21"/>
          <w:szCs w:val="21"/>
          <w:lang w:val="zh-CN"/>
        </w:rPr>
        <w:t>）投标人应按招标文件规定的内容和要求编制投标文件，并逐页连续标注页码。因投标文件内容不完整、编排混乱导致投标文件被误读、漏读或者查找不到相关内容的责任由投标人自行承担。</w:t>
      </w:r>
    </w:p>
    <w:p>
      <w:pPr>
        <w:autoSpaceDE w:val="0"/>
        <w:autoSpaceDN w:val="0"/>
        <w:adjustRightInd w:val="0"/>
        <w:snapToGrid w:val="0"/>
        <w:spacing w:line="334" w:lineRule="auto"/>
        <w:ind w:firstLine="422" w:firstLineChars="200"/>
        <w:rPr>
          <w:rFonts w:ascii="宋体" w:hAnsi="宋体"/>
          <w:b/>
          <w:bCs/>
          <w:color w:val="000000"/>
          <w:sz w:val="21"/>
          <w:szCs w:val="21"/>
          <w:lang w:val="zh-CN"/>
        </w:rPr>
      </w:pPr>
      <w:r>
        <w:rPr>
          <w:rFonts w:hint="eastAsia" w:ascii="宋体" w:hAnsi="宋体"/>
          <w:b/>
          <w:bCs/>
          <w:color w:val="000000"/>
          <w:sz w:val="21"/>
          <w:szCs w:val="21"/>
        </w:rPr>
        <w:t>（2）</w:t>
      </w:r>
      <w:r>
        <w:rPr>
          <w:rFonts w:hint="eastAsia" w:ascii="宋体" w:hAnsi="宋体"/>
          <w:b/>
          <w:bCs/>
          <w:color w:val="000000"/>
          <w:sz w:val="21"/>
          <w:szCs w:val="21"/>
          <w:lang w:val="zh-CN"/>
        </w:rPr>
        <w:t>投标文件份数</w:t>
      </w:r>
    </w:p>
    <w:p>
      <w:pPr>
        <w:autoSpaceDE w:val="0"/>
        <w:autoSpaceDN w:val="0"/>
        <w:adjustRightInd w:val="0"/>
        <w:snapToGrid w:val="0"/>
        <w:spacing w:line="334" w:lineRule="auto"/>
        <w:ind w:firstLine="420" w:firstLineChars="200"/>
        <w:rPr>
          <w:rFonts w:ascii="宋体" w:hAnsi="宋体" w:cs="宋体"/>
          <w:color w:val="000000"/>
          <w:sz w:val="21"/>
          <w:szCs w:val="21"/>
          <w:lang w:val="zh-CN"/>
        </w:rPr>
      </w:pPr>
      <w:r>
        <w:rPr>
          <w:rFonts w:hint="eastAsia" w:ascii="宋体" w:hAnsi="宋体" w:cs="宋体"/>
          <w:color w:val="000000"/>
          <w:sz w:val="21"/>
          <w:szCs w:val="21"/>
          <w:lang w:val="zh-CN"/>
        </w:rPr>
        <w:t>①电子加密投标文件：政府采购云平台在线提交、上传一份；</w:t>
      </w:r>
    </w:p>
    <w:p>
      <w:pPr>
        <w:autoSpaceDE w:val="0"/>
        <w:autoSpaceDN w:val="0"/>
        <w:adjustRightInd w:val="0"/>
        <w:snapToGrid w:val="0"/>
        <w:spacing w:line="334" w:lineRule="auto"/>
        <w:ind w:firstLine="420" w:firstLineChars="200"/>
        <w:rPr>
          <w:rFonts w:ascii="宋体" w:hAnsi="宋体" w:cs="宋体"/>
          <w:color w:val="000000"/>
          <w:sz w:val="21"/>
          <w:szCs w:val="21"/>
          <w:lang w:val="zh-CN"/>
        </w:rPr>
      </w:pPr>
      <w:r>
        <w:rPr>
          <w:rFonts w:hint="eastAsia" w:ascii="宋体" w:hAnsi="宋体" w:cs="宋体"/>
          <w:color w:val="000000"/>
          <w:sz w:val="21"/>
          <w:szCs w:val="21"/>
          <w:lang w:val="zh-CN"/>
        </w:rPr>
        <w:t>②备份投标文件（政采云平台上最后生成的具备电子签章的备份投标文件，文件名后缀为备份文件四字的首字母）：电子邮件提交一份，由投标人自行确定是否提交；若提交请将备份投标文件打包压缩加密后以电子邮件的形式发送至</w:t>
      </w:r>
      <w:r>
        <w:rPr>
          <w:rFonts w:hint="eastAsia" w:ascii="宋体" w:hAnsi="宋体" w:cs="宋体"/>
          <w:color w:val="000000"/>
          <w:sz w:val="21"/>
          <w:szCs w:val="21"/>
        </w:rPr>
        <w:t>313195311@qq.com</w:t>
      </w:r>
      <w:r>
        <w:rPr>
          <w:rFonts w:hint="eastAsia" w:ascii="宋体" w:hAnsi="宋体" w:cs="宋体"/>
          <w:color w:val="000000"/>
          <w:sz w:val="21"/>
          <w:szCs w:val="21"/>
          <w:lang w:val="zh-CN"/>
        </w:rPr>
        <w:t>。</w:t>
      </w:r>
    </w:p>
    <w:p>
      <w:pPr>
        <w:autoSpaceDE w:val="0"/>
        <w:autoSpaceDN w:val="0"/>
        <w:adjustRightInd w:val="0"/>
        <w:snapToGrid w:val="0"/>
        <w:spacing w:line="312" w:lineRule="auto"/>
        <w:ind w:firstLine="480"/>
        <w:rPr>
          <w:rFonts w:ascii="宋体" w:hAnsi="宋体"/>
          <w:b/>
          <w:bCs/>
          <w:sz w:val="21"/>
        </w:rPr>
      </w:pPr>
      <w:r>
        <w:rPr>
          <w:rFonts w:hint="eastAsia" w:ascii="宋体" w:hAnsi="宋体"/>
          <w:b/>
          <w:bCs/>
          <w:kern w:val="0"/>
          <w:sz w:val="21"/>
        </w:rPr>
        <w:t>3、</w:t>
      </w:r>
      <w:r>
        <w:rPr>
          <w:rFonts w:hint="eastAsia" w:ascii="宋体" w:hAnsi="宋体"/>
          <w:b/>
          <w:bCs/>
          <w:sz w:val="21"/>
        </w:rPr>
        <w:t>投标文件的递交要求</w:t>
      </w:r>
    </w:p>
    <w:p>
      <w:pPr>
        <w:tabs>
          <w:tab w:val="left" w:pos="1418"/>
        </w:tabs>
        <w:autoSpaceDE w:val="0"/>
        <w:autoSpaceDN w:val="0"/>
        <w:adjustRightInd w:val="0"/>
        <w:snapToGrid w:val="0"/>
        <w:spacing w:line="334" w:lineRule="auto"/>
        <w:ind w:firstLine="420" w:firstLineChars="200"/>
        <w:rPr>
          <w:rFonts w:ascii="宋体" w:hAnsi="宋体"/>
          <w:kern w:val="0"/>
          <w:sz w:val="21"/>
        </w:rPr>
      </w:pPr>
      <w:bookmarkStart w:id="22" w:name="_Toc530551857"/>
      <w:bookmarkStart w:id="23" w:name="_Toc531359012"/>
      <w:bookmarkStart w:id="24" w:name="_Toc34895557"/>
      <w:r>
        <w:rPr>
          <w:rFonts w:hint="eastAsia" w:ascii="宋体" w:hAnsi="宋体"/>
          <w:kern w:val="0"/>
          <w:sz w:val="21"/>
        </w:rPr>
        <w:t>（1）投标文件导入</w:t>
      </w:r>
      <w:bookmarkEnd w:id="22"/>
      <w:bookmarkEnd w:id="23"/>
      <w:r>
        <w:rPr>
          <w:rFonts w:hint="eastAsia" w:ascii="宋体" w:hAnsi="宋体"/>
          <w:kern w:val="0"/>
          <w:sz w:val="21"/>
        </w:rPr>
        <w:t>和加密</w:t>
      </w:r>
      <w:bookmarkEnd w:id="24"/>
    </w:p>
    <w:p>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①投标人应当按照资格证明文件、商务与技术文件和报价文件三部分分别导入相应位置，各文件之间不得导错位置；</w:t>
      </w:r>
    </w:p>
    <w:p>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②投标文件编制好后应当生成电子加密投标文件，生成电子加密投标文件具体流程详见【浙江省】供应商-政府采购项目电子交易操作指南网址：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hint="eastAsia" w:ascii="宋体" w:hAnsi="宋体"/>
          <w:kern w:val="0"/>
          <w:sz w:val="21"/>
        </w:rPr>
        <w:t>https://service.zcygov.cn/#/knowledges/CW1EtGwBFdiHxlNd6I3m/6IMVAG0BFdiHxlNdQ8Na</w:t>
      </w:r>
      <w:r>
        <w:rPr>
          <w:rFonts w:hint="eastAsia" w:ascii="宋体" w:hAnsi="宋体"/>
          <w:kern w:val="0"/>
          <w:sz w:val="21"/>
        </w:rPr>
        <w:fldChar w:fldCharType="end"/>
      </w:r>
      <w:r>
        <w:rPr>
          <w:rFonts w:hint="eastAsia" w:ascii="宋体" w:hAnsi="宋体"/>
          <w:kern w:val="0"/>
          <w:sz w:val="21"/>
        </w:rPr>
        <w:t>，具体以政采云平台最新网址为准。</w:t>
      </w:r>
    </w:p>
    <w:p>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（2）投标文件的提交</w:t>
      </w:r>
    </w:p>
    <w:p>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①投标文件提交截止时间：见投标人须知“前附表”；</w:t>
      </w:r>
    </w:p>
    <w:p>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②投标文件提交地点：</w:t>
      </w:r>
    </w:p>
    <w:p>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A.电子加密投标文件：电子加密投标文件在“政府采购云平台”上传提交。“电子加密投标文件”成功上传提交后，投标人自行打印投标文件接收回执。</w:t>
      </w:r>
      <w:r>
        <w:rPr>
          <w:rFonts w:hint="eastAsia"/>
          <w:sz w:val="21"/>
          <w:lang w:val="zh-CN"/>
        </w:rPr>
        <w:t>投标人</w:t>
      </w:r>
      <w:r>
        <w:rPr>
          <w:rFonts w:hint="eastAsia" w:ascii="宋体" w:hAnsi="宋体"/>
          <w:kern w:val="0"/>
          <w:sz w:val="21"/>
        </w:rPr>
        <w:t>应当在投标截止时间前完成电子加密投标文件的传输提交，投标截止时间前可以补充、修改或者撤回电子加密投标文件。补充或者修改电子加密投标文件的，应当先行撤回原文件，补充、修改后重新传输提交。投标截止时间前未完成传输的，视为放弃投标。投标截止时间后提交的电子加密投标文件，将被政采云平台拒收。</w:t>
      </w:r>
    </w:p>
    <w:p>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B.备份投标文件（政采云平台上最后生成的具备电子签章的备份投标文件，文件名后缀为备份文件四字的首字母）：</w:t>
      </w:r>
      <w:r>
        <w:fldChar w:fldCharType="begin"/>
      </w:r>
      <w:r>
        <w:instrText xml:space="preserve"> HYPERLINK "mailto:投标人自行确定是否提交；若提交请将备份投标文件打包压缩加密（未加密造成泄密的由投标人自行承担）后以电子邮件的形式发送至xjcg2009@163.com" </w:instrText>
      </w:r>
      <w:r>
        <w:fldChar w:fldCharType="separate"/>
      </w:r>
      <w:r>
        <w:rPr>
          <w:rFonts w:hint="eastAsia" w:ascii="宋体" w:hAnsi="宋体"/>
          <w:kern w:val="0"/>
          <w:sz w:val="21"/>
        </w:rPr>
        <w:t>投标人自行确定是否提交；若提交请将备份投标文件打包压缩加密（未加密造成泄密的由投标人自行承担）后以电子邮件的形式发送至313195311@qq.com</w:t>
      </w:r>
      <w:r>
        <w:rPr>
          <w:rFonts w:hint="eastAsia" w:ascii="宋体" w:hAnsi="宋体"/>
          <w:kern w:val="0"/>
          <w:sz w:val="21"/>
        </w:rPr>
        <w:fldChar w:fldCharType="end"/>
      </w:r>
      <w:r>
        <w:rPr>
          <w:rFonts w:hint="eastAsia" w:ascii="宋体" w:hAnsi="宋体"/>
          <w:kern w:val="0"/>
          <w:sz w:val="21"/>
        </w:rPr>
        <w:t xml:space="preserve"> ，备份投标文件在“电子加密投标文件”在线解密失败后启用，否则不予以启用；投标人确认“电子加密投标文件”在线解密失败后，将打包压缩加密的备份投标文件的解密密码在解密规定的时间（开标时间后60分钟内）发送至上述邮箱内，未在规定时间内发送造成的投标无效或失败由投标人自行承担。</w:t>
      </w:r>
    </w:p>
    <w:p>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（3）不予接收的投标文件情形：</w:t>
      </w:r>
    </w:p>
    <w:p>
      <w:pPr>
        <w:tabs>
          <w:tab w:val="left" w:pos="1418"/>
        </w:tabs>
        <w:autoSpaceDE w:val="0"/>
        <w:autoSpaceDN w:val="0"/>
        <w:adjustRightInd w:val="0"/>
        <w:snapToGrid w:val="0"/>
        <w:spacing w:line="334" w:lineRule="auto"/>
        <w:ind w:firstLine="525" w:firstLineChars="250"/>
        <w:rPr>
          <w:rFonts w:ascii="宋体" w:hAnsi="宋体"/>
          <w:kern w:val="0"/>
          <w:sz w:val="21"/>
        </w:rPr>
      </w:pPr>
      <w:r>
        <w:rPr>
          <w:rFonts w:hint="eastAsia" w:ascii="宋体" w:hAnsi="宋体"/>
          <w:kern w:val="0"/>
          <w:sz w:val="21"/>
        </w:rPr>
        <w:t>①投标截止时间前未完成传输的投标文件；</w:t>
      </w:r>
    </w:p>
    <w:p>
      <w:pPr>
        <w:tabs>
          <w:tab w:val="left" w:pos="1418"/>
        </w:tabs>
        <w:autoSpaceDE w:val="0"/>
        <w:autoSpaceDN w:val="0"/>
        <w:adjustRightInd w:val="0"/>
        <w:snapToGrid w:val="0"/>
        <w:spacing w:line="334" w:lineRule="auto"/>
        <w:ind w:firstLine="525" w:firstLineChars="250"/>
        <w:rPr>
          <w:rFonts w:ascii="宋体" w:hAnsi="宋体"/>
          <w:kern w:val="0"/>
          <w:sz w:val="21"/>
        </w:rPr>
      </w:pPr>
      <w:r>
        <w:rPr>
          <w:rFonts w:hint="eastAsia" w:ascii="宋体" w:hAnsi="宋体"/>
          <w:kern w:val="0"/>
          <w:sz w:val="21"/>
        </w:rPr>
        <w:t>②未生成加密的投标文件。</w:t>
      </w:r>
    </w:p>
    <w:p>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（4）投标人所提交的投标文件不予退还。</w:t>
      </w:r>
    </w:p>
    <w:p>
      <w:pPr>
        <w:tabs>
          <w:tab w:val="left" w:pos="1418"/>
        </w:tabs>
        <w:autoSpaceDE w:val="0"/>
        <w:autoSpaceDN w:val="0"/>
        <w:adjustRightInd w:val="0"/>
        <w:snapToGrid w:val="0"/>
        <w:spacing w:line="334" w:lineRule="auto"/>
        <w:ind w:firstLine="420" w:firstLineChars="200"/>
        <w:rPr>
          <w:rFonts w:ascii="宋体" w:hAnsi="宋体"/>
          <w:kern w:val="0"/>
          <w:sz w:val="21"/>
        </w:rPr>
      </w:pPr>
      <w:r>
        <w:rPr>
          <w:rFonts w:hint="eastAsia" w:ascii="宋体" w:hAnsi="宋体"/>
          <w:kern w:val="0"/>
          <w:sz w:val="21"/>
        </w:rPr>
        <w:t>（5）如有特殊情况，采购代理机构延长截止时间和开标时间，采购代理机构和投标人的权利和义务将受到新的截止时间和开标时间的约束。</w:t>
      </w:r>
    </w:p>
    <w:p>
      <w:pPr>
        <w:tabs>
          <w:tab w:val="left" w:pos="1898"/>
        </w:tabs>
        <w:autoSpaceDE w:val="0"/>
        <w:autoSpaceDN w:val="0"/>
        <w:adjustRightInd w:val="0"/>
        <w:snapToGrid w:val="0"/>
        <w:spacing w:line="312" w:lineRule="auto"/>
        <w:ind w:firstLine="420" w:firstLineChars="200"/>
        <w:rPr>
          <w:rFonts w:ascii="宋体" w:hAnsi="宋体"/>
          <w:kern w:val="0"/>
          <w:sz w:val="21"/>
        </w:rPr>
      </w:pPr>
      <w:r>
        <w:rPr>
          <w:rFonts w:hint="eastAsia" w:ascii="宋体" w:hAnsi="宋体"/>
          <w:kern w:val="0"/>
          <w:sz w:val="21"/>
        </w:rPr>
        <w:t>4、投标文件的补充、修改和撤回。</w:t>
      </w:r>
    </w:p>
    <w:p>
      <w:pPr>
        <w:tabs>
          <w:tab w:val="left" w:pos="1418"/>
        </w:tabs>
        <w:autoSpaceDE w:val="0"/>
        <w:autoSpaceDN w:val="0"/>
        <w:adjustRightInd w:val="0"/>
        <w:snapToGrid w:val="0"/>
        <w:spacing w:line="312" w:lineRule="auto"/>
        <w:ind w:firstLine="420" w:firstLineChars="200"/>
        <w:rPr>
          <w:rFonts w:ascii="宋体" w:hAnsi="宋体"/>
          <w:kern w:val="0"/>
          <w:sz w:val="21"/>
        </w:rPr>
      </w:pPr>
      <w:r>
        <w:rPr>
          <w:rFonts w:hint="eastAsia" w:ascii="宋体" w:hAnsi="宋体"/>
          <w:kern w:val="0"/>
          <w:sz w:val="21"/>
        </w:rPr>
        <w:t>（1）电子投标文件的补充或者修改，应当先行撤回原文件，补充、修改后重新传输提交，投标截止时间前未完成传输的，视为撤回投标文件。</w:t>
      </w:r>
    </w:p>
    <w:p>
      <w:pPr>
        <w:tabs>
          <w:tab w:val="left" w:pos="1898"/>
        </w:tabs>
        <w:autoSpaceDE w:val="0"/>
        <w:autoSpaceDN w:val="0"/>
        <w:adjustRightInd w:val="0"/>
        <w:snapToGrid w:val="0"/>
        <w:spacing w:line="312" w:lineRule="auto"/>
        <w:rPr>
          <w:rFonts w:ascii="宋体" w:hAnsi="宋体"/>
          <w:kern w:val="0"/>
          <w:sz w:val="21"/>
        </w:rPr>
      </w:pPr>
      <w:r>
        <w:rPr>
          <w:rFonts w:hint="eastAsia" w:ascii="宋体" w:hAnsi="宋体"/>
          <w:kern w:val="0"/>
          <w:sz w:val="21"/>
        </w:rPr>
        <w:t>（三）投标文件的有效期</w:t>
      </w:r>
    </w:p>
    <w:p>
      <w:pPr>
        <w:pStyle w:val="438"/>
        <w:widowControl w:val="0"/>
        <w:tabs>
          <w:tab w:val="left" w:pos="360"/>
          <w:tab w:val="left" w:pos="1200"/>
        </w:tabs>
        <w:snapToGrid w:val="0"/>
        <w:spacing w:after="156" w:line="312" w:lineRule="auto"/>
        <w:ind w:left="0" w:firstLine="420" w:firstLineChars="200"/>
        <w:jc w:val="both"/>
        <w:rPr>
          <w:rFonts w:ascii="宋体" w:hAnsi="宋体"/>
          <w:sz w:val="21"/>
        </w:rPr>
      </w:pPr>
      <w:r>
        <w:rPr>
          <w:rFonts w:hint="eastAsia" w:ascii="宋体" w:hAnsi="宋体"/>
          <w:sz w:val="21"/>
        </w:rPr>
        <w:t>1、自投标截止日起90天投标文件应保持有效。有效期不足的投标文件将被拒绝。</w:t>
      </w:r>
    </w:p>
    <w:p>
      <w:pPr>
        <w:pStyle w:val="438"/>
        <w:widowControl w:val="0"/>
        <w:tabs>
          <w:tab w:val="left" w:pos="360"/>
          <w:tab w:val="left" w:pos="1200"/>
        </w:tabs>
        <w:snapToGrid w:val="0"/>
        <w:spacing w:after="156" w:line="312" w:lineRule="auto"/>
        <w:ind w:left="0" w:firstLine="420" w:firstLineChars="200"/>
        <w:jc w:val="both"/>
        <w:rPr>
          <w:rFonts w:ascii="宋体" w:hAnsi="宋体"/>
          <w:sz w:val="21"/>
        </w:rPr>
      </w:pPr>
      <w:r>
        <w:rPr>
          <w:rFonts w:hint="eastAsia" w:ascii="宋体" w:hAnsi="宋体"/>
          <w:sz w:val="21"/>
        </w:rPr>
        <w:t>2、在特殊情况下，采购人可与投标人协商延长投标文件的有效期，这种要求和答复均以书面形式进行。</w:t>
      </w:r>
    </w:p>
    <w:p>
      <w:pPr>
        <w:pStyle w:val="438"/>
        <w:tabs>
          <w:tab w:val="left" w:pos="0"/>
          <w:tab w:val="left" w:pos="1200"/>
        </w:tabs>
        <w:snapToGrid w:val="0"/>
        <w:spacing w:after="156" w:line="312" w:lineRule="auto"/>
        <w:ind w:left="283" w:hanging="283" w:hangingChars="135"/>
        <w:rPr>
          <w:rFonts w:ascii="宋体" w:hAnsi="宋体"/>
          <w:sz w:val="21"/>
        </w:rPr>
      </w:pPr>
      <w:r>
        <w:rPr>
          <w:rFonts w:hint="eastAsia" w:ascii="宋体" w:hAnsi="宋体"/>
          <w:sz w:val="21"/>
        </w:rPr>
        <w:t xml:space="preserve">    3、投标人可拒绝接受延期要求。同意延长有效期的投标人</w:t>
      </w:r>
      <w:r>
        <w:rPr>
          <w:rFonts w:ascii="宋体" w:hAnsi="宋体"/>
          <w:sz w:val="21"/>
        </w:rPr>
        <w:t>不能修改投标文件。</w:t>
      </w:r>
    </w:p>
    <w:p>
      <w:pPr>
        <w:autoSpaceDE w:val="0"/>
        <w:autoSpaceDN w:val="0"/>
        <w:adjustRightInd w:val="0"/>
        <w:spacing w:line="360" w:lineRule="auto"/>
        <w:ind w:firstLine="415" w:firstLineChars="198"/>
        <w:rPr>
          <w:rFonts w:ascii="宋体"/>
          <w:b/>
          <w:sz w:val="21"/>
          <w:lang w:val="zh-CN"/>
        </w:rPr>
      </w:pPr>
      <w:r>
        <w:rPr>
          <w:rFonts w:ascii="宋体" w:hAnsi="宋体"/>
          <w:sz w:val="21"/>
        </w:rPr>
        <w:t>4</w:t>
      </w:r>
      <w:r>
        <w:rPr>
          <w:rFonts w:hint="eastAsia" w:ascii="宋体" w:hAnsi="宋体"/>
          <w:sz w:val="21"/>
        </w:rPr>
        <w:t>、中标候选人</w:t>
      </w:r>
      <w:r>
        <w:rPr>
          <w:rFonts w:ascii="宋体" w:hAnsi="宋体"/>
          <w:sz w:val="21"/>
        </w:rPr>
        <w:t>的投标文件自开标之日起至合同履行完毕均应保持有效。</w:t>
      </w:r>
    </w:p>
    <w:p>
      <w:pPr>
        <w:snapToGrid w:val="0"/>
        <w:spacing w:line="312" w:lineRule="auto"/>
        <w:ind w:firstLine="413" w:firstLineChars="196"/>
        <w:jc w:val="left"/>
        <w:rPr>
          <w:rFonts w:ascii="宋体" w:hAnsi="宋体"/>
          <w:b/>
          <w:kern w:val="0"/>
          <w:sz w:val="21"/>
        </w:rPr>
      </w:pPr>
      <w:r>
        <w:rPr>
          <w:rFonts w:hint="eastAsia" w:ascii="宋体" w:hAnsi="宋体"/>
          <w:b/>
          <w:kern w:val="0"/>
          <w:sz w:val="21"/>
        </w:rPr>
        <w:t>四、开标</w:t>
      </w:r>
    </w:p>
    <w:p>
      <w:pPr>
        <w:autoSpaceDE w:val="0"/>
        <w:autoSpaceDN w:val="0"/>
        <w:adjustRightInd w:val="0"/>
        <w:snapToGrid w:val="0"/>
        <w:spacing w:line="312" w:lineRule="auto"/>
        <w:rPr>
          <w:rFonts w:ascii="宋体" w:hAnsi="宋体"/>
          <w:kern w:val="0"/>
          <w:sz w:val="21"/>
        </w:rPr>
      </w:pPr>
      <w:r>
        <w:rPr>
          <w:rFonts w:hint="eastAsia" w:ascii="宋体" w:hAnsi="宋体"/>
          <w:kern w:val="0"/>
          <w:sz w:val="21"/>
        </w:rPr>
        <w:t xml:space="preserve">    本项目通过政府采购云平台进行开标、资格审查、评审、询标，投标人均应当准时在线参加，否则产生的风险由投标人自行承担（投标人务必不要离开电脑太久，并留意手机短信，建议投标人提前做好检查“政府采购云平台”内，关于“项目采购”的岗位权限是否勾选。如有问题，请致电400-881-7190）。</w:t>
      </w:r>
    </w:p>
    <w:p>
      <w:pPr>
        <w:autoSpaceDE w:val="0"/>
        <w:autoSpaceDN w:val="0"/>
        <w:adjustRightInd w:val="0"/>
        <w:snapToGrid w:val="0"/>
        <w:spacing w:line="312" w:lineRule="auto"/>
        <w:rPr>
          <w:rFonts w:ascii="宋体" w:hAnsi="宋体"/>
          <w:kern w:val="0"/>
          <w:sz w:val="21"/>
        </w:rPr>
      </w:pPr>
      <w:r>
        <w:rPr>
          <w:rFonts w:hint="eastAsia" w:ascii="宋体" w:hAnsi="宋体"/>
          <w:kern w:val="0"/>
          <w:sz w:val="21"/>
        </w:rPr>
        <w:t>本项目开标实行全流程电子化，采取不见面钉钉直播开标，各投标人代表可自行下载“钉钉”软件观看。（钉钉直播群号为： ，投标人于开标当天08:00以后搜索群号或扫码，并申请进群。）</w:t>
      </w:r>
    </w:p>
    <w:p>
      <w:pPr>
        <w:autoSpaceDE w:val="0"/>
        <w:autoSpaceDN w:val="0"/>
        <w:adjustRightInd w:val="0"/>
        <w:snapToGrid w:val="0"/>
        <w:spacing w:line="312" w:lineRule="auto"/>
        <w:rPr>
          <w:rFonts w:ascii="宋体" w:hAnsi="宋体"/>
          <w:kern w:val="0"/>
          <w:sz w:val="21"/>
        </w:rPr>
      </w:pPr>
      <w:r>
        <w:rPr>
          <w:rFonts w:hint="eastAsia" w:ascii="宋体" w:hAnsi="宋体"/>
          <w:kern w:val="0"/>
          <w:sz w:val="21"/>
        </w:rPr>
        <w:t>（一）开标事项</w:t>
      </w:r>
    </w:p>
    <w:p>
      <w:pPr>
        <w:autoSpaceDE w:val="0"/>
        <w:autoSpaceDN w:val="0"/>
        <w:adjustRightInd w:val="0"/>
        <w:snapToGrid w:val="0"/>
        <w:spacing w:line="334" w:lineRule="auto"/>
        <w:ind w:firstLine="420" w:firstLineChars="200"/>
        <w:jc w:val="left"/>
        <w:rPr>
          <w:rFonts w:ascii="宋体" w:hAnsi="宋体" w:cs="宋体"/>
          <w:sz w:val="21"/>
          <w:szCs w:val="21"/>
          <w:lang w:val="zh-CN"/>
        </w:rPr>
      </w:pPr>
      <w:r>
        <w:rPr>
          <w:rFonts w:hint="eastAsia" w:ascii="宋体" w:hAnsi="宋体" w:cs="宋体"/>
          <w:sz w:val="21"/>
          <w:szCs w:val="21"/>
          <w:lang w:val="zh-CN"/>
        </w:rPr>
        <w:t>本项目通过政府采购云平台进行开标、资格审查、评审、询标，投标人均应当准时在线参加，否则产生的风险由投标人自行承担（投标人务必不要离开电脑太久，并留意手机短信，建议投标人提前做好检查“政府采购云平台”内，关于“项目采购”的岗位权限是否勾选）。</w:t>
      </w:r>
    </w:p>
    <w:p>
      <w:pPr>
        <w:autoSpaceDE w:val="0"/>
        <w:autoSpaceDN w:val="0"/>
        <w:adjustRightInd w:val="0"/>
        <w:snapToGrid w:val="0"/>
        <w:spacing w:line="334" w:lineRule="auto"/>
        <w:ind w:firstLine="420" w:firstLineChars="200"/>
        <w:jc w:val="left"/>
        <w:rPr>
          <w:rFonts w:ascii="宋体" w:hAnsi="宋体" w:cs="宋体"/>
          <w:sz w:val="21"/>
          <w:szCs w:val="21"/>
          <w:lang w:val="zh-CN"/>
        </w:rPr>
      </w:pPr>
      <w:r>
        <w:rPr>
          <w:rFonts w:hint="eastAsia" w:ascii="宋体" w:hAnsi="宋体" w:cs="宋体"/>
          <w:sz w:val="21"/>
          <w:szCs w:val="21"/>
          <w:lang w:val="zh-CN"/>
        </w:rPr>
        <w:t>投标人无需在开标当天到达开标现场对电子投标进行解密，在解密规定时间内用制作电子标书的CA锁对电子加密投标文件进行解密。</w:t>
      </w:r>
    </w:p>
    <w:p>
      <w:pPr>
        <w:autoSpaceDE w:val="0"/>
        <w:autoSpaceDN w:val="0"/>
        <w:adjustRightInd w:val="0"/>
        <w:snapToGrid w:val="0"/>
        <w:spacing w:line="334" w:lineRule="auto"/>
        <w:ind w:firstLine="420" w:firstLineChars="200"/>
        <w:jc w:val="left"/>
        <w:rPr>
          <w:rFonts w:ascii="宋体" w:hAnsi="宋体" w:cs="宋体"/>
          <w:sz w:val="21"/>
          <w:szCs w:val="21"/>
          <w:lang w:val="zh-CN"/>
        </w:rPr>
      </w:pPr>
      <w:r>
        <w:rPr>
          <w:rFonts w:hint="eastAsia" w:ascii="宋体" w:hAnsi="宋体" w:cs="宋体"/>
          <w:sz w:val="21"/>
          <w:szCs w:val="21"/>
          <w:lang w:val="zh-CN"/>
        </w:rPr>
        <w:t>本项目采取不见面钉钉直播开标，各投标人代表可自行下载“钉钉”软件观看（钉钉直播群见采购公告）。</w:t>
      </w:r>
    </w:p>
    <w:p>
      <w:pPr>
        <w:autoSpaceDE w:val="0"/>
        <w:autoSpaceDN w:val="0"/>
        <w:adjustRightInd w:val="0"/>
        <w:snapToGrid w:val="0"/>
        <w:spacing w:line="312" w:lineRule="auto"/>
        <w:ind w:firstLine="420" w:firstLineChars="200"/>
        <w:rPr>
          <w:rFonts w:ascii="宋体" w:hAnsi="宋体"/>
          <w:sz w:val="21"/>
        </w:rPr>
      </w:pPr>
      <w:r>
        <w:rPr>
          <w:rFonts w:ascii="宋体" w:hAnsi="宋体"/>
          <w:sz w:val="21"/>
        </w:rPr>
        <w:t>（二） 开</w:t>
      </w:r>
      <w:r>
        <w:rPr>
          <w:rFonts w:hint="eastAsia" w:ascii="宋体" w:hAnsi="宋体"/>
          <w:sz w:val="21"/>
        </w:rPr>
        <w:t>标</w:t>
      </w:r>
      <w:r>
        <w:rPr>
          <w:rFonts w:ascii="宋体" w:hAnsi="宋体"/>
          <w:sz w:val="21"/>
        </w:rPr>
        <w:t>程序：</w:t>
      </w:r>
    </w:p>
    <w:p>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 xml:space="preserve">1、开标会由采购代理机构工作人员主持，主持人宣布开标会开始，介绍参加开标会的相关人员。 </w:t>
      </w:r>
    </w:p>
    <w:p>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2、宣布提交投标文件的投标人家数、投标人名称。</w:t>
      </w:r>
    </w:p>
    <w:p>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3、宣布开标纪律。</w:t>
      </w:r>
    </w:p>
    <w:p>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4、签署不存在影响公平竞争的《政府采购活动现场确认声明书》。各投标人代表应提前打印《政府采购活动现场确认声明书》（见附件），签署完毕后上传至钉钉直播群。</w:t>
      </w:r>
    </w:p>
    <w:p>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5、投标人进行在线解密（解密时间为开标时间后60分钟内）；解密未成功的，投标人应当在解密时间内向采购代理机构通过电子邮箱</w:t>
      </w:r>
      <w:r>
        <w:rPr>
          <w:rFonts w:hint="eastAsia" w:ascii="宋体"/>
          <w:sz w:val="21"/>
          <w:szCs w:val="21"/>
        </w:rPr>
        <w:t>313195311@qq.com</w:t>
      </w:r>
      <w:r>
        <w:rPr>
          <w:rFonts w:hint="eastAsia" w:ascii="宋体"/>
          <w:sz w:val="21"/>
          <w:szCs w:val="21"/>
          <w:lang w:val="zh-CN"/>
        </w:rPr>
        <w:t>提供备份投标文件压缩解密密码，否则视为放弃投标。</w:t>
      </w:r>
    </w:p>
    <w:p>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6、</w:t>
      </w:r>
      <w:r>
        <w:rPr>
          <w:rFonts w:hint="eastAsia" w:ascii="宋体"/>
          <w:sz w:val="21"/>
          <w:szCs w:val="21"/>
        </w:rPr>
        <w:t>评标委员会</w:t>
      </w:r>
      <w:r>
        <w:rPr>
          <w:rFonts w:hint="eastAsia" w:ascii="宋体"/>
          <w:sz w:val="21"/>
          <w:szCs w:val="21"/>
          <w:lang w:val="zh-CN"/>
        </w:rPr>
        <w:t>依法对资格证明文件</w:t>
      </w:r>
      <w:r>
        <w:rPr>
          <w:rFonts w:hint="eastAsia" w:ascii="宋体"/>
          <w:sz w:val="21"/>
          <w:szCs w:val="21"/>
        </w:rPr>
        <w:t>和</w:t>
      </w:r>
      <w:r>
        <w:rPr>
          <w:rFonts w:hint="eastAsia" w:ascii="宋体"/>
          <w:sz w:val="21"/>
          <w:szCs w:val="21"/>
          <w:lang w:val="zh-CN"/>
        </w:rPr>
        <w:t>商务与技术文件进行评审。</w:t>
      </w:r>
    </w:p>
    <w:p>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7、商务与技术文件评审完成后，主持人宣告商务与技术文件评审无效投标人名称及理由，公布经商务与技术文件评审符合公开招标需求的投标人名单以及商务与技术文件得分情况。</w:t>
      </w:r>
    </w:p>
    <w:p>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8、开启各投标人报价文件，宣读《开标一览表》中的投标报价，以及采购代理机构认为有必要宣读的其他内容。</w:t>
      </w:r>
    </w:p>
    <w:p>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9、投标人解密后可点击【查看开标记录】查看项目开标记录，并在规定时间内在线确认（投标人未确认的，不影响评标过程）。唱标结束后，由评标委员会对报价的合理性、准确性等进行审查核实。</w:t>
      </w:r>
    </w:p>
    <w:p>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10、评标结束后，主持人公布投标报价得分、综合得分以及推荐中标候选人排序名单。</w:t>
      </w:r>
    </w:p>
    <w:p>
      <w:pPr>
        <w:autoSpaceDE w:val="0"/>
        <w:autoSpaceDN w:val="0"/>
        <w:adjustRightInd w:val="0"/>
        <w:snapToGrid w:val="0"/>
        <w:spacing w:line="334" w:lineRule="auto"/>
        <w:ind w:firstLine="420" w:firstLineChars="200"/>
        <w:rPr>
          <w:rFonts w:ascii="宋体"/>
          <w:sz w:val="21"/>
          <w:szCs w:val="21"/>
          <w:lang w:val="zh-CN"/>
        </w:rPr>
      </w:pPr>
      <w:r>
        <w:rPr>
          <w:rFonts w:hint="eastAsia" w:ascii="宋体"/>
          <w:sz w:val="21"/>
          <w:szCs w:val="21"/>
          <w:lang w:val="zh-CN"/>
        </w:rPr>
        <w:t>11、开标会议结束。</w:t>
      </w:r>
    </w:p>
    <w:p>
      <w:pPr>
        <w:pStyle w:val="150"/>
        <w:snapToGrid w:val="0"/>
        <w:spacing w:line="312" w:lineRule="auto"/>
        <w:ind w:firstLine="413" w:firstLineChars="196"/>
        <w:outlineLvl w:val="1"/>
        <w:rPr>
          <w:rFonts w:hAnsi="宋体"/>
          <w:b/>
        </w:rPr>
      </w:pPr>
      <w:r>
        <w:rPr>
          <w:rFonts w:hint="eastAsia" w:hAnsi="宋体"/>
          <w:b/>
        </w:rPr>
        <w:t>六、评标</w:t>
      </w:r>
    </w:p>
    <w:p>
      <w:pPr>
        <w:pStyle w:val="150"/>
        <w:snapToGrid w:val="0"/>
        <w:spacing w:line="312" w:lineRule="auto"/>
        <w:ind w:firstLine="420" w:firstLineChars="200"/>
        <w:rPr>
          <w:rFonts w:hAnsi="宋体"/>
        </w:rPr>
      </w:pPr>
      <w:r>
        <w:rPr>
          <w:rFonts w:hAnsi="宋体"/>
        </w:rPr>
        <w:t>（一）组建评标委员会</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本项目原则上采用电子评审方法。评标委员会由政府采购评审评委和采购单位评审代表组成。在评审评委中推选评标委员会组长，优先推选资深评委为组长。</w:t>
      </w:r>
    </w:p>
    <w:p>
      <w:pPr>
        <w:pStyle w:val="150"/>
        <w:snapToGrid w:val="0"/>
        <w:spacing w:line="312" w:lineRule="auto"/>
        <w:ind w:firstLine="420" w:firstLineChars="200"/>
        <w:rPr>
          <w:rFonts w:hAnsi="宋体"/>
          <w:color w:val="000000"/>
        </w:rPr>
      </w:pPr>
      <w:r>
        <w:rPr>
          <w:rFonts w:hAnsi="宋体"/>
        </w:rPr>
        <w:t>（</w:t>
      </w:r>
      <w:r>
        <w:rPr>
          <w:rFonts w:hint="eastAsia" w:hAnsi="宋体"/>
        </w:rPr>
        <w:t>二</w:t>
      </w:r>
      <w:r>
        <w:rPr>
          <w:rFonts w:hAnsi="宋体"/>
        </w:rPr>
        <w:t>）评标程序</w:t>
      </w:r>
    </w:p>
    <w:p>
      <w:pPr>
        <w:snapToGrid w:val="0"/>
        <w:spacing w:line="312" w:lineRule="auto"/>
        <w:ind w:firstLine="411" w:firstLineChars="196"/>
        <w:rPr>
          <w:rFonts w:ascii="宋体" w:hAnsi="宋体"/>
          <w:color w:val="000000"/>
          <w:sz w:val="21"/>
        </w:rPr>
      </w:pPr>
      <w:r>
        <w:rPr>
          <w:rFonts w:hint="eastAsia" w:ascii="宋体" w:hAnsi="宋体"/>
          <w:color w:val="000000"/>
          <w:sz w:val="21"/>
        </w:rPr>
        <w:t>1、资格</w:t>
      </w:r>
      <w:r>
        <w:rPr>
          <w:rFonts w:ascii="宋体" w:hAnsi="宋体"/>
          <w:color w:val="000000"/>
          <w:sz w:val="21"/>
        </w:rPr>
        <w:t>审查</w:t>
      </w:r>
    </w:p>
    <w:p>
      <w:pPr>
        <w:pStyle w:val="201"/>
        <w:snapToGrid w:val="0"/>
        <w:spacing w:beforeAutospacing="0" w:afterAutospacing="0" w:line="312" w:lineRule="auto"/>
        <w:ind w:firstLine="420" w:firstLineChars="200"/>
        <w:jc w:val="both"/>
        <w:rPr>
          <w:sz w:val="21"/>
        </w:rPr>
      </w:pPr>
      <w:r>
        <w:rPr>
          <w:sz w:val="21"/>
        </w:rPr>
        <w:t>公开招标采购项目开标结束后，</w:t>
      </w:r>
      <w:r>
        <w:rPr>
          <w:rFonts w:hint="eastAsia"/>
          <w:sz w:val="21"/>
        </w:rPr>
        <w:t>评标委员会</w:t>
      </w:r>
      <w:r>
        <w:rPr>
          <w:sz w:val="21"/>
        </w:rPr>
        <w:t>应当依法对投标人的资格进行审查，对审查发现无效的进行必要的询标，结束后公布无效投标的投标人名单、投标无效的原因。</w:t>
      </w:r>
    </w:p>
    <w:p>
      <w:pPr>
        <w:pStyle w:val="201"/>
        <w:snapToGrid w:val="0"/>
        <w:spacing w:beforeAutospacing="0" w:afterAutospacing="0" w:line="312" w:lineRule="auto"/>
        <w:ind w:firstLine="411" w:firstLineChars="196"/>
        <w:jc w:val="both"/>
        <w:rPr>
          <w:sz w:val="21"/>
        </w:rPr>
      </w:pPr>
      <w:r>
        <w:rPr>
          <w:sz w:val="21"/>
        </w:rPr>
        <w:t>2、符合性审查</w:t>
      </w:r>
    </w:p>
    <w:p>
      <w:pPr>
        <w:pStyle w:val="201"/>
        <w:snapToGrid w:val="0"/>
        <w:spacing w:beforeAutospacing="0" w:afterAutospacing="0" w:line="312" w:lineRule="auto"/>
        <w:ind w:firstLine="420" w:firstLineChars="200"/>
        <w:jc w:val="both"/>
        <w:rPr>
          <w:sz w:val="21"/>
        </w:rPr>
      </w:pPr>
      <w:r>
        <w:rPr>
          <w:sz w:val="21"/>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201"/>
        <w:snapToGrid w:val="0"/>
        <w:spacing w:beforeAutospacing="0" w:afterAutospacing="0" w:line="312" w:lineRule="auto"/>
        <w:ind w:firstLine="420" w:firstLineChars="200"/>
        <w:jc w:val="both"/>
        <w:rPr>
          <w:sz w:val="21"/>
        </w:rPr>
      </w:pPr>
      <w:r>
        <w:rPr>
          <w:sz w:val="21"/>
        </w:rPr>
        <w:t>3、综合比较与评价</w:t>
      </w:r>
    </w:p>
    <w:p>
      <w:pPr>
        <w:pStyle w:val="201"/>
        <w:snapToGrid w:val="0"/>
        <w:spacing w:beforeAutospacing="0" w:afterAutospacing="0" w:line="312" w:lineRule="auto"/>
        <w:ind w:firstLine="315" w:firstLineChars="150"/>
        <w:jc w:val="both"/>
        <w:rPr>
          <w:sz w:val="21"/>
        </w:rPr>
      </w:pPr>
      <w:r>
        <w:rPr>
          <w:sz w:val="21"/>
        </w:rPr>
        <w:t>（1）对于投标文件中含义不明确、同类问题表述不一致或者有明显文字和计算错误的内容，评标委员会应当以书面形式要求投标人作出必要的澄清、说明或者补正。</w:t>
      </w:r>
    </w:p>
    <w:p>
      <w:pPr>
        <w:pStyle w:val="201"/>
        <w:snapToGrid w:val="0"/>
        <w:spacing w:beforeAutospacing="0" w:afterAutospacing="0" w:line="312" w:lineRule="auto"/>
        <w:ind w:firstLine="315" w:firstLineChars="150"/>
        <w:jc w:val="both"/>
        <w:rPr>
          <w:sz w:val="21"/>
        </w:rPr>
      </w:pPr>
      <w:r>
        <w:rPr>
          <w:sz w:val="21"/>
        </w:rPr>
        <w:t>（2）评标委员会应当按照招标文件中规定的评标方法和标准，对符合性审查合格的投标文件进行商务和技术评估，综合比较与评价。</w:t>
      </w:r>
    </w:p>
    <w:p>
      <w:pPr>
        <w:snapToGrid w:val="0"/>
        <w:spacing w:line="312" w:lineRule="auto"/>
        <w:ind w:firstLine="315" w:firstLineChars="150"/>
        <w:rPr>
          <w:rFonts w:ascii="宋体" w:hAnsi="宋体"/>
          <w:kern w:val="0"/>
          <w:sz w:val="21"/>
        </w:rPr>
      </w:pPr>
      <w:r>
        <w:rPr>
          <w:rFonts w:hint="eastAsia" w:ascii="宋体" w:hAnsi="宋体"/>
          <w:kern w:val="0"/>
          <w:sz w:val="21"/>
        </w:rPr>
        <w:t>（3）评标时，评标委员会各成员应当独立对每个投标人的投标文件进行评价，并汇总每个投标人的得分。</w:t>
      </w:r>
    </w:p>
    <w:p>
      <w:pPr>
        <w:snapToGrid w:val="0"/>
        <w:spacing w:line="312" w:lineRule="auto"/>
        <w:ind w:firstLine="420" w:firstLineChars="200"/>
        <w:rPr>
          <w:rFonts w:ascii="宋体" w:hAnsi="宋体"/>
          <w:sz w:val="21"/>
        </w:rPr>
      </w:pPr>
      <w:r>
        <w:rPr>
          <w:rFonts w:hint="eastAsia" w:ascii="宋体" w:hAnsi="宋体"/>
          <w:sz w:val="21"/>
        </w:rPr>
        <w:t>4、得分确认及评审报告编写</w:t>
      </w:r>
    </w:p>
    <w:p>
      <w:pPr>
        <w:pStyle w:val="150"/>
        <w:snapToGrid w:val="0"/>
        <w:spacing w:line="312" w:lineRule="auto"/>
        <w:ind w:firstLine="367" w:firstLineChars="175"/>
        <w:rPr>
          <w:rFonts w:hAnsi="宋体"/>
        </w:rPr>
      </w:pPr>
      <w:r>
        <w:rPr>
          <w:rFonts w:hAnsi="宋体"/>
        </w:rPr>
        <w:t>（</w:t>
      </w:r>
      <w:r>
        <w:rPr>
          <w:rFonts w:hint="eastAsia" w:hAnsi="宋体"/>
        </w:rPr>
        <w:t>1</w:t>
      </w:r>
      <w:r>
        <w:rPr>
          <w:rFonts w:hAnsi="宋体"/>
        </w:rPr>
        <w:t>）</w:t>
      </w:r>
      <w:r>
        <w:rPr>
          <w:rFonts w:hint="eastAsia" w:hAnsi="宋体"/>
        </w:rPr>
        <w:t>评标委员会对报价文件进行复核，对于系统计算出的价格分及总得分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201"/>
        <w:snapToGrid w:val="0"/>
        <w:spacing w:beforeAutospacing="0" w:afterAutospacing="0" w:line="312" w:lineRule="auto"/>
        <w:ind w:firstLine="367" w:firstLineChars="175"/>
        <w:jc w:val="both"/>
        <w:rPr>
          <w:sz w:val="21"/>
        </w:rPr>
      </w:pPr>
      <w:r>
        <w:rPr>
          <w:sz w:val="21"/>
        </w:rPr>
        <w:t>（2）评标委员会应当按照招标文件中规定的评标方法和标准，对符合性审查合格的投标文件进行商务和技术评估，综合比较与评价。</w:t>
      </w:r>
    </w:p>
    <w:p>
      <w:pPr>
        <w:snapToGrid w:val="0"/>
        <w:spacing w:line="312" w:lineRule="auto"/>
        <w:ind w:firstLine="420" w:firstLineChars="200"/>
        <w:rPr>
          <w:rFonts w:ascii="宋体" w:hAnsi="宋体"/>
          <w:sz w:val="21"/>
        </w:rPr>
      </w:pPr>
      <w:r>
        <w:rPr>
          <w:rFonts w:ascii="宋体" w:hAnsi="宋体"/>
          <w:sz w:val="21"/>
        </w:rPr>
        <w:t>（</w:t>
      </w:r>
      <w:r>
        <w:rPr>
          <w:rFonts w:hint="eastAsia" w:ascii="宋体" w:hAnsi="宋体"/>
          <w:sz w:val="21"/>
        </w:rPr>
        <w:t>3</w:t>
      </w:r>
      <w:r>
        <w:rPr>
          <w:rFonts w:ascii="宋体" w:hAnsi="宋体"/>
          <w:sz w:val="21"/>
        </w:rPr>
        <w:t>）</w:t>
      </w:r>
      <w:r>
        <w:rPr>
          <w:rFonts w:hint="eastAsia" w:ascii="宋体" w:hAnsi="宋体"/>
          <w:kern w:val="0"/>
          <w:sz w:val="21"/>
        </w:rPr>
        <w:t>评标委员会</w:t>
      </w:r>
      <w:r>
        <w:rPr>
          <w:rFonts w:ascii="宋体" w:hAnsi="宋体"/>
          <w:sz w:val="21"/>
        </w:rPr>
        <w:t>按评标原则</w:t>
      </w:r>
      <w:r>
        <w:rPr>
          <w:rFonts w:hint="eastAsia" w:ascii="宋体" w:hAnsi="宋体"/>
          <w:sz w:val="21"/>
        </w:rPr>
        <w:t>及得分情况编写评审报告。</w:t>
      </w:r>
    </w:p>
    <w:p>
      <w:pPr>
        <w:snapToGrid w:val="0"/>
        <w:spacing w:line="312" w:lineRule="auto"/>
        <w:ind w:firstLine="420" w:firstLineChars="200"/>
        <w:rPr>
          <w:rFonts w:ascii="宋体" w:hAnsi="宋体"/>
          <w:kern w:val="0"/>
          <w:sz w:val="21"/>
        </w:rPr>
      </w:pPr>
      <w:r>
        <w:rPr>
          <w:rFonts w:hint="eastAsia" w:ascii="宋体" w:hAnsi="宋体"/>
          <w:kern w:val="0"/>
          <w:sz w:val="21"/>
        </w:rPr>
        <w:t>5、评价</w:t>
      </w:r>
    </w:p>
    <w:p>
      <w:pPr>
        <w:snapToGrid w:val="0"/>
        <w:spacing w:line="312" w:lineRule="auto"/>
        <w:ind w:firstLine="420" w:firstLineChars="200"/>
        <w:rPr>
          <w:rFonts w:ascii="宋体" w:hAnsi="宋体"/>
          <w:kern w:val="0"/>
          <w:sz w:val="21"/>
        </w:rPr>
      </w:pPr>
      <w:r>
        <w:rPr>
          <w:rFonts w:hint="eastAsia" w:ascii="宋体" w:hAnsi="宋体"/>
          <w:sz w:val="21"/>
        </w:rPr>
        <w:t>采购组织机构对评标委员会评审评委进行评价。</w:t>
      </w:r>
    </w:p>
    <w:p>
      <w:pPr>
        <w:snapToGrid w:val="0"/>
        <w:spacing w:line="312" w:lineRule="auto"/>
        <w:ind w:firstLine="420" w:firstLineChars="200"/>
        <w:rPr>
          <w:rFonts w:ascii="宋体" w:hAnsi="宋体"/>
          <w:color w:val="000000"/>
          <w:sz w:val="21"/>
        </w:rPr>
      </w:pPr>
      <w:r>
        <w:rPr>
          <w:rFonts w:hint="eastAsia" w:ascii="宋体" w:hAnsi="宋体"/>
          <w:color w:val="000000"/>
          <w:sz w:val="21"/>
        </w:rPr>
        <w:t>（三）澄清问题的形式</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1、评审中需要投标人对投标文件作出澄清、说明或者补正的，评标委员会和投标人应当通过电子交易平台交换数据电文。给予投标人提交澄清说明或补正的时间不得超过半小时，投标人已经明确表示澄清说明或补正完毕的除外。投标人务必在线等待，留意手机短信，及时在线澄清、说明或补正。</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2、投标人的的澄清、说明或补正将作为投标文件的一部分。</w:t>
      </w:r>
    </w:p>
    <w:p>
      <w:pPr>
        <w:pStyle w:val="150"/>
        <w:snapToGrid w:val="0"/>
        <w:spacing w:line="312" w:lineRule="auto"/>
        <w:ind w:firstLine="420" w:firstLineChars="200"/>
        <w:rPr>
          <w:rFonts w:hAnsi="宋体"/>
        </w:rPr>
      </w:pPr>
      <w:r>
        <w:rPr>
          <w:rFonts w:hint="eastAsia" w:hAnsi="宋体"/>
        </w:rPr>
        <w:t>（四）错误修正</w:t>
      </w:r>
    </w:p>
    <w:p>
      <w:pPr>
        <w:autoSpaceDE w:val="0"/>
        <w:autoSpaceDN w:val="0"/>
        <w:adjustRightInd w:val="0"/>
        <w:spacing w:line="360" w:lineRule="auto"/>
        <w:ind w:right="84" w:firstLine="482"/>
        <w:rPr>
          <w:rFonts w:ascii="宋体"/>
          <w:sz w:val="21"/>
          <w:lang w:val="zh-CN"/>
        </w:rPr>
      </w:pPr>
      <w:r>
        <w:rPr>
          <w:rFonts w:hint="eastAsia" w:ascii="宋体"/>
          <w:sz w:val="21"/>
          <w:lang w:val="zh-CN"/>
        </w:rPr>
        <w:t>投标文件如出现计算或表达上的错误，修正错误的原则如下：</w:t>
      </w:r>
    </w:p>
    <w:p>
      <w:pPr>
        <w:widowControl/>
        <w:spacing w:line="360" w:lineRule="auto"/>
        <w:ind w:firstLine="482"/>
        <w:jc w:val="left"/>
        <w:rPr>
          <w:rFonts w:ascii="宋体" w:hAnsi="宋体"/>
          <w:kern w:val="0"/>
          <w:sz w:val="21"/>
        </w:rPr>
      </w:pPr>
      <w:r>
        <w:rPr>
          <w:rFonts w:hint="eastAsia" w:ascii="宋体" w:hAnsi="宋体"/>
          <w:kern w:val="0"/>
          <w:sz w:val="21"/>
        </w:rPr>
        <w:t>1、“开标一览表”中内容与“投标报价明细表”中内容不一致的，以开标一览表为准；</w:t>
      </w:r>
    </w:p>
    <w:p>
      <w:pPr>
        <w:widowControl/>
        <w:spacing w:line="360" w:lineRule="auto"/>
        <w:ind w:firstLine="482"/>
        <w:jc w:val="left"/>
        <w:rPr>
          <w:rFonts w:ascii="宋体" w:hAnsi="宋体"/>
          <w:kern w:val="0"/>
          <w:sz w:val="21"/>
        </w:rPr>
      </w:pPr>
      <w:r>
        <w:rPr>
          <w:rFonts w:hint="eastAsia" w:ascii="宋体" w:hAnsi="宋体"/>
          <w:kern w:val="0"/>
          <w:sz w:val="21"/>
        </w:rPr>
        <w:t>2、大写金额和小写金额不一致的，以大写金额为准；</w:t>
      </w:r>
    </w:p>
    <w:p>
      <w:pPr>
        <w:widowControl/>
        <w:spacing w:line="360" w:lineRule="auto"/>
        <w:ind w:firstLine="482"/>
        <w:jc w:val="left"/>
        <w:rPr>
          <w:rFonts w:ascii="宋体" w:hAnsi="宋体"/>
          <w:kern w:val="0"/>
          <w:sz w:val="21"/>
        </w:rPr>
      </w:pPr>
      <w:r>
        <w:rPr>
          <w:rFonts w:hint="eastAsia" w:ascii="宋体" w:hAnsi="宋体"/>
          <w:kern w:val="0"/>
          <w:sz w:val="21"/>
        </w:rPr>
        <w:t>3、总价金额与按单价汇总金额不一致的，以单价金额计算结果为准；</w:t>
      </w:r>
    </w:p>
    <w:p>
      <w:pPr>
        <w:autoSpaceDE w:val="0"/>
        <w:autoSpaceDN w:val="0"/>
        <w:adjustRightInd w:val="0"/>
        <w:spacing w:line="360" w:lineRule="auto"/>
        <w:ind w:firstLine="482"/>
        <w:rPr>
          <w:rFonts w:ascii="宋体" w:hAnsi="宋体"/>
          <w:kern w:val="0"/>
          <w:sz w:val="21"/>
        </w:rPr>
      </w:pPr>
      <w:r>
        <w:rPr>
          <w:rFonts w:hint="eastAsia" w:ascii="宋体" w:hAnsi="宋体"/>
          <w:kern w:val="0"/>
          <w:sz w:val="21"/>
        </w:rPr>
        <w:t>4、单价金额小数点有明显错位的，应以总价为准，并修改单价；</w:t>
      </w:r>
    </w:p>
    <w:p>
      <w:pPr>
        <w:autoSpaceDE w:val="0"/>
        <w:autoSpaceDN w:val="0"/>
        <w:adjustRightInd w:val="0"/>
        <w:spacing w:line="360" w:lineRule="auto"/>
        <w:ind w:firstLine="482"/>
        <w:rPr>
          <w:rFonts w:ascii="宋体" w:hAnsi="宋体"/>
          <w:kern w:val="0"/>
          <w:sz w:val="21"/>
        </w:rPr>
      </w:pPr>
      <w:r>
        <w:rPr>
          <w:rFonts w:hint="eastAsia" w:ascii="宋体" w:hAnsi="宋体"/>
          <w:kern w:val="0"/>
          <w:sz w:val="21"/>
        </w:rPr>
        <w:t>5、对不同文字文本投标文件的解释发生异议的，以中文文本为准。</w:t>
      </w:r>
    </w:p>
    <w:p>
      <w:pPr>
        <w:autoSpaceDE w:val="0"/>
        <w:autoSpaceDN w:val="0"/>
        <w:adjustRightInd w:val="0"/>
        <w:spacing w:line="360" w:lineRule="auto"/>
        <w:ind w:firstLine="482"/>
        <w:rPr>
          <w:rFonts w:ascii="宋体" w:hAnsi="宋体"/>
          <w:kern w:val="0"/>
          <w:sz w:val="21"/>
        </w:rPr>
      </w:pPr>
      <w:r>
        <w:rPr>
          <w:rFonts w:hint="eastAsia" w:ascii="宋体" w:hAnsi="宋体"/>
          <w:kern w:val="0"/>
          <w:sz w:val="21"/>
        </w:rPr>
        <w:t>如同时出现两种以上不一致的，按照前款规定的顺序修正。</w:t>
      </w:r>
    </w:p>
    <w:p>
      <w:pPr>
        <w:snapToGrid w:val="0"/>
        <w:spacing w:line="334" w:lineRule="auto"/>
        <w:ind w:firstLine="420" w:firstLineChars="200"/>
        <w:rPr>
          <w:sz w:val="21"/>
        </w:rPr>
      </w:pPr>
      <w:r>
        <w:rPr>
          <w:sz w:val="21"/>
        </w:rPr>
        <w:t>按上述修正错误的原则及方法调整或修正投标文件的投标报价，投标人同意并签字确认后，调整后的投标报价对投标人具有约束作用。如投标人不接受修正后的报价，则其投标作为无效投标处理。</w:t>
      </w:r>
    </w:p>
    <w:p>
      <w:pPr>
        <w:snapToGrid w:val="0"/>
        <w:spacing w:line="334" w:lineRule="auto"/>
        <w:ind w:firstLine="422" w:firstLineChars="200"/>
        <w:rPr>
          <w:rFonts w:ascii="宋体" w:hAnsi="宋体"/>
          <w:b/>
          <w:bCs/>
          <w:sz w:val="21"/>
          <w:szCs w:val="21"/>
        </w:rPr>
      </w:pPr>
      <w:r>
        <w:rPr>
          <w:rFonts w:hint="eastAsia" w:ascii="宋体" w:hAnsi="宋体"/>
          <w:b/>
          <w:bCs/>
          <w:sz w:val="21"/>
          <w:szCs w:val="21"/>
        </w:rPr>
        <w:t>（五）采购过程中出现以下情形，导致电子交易平台无法正常运行，或者无法保证电子交易的公平、公正和安全时，采购组织机构可中止电子交易活动：</w:t>
      </w:r>
    </w:p>
    <w:p>
      <w:pPr>
        <w:snapToGrid w:val="0"/>
        <w:spacing w:line="334" w:lineRule="auto"/>
        <w:ind w:firstLine="420" w:firstLineChars="200"/>
        <w:rPr>
          <w:rFonts w:ascii="宋体" w:hAnsi="宋体"/>
          <w:sz w:val="21"/>
          <w:szCs w:val="21"/>
        </w:rPr>
      </w:pPr>
      <w:r>
        <w:rPr>
          <w:rFonts w:hint="eastAsia" w:ascii="宋体" w:hAnsi="宋体"/>
          <w:sz w:val="21"/>
          <w:szCs w:val="21"/>
        </w:rPr>
        <w:t>1、电子交易平台发生故障而无法登录访问的； </w:t>
      </w:r>
    </w:p>
    <w:p>
      <w:pPr>
        <w:snapToGrid w:val="0"/>
        <w:spacing w:line="334" w:lineRule="auto"/>
        <w:ind w:firstLine="420" w:firstLineChars="200"/>
        <w:rPr>
          <w:rFonts w:ascii="宋体" w:hAnsi="宋体"/>
          <w:sz w:val="21"/>
          <w:szCs w:val="21"/>
        </w:rPr>
      </w:pPr>
      <w:r>
        <w:rPr>
          <w:rFonts w:hint="eastAsia" w:ascii="宋体" w:hAnsi="宋体"/>
          <w:sz w:val="21"/>
          <w:szCs w:val="21"/>
        </w:rPr>
        <w:t>2、电子交易平台应用或数据库出现错误，不能进行正常操作的；</w:t>
      </w:r>
    </w:p>
    <w:p>
      <w:pPr>
        <w:snapToGrid w:val="0"/>
        <w:spacing w:line="334" w:lineRule="auto"/>
        <w:ind w:firstLine="420" w:firstLineChars="200"/>
        <w:rPr>
          <w:rFonts w:ascii="宋体" w:hAnsi="宋体"/>
          <w:sz w:val="21"/>
          <w:szCs w:val="21"/>
        </w:rPr>
      </w:pPr>
      <w:r>
        <w:rPr>
          <w:rFonts w:hint="eastAsia" w:ascii="宋体" w:hAnsi="宋体"/>
          <w:sz w:val="21"/>
          <w:szCs w:val="21"/>
        </w:rPr>
        <w:t>3、电子交易平台发现严重安全漏洞，有潜在泄密危险的；</w:t>
      </w:r>
    </w:p>
    <w:p>
      <w:pPr>
        <w:snapToGrid w:val="0"/>
        <w:spacing w:line="334" w:lineRule="auto"/>
        <w:ind w:firstLine="420" w:firstLineChars="200"/>
        <w:rPr>
          <w:rFonts w:ascii="宋体" w:hAnsi="宋体"/>
          <w:sz w:val="21"/>
          <w:szCs w:val="21"/>
        </w:rPr>
      </w:pPr>
      <w:r>
        <w:rPr>
          <w:rFonts w:hint="eastAsia" w:ascii="宋体" w:hAnsi="宋体"/>
          <w:sz w:val="21"/>
          <w:szCs w:val="21"/>
        </w:rPr>
        <w:t>4、病毒发作导致不能进行正常操作的； </w:t>
      </w:r>
    </w:p>
    <w:p>
      <w:pPr>
        <w:snapToGrid w:val="0"/>
        <w:spacing w:line="334" w:lineRule="auto"/>
        <w:ind w:firstLine="420" w:firstLineChars="200"/>
        <w:rPr>
          <w:rFonts w:ascii="宋体" w:hAnsi="宋体"/>
          <w:sz w:val="21"/>
          <w:szCs w:val="21"/>
        </w:rPr>
      </w:pPr>
      <w:r>
        <w:rPr>
          <w:rFonts w:hint="eastAsia" w:ascii="宋体" w:hAnsi="宋体"/>
          <w:sz w:val="21"/>
          <w:szCs w:val="21"/>
        </w:rPr>
        <w:t>5、其他无法保证电子交易的公平、公正和安全的情况。</w:t>
      </w:r>
    </w:p>
    <w:p>
      <w:pPr>
        <w:snapToGrid w:val="0"/>
        <w:spacing w:line="334" w:lineRule="auto"/>
        <w:ind w:firstLine="420" w:firstLineChars="200"/>
        <w:rPr>
          <w:sz w:val="21"/>
        </w:rPr>
      </w:pPr>
      <w:r>
        <w:rPr>
          <w:rFonts w:hint="eastAsia" w:ascii="宋体" w:hAnsi="宋体"/>
          <w:sz w:val="21"/>
          <w:szCs w:val="21"/>
        </w:rPr>
        <w:t>出现前款规定情形，不影响采购公平、公正性的，采购组织机构可以待上述情形消除后继续组织电子交易活动；影响或可能影响采购公平、公正性的，应当重新采购。</w:t>
      </w:r>
    </w:p>
    <w:p>
      <w:pPr>
        <w:pStyle w:val="201"/>
        <w:snapToGrid w:val="0"/>
        <w:spacing w:beforeAutospacing="0" w:afterAutospacing="0" w:line="312" w:lineRule="auto"/>
        <w:ind w:firstLine="420" w:firstLineChars="200"/>
        <w:jc w:val="both"/>
        <w:rPr>
          <w:sz w:val="21"/>
        </w:rPr>
      </w:pPr>
      <w:r>
        <w:rPr>
          <w:sz w:val="21"/>
        </w:rPr>
        <w:t>（</w:t>
      </w:r>
      <w:r>
        <w:rPr>
          <w:rFonts w:hint="eastAsia"/>
          <w:sz w:val="21"/>
        </w:rPr>
        <w:t>六</w:t>
      </w:r>
      <w:r>
        <w:rPr>
          <w:sz w:val="21"/>
        </w:rPr>
        <w:t>）投标人存在下列情况之一的，投标无效</w:t>
      </w:r>
    </w:p>
    <w:p>
      <w:pPr>
        <w:adjustRightInd w:val="0"/>
        <w:snapToGrid w:val="0"/>
        <w:spacing w:line="312" w:lineRule="auto"/>
        <w:ind w:left="4" w:leftChars="1" w:firstLine="420" w:firstLineChars="200"/>
        <w:jc w:val="left"/>
        <w:rPr>
          <w:rFonts w:ascii="宋体" w:hAnsi="宋体"/>
          <w:sz w:val="21"/>
        </w:rPr>
      </w:pPr>
      <w:r>
        <w:rPr>
          <w:rFonts w:hint="eastAsia" w:ascii="宋体" w:hAnsi="宋体"/>
          <w:kern w:val="0"/>
          <w:sz w:val="21"/>
        </w:rPr>
        <w:t>1、资格证明文件或商务与技术文件跟报价文件出现混装或在资格证明文件或商务与技术文件中出现投标报价的，或者报价文件中报价的货物跟商务与技术文件中的投标货物出现重大偏差的；</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2、不具备招标文件中规定的资格要求的；</w:t>
      </w:r>
      <w:r>
        <w:rPr>
          <w:rFonts w:hint="eastAsia" w:ascii="宋体" w:hAnsi="宋体" w:cs="宋体"/>
          <w:sz w:val="21"/>
          <w:szCs w:val="21"/>
        </w:rPr>
        <w:tab/>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3、投标文件含有采购人不能接受的附加条件的；</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 xml:space="preserve">5、投标报价超过招标文件中规定的最高限价； </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6、投标参数未如实填写，完全复制粘贴招标参数的；</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7、投标人仅提交备份投标文件的；</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8、电子加密投标文件解密失败或未按时解密的，且未在规定时间内提交备份投标文件的（包括未在解密规定时间内提供备份投标文件解密密码或密码错误的）；</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9、投标文件提供虚假材料的；</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10、不符合中华人民共和国财政部令第87号《政府采购货物和服务招标投标管理办法》第三十七条情形之一的，视为投标人串通投标，其投标无效，并移送采购监管部门：</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（1）不同投标人的投标文件由同一单位或者个人编制；</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（2）不同投标人委托同一单位或者个人办理投标事宜；</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（3）不同投标人的投标文件载明的项目管理成员或者联系人员为同一人；</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（4）不同投标人的投标文件异常一致或者投标报价呈规律性差异；</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（5）不同投标人的投标文件相互混装；</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（6）不同投标人的投标保证金从同一单位或者个人的账户转出。</w:t>
      </w:r>
    </w:p>
    <w:p>
      <w:pPr>
        <w:snapToGrid w:val="0"/>
        <w:spacing w:line="334" w:lineRule="auto"/>
        <w:ind w:firstLine="420" w:firstLineChars="200"/>
        <w:rPr>
          <w:rFonts w:ascii="宋体" w:hAnsi="宋体" w:cs="宋体"/>
          <w:sz w:val="21"/>
          <w:szCs w:val="21"/>
        </w:rPr>
      </w:pPr>
      <w:r>
        <w:rPr>
          <w:rFonts w:hint="eastAsia" w:ascii="宋体" w:hAnsi="宋体" w:cs="宋体"/>
          <w:sz w:val="21"/>
          <w:szCs w:val="21"/>
        </w:rPr>
        <w:t>11、不符合法律、法规以及招标文件中规定的无效标条款或其他实质性要求的（招标文件中打“▲”内容及被拒绝的条款）</w:t>
      </w:r>
    </w:p>
    <w:p>
      <w:pPr>
        <w:autoSpaceDE w:val="0"/>
        <w:autoSpaceDN w:val="0"/>
        <w:adjustRightInd w:val="0"/>
        <w:snapToGrid w:val="0"/>
        <w:spacing w:line="312" w:lineRule="auto"/>
        <w:rPr>
          <w:rFonts w:ascii="宋体" w:hAnsi="宋体"/>
          <w:kern w:val="0"/>
          <w:sz w:val="21"/>
        </w:rPr>
      </w:pPr>
      <w:r>
        <w:rPr>
          <w:rFonts w:hint="eastAsia" w:ascii="宋体" w:hAnsi="宋体"/>
          <w:kern w:val="0"/>
          <w:sz w:val="21"/>
        </w:rPr>
        <w:t xml:space="preserve">    （七）有下列情况之一的，本次招标作为废标处理</w:t>
      </w:r>
    </w:p>
    <w:p>
      <w:pPr>
        <w:pStyle w:val="201"/>
        <w:snapToGrid w:val="0"/>
        <w:spacing w:beforeAutospacing="0" w:afterAutospacing="0" w:line="312" w:lineRule="auto"/>
        <w:jc w:val="both"/>
        <w:rPr>
          <w:sz w:val="21"/>
        </w:rPr>
      </w:pPr>
      <w:r>
        <w:rPr>
          <w:sz w:val="21"/>
        </w:rPr>
        <w:t>1、出现影响采购公正的违法、违规行为的；</w:t>
      </w:r>
    </w:p>
    <w:p>
      <w:pPr>
        <w:pStyle w:val="201"/>
        <w:snapToGrid w:val="0"/>
        <w:spacing w:beforeAutospacing="0" w:afterAutospacing="0" w:line="312" w:lineRule="auto"/>
        <w:jc w:val="both"/>
        <w:rPr>
          <w:sz w:val="21"/>
        </w:rPr>
      </w:pPr>
      <w:r>
        <w:rPr>
          <w:sz w:val="21"/>
        </w:rPr>
        <w:t xml:space="preserve">2、评标委员会发现招标文件存在歧义、重大缺陷导致评标工作无法进行，或者招标文件内容违反国家有关强制性规定的； </w:t>
      </w:r>
    </w:p>
    <w:p>
      <w:pPr>
        <w:pStyle w:val="201"/>
        <w:snapToGrid w:val="0"/>
        <w:spacing w:beforeAutospacing="0" w:afterAutospacing="0" w:line="312" w:lineRule="auto"/>
        <w:jc w:val="both"/>
        <w:rPr>
          <w:sz w:val="21"/>
        </w:rPr>
      </w:pPr>
      <w:r>
        <w:rPr>
          <w:sz w:val="21"/>
        </w:rPr>
        <w:t>3、因重大变故，采购任务取消的；</w:t>
      </w:r>
    </w:p>
    <w:p>
      <w:pPr>
        <w:pStyle w:val="201"/>
        <w:snapToGrid w:val="0"/>
        <w:spacing w:beforeAutospacing="0" w:afterAutospacing="0" w:line="312" w:lineRule="auto"/>
        <w:jc w:val="both"/>
        <w:rPr>
          <w:sz w:val="21"/>
        </w:rPr>
      </w:pPr>
      <w:r>
        <w:rPr>
          <w:sz w:val="21"/>
        </w:rPr>
        <w:t>4、法律、法规和招标文件规定的其他导致评标结果无效的。</w:t>
      </w:r>
    </w:p>
    <w:p>
      <w:pPr>
        <w:pStyle w:val="150"/>
        <w:tabs>
          <w:tab w:val="left" w:pos="630"/>
        </w:tabs>
        <w:snapToGrid w:val="0"/>
        <w:spacing w:line="312" w:lineRule="auto"/>
        <w:rPr>
          <w:rFonts w:hAnsi="宋体"/>
        </w:rPr>
      </w:pPr>
      <w:r>
        <w:rPr>
          <w:rFonts w:hAnsi="宋体"/>
          <w:color w:val="000000"/>
        </w:rPr>
        <w:t>（</w:t>
      </w:r>
      <w:r>
        <w:rPr>
          <w:rFonts w:hint="eastAsia" w:hAnsi="宋体"/>
          <w:color w:val="000000"/>
        </w:rPr>
        <w:t>八</w:t>
      </w:r>
      <w:r>
        <w:rPr>
          <w:rFonts w:hAnsi="宋体"/>
          <w:color w:val="000000"/>
        </w:rPr>
        <w:t>）</w:t>
      </w:r>
      <w:r>
        <w:rPr>
          <w:rFonts w:hAnsi="宋体"/>
        </w:rPr>
        <w:t>评标原则和评标办法</w:t>
      </w:r>
    </w:p>
    <w:p>
      <w:pPr>
        <w:pStyle w:val="150"/>
        <w:snapToGrid w:val="0"/>
        <w:spacing w:line="312" w:lineRule="auto"/>
        <w:rPr>
          <w:rFonts w:hAnsi="宋体"/>
        </w:rPr>
      </w:pPr>
      <w:r>
        <w:rPr>
          <w:rFonts w:hAnsi="宋体"/>
        </w:rPr>
        <w:t>1</w:t>
      </w:r>
      <w:r>
        <w:rPr>
          <w:rFonts w:hint="eastAsia" w:hAnsi="宋体"/>
        </w:rPr>
        <w:t>、</w:t>
      </w:r>
      <w:r>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0"/>
        <w:snapToGrid w:val="0"/>
        <w:spacing w:line="312" w:lineRule="auto"/>
        <w:rPr>
          <w:rFonts w:hAnsi="宋体"/>
        </w:rPr>
      </w:pPr>
      <w:r>
        <w:rPr>
          <w:rFonts w:hAnsi="宋体"/>
        </w:rPr>
        <w:t>2</w:t>
      </w:r>
      <w:r>
        <w:rPr>
          <w:rFonts w:hint="eastAsia" w:hAnsi="宋体"/>
        </w:rPr>
        <w:t>、</w:t>
      </w:r>
      <w:r>
        <w:rPr>
          <w:rFonts w:hAnsi="宋体"/>
        </w:rPr>
        <w:t>评标办法。具体评标内容及评分标准等详见《第</w:t>
      </w:r>
      <w:r>
        <w:rPr>
          <w:rFonts w:hint="eastAsia" w:hAnsi="宋体"/>
        </w:rPr>
        <w:t>四部分</w:t>
      </w:r>
      <w:r>
        <w:rPr>
          <w:rFonts w:hAnsi="宋体"/>
        </w:rPr>
        <w:t>：评标</w:t>
      </w:r>
      <w:r>
        <w:rPr>
          <w:rFonts w:hint="eastAsia" w:hAnsi="宋体"/>
        </w:rPr>
        <w:t>方</w:t>
      </w:r>
      <w:r>
        <w:rPr>
          <w:rFonts w:hAnsi="宋体"/>
        </w:rPr>
        <w:t>法及评分标准》。</w:t>
      </w:r>
    </w:p>
    <w:p>
      <w:pPr>
        <w:pStyle w:val="150"/>
        <w:snapToGrid w:val="0"/>
        <w:spacing w:line="312" w:lineRule="auto"/>
        <w:rPr>
          <w:rFonts w:hAnsi="宋体"/>
        </w:rPr>
      </w:pPr>
      <w:r>
        <w:rPr>
          <w:rFonts w:hAnsi="宋体"/>
        </w:rPr>
        <w:t>（</w:t>
      </w:r>
      <w:r>
        <w:rPr>
          <w:rFonts w:hint="eastAsia" w:hAnsi="宋体"/>
        </w:rPr>
        <w:t>九</w:t>
      </w:r>
      <w:r>
        <w:rPr>
          <w:rFonts w:hAnsi="宋体"/>
        </w:rPr>
        <w:t>）评标过程的监控</w:t>
      </w:r>
    </w:p>
    <w:p>
      <w:pPr>
        <w:pStyle w:val="201"/>
        <w:snapToGrid w:val="0"/>
        <w:spacing w:beforeAutospacing="0" w:afterAutospacing="0" w:line="312" w:lineRule="auto"/>
        <w:ind w:firstLine="420"/>
        <w:jc w:val="both"/>
        <w:rPr>
          <w:sz w:val="21"/>
        </w:rPr>
      </w:pPr>
      <w:r>
        <w:rPr>
          <w:rFonts w:hint="eastAsia"/>
          <w:sz w:val="21"/>
        </w:rPr>
        <w:t>1.</w:t>
      </w:r>
      <w:r>
        <w:rPr>
          <w:sz w:val="21"/>
        </w:rPr>
        <w:t>本项目评标过程实行全程录音、录像监控，政府采购监管部门视情进行现场监督，投标人在评标过程中所进行的试图影响评标结果的不公正活动，可能导致其投标被拒绝。</w:t>
      </w:r>
    </w:p>
    <w:p>
      <w:pPr>
        <w:pStyle w:val="201"/>
        <w:snapToGrid w:val="0"/>
        <w:spacing w:beforeAutospacing="0" w:afterAutospacing="0" w:line="312" w:lineRule="auto"/>
        <w:ind w:firstLine="420"/>
        <w:jc w:val="both"/>
        <w:rPr>
          <w:sz w:val="21"/>
        </w:rPr>
      </w:pPr>
      <w:r>
        <w:rPr>
          <w:rFonts w:hint="eastAsia" w:cs="宋体"/>
          <w:sz w:val="21"/>
          <w:szCs w:val="21"/>
        </w:rPr>
        <w:t>2、评审过程中出现录音录像采集设备不能正常运行的，应当立即封存评审资料、中止评审活动，直至设备（或替代设备）运转正常或转移至符合条件的场所后继续进行评审工作。</w:t>
      </w:r>
    </w:p>
    <w:p>
      <w:pPr>
        <w:pStyle w:val="201"/>
        <w:snapToGrid w:val="0"/>
        <w:spacing w:beforeAutospacing="0" w:afterAutospacing="0" w:line="312" w:lineRule="auto"/>
        <w:jc w:val="both"/>
        <w:rPr>
          <w:b/>
          <w:sz w:val="21"/>
        </w:rPr>
      </w:pPr>
      <w:r>
        <w:rPr>
          <w:b/>
          <w:sz w:val="21"/>
        </w:rPr>
        <w:t>七、定标</w:t>
      </w:r>
    </w:p>
    <w:p>
      <w:pPr>
        <w:snapToGrid w:val="0"/>
        <w:spacing w:line="336" w:lineRule="auto"/>
        <w:ind w:firstLine="420" w:firstLineChars="200"/>
        <w:rPr>
          <w:rFonts w:ascii="宋体" w:hAnsi="宋体" w:cs="宋体"/>
          <w:sz w:val="21"/>
          <w:szCs w:val="21"/>
        </w:rPr>
      </w:pPr>
      <w:r>
        <w:rPr>
          <w:rFonts w:hint="eastAsia" w:ascii="宋体" w:hAnsi="宋体" w:cs="宋体"/>
          <w:sz w:val="21"/>
          <w:szCs w:val="21"/>
        </w:rPr>
        <w:t>1、确定中标候选人。评标委员会根据采购单位的《授权意见确认书》，推荐中标候选人或确定中标候选人。其中推荐中标候选人的，采购代理机构在评审结束后2个工作日内将评标报告送采购人，采购人自收到评审报告之日起5个工作日内在评审报告推荐的中标候选人中按顺序确定中标人。</w:t>
      </w:r>
    </w:p>
    <w:p>
      <w:pPr>
        <w:snapToGrid w:val="0"/>
        <w:spacing w:line="336" w:lineRule="auto"/>
        <w:ind w:firstLine="420" w:firstLineChars="200"/>
        <w:rPr>
          <w:rFonts w:ascii="宋体" w:hAnsi="宋体" w:cs="宋体"/>
          <w:sz w:val="21"/>
          <w:szCs w:val="21"/>
        </w:rPr>
      </w:pPr>
      <w:r>
        <w:rPr>
          <w:rFonts w:hint="eastAsia" w:ascii="宋体" w:hAnsi="宋体" w:cs="宋体"/>
          <w:sz w:val="21"/>
          <w:szCs w:val="21"/>
        </w:rPr>
        <w:t>2、中标结果公告发出后，采购监管部门如发现投标人出现投标硬件异常的，直接取消投标人的中标资格，剩余投标人达3家及以上的，中标顺位替补；不足3家的，本项目作废标处理。</w:t>
      </w:r>
    </w:p>
    <w:p>
      <w:pPr>
        <w:snapToGrid w:val="0"/>
        <w:spacing w:line="336" w:lineRule="auto"/>
        <w:ind w:firstLine="420" w:firstLineChars="200"/>
        <w:rPr>
          <w:rFonts w:ascii="宋体" w:hAnsi="宋体" w:cs="宋体"/>
          <w:sz w:val="21"/>
          <w:szCs w:val="21"/>
        </w:rPr>
      </w:pPr>
      <w:r>
        <w:rPr>
          <w:rFonts w:hint="eastAsia" w:ascii="宋体" w:hAnsi="宋体" w:cs="宋体"/>
          <w:sz w:val="21"/>
          <w:szCs w:val="21"/>
        </w:rPr>
        <w:t>3、发布中标结果公告。采购代理机构应当自中标候选人确定之日起2个工作日内，在省级以上财政部门指定的媒体及相关网站上公告中标结果。中标结果公告将包括中标候选人名称、地址和中标金额，主要中标标的的名称、规格型号、数量、单价、服务要求以及评审评委名单等内容，但不包括国家秘密、商业秘密。</w:t>
      </w:r>
      <w:r>
        <w:rPr>
          <w:rFonts w:hint="eastAsia" w:ascii="宋体" w:hAnsi="宋体" w:cs="宋体"/>
          <w:sz w:val="21"/>
          <w:szCs w:val="21"/>
          <w:u w:val="single"/>
        </w:rPr>
        <w:t>因中标结果公告需要，评审结果排名第一的中标候选人在评审结束后1个工作日内将《中标候选人公告内容》（见附件）填写完整后，以电子文档形式提交给采购代理机构项目负责人（或者发送至电子邮箱：313195311@qq.com）。未按时提供所造成的后果由投标人自行承担。</w:t>
      </w:r>
    </w:p>
    <w:p>
      <w:pPr>
        <w:snapToGrid w:val="0"/>
        <w:spacing w:line="336" w:lineRule="auto"/>
        <w:ind w:firstLine="420" w:firstLineChars="200"/>
        <w:rPr>
          <w:rFonts w:ascii="宋体" w:hAnsi="宋体" w:cs="宋体"/>
          <w:sz w:val="21"/>
          <w:szCs w:val="21"/>
        </w:rPr>
      </w:pPr>
      <w:r>
        <w:rPr>
          <w:rFonts w:hint="eastAsia" w:ascii="宋体" w:hAnsi="宋体" w:cs="宋体"/>
          <w:sz w:val="21"/>
          <w:szCs w:val="21"/>
        </w:rPr>
        <w:t>4、采购代理机构将在中标结果公告中附中标通知书，视同向中标候选人发出中标通知书，同时中标候选人应在中标结果公告发布后签订合同前，赴采购代理机构项目负责人处领取中标通知书。</w:t>
      </w:r>
    </w:p>
    <w:p>
      <w:pPr>
        <w:snapToGrid w:val="0"/>
        <w:spacing w:line="312" w:lineRule="auto"/>
        <w:rPr>
          <w:rFonts w:ascii="宋体" w:hAnsi="宋体"/>
          <w:kern w:val="0"/>
          <w:sz w:val="21"/>
        </w:rPr>
      </w:pPr>
      <w:r>
        <w:rPr>
          <w:rFonts w:hint="eastAsia" w:ascii="宋体" w:hAnsi="宋体" w:cs="宋体"/>
          <w:sz w:val="21"/>
          <w:szCs w:val="21"/>
        </w:rPr>
        <w:t>5、中标通知书发出之日起至合同签订前，中标候选人不得开展项目实质性工作（如订货、施工等）。否则，造成的有关损失由中标候选人自行承担。</w:t>
      </w:r>
    </w:p>
    <w:p>
      <w:pPr>
        <w:snapToGrid w:val="0"/>
        <w:spacing w:line="312" w:lineRule="auto"/>
        <w:rPr>
          <w:rFonts w:ascii="宋体" w:hAnsi="宋体"/>
          <w:b/>
          <w:kern w:val="0"/>
          <w:sz w:val="21"/>
        </w:rPr>
      </w:pPr>
      <w:r>
        <w:rPr>
          <w:rFonts w:ascii="宋体" w:hAnsi="宋体"/>
          <w:b/>
          <w:sz w:val="21"/>
        </w:rPr>
        <w:t>八、</w:t>
      </w:r>
      <w:r>
        <w:rPr>
          <w:rFonts w:hint="eastAsia" w:ascii="宋体" w:hAnsi="宋体"/>
          <w:b/>
          <w:kern w:val="0"/>
          <w:sz w:val="21"/>
        </w:rPr>
        <w:t>合同签订及公告</w:t>
      </w:r>
    </w:p>
    <w:p>
      <w:pPr>
        <w:snapToGrid w:val="0"/>
        <w:spacing w:line="312" w:lineRule="auto"/>
        <w:rPr>
          <w:rFonts w:ascii="宋体" w:hAnsi="宋体"/>
          <w:kern w:val="0"/>
          <w:sz w:val="21"/>
        </w:rPr>
      </w:pPr>
      <w:r>
        <w:rPr>
          <w:rFonts w:hint="eastAsia" w:ascii="宋体" w:hAnsi="宋体"/>
          <w:sz w:val="21"/>
        </w:rPr>
        <w:t>（一）签订合同</w:t>
      </w:r>
    </w:p>
    <w:p>
      <w:pPr>
        <w:pStyle w:val="201"/>
        <w:snapToGrid w:val="0"/>
        <w:spacing w:beforeAutospacing="0" w:afterAutospacing="0" w:line="312" w:lineRule="auto"/>
        <w:jc w:val="both"/>
        <w:rPr>
          <w:sz w:val="21"/>
        </w:rPr>
      </w:pPr>
      <w:r>
        <w:rPr>
          <w:sz w:val="21"/>
        </w:rPr>
        <w:t>1、采购人应当自中标通知书发出之日起</w:t>
      </w:r>
      <w:r>
        <w:rPr>
          <w:rFonts w:hint="eastAsia"/>
          <w:sz w:val="21"/>
        </w:rPr>
        <w:t>3</w:t>
      </w:r>
      <w:r>
        <w:rPr>
          <w:sz w:val="21"/>
        </w:rPr>
        <w:t>0个工作日内，按照招标文件和</w:t>
      </w:r>
      <w:r>
        <w:rPr>
          <w:rFonts w:hint="eastAsia"/>
          <w:sz w:val="21"/>
        </w:rPr>
        <w:t>中标候选人</w:t>
      </w:r>
      <w:r>
        <w:rPr>
          <w:sz w:val="21"/>
        </w:rPr>
        <w:t>投标文件的规定，与</w:t>
      </w:r>
      <w:r>
        <w:rPr>
          <w:rFonts w:hint="eastAsia"/>
          <w:sz w:val="21"/>
        </w:rPr>
        <w:t>中标候选人</w:t>
      </w:r>
      <w:r>
        <w:rPr>
          <w:sz w:val="21"/>
        </w:rPr>
        <w:t>签订书面合同。所签订的合同不得对招标文件确定的事项和</w:t>
      </w:r>
      <w:r>
        <w:rPr>
          <w:rFonts w:hint="eastAsia"/>
          <w:sz w:val="21"/>
        </w:rPr>
        <w:t>中标候选人</w:t>
      </w:r>
      <w:r>
        <w:rPr>
          <w:sz w:val="21"/>
        </w:rPr>
        <w:t>投标文件作实质性修改。</w:t>
      </w:r>
    </w:p>
    <w:p>
      <w:pPr>
        <w:pStyle w:val="201"/>
        <w:snapToGrid w:val="0"/>
        <w:spacing w:beforeAutospacing="0" w:afterAutospacing="0" w:line="312" w:lineRule="auto"/>
        <w:jc w:val="both"/>
        <w:rPr>
          <w:sz w:val="21"/>
        </w:rPr>
      </w:pPr>
      <w:r>
        <w:rPr>
          <w:sz w:val="21"/>
        </w:rPr>
        <w:t>2、采购人不得向</w:t>
      </w:r>
      <w:r>
        <w:rPr>
          <w:rFonts w:hint="eastAsia"/>
          <w:sz w:val="21"/>
        </w:rPr>
        <w:t>中标候选人</w:t>
      </w:r>
      <w:r>
        <w:rPr>
          <w:sz w:val="21"/>
        </w:rPr>
        <w:t>提出任何不合理的要求作为签订合同的条件。</w:t>
      </w:r>
    </w:p>
    <w:p>
      <w:pPr>
        <w:pStyle w:val="201"/>
        <w:snapToGrid w:val="0"/>
        <w:spacing w:beforeAutospacing="0" w:afterAutospacing="0" w:line="312" w:lineRule="auto"/>
        <w:jc w:val="both"/>
        <w:rPr>
          <w:sz w:val="21"/>
        </w:rPr>
      </w:pPr>
      <w:r>
        <w:rPr>
          <w:sz w:val="21"/>
        </w:rPr>
        <w:t>3、</w:t>
      </w:r>
      <w:r>
        <w:rPr>
          <w:rFonts w:hint="eastAsia"/>
          <w:sz w:val="21"/>
        </w:rPr>
        <w:t>中标候选人</w:t>
      </w:r>
      <w:r>
        <w:rPr>
          <w:sz w:val="21"/>
        </w:rPr>
        <w:t>无故拖延、拒签合同的,取消中标资格。</w:t>
      </w:r>
    </w:p>
    <w:p>
      <w:pPr>
        <w:pStyle w:val="201"/>
        <w:snapToGrid w:val="0"/>
        <w:spacing w:beforeAutospacing="0" w:afterAutospacing="0" w:line="312" w:lineRule="auto"/>
        <w:jc w:val="both"/>
        <w:rPr>
          <w:sz w:val="21"/>
        </w:rPr>
      </w:pPr>
      <w:r>
        <w:rPr>
          <w:sz w:val="21"/>
        </w:rPr>
        <w:t>4、</w:t>
      </w:r>
      <w:r>
        <w:rPr>
          <w:rFonts w:hint="eastAsia"/>
          <w:sz w:val="21"/>
        </w:rPr>
        <w:t>中标候选人</w:t>
      </w:r>
      <w:r>
        <w:rPr>
          <w:sz w:val="21"/>
        </w:rPr>
        <w:t>拒绝与采购人签订合同的，采购人可以按照评审报告推荐的中标候选人名单排序，确定下一候选人为</w:t>
      </w:r>
      <w:r>
        <w:rPr>
          <w:rFonts w:hint="eastAsia"/>
          <w:sz w:val="21"/>
        </w:rPr>
        <w:t>中标候选人</w:t>
      </w:r>
      <w:r>
        <w:rPr>
          <w:sz w:val="21"/>
        </w:rPr>
        <w:t>，也可以重新开展政府采购活动。同时，拒绝与采购人签订合同的</w:t>
      </w:r>
      <w:r>
        <w:rPr>
          <w:rFonts w:hint="eastAsia"/>
          <w:sz w:val="21"/>
        </w:rPr>
        <w:t>投标人</w:t>
      </w:r>
      <w:r>
        <w:rPr>
          <w:sz w:val="21"/>
        </w:rPr>
        <w:t>，由同级财政部门依法作出处理。</w:t>
      </w:r>
    </w:p>
    <w:p>
      <w:pPr>
        <w:pStyle w:val="201"/>
        <w:snapToGrid w:val="0"/>
        <w:spacing w:beforeAutospacing="0" w:afterAutospacing="0" w:line="312" w:lineRule="auto"/>
        <w:jc w:val="both"/>
        <w:rPr>
          <w:sz w:val="21"/>
        </w:rPr>
      </w:pPr>
      <w:r>
        <w:rPr>
          <w:sz w:val="21"/>
        </w:rPr>
        <w:t>5、询问或者质疑事项可能影响中标结果的，采购人应当暂停签订合同，已经签订合同的，应当中止履行合同（中标结果的质疑期为中标结果公告期限届满之日起七个工作日）。</w:t>
      </w:r>
    </w:p>
    <w:p>
      <w:pPr>
        <w:pStyle w:val="201"/>
        <w:snapToGrid w:val="0"/>
        <w:spacing w:beforeAutospacing="0" w:afterAutospacing="0" w:line="312" w:lineRule="auto"/>
        <w:jc w:val="both"/>
        <w:rPr>
          <w:sz w:val="21"/>
        </w:rPr>
      </w:pPr>
      <w:r>
        <w:rPr>
          <w:sz w:val="21"/>
        </w:rPr>
        <w:t>（二）合同公告及备案</w:t>
      </w:r>
    </w:p>
    <w:p>
      <w:pPr>
        <w:snapToGrid w:val="0"/>
        <w:spacing w:line="334" w:lineRule="auto"/>
        <w:ind w:firstLine="420" w:firstLineChars="200"/>
        <w:jc w:val="left"/>
        <w:rPr>
          <w:sz w:val="21"/>
        </w:rPr>
      </w:pPr>
      <w:r>
        <w:rPr>
          <w:rFonts w:hint="eastAsia" w:ascii="宋体" w:hAnsi="宋体" w:cs="宋体"/>
          <w:sz w:val="21"/>
          <w:szCs w:val="21"/>
        </w:rPr>
        <w:t>采购人应当自政府采购合同签订之日起2个工作日内，在省级以上财政部门指定的政府采购信息发布媒体及相关网站上公告，但政府采购合同中涉及国家秘密、商业秘密的内容除外。</w:t>
      </w:r>
    </w:p>
    <w:p>
      <w:pPr>
        <w:pStyle w:val="150"/>
        <w:snapToGrid w:val="0"/>
        <w:spacing w:line="312" w:lineRule="auto"/>
        <w:rPr>
          <w:rFonts w:hAnsi="宋体"/>
          <w:b/>
        </w:rPr>
      </w:pPr>
      <w:r>
        <w:rPr>
          <w:rFonts w:hAnsi="宋体"/>
          <w:b/>
        </w:rPr>
        <w:t>（</w:t>
      </w:r>
      <w:r>
        <w:rPr>
          <w:rFonts w:hint="eastAsia" w:hAnsi="宋体"/>
          <w:b/>
        </w:rPr>
        <w:t>三</w:t>
      </w:r>
      <w:r>
        <w:rPr>
          <w:rFonts w:hAnsi="宋体"/>
          <w:b/>
        </w:rPr>
        <w:t>）履约保证金</w:t>
      </w:r>
    </w:p>
    <w:p>
      <w:pPr>
        <w:snapToGrid w:val="0"/>
        <w:spacing w:line="334" w:lineRule="auto"/>
        <w:ind w:firstLine="420" w:firstLineChars="200"/>
        <w:rPr>
          <w:rFonts w:ascii="宋体" w:hAnsi="宋体"/>
          <w:sz w:val="21"/>
          <w:szCs w:val="21"/>
        </w:rPr>
      </w:pPr>
      <w:r>
        <w:rPr>
          <w:rFonts w:hint="eastAsia" w:ascii="宋体" w:hAnsi="宋体"/>
          <w:sz w:val="21"/>
          <w:szCs w:val="21"/>
        </w:rPr>
        <w:t>1、合同签订时，采购人按本项目招标文件规定自行收取项目履约保证金。采购人要求中标或者成交投标人提交履约保证金的，投标人应当以支票、汇票、本票或者金融机构、担保机构出具的保函等非现金形式提交。2.按合同约定办理履约保证金退还手续；</w:t>
      </w:r>
      <w:r>
        <w:rPr>
          <w:rFonts w:hint="eastAsia" w:ascii="宋体"/>
          <w:sz w:val="21"/>
          <w:szCs w:val="21"/>
        </w:rPr>
        <w:t>3.履约保证金不</w:t>
      </w:r>
      <w:r>
        <w:rPr>
          <w:rFonts w:hint="eastAsia" w:ascii="宋体" w:hAnsi="宋体"/>
          <w:sz w:val="21"/>
          <w:szCs w:val="21"/>
        </w:rPr>
        <w:t>予退还的</w:t>
      </w:r>
      <w:r>
        <w:rPr>
          <w:rFonts w:hint="eastAsia" w:ascii="宋体"/>
          <w:sz w:val="21"/>
          <w:szCs w:val="21"/>
        </w:rPr>
        <w:t>情形</w:t>
      </w:r>
      <w:r>
        <w:rPr>
          <w:rFonts w:hint="eastAsia" w:ascii="宋体" w:hAnsi="宋体"/>
          <w:sz w:val="21"/>
          <w:szCs w:val="21"/>
        </w:rPr>
        <w:t>：a.拒绝履行合同义务的；b.产品质量验收或测试不合格的。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12" w:lineRule="auto"/>
        <w:rPr>
          <w:rFonts w:ascii="宋体"/>
          <w:b/>
          <w:sz w:val="21"/>
        </w:rPr>
      </w:pPr>
      <w:r>
        <w:rPr>
          <w:rFonts w:hint="eastAsia" w:ascii="宋体" w:hAnsi="宋体"/>
          <w:b/>
          <w:bCs/>
          <w:kern w:val="0"/>
          <w:sz w:val="21"/>
        </w:rPr>
        <w:t>九、</w:t>
      </w:r>
      <w:r>
        <w:rPr>
          <w:rFonts w:hint="eastAsia" w:ascii="宋体"/>
          <w:b/>
          <w:sz w:val="21"/>
        </w:rPr>
        <w:t>中标服务费</w:t>
      </w:r>
    </w:p>
    <w:bookmarkEnd w:id="3"/>
    <w:p>
      <w:pPr>
        <w:autoSpaceDE w:val="0"/>
        <w:autoSpaceDN w:val="0"/>
        <w:adjustRightInd w:val="0"/>
        <w:jc w:val="left"/>
        <w:outlineLvl w:val="0"/>
        <w:rPr>
          <w:rFonts w:ascii="宋体"/>
          <w:sz w:val="21"/>
          <w:szCs w:val="21"/>
        </w:rPr>
      </w:pPr>
      <w:bookmarkStart w:id="25" w:name="_Toc306901457"/>
      <w:bookmarkStart w:id="26" w:name="_Toc173810699"/>
      <w:r>
        <w:rPr>
          <w:rFonts w:hint="eastAsia" w:ascii="宋体"/>
          <w:sz w:val="21"/>
          <w:szCs w:val="21"/>
        </w:rPr>
        <w:t>招标代理服务费：本项目采购代理服务费根据《关于招标代理服务收费有关问题的通知》（发改办价格[2003] 857号）的规定，采购人、供应商、代理机构约定由中标（成交）人支付，收取标准参照国家发展改革委员会发改价格[2011]534号《调整后的招标代理服务收费标准（2011）》按照服务类打6折收取，中标（成交）人须在领取中标（成交）通知书的同时一次性向代理机构缴清。</w:t>
      </w:r>
    </w:p>
    <w:p>
      <w:pPr>
        <w:autoSpaceDE w:val="0"/>
        <w:autoSpaceDN w:val="0"/>
        <w:adjustRightInd w:val="0"/>
        <w:jc w:val="center"/>
        <w:outlineLvl w:val="0"/>
        <w:rPr>
          <w:b/>
        </w:rPr>
      </w:pPr>
    </w:p>
    <w:p>
      <w:pPr>
        <w:autoSpaceDE w:val="0"/>
        <w:autoSpaceDN w:val="0"/>
        <w:adjustRightInd w:val="0"/>
        <w:jc w:val="center"/>
        <w:outlineLvl w:val="0"/>
        <w:rPr>
          <w:b/>
        </w:rPr>
      </w:pPr>
    </w:p>
    <w:p>
      <w:pPr>
        <w:autoSpaceDE w:val="0"/>
        <w:autoSpaceDN w:val="0"/>
        <w:adjustRightInd w:val="0"/>
        <w:jc w:val="center"/>
        <w:outlineLvl w:val="0"/>
        <w:rPr>
          <w:b/>
        </w:rPr>
      </w:pPr>
    </w:p>
    <w:p>
      <w:pPr>
        <w:autoSpaceDE w:val="0"/>
        <w:autoSpaceDN w:val="0"/>
        <w:adjustRightInd w:val="0"/>
        <w:jc w:val="center"/>
        <w:outlineLvl w:val="0"/>
        <w:rPr>
          <w:b/>
        </w:rPr>
      </w:pPr>
    </w:p>
    <w:p>
      <w:pPr>
        <w:autoSpaceDE w:val="0"/>
        <w:autoSpaceDN w:val="0"/>
        <w:adjustRightInd w:val="0"/>
        <w:jc w:val="center"/>
        <w:outlineLvl w:val="0"/>
        <w:rPr>
          <w:b/>
        </w:rPr>
      </w:pPr>
    </w:p>
    <w:p>
      <w:pPr>
        <w:autoSpaceDE w:val="0"/>
        <w:autoSpaceDN w:val="0"/>
        <w:adjustRightInd w:val="0"/>
        <w:jc w:val="center"/>
        <w:outlineLvl w:val="0"/>
        <w:rPr>
          <w:b/>
        </w:rPr>
      </w:pPr>
    </w:p>
    <w:p>
      <w:pPr>
        <w:autoSpaceDE w:val="0"/>
        <w:autoSpaceDN w:val="0"/>
        <w:adjustRightInd w:val="0"/>
        <w:jc w:val="center"/>
        <w:outlineLvl w:val="0"/>
        <w:rPr>
          <w:b/>
        </w:rPr>
      </w:pPr>
    </w:p>
    <w:p>
      <w:pPr>
        <w:autoSpaceDE w:val="0"/>
        <w:autoSpaceDN w:val="0"/>
        <w:adjustRightInd w:val="0"/>
        <w:jc w:val="center"/>
        <w:outlineLvl w:val="0"/>
        <w:rPr>
          <w:b/>
        </w:rPr>
      </w:pPr>
    </w:p>
    <w:p>
      <w:pPr>
        <w:autoSpaceDE w:val="0"/>
        <w:autoSpaceDN w:val="0"/>
        <w:adjustRightInd w:val="0"/>
        <w:jc w:val="center"/>
        <w:outlineLvl w:val="0"/>
        <w:rPr>
          <w:b/>
        </w:rPr>
      </w:pPr>
    </w:p>
    <w:p>
      <w:pPr>
        <w:autoSpaceDE w:val="0"/>
        <w:autoSpaceDN w:val="0"/>
        <w:adjustRightInd w:val="0"/>
        <w:jc w:val="center"/>
        <w:outlineLvl w:val="0"/>
        <w:rPr>
          <w:b/>
        </w:rPr>
      </w:pPr>
    </w:p>
    <w:p>
      <w:pPr>
        <w:autoSpaceDE w:val="0"/>
        <w:autoSpaceDN w:val="0"/>
        <w:adjustRightInd w:val="0"/>
        <w:jc w:val="center"/>
        <w:outlineLvl w:val="0"/>
        <w:rPr>
          <w:b/>
        </w:rPr>
      </w:pPr>
    </w:p>
    <w:p>
      <w:pPr>
        <w:autoSpaceDE w:val="0"/>
        <w:autoSpaceDN w:val="0"/>
        <w:adjustRightInd w:val="0"/>
        <w:jc w:val="center"/>
        <w:outlineLvl w:val="0"/>
        <w:rPr>
          <w:b/>
        </w:rPr>
      </w:pPr>
    </w:p>
    <w:p>
      <w:pPr>
        <w:autoSpaceDE w:val="0"/>
        <w:autoSpaceDN w:val="0"/>
        <w:adjustRightInd w:val="0"/>
        <w:jc w:val="center"/>
        <w:outlineLvl w:val="0"/>
        <w:rPr>
          <w:b/>
        </w:rPr>
      </w:pPr>
    </w:p>
    <w:p>
      <w:pPr>
        <w:autoSpaceDE w:val="0"/>
        <w:autoSpaceDN w:val="0"/>
        <w:adjustRightInd w:val="0"/>
        <w:jc w:val="center"/>
        <w:outlineLvl w:val="0"/>
        <w:rPr>
          <w:b/>
        </w:rPr>
      </w:pPr>
    </w:p>
    <w:p>
      <w:pPr>
        <w:autoSpaceDE w:val="0"/>
        <w:autoSpaceDN w:val="0"/>
        <w:adjustRightInd w:val="0"/>
        <w:jc w:val="center"/>
        <w:outlineLvl w:val="0"/>
        <w:rPr>
          <w:b/>
        </w:rPr>
      </w:pPr>
    </w:p>
    <w:p>
      <w:pPr>
        <w:autoSpaceDE w:val="0"/>
        <w:autoSpaceDN w:val="0"/>
        <w:adjustRightInd w:val="0"/>
        <w:jc w:val="center"/>
        <w:outlineLvl w:val="0"/>
        <w:rPr>
          <w:b/>
        </w:rPr>
      </w:pPr>
    </w:p>
    <w:p>
      <w:pPr>
        <w:autoSpaceDE w:val="0"/>
        <w:autoSpaceDN w:val="0"/>
        <w:adjustRightInd w:val="0"/>
        <w:jc w:val="center"/>
        <w:outlineLvl w:val="0"/>
        <w:rPr>
          <w:b/>
        </w:rPr>
      </w:pPr>
    </w:p>
    <w:p>
      <w:pPr>
        <w:autoSpaceDE w:val="0"/>
        <w:autoSpaceDN w:val="0"/>
        <w:adjustRightInd w:val="0"/>
        <w:jc w:val="both"/>
        <w:outlineLvl w:val="0"/>
        <w:rPr>
          <w:rFonts w:hint="eastAsia"/>
          <w:b/>
        </w:rPr>
      </w:pPr>
    </w:p>
    <w:p>
      <w:pPr>
        <w:autoSpaceDE w:val="0"/>
        <w:autoSpaceDN w:val="0"/>
        <w:adjustRightInd w:val="0"/>
        <w:jc w:val="both"/>
        <w:outlineLvl w:val="0"/>
        <w:rPr>
          <w:rFonts w:hint="eastAsia"/>
          <w:b/>
        </w:rPr>
      </w:pPr>
    </w:p>
    <w:p>
      <w:pPr>
        <w:autoSpaceDE w:val="0"/>
        <w:autoSpaceDN w:val="0"/>
        <w:adjustRightInd w:val="0"/>
        <w:jc w:val="both"/>
        <w:outlineLvl w:val="0"/>
        <w:rPr>
          <w:rFonts w:hint="eastAsia"/>
          <w:b/>
        </w:rPr>
      </w:pPr>
    </w:p>
    <w:p>
      <w:pPr>
        <w:autoSpaceDE w:val="0"/>
        <w:autoSpaceDN w:val="0"/>
        <w:adjustRightInd w:val="0"/>
        <w:jc w:val="both"/>
        <w:outlineLvl w:val="0"/>
        <w:rPr>
          <w:rFonts w:hint="eastAsia"/>
          <w:b/>
        </w:rPr>
      </w:pPr>
    </w:p>
    <w:p>
      <w:pPr>
        <w:autoSpaceDE w:val="0"/>
        <w:autoSpaceDN w:val="0"/>
        <w:adjustRightInd w:val="0"/>
        <w:ind w:firstLine="2168" w:firstLineChars="600"/>
        <w:jc w:val="both"/>
        <w:outlineLvl w:val="0"/>
        <w:rPr>
          <w:rFonts w:ascii="宋体" w:hAnsi="宋体"/>
          <w:b/>
          <w:lang w:val="zh-CN"/>
        </w:rPr>
      </w:pPr>
      <w:r>
        <w:rPr>
          <w:rFonts w:hint="eastAsia"/>
          <w:b/>
        </w:rPr>
        <w:t>第四章评标办法及评分标准</w:t>
      </w:r>
      <w:bookmarkEnd w:id="25"/>
    </w:p>
    <w:p>
      <w:pPr>
        <w:autoSpaceDE w:val="0"/>
        <w:autoSpaceDN w:val="0"/>
        <w:adjustRightInd w:val="0"/>
        <w:spacing w:line="440" w:lineRule="exact"/>
        <w:jc w:val="center"/>
        <w:rPr>
          <w:rFonts w:ascii="黑体" w:eastAsia="黑体"/>
          <w:color w:val="000000"/>
          <w:sz w:val="44"/>
          <w:lang w:val="zh-CN"/>
        </w:rPr>
      </w:pPr>
    </w:p>
    <w:bookmarkEnd w:id="26"/>
    <w:p>
      <w:pPr>
        <w:autoSpaceDE w:val="0"/>
        <w:autoSpaceDN w:val="0"/>
        <w:adjustRightInd w:val="0"/>
        <w:snapToGrid w:val="0"/>
        <w:spacing w:line="336" w:lineRule="auto"/>
        <w:ind w:right="302" w:firstLine="360"/>
        <w:rPr>
          <w:rFonts w:ascii="宋体" w:hAnsi="宋体" w:cs="宋体"/>
          <w:sz w:val="21"/>
          <w:szCs w:val="21"/>
          <w:lang w:val="zh-CN"/>
        </w:rPr>
      </w:pPr>
      <w:bookmarkStart w:id="27" w:name="_Toc306901461"/>
      <w:r>
        <w:rPr>
          <w:rFonts w:hint="eastAsia" w:ascii="宋体" w:hAnsi="宋体" w:cs="宋体"/>
          <w:sz w:val="21"/>
          <w:szCs w:val="21"/>
          <w:lang w:val="zh-CN"/>
        </w:rPr>
        <w:t>根据《中华人民共和国政府采购法》及其它有关规定，结合本次采购实际需求，按照公平、公正、科学择优的原则，特制定本评标办法。</w:t>
      </w:r>
    </w:p>
    <w:p>
      <w:pPr>
        <w:pStyle w:val="2"/>
        <w:ind w:firstLine="422" w:firstLineChars="200"/>
        <w:rPr>
          <w:b/>
          <w:bCs/>
          <w:u w:val="single"/>
        </w:rPr>
      </w:pPr>
      <w:r>
        <w:rPr>
          <w:rFonts w:hint="eastAsia"/>
          <w:b/>
          <w:bCs/>
          <w:u w:val="single"/>
          <w:lang w:val="zh-CN"/>
        </w:rPr>
        <w:t>本项目分</w:t>
      </w:r>
      <w:r>
        <w:rPr>
          <w:rFonts w:hint="eastAsia"/>
          <w:b/>
          <w:bCs/>
          <w:u w:val="single"/>
        </w:rPr>
        <w:t>2个标段，先评审标段一，再评审标段二，某个标段有效家数少于3家的，则该标段做废标处理。</w:t>
      </w:r>
    </w:p>
    <w:p>
      <w:pPr>
        <w:autoSpaceDE w:val="0"/>
        <w:autoSpaceDN w:val="0"/>
        <w:adjustRightInd w:val="0"/>
        <w:snapToGrid w:val="0"/>
        <w:spacing w:line="336" w:lineRule="auto"/>
        <w:ind w:right="84" w:firstLine="482"/>
        <w:rPr>
          <w:rFonts w:ascii="宋体" w:hAnsi="宋体" w:cs="宋体"/>
          <w:b/>
          <w:bCs/>
          <w:sz w:val="21"/>
          <w:szCs w:val="21"/>
          <w:lang w:val="zh-CN"/>
        </w:rPr>
      </w:pPr>
      <w:r>
        <w:rPr>
          <w:rFonts w:hint="eastAsia" w:ascii="宋体" w:hAnsi="宋体" w:cs="宋体"/>
          <w:b/>
          <w:bCs/>
          <w:sz w:val="21"/>
          <w:szCs w:val="21"/>
          <w:lang w:val="zh-CN"/>
        </w:rPr>
        <w:t>一、评标方法</w:t>
      </w:r>
    </w:p>
    <w:p>
      <w:pPr>
        <w:autoSpaceDE w:val="0"/>
        <w:autoSpaceDN w:val="0"/>
        <w:adjustRightInd w:val="0"/>
        <w:snapToGrid w:val="0"/>
        <w:spacing w:line="336" w:lineRule="auto"/>
        <w:ind w:right="85" w:firstLine="480"/>
        <w:rPr>
          <w:rFonts w:ascii="宋体" w:hAnsi="宋体" w:cs="宋体"/>
          <w:kern w:val="0"/>
          <w:sz w:val="21"/>
          <w:szCs w:val="21"/>
          <w:lang w:val="zh-CN"/>
        </w:rPr>
      </w:pPr>
      <w:r>
        <w:rPr>
          <w:rFonts w:hint="eastAsia" w:ascii="宋体" w:hAnsi="宋体" w:cs="宋体"/>
          <w:kern w:val="0"/>
          <w:sz w:val="21"/>
          <w:szCs w:val="21"/>
          <w:lang w:val="zh-CN"/>
        </w:rPr>
        <w:t>本评标方法采用综合评分法，是指在最大限度地满足招标文件实质性要求前提下，评标委员会按照招标文件中规定的各项因素进行综合评审后，以评标总得分最高的投标人为中标候选人的评标方法。</w:t>
      </w:r>
    </w:p>
    <w:p>
      <w:pPr>
        <w:snapToGrid w:val="0"/>
        <w:spacing w:line="336" w:lineRule="auto"/>
        <w:ind w:firstLine="422" w:firstLineChars="200"/>
        <w:rPr>
          <w:rFonts w:ascii="宋体" w:hAnsi="宋体" w:cs="宋体"/>
          <w:b/>
          <w:bCs/>
          <w:sz w:val="21"/>
          <w:szCs w:val="21"/>
          <w:lang w:val="zh-CN"/>
        </w:rPr>
      </w:pPr>
      <w:r>
        <w:rPr>
          <w:rFonts w:hint="eastAsia" w:ascii="宋体" w:hAnsi="宋体" w:cs="宋体"/>
          <w:b/>
          <w:bCs/>
          <w:sz w:val="21"/>
          <w:szCs w:val="21"/>
          <w:lang w:val="zh-CN"/>
        </w:rPr>
        <w:t>二、确定中标候选人</w:t>
      </w:r>
    </w:p>
    <w:p>
      <w:pPr>
        <w:autoSpaceDE w:val="0"/>
        <w:autoSpaceDN w:val="0"/>
        <w:adjustRightInd w:val="0"/>
        <w:snapToGrid w:val="0"/>
        <w:spacing w:line="336" w:lineRule="auto"/>
        <w:ind w:right="85" w:firstLine="480"/>
        <w:rPr>
          <w:rFonts w:ascii="宋体" w:hAnsi="宋体" w:cs="宋体"/>
          <w:kern w:val="0"/>
          <w:sz w:val="21"/>
          <w:szCs w:val="21"/>
          <w:lang w:val="zh-CN"/>
        </w:rPr>
      </w:pPr>
      <w:r>
        <w:rPr>
          <w:rFonts w:hint="eastAsia" w:ascii="宋体" w:hAnsi="宋体" w:cs="宋体"/>
          <w:kern w:val="0"/>
          <w:sz w:val="21"/>
          <w:szCs w:val="21"/>
          <w:lang w:val="zh-CN"/>
        </w:rPr>
        <w:t>评标委员会按评审后综合得分由高到低顺序排列。综合得分相同的，按投标报价由低到高顺序排列；综合得分且投标报价相同的，按商务与技术文件得分由高到低顺序排列。排名第一的投标人为第一中标候选人，排名第二的投标人为第二中标候选人。</w:t>
      </w:r>
    </w:p>
    <w:p>
      <w:pPr>
        <w:autoSpaceDE w:val="0"/>
        <w:autoSpaceDN w:val="0"/>
        <w:adjustRightInd w:val="0"/>
        <w:snapToGrid w:val="0"/>
        <w:spacing w:line="336" w:lineRule="auto"/>
        <w:ind w:right="84" w:firstLine="472"/>
        <w:rPr>
          <w:rFonts w:ascii="宋体" w:hAnsi="宋体" w:cs="宋体"/>
          <w:b/>
          <w:bCs/>
          <w:sz w:val="21"/>
          <w:szCs w:val="21"/>
          <w:lang w:val="zh-CN"/>
        </w:rPr>
      </w:pPr>
      <w:r>
        <w:rPr>
          <w:rFonts w:hint="eastAsia" w:ascii="宋体" w:hAnsi="宋体" w:cs="宋体"/>
          <w:b/>
          <w:bCs/>
          <w:sz w:val="21"/>
          <w:szCs w:val="21"/>
          <w:lang w:val="zh-CN"/>
        </w:rPr>
        <w:t>三、评标细则</w:t>
      </w:r>
    </w:p>
    <w:p>
      <w:pPr>
        <w:autoSpaceDE w:val="0"/>
        <w:autoSpaceDN w:val="0"/>
        <w:adjustRightInd w:val="0"/>
        <w:snapToGrid w:val="0"/>
        <w:spacing w:line="336" w:lineRule="auto"/>
        <w:ind w:right="84" w:firstLine="472"/>
        <w:rPr>
          <w:rFonts w:ascii="宋体" w:hAnsi="宋体" w:cs="宋体"/>
          <w:b/>
          <w:bCs/>
          <w:sz w:val="21"/>
          <w:szCs w:val="21"/>
          <w:lang w:val="zh-CN"/>
        </w:rPr>
      </w:pPr>
      <w:r>
        <w:rPr>
          <w:rFonts w:hint="eastAsia" w:ascii="宋体" w:hAnsi="宋体" w:cs="宋体"/>
          <w:bCs/>
          <w:sz w:val="21"/>
          <w:szCs w:val="21"/>
        </w:rPr>
        <w:t>本项目总分100分(其中商务资信技术标为80分，报价标为20分)。各投标人的综合得分为其商务资信技术标得分与报价标得分之和，即综合得分=商务资信技术标得分（商务资信分+技术分）+报价标得分。所有评分均保留两位小数(四舍五入）。</w:t>
      </w:r>
    </w:p>
    <w:p>
      <w:pPr>
        <w:autoSpaceDE w:val="0"/>
        <w:autoSpaceDN w:val="0"/>
        <w:adjustRightInd w:val="0"/>
        <w:snapToGrid w:val="0"/>
        <w:spacing w:line="336" w:lineRule="auto"/>
        <w:ind w:right="84" w:firstLine="472"/>
        <w:rPr>
          <w:rFonts w:ascii="宋体" w:hAnsi="宋体" w:cs="宋体"/>
          <w:bCs/>
          <w:sz w:val="21"/>
          <w:szCs w:val="21"/>
          <w:lang w:val="zh-CN"/>
        </w:rPr>
      </w:pPr>
      <w:r>
        <w:rPr>
          <w:rFonts w:hint="eastAsia" w:ascii="宋体" w:hAnsi="宋体" w:cs="宋体"/>
          <w:bCs/>
          <w:sz w:val="21"/>
          <w:szCs w:val="21"/>
          <w:lang w:val="zh-CN"/>
        </w:rPr>
        <w:t>（一）商务资信技术标由评标委员会经充分审核后，在规定的分值内单独评定打分</w:t>
      </w:r>
      <w:r>
        <w:rPr>
          <w:rFonts w:hint="eastAsia" w:ascii="宋体" w:hAnsi="宋体" w:cs="宋体"/>
          <w:bCs/>
          <w:color w:val="000000"/>
          <w:sz w:val="21"/>
          <w:szCs w:val="21"/>
          <w:lang w:val="zh-CN"/>
        </w:rPr>
        <w:t>。</w:t>
      </w:r>
    </w:p>
    <w:p>
      <w:pPr>
        <w:snapToGrid w:val="0"/>
        <w:spacing w:line="336" w:lineRule="auto"/>
        <w:ind w:firstLine="420" w:firstLineChars="200"/>
        <w:rPr>
          <w:rFonts w:ascii="宋体" w:hAnsi="宋体" w:cs="宋体"/>
          <w:bCs/>
          <w:sz w:val="21"/>
          <w:szCs w:val="21"/>
          <w:lang w:val="zh-CN"/>
        </w:rPr>
      </w:pPr>
      <w:r>
        <w:rPr>
          <w:rFonts w:hint="eastAsia" w:ascii="宋体" w:hAnsi="宋体" w:cs="宋体"/>
          <w:bCs/>
          <w:sz w:val="21"/>
          <w:szCs w:val="21"/>
          <w:lang w:val="zh-CN"/>
        </w:rPr>
        <w:t>（二）各投标人商务资信技术标得分按照评标委员会成员的独立评分结果汇总后的算术平均分计算，计算公式为：</w:t>
      </w:r>
    </w:p>
    <w:p>
      <w:pPr>
        <w:snapToGrid w:val="0"/>
        <w:spacing w:line="336" w:lineRule="auto"/>
        <w:ind w:firstLine="495"/>
        <w:rPr>
          <w:rFonts w:ascii="宋体" w:hAnsi="宋体" w:cs="宋体"/>
          <w:bCs/>
          <w:sz w:val="21"/>
          <w:szCs w:val="21"/>
          <w:lang w:val="zh-CN"/>
        </w:rPr>
      </w:pPr>
      <w:r>
        <w:rPr>
          <w:rFonts w:hint="eastAsia" w:ascii="宋体" w:hAnsi="宋体" w:cs="宋体"/>
          <w:sz w:val="21"/>
          <w:szCs w:val="21"/>
        </w:rPr>
        <w:t>商务与技术文件得分=评标委员会所有成员评分合计数/评标委员会组成人员数</w:t>
      </w:r>
    </w:p>
    <w:p>
      <w:pPr>
        <w:autoSpaceDE w:val="0"/>
        <w:autoSpaceDN w:val="0"/>
        <w:adjustRightInd w:val="0"/>
        <w:snapToGrid w:val="0"/>
        <w:spacing w:line="336" w:lineRule="auto"/>
        <w:ind w:right="85" w:firstLine="420" w:firstLineChars="200"/>
        <w:rPr>
          <w:rFonts w:ascii="宋体" w:hAnsi="宋体" w:cs="宋体"/>
          <w:sz w:val="21"/>
          <w:szCs w:val="21"/>
        </w:rPr>
      </w:pPr>
      <w:r>
        <w:rPr>
          <w:rFonts w:hint="eastAsia" w:ascii="宋体" w:hAnsi="宋体" w:cs="宋体"/>
          <w:bCs/>
          <w:sz w:val="21"/>
          <w:szCs w:val="21"/>
          <w:lang w:val="zh-CN"/>
        </w:rPr>
        <w:t>各</w:t>
      </w:r>
      <w:r>
        <w:rPr>
          <w:rFonts w:hint="eastAsia" w:ascii="宋体" w:hAnsi="宋体" w:cs="宋体"/>
          <w:kern w:val="0"/>
          <w:sz w:val="21"/>
          <w:szCs w:val="21"/>
          <w:lang w:val="zh-CN"/>
        </w:rPr>
        <w:t>投标人</w:t>
      </w:r>
      <w:r>
        <w:rPr>
          <w:rFonts w:hint="eastAsia" w:ascii="宋体" w:hAnsi="宋体" w:cs="宋体"/>
          <w:bCs/>
          <w:sz w:val="21"/>
          <w:szCs w:val="21"/>
          <w:lang w:val="zh-CN"/>
        </w:rPr>
        <w:t>报价文件得分由评标委员会按各投标人的投标报价统一计算</w:t>
      </w:r>
      <w:r>
        <w:rPr>
          <w:rFonts w:hint="eastAsia" w:hAnsi="宋体" w:cs="宋体"/>
          <w:sz w:val="21"/>
          <w:szCs w:val="21"/>
        </w:rPr>
        <w:t>，</w:t>
      </w:r>
      <w:r>
        <w:rPr>
          <w:rFonts w:hint="eastAsia" w:ascii="宋体" w:hAnsi="宋体" w:cs="宋体"/>
          <w:sz w:val="21"/>
          <w:szCs w:val="21"/>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napToGrid w:val="0"/>
        <w:spacing w:line="336" w:lineRule="auto"/>
        <w:ind w:firstLine="420"/>
        <w:rPr>
          <w:rFonts w:hint="eastAsia" w:ascii="宋体" w:hAnsi="宋体" w:cs="宋体"/>
          <w:sz w:val="21"/>
          <w:szCs w:val="21"/>
        </w:rPr>
      </w:pPr>
      <w:r>
        <w:rPr>
          <w:rFonts w:hint="eastAsia" w:ascii="宋体" w:hAnsi="宋体" w:cs="宋体"/>
          <w:sz w:val="21"/>
          <w:szCs w:val="21"/>
        </w:rPr>
        <w:t>投标报价得分=(评标基准价／投标报价)×20%×100。</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特别说明：</w:t>
      </w:r>
      <w:r>
        <w:rPr>
          <w:rFonts w:hint="eastAsia" w:ascii="宋体" w:hAnsi="宋体" w:eastAsia="宋体" w:cs="宋体"/>
          <w:b/>
          <w:bCs/>
          <w:color w:val="auto"/>
          <w:sz w:val="21"/>
          <w:szCs w:val="21"/>
          <w:highlight w:val="none"/>
          <w:lang w:val="en-US" w:eastAsia="zh-CN"/>
        </w:rPr>
        <w:t>①本项目按标项依次开标，各供应商可参与任一标项或多个标项投标，但最多只能成为其中一个标项的第一中标候选人，若供应商已在之前任一标项中成为第一中标候选人，则将不参加后续标项评审，也不会在后续标项中被推荐为中标候选人。</w:t>
      </w:r>
    </w:p>
    <w:p>
      <w:pPr>
        <w:pStyle w:val="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②除了已成为前面任一标项的第一中标候选人的供应商外，各标项提交投标文件供应商或实质性响应供应商的家数须满足至少三家才可继续采购活动，否则该标项将作废标处理。</w:t>
      </w:r>
    </w:p>
    <w:p>
      <w:pPr>
        <w:pStyle w:val="3"/>
        <w:rPr>
          <w:rFonts w:hint="eastAsia" w:ascii="宋体" w:hAnsi="宋体" w:eastAsia="宋体" w:cs="宋体"/>
          <w:b/>
          <w:bCs/>
          <w:color w:val="auto"/>
          <w:sz w:val="21"/>
          <w:szCs w:val="21"/>
          <w:highlight w:val="none"/>
          <w:lang w:val="en-US" w:eastAsia="zh-CN"/>
        </w:rPr>
      </w:pPr>
    </w:p>
    <w:p>
      <w:pPr>
        <w:pStyle w:val="137"/>
        <w:numPr>
          <w:ilvl w:val="0"/>
          <w:numId w:val="0"/>
        </w:numPr>
        <w:snapToGrid w:val="0"/>
        <w:rPr>
          <w:rFonts w:ascii="宋体"/>
          <w:bCs/>
          <w:szCs w:val="21"/>
          <w:lang w:val="zh-CN"/>
        </w:rPr>
      </w:pPr>
    </w:p>
    <w:p>
      <w:pPr>
        <w:pStyle w:val="137"/>
        <w:numPr>
          <w:ilvl w:val="0"/>
          <w:numId w:val="2"/>
        </w:numPr>
        <w:snapToGrid w:val="0"/>
        <w:ind w:firstLineChars="200"/>
        <w:rPr>
          <w:rFonts w:ascii="宋体"/>
          <w:bCs/>
          <w:szCs w:val="21"/>
          <w:lang w:val="zh-CN"/>
        </w:rPr>
      </w:pPr>
      <w:r>
        <w:rPr>
          <w:rFonts w:hint="eastAsia" w:ascii="宋体" w:hAnsi="宋体" w:cs="宋体"/>
          <w:bCs/>
          <w:szCs w:val="21"/>
        </w:rPr>
        <w:t>商务与技术文件</w:t>
      </w:r>
      <w:r>
        <w:rPr>
          <w:rFonts w:hint="eastAsia" w:ascii="宋体" w:hAnsi="宋体" w:cs="宋体"/>
          <w:bCs/>
          <w:szCs w:val="21"/>
          <w:lang w:val="zh-CN"/>
        </w:rPr>
        <w:t>评审内容及标准</w:t>
      </w:r>
      <w:r>
        <w:rPr>
          <w:rFonts w:hint="eastAsia" w:ascii="宋体"/>
          <w:bCs/>
          <w:szCs w:val="21"/>
          <w:lang w:val="zh-CN"/>
        </w:rPr>
        <w:t>，</w:t>
      </w:r>
    </w:p>
    <w:p>
      <w:pPr>
        <w:pStyle w:val="137"/>
        <w:snapToGrid w:val="0"/>
        <w:ind w:firstLine="0" w:firstLineChars="0"/>
        <w:rPr>
          <w:rFonts w:ascii="宋体"/>
          <w:b/>
          <w:sz w:val="32"/>
          <w:szCs w:val="32"/>
        </w:rPr>
      </w:pPr>
    </w:p>
    <w:p>
      <w:pPr>
        <w:pStyle w:val="137"/>
        <w:snapToGrid w:val="0"/>
        <w:ind w:firstLine="3855" w:firstLineChars="1200"/>
        <w:rPr>
          <w:rFonts w:ascii="宋体"/>
          <w:b/>
          <w:sz w:val="32"/>
          <w:szCs w:val="32"/>
        </w:rPr>
      </w:pPr>
      <w:r>
        <w:rPr>
          <w:rFonts w:hint="eastAsia" w:ascii="宋体"/>
          <w:b/>
          <w:sz w:val="32"/>
          <w:szCs w:val="32"/>
        </w:rPr>
        <w:t>(标段一）</w:t>
      </w:r>
    </w:p>
    <w:p>
      <w:pPr>
        <w:pStyle w:val="137"/>
        <w:snapToGrid w:val="0"/>
        <w:ind w:firstLine="3855" w:firstLineChars="1200"/>
        <w:rPr>
          <w:rFonts w:ascii="宋体"/>
          <w:b/>
          <w:sz w:val="32"/>
          <w:szCs w:val="32"/>
        </w:rPr>
      </w:pPr>
    </w:p>
    <w:tbl>
      <w:tblPr>
        <w:tblStyle w:val="48"/>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600"/>
        <w:gridCol w:w="6612"/>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67" w:type="dxa"/>
            <w:gridSpan w:val="4"/>
            <w:shd w:val="pct10" w:color="auto" w:fill="auto"/>
            <w:vAlign w:val="center"/>
          </w:tcPr>
          <w:p>
            <w:pPr>
              <w:widowControl/>
              <w:spacing w:line="360" w:lineRule="auto"/>
              <w:jc w:val="center"/>
              <w:rPr>
                <w:rFonts w:ascii="宋体" w:hAnsi="宋体" w:cs="宋体"/>
                <w:b/>
                <w:kern w:val="0"/>
                <w:sz w:val="21"/>
                <w:szCs w:val="21"/>
              </w:rPr>
            </w:pPr>
            <w:bookmarkStart w:id="28" w:name="_Toc452627786"/>
            <w:r>
              <w:rPr>
                <w:rFonts w:hint="eastAsia" w:ascii="宋体" w:hAnsi="宋体" w:cs="宋体"/>
                <w:b/>
                <w:kern w:val="0"/>
                <w:sz w:val="21"/>
                <w:szCs w:val="21"/>
                <w:lang w:val="zh-CN"/>
              </w:rPr>
              <w:t xml:space="preserve">第一部分商务资信技术文件评分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2" w:type="dxa"/>
            <w:vAlign w:val="center"/>
          </w:tcPr>
          <w:p>
            <w:pPr>
              <w:widowControl/>
              <w:spacing w:line="360" w:lineRule="auto"/>
              <w:jc w:val="center"/>
              <w:rPr>
                <w:rFonts w:ascii="宋体" w:hAnsi="宋体" w:cs="宋体"/>
                <w:b/>
                <w:kern w:val="0"/>
                <w:sz w:val="21"/>
                <w:szCs w:val="21"/>
              </w:rPr>
            </w:pPr>
            <w:r>
              <w:rPr>
                <w:rFonts w:hint="eastAsia" w:ascii="宋体" w:hAnsi="宋体" w:cs="宋体"/>
                <w:b/>
                <w:kern w:val="0"/>
                <w:sz w:val="21"/>
                <w:szCs w:val="21"/>
              </w:rPr>
              <w:t>序号</w:t>
            </w:r>
          </w:p>
        </w:tc>
        <w:tc>
          <w:tcPr>
            <w:tcW w:w="1600" w:type="dxa"/>
            <w:vAlign w:val="center"/>
          </w:tcPr>
          <w:p>
            <w:pPr>
              <w:widowControl/>
              <w:spacing w:line="360" w:lineRule="auto"/>
              <w:jc w:val="center"/>
              <w:rPr>
                <w:rFonts w:ascii="宋体" w:hAnsi="宋体" w:cs="宋体"/>
                <w:b/>
                <w:kern w:val="0"/>
                <w:sz w:val="21"/>
                <w:szCs w:val="21"/>
              </w:rPr>
            </w:pPr>
            <w:r>
              <w:rPr>
                <w:rFonts w:hint="eastAsia" w:ascii="宋体" w:hAnsi="宋体" w:cs="宋体"/>
                <w:b/>
                <w:kern w:val="0"/>
                <w:sz w:val="21"/>
                <w:szCs w:val="21"/>
              </w:rPr>
              <w:t>评分因素</w:t>
            </w:r>
          </w:p>
        </w:tc>
        <w:tc>
          <w:tcPr>
            <w:tcW w:w="6612" w:type="dxa"/>
            <w:vAlign w:val="center"/>
          </w:tcPr>
          <w:p>
            <w:pPr>
              <w:widowControl/>
              <w:spacing w:line="360" w:lineRule="auto"/>
              <w:ind w:firstLine="211" w:firstLineChars="100"/>
              <w:jc w:val="center"/>
              <w:rPr>
                <w:rFonts w:ascii="宋体" w:hAnsi="宋体" w:cs="宋体"/>
                <w:b/>
                <w:kern w:val="0"/>
                <w:sz w:val="21"/>
                <w:szCs w:val="21"/>
              </w:rPr>
            </w:pPr>
            <w:r>
              <w:rPr>
                <w:rFonts w:hint="eastAsia" w:ascii="宋体" w:hAnsi="宋体" w:cs="宋体"/>
                <w:b/>
                <w:kern w:val="0"/>
                <w:sz w:val="21"/>
                <w:szCs w:val="21"/>
              </w:rPr>
              <w:t>具体内容及分数的构成</w:t>
            </w:r>
          </w:p>
        </w:tc>
        <w:tc>
          <w:tcPr>
            <w:tcW w:w="713" w:type="dxa"/>
            <w:vAlign w:val="center"/>
          </w:tcPr>
          <w:p>
            <w:pPr>
              <w:widowControl/>
              <w:spacing w:line="360" w:lineRule="auto"/>
              <w:jc w:val="center"/>
              <w:rPr>
                <w:rFonts w:ascii="宋体" w:hAnsi="宋体" w:cs="宋体"/>
                <w:b/>
                <w:kern w:val="0"/>
                <w:sz w:val="21"/>
                <w:szCs w:val="21"/>
              </w:rPr>
            </w:pPr>
            <w:r>
              <w:rPr>
                <w:rFonts w:hint="eastAsia" w:ascii="宋体" w:hAnsi="宋体" w:cs="宋体"/>
                <w:b/>
                <w:kern w:val="0"/>
                <w:sz w:val="21"/>
                <w:szCs w:val="21"/>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2" w:type="dxa"/>
            <w:vAlign w:val="center"/>
          </w:tcPr>
          <w:p>
            <w:pPr>
              <w:widowControl/>
              <w:spacing w:line="360" w:lineRule="auto"/>
              <w:jc w:val="center"/>
              <w:rPr>
                <w:rFonts w:ascii="宋体" w:hAnsi="宋体" w:cs="宋体"/>
                <w:b/>
                <w:kern w:val="0"/>
                <w:sz w:val="21"/>
                <w:szCs w:val="21"/>
              </w:rPr>
            </w:pPr>
            <w:r>
              <w:rPr>
                <w:rFonts w:hint="eastAsia" w:ascii="宋体" w:hAnsi="宋体" w:cs="宋体"/>
                <w:b/>
                <w:kern w:val="0"/>
                <w:sz w:val="21"/>
                <w:szCs w:val="21"/>
              </w:rPr>
              <w:t>一</w:t>
            </w:r>
          </w:p>
        </w:tc>
        <w:tc>
          <w:tcPr>
            <w:tcW w:w="8212" w:type="dxa"/>
            <w:gridSpan w:val="2"/>
            <w:vAlign w:val="center"/>
          </w:tcPr>
          <w:p>
            <w:pPr>
              <w:widowControl/>
              <w:spacing w:line="360" w:lineRule="auto"/>
              <w:ind w:firstLine="211" w:firstLineChars="100"/>
              <w:jc w:val="center"/>
              <w:rPr>
                <w:rFonts w:ascii="宋体" w:hAnsi="宋体" w:cs="宋体"/>
                <w:b/>
                <w:kern w:val="0"/>
                <w:sz w:val="21"/>
                <w:szCs w:val="21"/>
              </w:rPr>
            </w:pPr>
            <w:r>
              <w:rPr>
                <w:rFonts w:hint="eastAsia" w:ascii="宋体" w:hAnsi="宋体" w:cs="宋体"/>
                <w:b/>
                <w:kern w:val="0"/>
                <w:sz w:val="21"/>
                <w:szCs w:val="21"/>
              </w:rPr>
              <w:t>商务资信部分</w:t>
            </w:r>
          </w:p>
        </w:tc>
        <w:tc>
          <w:tcPr>
            <w:tcW w:w="713" w:type="dxa"/>
            <w:vAlign w:val="center"/>
          </w:tcPr>
          <w:p>
            <w:pPr>
              <w:widowControl/>
              <w:spacing w:line="360" w:lineRule="auto"/>
              <w:jc w:val="center"/>
              <w:rPr>
                <w:rFonts w:ascii="宋体" w:hAnsi="宋体" w:cs="宋体"/>
                <w:b/>
                <w:kern w:val="0"/>
                <w:sz w:val="21"/>
                <w:szCs w:val="21"/>
              </w:rPr>
            </w:pPr>
            <w:r>
              <w:rPr>
                <w:rFonts w:hint="eastAsia" w:ascii="宋体" w:hAnsi="宋体" w:cs="宋体"/>
                <w:b/>
                <w:kern w:val="0"/>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642"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1</w:t>
            </w:r>
          </w:p>
        </w:tc>
        <w:tc>
          <w:tcPr>
            <w:tcW w:w="1600" w:type="dxa"/>
            <w:vAlign w:val="center"/>
          </w:tcPr>
          <w:p>
            <w:pPr>
              <w:spacing w:line="360" w:lineRule="auto"/>
              <w:jc w:val="center"/>
              <w:rPr>
                <w:rFonts w:ascii="宋体" w:hAnsi="宋体" w:cs="宋体"/>
                <w:b/>
                <w:sz w:val="21"/>
                <w:szCs w:val="21"/>
              </w:rPr>
            </w:pPr>
            <w:r>
              <w:rPr>
                <w:rFonts w:hint="eastAsia" w:ascii="宋体" w:hAnsi="宋体" w:cs="宋体"/>
                <w:bCs/>
                <w:sz w:val="21"/>
                <w:szCs w:val="21"/>
              </w:rPr>
              <w:t>标书质量</w:t>
            </w:r>
          </w:p>
        </w:tc>
        <w:tc>
          <w:tcPr>
            <w:tcW w:w="6612" w:type="dxa"/>
            <w:vAlign w:val="center"/>
          </w:tcPr>
          <w:p>
            <w:pPr>
              <w:pStyle w:val="338"/>
              <w:adjustRightInd/>
              <w:snapToGrid/>
              <w:spacing w:line="360" w:lineRule="auto"/>
              <w:rPr>
                <w:rFonts w:ascii="宋体" w:hAnsi="宋体" w:eastAsia="宋体" w:cs="宋体"/>
                <w:b/>
                <w:sz w:val="21"/>
                <w:szCs w:val="21"/>
              </w:rPr>
            </w:pPr>
            <w:r>
              <w:rPr>
                <w:rFonts w:hint="eastAsia" w:ascii="宋体" w:hAnsi="宋体" w:eastAsia="宋体" w:cs="宋体"/>
                <w:bCs/>
                <w:sz w:val="21"/>
                <w:szCs w:val="21"/>
              </w:rPr>
              <w:t>响应文件内容按采购文件要求完整提供、目录对应清晰、表达简洁明了、内容关联准确、查找方便的，得2分。存在未按要求完整提供、目录对应不清晰、编制内容关联不够准确、内容查找不方便的，酌情扣分。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642" w:type="dxa"/>
            <w:vMerge w:val="restart"/>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2</w:t>
            </w:r>
          </w:p>
        </w:tc>
        <w:tc>
          <w:tcPr>
            <w:tcW w:w="1600" w:type="dxa"/>
            <w:vMerge w:val="restart"/>
            <w:vAlign w:val="center"/>
          </w:tcPr>
          <w:p>
            <w:pPr>
              <w:spacing w:line="360" w:lineRule="auto"/>
              <w:jc w:val="center"/>
              <w:rPr>
                <w:rFonts w:ascii="宋体" w:hAnsi="宋体" w:cs="宋体"/>
                <w:bCs/>
                <w:sz w:val="21"/>
                <w:szCs w:val="21"/>
              </w:rPr>
            </w:pPr>
            <w:r>
              <w:rPr>
                <w:rFonts w:hint="eastAsia" w:ascii="宋体" w:hAnsi="宋体" w:cs="宋体"/>
                <w:sz w:val="21"/>
                <w:szCs w:val="21"/>
              </w:rPr>
              <w:t>企业实力</w:t>
            </w:r>
          </w:p>
        </w:tc>
        <w:tc>
          <w:tcPr>
            <w:tcW w:w="6612" w:type="dxa"/>
            <w:vAlign w:val="center"/>
          </w:tcPr>
          <w:p>
            <w:pPr>
              <w:pStyle w:val="338"/>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根据投标人具备ISO9001质量管理体系认证证书、ISO45001职业健康安全管理体系认证证书、ISO14001环境管理体系认证证书、IS020000信息技术服务管理体系认证的同时具有得4分，若无法同时具有，每样证书得0.5分，没有的不得分。</w:t>
            </w:r>
          </w:p>
          <w:p>
            <w:pPr>
              <w:pStyle w:val="338"/>
              <w:adjustRightInd/>
              <w:snapToGrid/>
              <w:spacing w:line="360" w:lineRule="auto"/>
              <w:rPr>
                <w:rFonts w:ascii="宋体" w:hAnsi="宋体" w:eastAsia="宋体" w:cs="宋体"/>
                <w:bCs/>
                <w:color w:val="FF0000"/>
                <w:sz w:val="21"/>
                <w:szCs w:val="21"/>
              </w:rPr>
            </w:pPr>
            <w:r>
              <w:rPr>
                <w:rFonts w:hint="eastAsia" w:ascii="宋体" w:hAnsi="宋体" w:eastAsia="宋体" w:cs="宋体"/>
                <w:bCs/>
                <w:sz w:val="21"/>
                <w:szCs w:val="21"/>
              </w:rPr>
              <w:t>（注：须提供有效证明材料的扫描件或复印件并加盖公章，编入投标文件中，否则不得分。）</w:t>
            </w:r>
          </w:p>
        </w:tc>
        <w:tc>
          <w:tcPr>
            <w:tcW w:w="713" w:type="dxa"/>
            <w:vAlign w:val="center"/>
          </w:tcPr>
          <w:p>
            <w:pPr>
              <w:widowControl/>
              <w:spacing w:line="360" w:lineRule="auto"/>
              <w:jc w:val="center"/>
              <w:rPr>
                <w:rFonts w:ascii="宋体" w:hAnsi="宋体" w:cs="宋体"/>
                <w:color w:val="FF0000"/>
                <w:kern w:val="0"/>
                <w:sz w:val="21"/>
                <w:szCs w:val="21"/>
              </w:rPr>
            </w:pPr>
            <w:r>
              <w:rPr>
                <w:rFonts w:hint="eastAsia" w:ascii="宋体" w:hAnsi="宋体" w:cs="宋体"/>
                <w:bCs/>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642" w:type="dxa"/>
            <w:vMerge w:val="continue"/>
            <w:vAlign w:val="center"/>
          </w:tcPr>
          <w:p>
            <w:pPr>
              <w:pStyle w:val="338"/>
              <w:adjustRightInd/>
              <w:snapToGrid/>
              <w:spacing w:line="360" w:lineRule="auto"/>
              <w:rPr>
                <w:rFonts w:ascii="宋体" w:hAnsi="宋体" w:eastAsia="宋体" w:cs="宋体"/>
                <w:sz w:val="21"/>
                <w:szCs w:val="21"/>
              </w:rPr>
            </w:pPr>
          </w:p>
        </w:tc>
        <w:tc>
          <w:tcPr>
            <w:tcW w:w="1600" w:type="dxa"/>
            <w:vMerge w:val="continue"/>
            <w:vAlign w:val="center"/>
          </w:tcPr>
          <w:p>
            <w:pPr>
              <w:pStyle w:val="338"/>
              <w:adjustRightInd/>
              <w:snapToGrid/>
              <w:spacing w:line="360" w:lineRule="auto"/>
              <w:rPr>
                <w:rFonts w:ascii="宋体" w:hAnsi="宋体" w:eastAsia="宋体" w:cs="宋体"/>
                <w:sz w:val="21"/>
                <w:szCs w:val="21"/>
              </w:rPr>
            </w:pPr>
          </w:p>
        </w:tc>
        <w:tc>
          <w:tcPr>
            <w:tcW w:w="6612" w:type="dxa"/>
            <w:vAlign w:val="center"/>
          </w:tcPr>
          <w:p>
            <w:pPr>
              <w:pStyle w:val="338"/>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具有有效的计算机软件著作权登记证书的，每一份得1分，最高不超过2分。</w:t>
            </w:r>
          </w:p>
          <w:p>
            <w:pPr>
              <w:pStyle w:val="338"/>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（注：须提供有效证明材料的扫描件或复印件并加盖公章，编入投标文件中，否则不得分。）</w:t>
            </w:r>
          </w:p>
        </w:tc>
        <w:tc>
          <w:tcPr>
            <w:tcW w:w="713" w:type="dxa"/>
            <w:vAlign w:val="center"/>
          </w:tcPr>
          <w:p>
            <w:pPr>
              <w:pStyle w:val="338"/>
              <w:adjustRightInd/>
              <w:snapToGrid/>
              <w:spacing w:line="360" w:lineRule="auto"/>
              <w:ind w:firstLine="210" w:firstLineChars="100"/>
              <w:rPr>
                <w:rFonts w:ascii="宋体" w:hAnsi="宋体" w:eastAsia="宋体" w:cs="宋体"/>
                <w:bCs/>
                <w:sz w:val="21"/>
                <w:szCs w:val="21"/>
              </w:rPr>
            </w:pPr>
            <w:r>
              <w:rPr>
                <w:rFonts w:hint="eastAsia" w:ascii="宋体" w:hAnsi="宋体" w:eastAsia="宋体" w:cs="宋体"/>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3</w:t>
            </w:r>
          </w:p>
        </w:tc>
        <w:tc>
          <w:tcPr>
            <w:tcW w:w="1600" w:type="dxa"/>
            <w:vAlign w:val="center"/>
          </w:tcPr>
          <w:p>
            <w:pPr>
              <w:spacing w:line="360" w:lineRule="auto"/>
              <w:jc w:val="center"/>
              <w:rPr>
                <w:rFonts w:ascii="宋体" w:hAnsi="宋体" w:cs="宋体"/>
                <w:sz w:val="21"/>
                <w:szCs w:val="21"/>
              </w:rPr>
            </w:pPr>
            <w:r>
              <w:rPr>
                <w:rFonts w:hint="eastAsia" w:ascii="宋体" w:hAnsi="宋体" w:cs="宋体"/>
                <w:sz w:val="21"/>
                <w:szCs w:val="21"/>
              </w:rPr>
              <w:t>类似业绩</w:t>
            </w:r>
          </w:p>
        </w:tc>
        <w:tc>
          <w:tcPr>
            <w:tcW w:w="6612" w:type="dxa"/>
            <w:vAlign w:val="center"/>
          </w:tcPr>
          <w:p>
            <w:pPr>
              <w:pStyle w:val="338"/>
              <w:widowControl w:val="0"/>
              <w:adjustRightInd/>
              <w:snapToGrid/>
              <w:spacing w:line="360" w:lineRule="auto"/>
              <w:jc w:val="both"/>
              <w:rPr>
                <w:rFonts w:ascii="宋体" w:hAnsi="宋体" w:eastAsia="宋体" w:cs="宋体"/>
                <w:b/>
                <w:sz w:val="21"/>
                <w:szCs w:val="21"/>
              </w:rPr>
            </w:pPr>
            <w:r>
              <w:rPr>
                <w:rFonts w:hint="eastAsia" w:ascii="宋体" w:hAnsi="宋体" w:eastAsia="宋体" w:cs="宋体"/>
                <w:bCs/>
                <w:color w:val="000000"/>
                <w:sz w:val="21"/>
                <w:szCs w:val="21"/>
              </w:rPr>
              <w:t>根据投标人近三年来（至本项目开标之日，以合同签订时间为准）的类似项目业绩，每提供一个得1分，最高得2分。（注：须提供有效合同的扫描件或复印件并加盖公章，编入投标文件中，否则不得分。）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42"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4</w:t>
            </w:r>
          </w:p>
        </w:tc>
        <w:tc>
          <w:tcPr>
            <w:tcW w:w="1600" w:type="dxa"/>
            <w:vAlign w:val="center"/>
          </w:tcPr>
          <w:p>
            <w:pPr>
              <w:spacing w:line="360" w:lineRule="auto"/>
              <w:jc w:val="center"/>
              <w:rPr>
                <w:rFonts w:ascii="宋体" w:hAnsi="宋体" w:cs="宋体"/>
                <w:sz w:val="21"/>
                <w:szCs w:val="21"/>
              </w:rPr>
            </w:pPr>
            <w:r>
              <w:rPr>
                <w:rFonts w:hint="eastAsia" w:ascii="宋体" w:hAnsi="宋体" w:cs="宋体"/>
                <w:sz w:val="21"/>
                <w:szCs w:val="21"/>
              </w:rPr>
              <w:t>项目负责人</w:t>
            </w:r>
          </w:p>
        </w:tc>
        <w:tc>
          <w:tcPr>
            <w:tcW w:w="6612" w:type="dxa"/>
            <w:vAlign w:val="center"/>
          </w:tcPr>
          <w:p>
            <w:pPr>
              <w:pStyle w:val="338"/>
              <w:widowControl w:val="0"/>
              <w:adjustRightInd/>
              <w:snapToGrid/>
              <w:spacing w:line="360" w:lineRule="auto"/>
              <w:jc w:val="both"/>
              <w:rPr>
                <w:rFonts w:ascii="宋体" w:hAnsi="宋体" w:eastAsia="宋体" w:cs="宋体"/>
                <w:bCs/>
                <w:color w:val="000000"/>
                <w:sz w:val="21"/>
                <w:szCs w:val="21"/>
              </w:rPr>
            </w:pPr>
            <w:r>
              <w:rPr>
                <w:rFonts w:hint="eastAsia" w:ascii="宋体" w:hAnsi="宋体" w:eastAsia="宋体" w:cs="宋体"/>
                <w:bCs/>
                <w:color w:val="000000"/>
                <w:sz w:val="21"/>
                <w:szCs w:val="21"/>
              </w:rPr>
              <w:t>项目负责人具有信息系统项目管理师、软件设计师、信息安全工程师、网络工程师、云计算</w:t>
            </w:r>
            <w:r>
              <w:rPr>
                <w:rFonts w:hint="eastAsia" w:ascii="宋体" w:hAnsi="宋体" w:eastAsia="宋体" w:cs="宋体"/>
                <w:bCs/>
                <w:color w:val="000000"/>
                <w:sz w:val="21"/>
                <w:szCs w:val="21"/>
                <w:lang w:val="en-US" w:eastAsia="zh-CN"/>
              </w:rPr>
              <w:t>类证书</w:t>
            </w:r>
            <w:r>
              <w:rPr>
                <w:rFonts w:hint="eastAsia" w:ascii="宋体" w:hAnsi="宋体" w:eastAsia="宋体" w:cs="宋体"/>
                <w:bCs/>
                <w:color w:val="000000"/>
                <w:sz w:val="21"/>
                <w:szCs w:val="21"/>
              </w:rPr>
              <w:t>、网络管理员的同时具有得6分，若无法同时具有，每样证书得0.5分，没有的不得分。</w:t>
            </w:r>
          </w:p>
          <w:p>
            <w:pPr>
              <w:pStyle w:val="338"/>
              <w:widowControl w:val="0"/>
              <w:adjustRightInd/>
              <w:snapToGrid/>
              <w:spacing w:line="360" w:lineRule="auto"/>
              <w:jc w:val="both"/>
              <w:rPr>
                <w:rFonts w:ascii="宋体" w:hAnsi="宋体" w:eastAsia="宋体" w:cs="宋体"/>
                <w:bCs/>
                <w:color w:val="000000"/>
                <w:sz w:val="21"/>
                <w:szCs w:val="21"/>
              </w:rPr>
            </w:pPr>
            <w:r>
              <w:rPr>
                <w:rFonts w:hint="eastAsia" w:ascii="宋体" w:hAnsi="宋体" w:eastAsia="宋体" w:cs="宋体"/>
                <w:bCs/>
                <w:color w:val="000000"/>
                <w:sz w:val="21"/>
                <w:szCs w:val="21"/>
              </w:rPr>
              <w:t>（注：需提供近3个月人员社保证明以及相关证书证明材料，不提供不得分）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642"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5</w:t>
            </w:r>
          </w:p>
        </w:tc>
        <w:tc>
          <w:tcPr>
            <w:tcW w:w="1600" w:type="dxa"/>
            <w:vAlign w:val="center"/>
          </w:tcPr>
          <w:p>
            <w:pPr>
              <w:spacing w:line="360" w:lineRule="auto"/>
              <w:jc w:val="center"/>
              <w:rPr>
                <w:rFonts w:ascii="宋体" w:hAnsi="宋体" w:cs="宋体"/>
                <w:sz w:val="21"/>
                <w:szCs w:val="21"/>
              </w:rPr>
            </w:pPr>
            <w:r>
              <w:rPr>
                <w:rFonts w:hint="eastAsia" w:ascii="宋体" w:hAnsi="宋体" w:cs="宋体"/>
                <w:sz w:val="21"/>
                <w:szCs w:val="21"/>
              </w:rPr>
              <w:t>拟投入本项目的技术负责人</w:t>
            </w:r>
          </w:p>
        </w:tc>
        <w:tc>
          <w:tcPr>
            <w:tcW w:w="6612" w:type="dxa"/>
            <w:vAlign w:val="center"/>
          </w:tcPr>
          <w:p>
            <w:pPr>
              <w:pStyle w:val="338"/>
              <w:widowControl w:val="0"/>
              <w:adjustRightInd/>
              <w:snapToGrid/>
              <w:spacing w:line="360" w:lineRule="auto"/>
              <w:jc w:val="both"/>
              <w:rPr>
                <w:rFonts w:ascii="宋体" w:hAnsi="宋体" w:eastAsia="宋体" w:cs="宋体"/>
                <w:bCs/>
                <w:color w:val="000000"/>
                <w:sz w:val="21"/>
                <w:szCs w:val="21"/>
              </w:rPr>
            </w:pPr>
            <w:r>
              <w:rPr>
                <w:rFonts w:hint="eastAsia" w:ascii="宋体" w:hAnsi="宋体" w:eastAsia="宋体" w:cs="宋体"/>
                <w:bCs/>
                <w:color w:val="000000"/>
                <w:sz w:val="21"/>
                <w:szCs w:val="21"/>
              </w:rPr>
              <w:t>拟投入本项目的技术负责人具有大数据分析师（高级）、智慧城市规划师、网络工程师的同时具有得3分，若无法同时具有，每样证书得0.5分，没有的不得分。</w:t>
            </w:r>
          </w:p>
          <w:p>
            <w:pPr>
              <w:pStyle w:val="338"/>
              <w:widowControl w:val="0"/>
              <w:adjustRightInd/>
              <w:snapToGrid/>
              <w:spacing w:line="360" w:lineRule="auto"/>
              <w:jc w:val="both"/>
              <w:rPr>
                <w:rFonts w:ascii="宋体" w:hAnsi="宋体" w:eastAsia="宋体" w:cs="宋体"/>
                <w:bCs/>
                <w:color w:val="000000"/>
                <w:sz w:val="21"/>
                <w:szCs w:val="21"/>
              </w:rPr>
            </w:pPr>
            <w:r>
              <w:rPr>
                <w:rFonts w:hint="eastAsia" w:ascii="宋体" w:hAnsi="宋体" w:eastAsia="宋体" w:cs="宋体"/>
                <w:bCs/>
                <w:color w:val="000000"/>
                <w:sz w:val="21"/>
                <w:szCs w:val="21"/>
              </w:rPr>
              <w:t>（注：需提供近3个月人员社保证明以及相关证书证明材料，不提供不得分）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bCs/>
                <w:color w:val="00000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642"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6</w:t>
            </w:r>
          </w:p>
        </w:tc>
        <w:tc>
          <w:tcPr>
            <w:tcW w:w="1600" w:type="dxa"/>
            <w:vAlign w:val="center"/>
          </w:tcPr>
          <w:p>
            <w:pPr>
              <w:spacing w:line="360" w:lineRule="auto"/>
              <w:jc w:val="center"/>
              <w:rPr>
                <w:rFonts w:ascii="宋体" w:hAnsi="宋体" w:cs="宋体"/>
                <w:sz w:val="21"/>
                <w:szCs w:val="21"/>
              </w:rPr>
            </w:pPr>
            <w:r>
              <w:rPr>
                <w:rFonts w:hint="eastAsia" w:ascii="宋体" w:hAnsi="宋体" w:cs="宋体"/>
                <w:sz w:val="21"/>
                <w:szCs w:val="21"/>
              </w:rPr>
              <w:t>拟投入本项目的驻场实施人员</w:t>
            </w:r>
          </w:p>
        </w:tc>
        <w:tc>
          <w:tcPr>
            <w:tcW w:w="6612" w:type="dxa"/>
            <w:vAlign w:val="center"/>
          </w:tcPr>
          <w:p>
            <w:pPr>
              <w:pStyle w:val="338"/>
              <w:widowControl w:val="0"/>
              <w:adjustRightInd/>
              <w:snapToGrid/>
              <w:spacing w:line="360" w:lineRule="auto"/>
              <w:jc w:val="both"/>
              <w:rPr>
                <w:rFonts w:ascii="宋体" w:hAnsi="宋体" w:eastAsia="宋体" w:cs="宋体"/>
                <w:bCs/>
                <w:color w:val="000000"/>
                <w:sz w:val="21"/>
                <w:szCs w:val="21"/>
              </w:rPr>
            </w:pPr>
            <w:r>
              <w:rPr>
                <w:rFonts w:hint="eastAsia" w:ascii="宋体" w:hAnsi="宋体" w:eastAsia="宋体" w:cs="宋体"/>
                <w:bCs/>
                <w:color w:val="000000"/>
                <w:sz w:val="21"/>
                <w:szCs w:val="21"/>
              </w:rPr>
              <w:t>拟投入本项目的驻场实施人员具有系统集成项目管理工程师、网络工程师、软件工程师的同时具有得3分，若无法同时具有，每样证书得0.5分，没有的不得分。</w:t>
            </w:r>
          </w:p>
          <w:p>
            <w:pPr>
              <w:pStyle w:val="338"/>
              <w:widowControl w:val="0"/>
              <w:adjustRightInd/>
              <w:snapToGrid/>
              <w:spacing w:line="360" w:lineRule="auto"/>
              <w:jc w:val="both"/>
              <w:rPr>
                <w:rFonts w:ascii="宋体" w:hAnsi="宋体" w:eastAsia="宋体" w:cs="宋体"/>
                <w:bCs/>
                <w:color w:val="000000"/>
                <w:sz w:val="21"/>
                <w:szCs w:val="21"/>
              </w:rPr>
            </w:pPr>
            <w:r>
              <w:rPr>
                <w:rFonts w:hint="eastAsia" w:ascii="宋体" w:hAnsi="宋体" w:eastAsia="宋体" w:cs="宋体"/>
                <w:bCs/>
                <w:color w:val="000000"/>
                <w:sz w:val="21"/>
                <w:szCs w:val="21"/>
              </w:rPr>
              <w:t>（注：需提供近3个月人员社保证明以及相关证书证明材料，不提供不得分）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642"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7</w:t>
            </w:r>
          </w:p>
        </w:tc>
        <w:tc>
          <w:tcPr>
            <w:tcW w:w="1600" w:type="dxa"/>
            <w:vAlign w:val="center"/>
          </w:tcPr>
          <w:p>
            <w:pPr>
              <w:spacing w:line="360" w:lineRule="auto"/>
              <w:jc w:val="center"/>
              <w:rPr>
                <w:rFonts w:ascii="宋体" w:hAnsi="宋体" w:cs="宋体"/>
                <w:sz w:val="21"/>
                <w:szCs w:val="21"/>
              </w:rPr>
            </w:pPr>
            <w:r>
              <w:rPr>
                <w:rFonts w:hint="eastAsia" w:ascii="宋体" w:hAnsi="宋体" w:cs="宋体"/>
                <w:sz w:val="21"/>
                <w:szCs w:val="21"/>
              </w:rPr>
              <w:t>项目实施团队成员</w:t>
            </w:r>
          </w:p>
        </w:tc>
        <w:tc>
          <w:tcPr>
            <w:tcW w:w="6612" w:type="dxa"/>
            <w:vAlign w:val="center"/>
          </w:tcPr>
          <w:p>
            <w:pPr>
              <w:pStyle w:val="338"/>
              <w:widowControl w:val="0"/>
              <w:adjustRightInd/>
              <w:snapToGrid/>
              <w:spacing w:line="360" w:lineRule="auto"/>
              <w:jc w:val="both"/>
              <w:rPr>
                <w:rFonts w:ascii="宋体" w:hAnsi="宋体" w:eastAsia="宋体" w:cs="宋体"/>
                <w:bCs/>
                <w:color w:val="000000"/>
                <w:sz w:val="21"/>
                <w:szCs w:val="21"/>
              </w:rPr>
            </w:pPr>
            <w:r>
              <w:rPr>
                <w:rFonts w:hint="eastAsia" w:ascii="宋体" w:hAnsi="宋体" w:eastAsia="宋体" w:cs="宋体"/>
                <w:bCs/>
                <w:color w:val="000000"/>
                <w:sz w:val="21"/>
                <w:szCs w:val="21"/>
              </w:rPr>
              <w:t>项目实施团队成员具备与本项目相适应的资质证书，如具备人社部门颁发的网络工程师的得1分，具备人社部门颁发的软件设计师的得1分，具备人社部门颁发的信息系统项目管理师证书得1分，具备人社部门颁发的中级互联网技术证书得1分，具备人社部门颁发的信息安全工程师证书得1分，具备人社部门颁发的注册信息安全工程师的得1分。该项最多不超过6分。（一个人有多本证书的按 1 本计算，多人有同一本证书的按一本计算）。</w:t>
            </w:r>
          </w:p>
          <w:p>
            <w:pPr>
              <w:pStyle w:val="338"/>
              <w:widowControl w:val="0"/>
              <w:adjustRightInd/>
              <w:snapToGrid/>
              <w:spacing w:line="360" w:lineRule="auto"/>
              <w:jc w:val="both"/>
              <w:rPr>
                <w:rFonts w:ascii="宋体" w:hAnsi="宋体" w:eastAsia="宋体" w:cs="宋体"/>
                <w:bCs/>
                <w:color w:val="000000"/>
                <w:sz w:val="21"/>
                <w:szCs w:val="21"/>
              </w:rPr>
            </w:pPr>
            <w:r>
              <w:rPr>
                <w:rFonts w:hint="eastAsia" w:ascii="宋体" w:hAnsi="宋体" w:eastAsia="宋体" w:cs="宋体"/>
                <w:bCs/>
                <w:color w:val="000000"/>
                <w:sz w:val="21"/>
                <w:szCs w:val="21"/>
              </w:rPr>
              <w:t>（注：需提供近3个月人员社保证明以及相关证书证明材料，不提供不得分）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bCs/>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42" w:type="dxa"/>
            <w:vAlign w:val="center"/>
          </w:tcPr>
          <w:p>
            <w:pPr>
              <w:widowControl/>
              <w:spacing w:line="360" w:lineRule="auto"/>
              <w:jc w:val="center"/>
              <w:rPr>
                <w:rFonts w:ascii="宋体" w:hAnsi="宋体" w:cs="宋体"/>
                <w:b/>
                <w:bCs/>
                <w:kern w:val="0"/>
                <w:sz w:val="21"/>
                <w:szCs w:val="21"/>
              </w:rPr>
            </w:pPr>
            <w:r>
              <w:rPr>
                <w:rFonts w:hint="eastAsia" w:ascii="宋体" w:hAnsi="宋体" w:cs="宋体"/>
                <w:b/>
                <w:bCs/>
                <w:kern w:val="0"/>
                <w:sz w:val="21"/>
                <w:szCs w:val="21"/>
              </w:rPr>
              <w:t>二</w:t>
            </w:r>
          </w:p>
        </w:tc>
        <w:tc>
          <w:tcPr>
            <w:tcW w:w="8212" w:type="dxa"/>
            <w:gridSpan w:val="2"/>
            <w:vAlign w:val="center"/>
          </w:tcPr>
          <w:p>
            <w:pPr>
              <w:spacing w:line="360" w:lineRule="auto"/>
              <w:jc w:val="center"/>
              <w:rPr>
                <w:rFonts w:ascii="宋体" w:hAnsi="宋体" w:cs="宋体"/>
                <w:b/>
                <w:bCs/>
                <w:sz w:val="21"/>
                <w:szCs w:val="21"/>
              </w:rPr>
            </w:pPr>
            <w:r>
              <w:rPr>
                <w:rFonts w:hint="eastAsia" w:ascii="宋体" w:hAnsi="宋体" w:cs="宋体"/>
                <w:b/>
                <w:bCs/>
                <w:sz w:val="21"/>
                <w:szCs w:val="21"/>
              </w:rPr>
              <w:t>技术部分</w:t>
            </w:r>
          </w:p>
        </w:tc>
        <w:tc>
          <w:tcPr>
            <w:tcW w:w="713" w:type="dxa"/>
            <w:vAlign w:val="center"/>
          </w:tcPr>
          <w:p>
            <w:pPr>
              <w:widowControl/>
              <w:spacing w:line="360" w:lineRule="auto"/>
              <w:jc w:val="center"/>
              <w:rPr>
                <w:rFonts w:ascii="宋体" w:hAnsi="宋体" w:cs="宋体"/>
                <w:b/>
                <w:bCs/>
                <w:kern w:val="0"/>
                <w:sz w:val="21"/>
                <w:szCs w:val="21"/>
              </w:rPr>
            </w:pPr>
            <w:r>
              <w:rPr>
                <w:rFonts w:hint="eastAsia" w:ascii="宋体" w:hAnsi="宋体" w:cs="宋体"/>
                <w:b/>
                <w:bCs/>
                <w:kern w:val="0"/>
                <w:sz w:val="21"/>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42"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8</w:t>
            </w:r>
          </w:p>
        </w:tc>
        <w:tc>
          <w:tcPr>
            <w:tcW w:w="1600" w:type="dxa"/>
            <w:vAlign w:val="center"/>
          </w:tcPr>
          <w:p>
            <w:pPr>
              <w:widowControl/>
              <w:jc w:val="center"/>
              <w:textAlignment w:val="center"/>
              <w:rPr>
                <w:rFonts w:ascii="宋体" w:hAnsi="宋体" w:cs="宋体"/>
                <w:color w:val="000000"/>
                <w:kern w:val="0"/>
                <w:sz w:val="21"/>
                <w:szCs w:val="21"/>
              </w:rPr>
            </w:pPr>
            <w:r>
              <w:rPr>
                <w:rFonts w:hint="eastAsia" w:ascii="宋体" w:hAnsi="宋体" w:cs="宋体"/>
                <w:kern w:val="0"/>
                <w:sz w:val="21"/>
                <w:szCs w:val="21"/>
              </w:rPr>
              <w:t>项目理解</w:t>
            </w:r>
          </w:p>
        </w:tc>
        <w:tc>
          <w:tcPr>
            <w:tcW w:w="6612" w:type="dxa"/>
            <w:vAlign w:val="center"/>
          </w:tcPr>
          <w:p>
            <w:pPr>
              <w:pStyle w:val="4"/>
              <w:spacing w:line="360" w:lineRule="auto"/>
              <w:rPr>
                <w:rFonts w:ascii="宋体" w:hAnsi="宋体" w:cs="宋体"/>
                <w:b w:val="0"/>
                <w:color w:val="000000"/>
                <w:kern w:val="0"/>
                <w:sz w:val="21"/>
                <w:szCs w:val="21"/>
              </w:rPr>
            </w:pPr>
            <w:r>
              <w:rPr>
                <w:rFonts w:hint="eastAsia" w:ascii="宋体" w:hAnsi="宋体" w:cs="宋体"/>
                <w:b w:val="0"/>
                <w:kern w:val="0"/>
                <w:sz w:val="21"/>
                <w:szCs w:val="21"/>
              </w:rPr>
              <w:t>投标人针对本项目的现状及需求的理解情况，分析项目建设意义的必要性和可行性等的情况由评委酌情赋分。</w:t>
            </w:r>
            <w:r>
              <w:rPr>
                <w:rFonts w:hint="eastAsia" w:ascii="宋体" w:hAnsi="宋体" w:cs="宋体"/>
                <w:b w:val="0"/>
                <w:color w:val="000000"/>
                <w:kern w:val="0"/>
                <w:sz w:val="21"/>
                <w:szCs w:val="21"/>
              </w:rPr>
              <w:t>本项最高得4分。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42"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9</w:t>
            </w:r>
          </w:p>
        </w:tc>
        <w:tc>
          <w:tcPr>
            <w:tcW w:w="160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实施方案</w:t>
            </w:r>
          </w:p>
        </w:tc>
        <w:tc>
          <w:tcPr>
            <w:tcW w:w="6612" w:type="dxa"/>
            <w:vAlign w:val="center"/>
          </w:tcPr>
          <w:p>
            <w:pPr>
              <w:pStyle w:val="4"/>
              <w:spacing w:line="360" w:lineRule="auto"/>
              <w:rPr>
                <w:rFonts w:ascii="宋体" w:hAnsi="宋体" w:cs="宋体"/>
                <w:b w:val="0"/>
                <w:kern w:val="0"/>
                <w:sz w:val="21"/>
                <w:szCs w:val="21"/>
              </w:rPr>
            </w:pPr>
            <w:r>
              <w:rPr>
                <w:rFonts w:hint="eastAsia" w:ascii="宋体" w:hAnsi="宋体" w:cs="宋体"/>
                <w:b w:val="0"/>
                <w:color w:val="000000"/>
                <w:kern w:val="0"/>
                <w:sz w:val="21"/>
                <w:szCs w:val="21"/>
              </w:rPr>
              <w:t>根据投标人提供的项目实施方案（实施方案、质量保证、进度保证等）的完整性、合理性等方面综合评分。本项最高得4分。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642" w:type="dxa"/>
            <w:vMerge w:val="restart"/>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10</w:t>
            </w:r>
          </w:p>
        </w:tc>
        <w:tc>
          <w:tcPr>
            <w:tcW w:w="1600" w:type="dxa"/>
            <w:vMerge w:val="restart"/>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产品及技术响应</w:t>
            </w:r>
          </w:p>
        </w:tc>
        <w:tc>
          <w:tcPr>
            <w:tcW w:w="6612" w:type="dxa"/>
            <w:vAlign w:val="center"/>
          </w:tcPr>
          <w:p>
            <w:pPr>
              <w:pStyle w:val="4"/>
              <w:spacing w:line="360" w:lineRule="auto"/>
              <w:rPr>
                <w:rFonts w:ascii="宋体" w:hAnsi="宋体" w:cs="宋体"/>
                <w:b w:val="0"/>
                <w:kern w:val="0"/>
                <w:sz w:val="21"/>
                <w:szCs w:val="21"/>
              </w:rPr>
            </w:pPr>
            <w:r>
              <w:rPr>
                <w:rFonts w:hint="eastAsia" w:ascii="宋体" w:hAnsi="宋体" w:cs="宋体"/>
                <w:b w:val="0"/>
                <w:kern w:val="0"/>
                <w:sz w:val="21"/>
                <w:szCs w:val="21"/>
              </w:rPr>
              <w:t>项目的理解分析方案：根据投标人对项目的理解分析，对现状和存在的问题的阐述，对用户需求、业务需求、性能需求的阐述进行综合评分。本项最高得3分。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642" w:type="dxa"/>
            <w:vMerge w:val="continue"/>
            <w:vAlign w:val="center"/>
          </w:tcPr>
          <w:p>
            <w:pPr>
              <w:widowControl/>
              <w:spacing w:line="360" w:lineRule="auto"/>
              <w:jc w:val="center"/>
              <w:rPr>
                <w:rFonts w:ascii="宋体" w:hAnsi="宋体" w:cs="宋体"/>
                <w:kern w:val="0"/>
                <w:sz w:val="21"/>
                <w:szCs w:val="21"/>
              </w:rPr>
            </w:pPr>
          </w:p>
        </w:tc>
        <w:tc>
          <w:tcPr>
            <w:tcW w:w="1600" w:type="dxa"/>
            <w:vMerge w:val="continue"/>
            <w:vAlign w:val="center"/>
          </w:tcPr>
          <w:p>
            <w:pPr>
              <w:widowControl/>
              <w:spacing w:line="360" w:lineRule="auto"/>
              <w:jc w:val="center"/>
              <w:rPr>
                <w:rFonts w:ascii="宋体" w:hAnsi="宋体" w:cs="宋体"/>
                <w:kern w:val="0"/>
                <w:sz w:val="21"/>
                <w:szCs w:val="21"/>
              </w:rPr>
            </w:pPr>
          </w:p>
        </w:tc>
        <w:tc>
          <w:tcPr>
            <w:tcW w:w="6612" w:type="dxa"/>
            <w:vAlign w:val="center"/>
          </w:tcPr>
          <w:p>
            <w:pPr>
              <w:pStyle w:val="4"/>
              <w:spacing w:line="360" w:lineRule="auto"/>
              <w:rPr>
                <w:rFonts w:ascii="宋体" w:hAnsi="宋体" w:cs="宋体"/>
                <w:b w:val="0"/>
                <w:kern w:val="0"/>
                <w:sz w:val="21"/>
                <w:szCs w:val="21"/>
              </w:rPr>
            </w:pPr>
            <w:r>
              <w:rPr>
                <w:rFonts w:hint="eastAsia" w:ascii="宋体" w:hAnsi="宋体" w:cs="宋体"/>
                <w:b w:val="0"/>
                <w:color w:val="000000"/>
                <w:kern w:val="0"/>
                <w:sz w:val="21"/>
                <w:szCs w:val="21"/>
              </w:rPr>
              <w:t>提供投标人或者软件厂商唯一授权的关键系统响应的软著产品证明：“矛盾纠纷受办一体化平台”、“掌上多跨协同指挥系统”和“社会事件处置平台”，每个得2分，最高得6分（须提供本项目采购公告发布之日前的国家版权局颁发的软件著作权登记证书复印件并加盖投标人公章，否则不得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42" w:type="dxa"/>
            <w:vMerge w:val="continue"/>
            <w:vAlign w:val="center"/>
          </w:tcPr>
          <w:p>
            <w:pPr>
              <w:widowControl/>
              <w:spacing w:line="360" w:lineRule="auto"/>
              <w:jc w:val="center"/>
              <w:rPr>
                <w:rFonts w:ascii="宋体" w:hAnsi="宋体" w:cs="宋体"/>
                <w:kern w:val="0"/>
                <w:sz w:val="21"/>
                <w:szCs w:val="21"/>
              </w:rPr>
            </w:pPr>
          </w:p>
        </w:tc>
        <w:tc>
          <w:tcPr>
            <w:tcW w:w="1600" w:type="dxa"/>
            <w:vMerge w:val="continue"/>
            <w:vAlign w:val="center"/>
          </w:tcPr>
          <w:p>
            <w:pPr>
              <w:widowControl/>
              <w:spacing w:line="360" w:lineRule="auto"/>
              <w:jc w:val="center"/>
              <w:rPr>
                <w:rFonts w:ascii="宋体" w:hAnsi="宋体" w:cs="宋体"/>
                <w:kern w:val="0"/>
                <w:sz w:val="21"/>
                <w:szCs w:val="21"/>
              </w:rPr>
            </w:pPr>
          </w:p>
        </w:tc>
        <w:tc>
          <w:tcPr>
            <w:tcW w:w="6612" w:type="dxa"/>
            <w:vAlign w:val="center"/>
          </w:tcPr>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根据本项目需求提供业务架构图、数据架构图、网络拓扑图、功能实现方式等，评审专家根据投标文件响应情况从有利于本项目实施角度逬行综合评分：</w:t>
            </w:r>
          </w:p>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方案内容全面且描述清晰，充分理解本项目需求，完全响应招标文件要求，方案有利于且充分保障本项目实施的，得8分；</w:t>
            </w:r>
          </w:p>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方案内容基本全面，存在一定缺陷但经过调整基本不妨碍本项目实施的，得6分；</w:t>
            </w:r>
          </w:p>
          <w:p>
            <w:pPr>
              <w:pStyle w:val="4"/>
              <w:spacing w:line="360" w:lineRule="auto"/>
              <w:rPr>
                <w:rFonts w:ascii="宋体" w:hAnsi="宋体" w:cs="宋体"/>
                <w:sz w:val="21"/>
                <w:szCs w:val="21"/>
              </w:rPr>
            </w:pPr>
            <w:r>
              <w:rPr>
                <w:rFonts w:hint="eastAsia" w:ascii="宋体" w:hAnsi="宋体" w:cs="宋体"/>
                <w:b w:val="0"/>
                <w:color w:val="000000"/>
                <w:kern w:val="0"/>
                <w:sz w:val="21"/>
                <w:szCs w:val="21"/>
              </w:rPr>
              <w:t>方案内容存在明显缺失，在满足本项目需求上存在明显缺陷的，得3分；本项最高得8分。</w:t>
            </w:r>
          </w:p>
        </w:tc>
        <w:tc>
          <w:tcPr>
            <w:tcW w:w="713" w:type="dxa"/>
            <w:vAlign w:val="center"/>
          </w:tcPr>
          <w:p>
            <w:pPr>
              <w:widowControl/>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42"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11</w:t>
            </w:r>
          </w:p>
        </w:tc>
        <w:tc>
          <w:tcPr>
            <w:tcW w:w="1600"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售后服务方案</w:t>
            </w:r>
          </w:p>
        </w:tc>
        <w:tc>
          <w:tcPr>
            <w:tcW w:w="6612" w:type="dxa"/>
            <w:vAlign w:val="center"/>
          </w:tcPr>
          <w:p>
            <w:pPr>
              <w:pStyle w:val="4"/>
              <w:spacing w:line="360" w:lineRule="auto"/>
              <w:rPr>
                <w:rFonts w:ascii="宋体" w:hAnsi="宋体" w:cs="宋体"/>
                <w:b w:val="0"/>
                <w:kern w:val="0"/>
                <w:sz w:val="21"/>
                <w:szCs w:val="21"/>
              </w:rPr>
            </w:pPr>
            <w:r>
              <w:rPr>
                <w:rFonts w:hint="eastAsia" w:ascii="宋体" w:hAnsi="宋体" w:cs="宋体"/>
                <w:b w:val="0"/>
                <w:kern w:val="0"/>
                <w:sz w:val="21"/>
                <w:szCs w:val="21"/>
              </w:rPr>
              <w:t>根据投标人提供的售后服务方案进行综合评分。本项最高得2分。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42" w:type="dxa"/>
            <w:vAlign w:val="center"/>
          </w:tcPr>
          <w:p>
            <w:pPr>
              <w:spacing w:line="360" w:lineRule="auto"/>
              <w:jc w:val="center"/>
              <w:rPr>
                <w:rFonts w:ascii="宋体" w:hAnsi="宋体" w:cs="宋体"/>
                <w:kern w:val="0"/>
                <w:sz w:val="21"/>
                <w:szCs w:val="21"/>
              </w:rPr>
            </w:pPr>
            <w:r>
              <w:rPr>
                <w:rFonts w:hint="eastAsia" w:ascii="宋体" w:hAnsi="宋体" w:cs="宋体"/>
                <w:kern w:val="0"/>
                <w:sz w:val="21"/>
                <w:szCs w:val="21"/>
              </w:rPr>
              <w:t>12</w:t>
            </w:r>
          </w:p>
        </w:tc>
        <w:tc>
          <w:tcPr>
            <w:tcW w:w="1600"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培训方案</w:t>
            </w:r>
          </w:p>
        </w:tc>
        <w:tc>
          <w:tcPr>
            <w:tcW w:w="6612" w:type="dxa"/>
            <w:vAlign w:val="center"/>
          </w:tcPr>
          <w:p>
            <w:pPr>
              <w:pStyle w:val="4"/>
              <w:spacing w:line="360" w:lineRule="auto"/>
              <w:rPr>
                <w:rFonts w:ascii="宋体" w:hAnsi="宋体" w:cs="宋体"/>
                <w:b w:val="0"/>
                <w:kern w:val="0"/>
                <w:sz w:val="21"/>
                <w:szCs w:val="21"/>
              </w:rPr>
            </w:pPr>
            <w:r>
              <w:rPr>
                <w:rFonts w:hint="eastAsia" w:ascii="宋体" w:hAnsi="宋体" w:cs="宋体"/>
                <w:b w:val="0"/>
                <w:kern w:val="0"/>
                <w:sz w:val="21"/>
                <w:szCs w:val="21"/>
              </w:rPr>
              <w:t>根据投标人提供的培训方案进行综合评分。本项最高得2分。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642" w:type="dxa"/>
            <w:vAlign w:val="center"/>
          </w:tcPr>
          <w:p>
            <w:pPr>
              <w:spacing w:line="360" w:lineRule="auto"/>
              <w:jc w:val="center"/>
              <w:rPr>
                <w:rFonts w:ascii="宋体" w:hAnsi="宋体" w:cs="宋体"/>
                <w:kern w:val="0"/>
                <w:sz w:val="21"/>
                <w:szCs w:val="21"/>
              </w:rPr>
            </w:pPr>
            <w:r>
              <w:rPr>
                <w:rFonts w:hint="eastAsia" w:ascii="宋体" w:hAnsi="宋体" w:cs="宋体"/>
                <w:kern w:val="0"/>
                <w:sz w:val="21"/>
                <w:szCs w:val="21"/>
              </w:rPr>
              <w:t>13</w:t>
            </w:r>
          </w:p>
        </w:tc>
        <w:tc>
          <w:tcPr>
            <w:tcW w:w="1600" w:type="dxa"/>
            <w:vAlign w:val="center"/>
          </w:tcPr>
          <w:p>
            <w:pPr>
              <w:spacing w:line="360" w:lineRule="auto"/>
              <w:jc w:val="center"/>
              <w:rPr>
                <w:rFonts w:ascii="宋体" w:hAnsi="宋体" w:cs="宋体"/>
                <w:sz w:val="21"/>
                <w:szCs w:val="21"/>
              </w:rPr>
            </w:pPr>
            <w:r>
              <w:rPr>
                <w:rFonts w:hint="eastAsia" w:ascii="宋体" w:hAnsi="宋体" w:cs="宋体"/>
                <w:sz w:val="21"/>
                <w:szCs w:val="21"/>
              </w:rPr>
              <w:t>重大事件应急保障能力</w:t>
            </w:r>
          </w:p>
        </w:tc>
        <w:tc>
          <w:tcPr>
            <w:tcW w:w="6612" w:type="dxa"/>
            <w:vAlign w:val="center"/>
          </w:tcPr>
          <w:p>
            <w:pPr>
              <w:pStyle w:val="4"/>
              <w:spacing w:line="360" w:lineRule="auto"/>
              <w:rPr>
                <w:rFonts w:ascii="宋体" w:hAnsi="宋体" w:cs="宋体"/>
                <w:kern w:val="0"/>
                <w:sz w:val="21"/>
                <w:szCs w:val="21"/>
              </w:rPr>
            </w:pPr>
            <w:r>
              <w:rPr>
                <w:rFonts w:hint="eastAsia" w:ascii="宋体" w:hAnsi="宋体" w:cs="宋体"/>
                <w:b w:val="0"/>
                <w:kern w:val="0"/>
                <w:sz w:val="21"/>
                <w:szCs w:val="21"/>
              </w:rPr>
              <w:t>重大事件应急保障能力：根据投标人在重大事件中体现出的应急保障能力，如：通信保障人员力量，物资储备、设施装备力量，售后服务人员资质等技术实力、临时紧急增派到采购人处的技术人员支持数量、技术实力进行综合评分。本项最高得3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642" w:type="dxa"/>
            <w:vMerge w:val="restart"/>
            <w:vAlign w:val="center"/>
          </w:tcPr>
          <w:p>
            <w:pPr>
              <w:spacing w:line="360" w:lineRule="auto"/>
              <w:jc w:val="center"/>
              <w:rPr>
                <w:rFonts w:ascii="宋体" w:hAnsi="宋体" w:cs="宋体"/>
                <w:kern w:val="0"/>
                <w:sz w:val="21"/>
                <w:szCs w:val="21"/>
              </w:rPr>
            </w:pPr>
            <w:r>
              <w:rPr>
                <w:rFonts w:hint="eastAsia" w:ascii="宋体" w:hAnsi="宋体" w:cs="宋体"/>
                <w:kern w:val="0"/>
                <w:sz w:val="21"/>
                <w:szCs w:val="21"/>
              </w:rPr>
              <w:t>14</w:t>
            </w:r>
          </w:p>
        </w:tc>
        <w:tc>
          <w:tcPr>
            <w:tcW w:w="1600" w:type="dxa"/>
            <w:vMerge w:val="restart"/>
            <w:vAlign w:val="center"/>
          </w:tcPr>
          <w:p>
            <w:pPr>
              <w:spacing w:line="360" w:lineRule="auto"/>
              <w:jc w:val="center"/>
              <w:rPr>
                <w:rFonts w:ascii="宋体" w:hAnsi="宋体" w:cs="宋体"/>
                <w:sz w:val="21"/>
                <w:szCs w:val="21"/>
              </w:rPr>
            </w:pPr>
            <w:r>
              <w:rPr>
                <w:rFonts w:hint="eastAsia" w:ascii="宋体" w:hAnsi="宋体" w:cs="宋体"/>
                <w:color w:val="000000"/>
                <w:kern w:val="0"/>
                <w:sz w:val="21"/>
                <w:szCs w:val="21"/>
              </w:rPr>
              <w:t>本地化服务</w:t>
            </w:r>
          </w:p>
        </w:tc>
        <w:tc>
          <w:tcPr>
            <w:tcW w:w="6612" w:type="dxa"/>
            <w:vAlign w:val="center"/>
          </w:tcPr>
          <w:p>
            <w:pPr>
              <w:pStyle w:val="4"/>
              <w:numPr>
                <w:ilvl w:val="0"/>
                <w:numId w:val="3"/>
              </w:numPr>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投标人提供的售后维护机构情况（或中标30日内承诺设立），在仙居县内有售后服务网点的得1分。</w:t>
            </w:r>
          </w:p>
          <w:p>
            <w:pPr>
              <w:pStyle w:val="4"/>
              <w:spacing w:line="360" w:lineRule="auto"/>
              <w:rPr>
                <w:rFonts w:ascii="宋体" w:hAnsi="宋体" w:cs="宋体"/>
                <w:b w:val="0"/>
                <w:kern w:val="0"/>
                <w:sz w:val="21"/>
                <w:szCs w:val="21"/>
              </w:rPr>
            </w:pPr>
            <w:r>
              <w:rPr>
                <w:rFonts w:hint="eastAsia" w:ascii="宋体" w:hAnsi="宋体" w:cs="宋体"/>
                <w:color w:val="000000"/>
                <w:kern w:val="0"/>
                <w:sz w:val="21"/>
                <w:szCs w:val="21"/>
              </w:rPr>
              <w:t>（投标文件中需提供服务网点相关证明材料复印件或加盖单位公章的承诺书，否则不得分）；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42" w:type="dxa"/>
            <w:vMerge w:val="continue"/>
            <w:vAlign w:val="center"/>
          </w:tcPr>
          <w:p>
            <w:pPr>
              <w:pStyle w:val="4"/>
              <w:spacing w:line="360" w:lineRule="auto"/>
              <w:rPr>
                <w:rFonts w:ascii="宋体" w:hAnsi="宋体" w:cs="宋体"/>
                <w:b w:val="0"/>
                <w:kern w:val="0"/>
                <w:sz w:val="21"/>
                <w:szCs w:val="21"/>
              </w:rPr>
            </w:pPr>
          </w:p>
        </w:tc>
        <w:tc>
          <w:tcPr>
            <w:tcW w:w="1600" w:type="dxa"/>
            <w:vMerge w:val="continue"/>
            <w:vAlign w:val="center"/>
          </w:tcPr>
          <w:p>
            <w:pPr>
              <w:pStyle w:val="4"/>
              <w:spacing w:line="360" w:lineRule="auto"/>
              <w:rPr>
                <w:rFonts w:ascii="宋体" w:hAnsi="宋体" w:cs="宋体"/>
                <w:b w:val="0"/>
                <w:kern w:val="0"/>
                <w:sz w:val="21"/>
                <w:szCs w:val="21"/>
              </w:rPr>
            </w:pPr>
          </w:p>
        </w:tc>
        <w:tc>
          <w:tcPr>
            <w:tcW w:w="6612" w:type="dxa"/>
            <w:vAlign w:val="center"/>
          </w:tcPr>
          <w:p>
            <w:pPr>
              <w:pStyle w:val="4"/>
              <w:spacing w:line="360" w:lineRule="auto"/>
              <w:rPr>
                <w:rFonts w:ascii="宋体" w:hAnsi="宋体" w:cs="宋体"/>
                <w:b w:val="0"/>
                <w:kern w:val="0"/>
                <w:sz w:val="21"/>
                <w:szCs w:val="21"/>
              </w:rPr>
            </w:pPr>
            <w:r>
              <w:rPr>
                <w:rFonts w:hint="eastAsia" w:ascii="宋体" w:hAnsi="宋体" w:cs="宋体"/>
                <w:b w:val="0"/>
                <w:color w:val="000000"/>
                <w:kern w:val="0"/>
                <w:sz w:val="21"/>
                <w:szCs w:val="21"/>
              </w:rPr>
              <w:t>（2）根据售中售后的响应时间、服务承诺及其它服务措施的优劣等情况打分，</w:t>
            </w:r>
            <w:r>
              <w:rPr>
                <w:rFonts w:hint="eastAsia" w:ascii="宋体" w:hAnsi="宋体" w:cs="宋体"/>
                <w:b w:val="0"/>
                <w:kern w:val="0"/>
                <w:sz w:val="21"/>
                <w:szCs w:val="21"/>
              </w:rPr>
              <w:t>最高不超过2分。</w:t>
            </w:r>
          </w:p>
        </w:tc>
        <w:tc>
          <w:tcPr>
            <w:tcW w:w="713" w:type="dxa"/>
            <w:vAlign w:val="center"/>
          </w:tcPr>
          <w:p>
            <w:pPr>
              <w:pStyle w:val="4"/>
              <w:spacing w:line="360" w:lineRule="auto"/>
              <w:ind w:firstLine="210" w:firstLineChars="100"/>
              <w:rPr>
                <w:rFonts w:ascii="宋体" w:hAnsi="宋体" w:cs="宋体"/>
                <w:b w:val="0"/>
                <w:kern w:val="0"/>
                <w:sz w:val="21"/>
                <w:szCs w:val="21"/>
              </w:rPr>
            </w:pPr>
            <w:r>
              <w:rPr>
                <w:rFonts w:hint="eastAsia" w:ascii="宋体" w:hAnsi="宋体" w:cs="宋体"/>
                <w:b w:val="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trPr>
        <w:tc>
          <w:tcPr>
            <w:tcW w:w="642" w:type="dxa"/>
            <w:vMerge w:val="restart"/>
            <w:vAlign w:val="center"/>
          </w:tcPr>
          <w:p>
            <w:pPr>
              <w:spacing w:line="360" w:lineRule="auto"/>
              <w:jc w:val="center"/>
              <w:rPr>
                <w:rFonts w:ascii="宋体" w:hAnsi="宋体" w:cs="宋体"/>
                <w:kern w:val="0"/>
                <w:sz w:val="21"/>
                <w:szCs w:val="21"/>
              </w:rPr>
            </w:pPr>
            <w:r>
              <w:rPr>
                <w:rFonts w:hint="eastAsia" w:ascii="宋体" w:hAnsi="宋体" w:cs="宋体"/>
                <w:kern w:val="0"/>
                <w:sz w:val="21"/>
                <w:szCs w:val="21"/>
              </w:rPr>
              <w:t>15</w:t>
            </w:r>
          </w:p>
        </w:tc>
        <w:tc>
          <w:tcPr>
            <w:tcW w:w="1600" w:type="dxa"/>
            <w:vMerge w:val="restart"/>
            <w:vAlign w:val="center"/>
          </w:tcPr>
          <w:p>
            <w:pPr>
              <w:pStyle w:val="38"/>
              <w:ind w:left="0" w:leftChars="0"/>
              <w:jc w:val="left"/>
              <w:rPr>
                <w:rFonts w:ascii="宋体" w:hAnsi="宋体" w:cs="宋体"/>
                <w:sz w:val="21"/>
                <w:szCs w:val="21"/>
              </w:rPr>
            </w:pPr>
            <w:r>
              <w:rPr>
                <w:rFonts w:hint="eastAsia" w:ascii="宋体" w:hAnsi="宋体" w:cs="宋体"/>
                <w:sz w:val="21"/>
                <w:szCs w:val="21"/>
              </w:rPr>
              <w:t>系统演示</w:t>
            </w:r>
          </w:p>
          <w:p>
            <w:pPr>
              <w:spacing w:line="360" w:lineRule="auto"/>
              <w:jc w:val="center"/>
              <w:rPr>
                <w:rFonts w:ascii="宋体" w:hAnsi="宋体" w:cs="宋体"/>
                <w:sz w:val="21"/>
                <w:szCs w:val="21"/>
              </w:rPr>
            </w:pPr>
            <w:r>
              <w:rPr>
                <w:rFonts w:hint="eastAsia" w:ascii="宋体" w:hAnsi="宋体" w:cs="宋体"/>
                <w:sz w:val="21"/>
                <w:szCs w:val="21"/>
              </w:rPr>
              <w:t>（本项目要求视频录制模拟演示，演示时间不超20分钟）</w:t>
            </w:r>
          </w:p>
        </w:tc>
        <w:tc>
          <w:tcPr>
            <w:tcW w:w="6612" w:type="dxa"/>
            <w:vAlign w:val="center"/>
          </w:tcPr>
          <w:p>
            <w:pPr>
              <w:pStyle w:val="46"/>
              <w:ind w:firstLine="0" w:firstLineChars="0"/>
              <w:rPr>
                <w:rFonts w:ascii="宋体" w:hAnsi="宋体" w:cs="宋体"/>
                <w:color w:val="000000"/>
                <w:kern w:val="0"/>
                <w:szCs w:val="21"/>
              </w:rPr>
            </w:pPr>
            <w:r>
              <w:rPr>
                <w:rFonts w:hint="eastAsia" w:ascii="宋体" w:hAnsi="宋体" w:cs="宋体"/>
                <w:color w:val="000000"/>
                <w:kern w:val="0"/>
                <w:szCs w:val="21"/>
              </w:rPr>
              <w:t>1、民声卡管理模块升级：</w:t>
            </w:r>
          </w:p>
          <w:p>
            <w:pPr>
              <w:pStyle w:val="46"/>
              <w:ind w:firstLine="0" w:firstLineChars="0"/>
              <w:rPr>
                <w:rFonts w:ascii="宋体" w:hAnsi="宋体" w:cs="宋体"/>
                <w:color w:val="000000"/>
                <w:kern w:val="0"/>
                <w:szCs w:val="21"/>
              </w:rPr>
            </w:pPr>
            <w:r>
              <w:rPr>
                <w:rFonts w:hint="eastAsia" w:ascii="宋体" w:hAnsi="宋体" w:cs="宋体"/>
                <w:color w:val="000000"/>
                <w:kern w:val="0"/>
                <w:szCs w:val="21"/>
              </w:rPr>
              <w:t xml:space="preserve">a、首问责任：窗口工作人员录入来访群众基础信息及诉求信息，通过浙政钉系统，将事件交办至相关单位、相关责任人进行后期办理跟踪（得2分）； </w:t>
            </w:r>
          </w:p>
          <w:p>
            <w:pPr>
              <w:pStyle w:val="46"/>
              <w:ind w:firstLine="0" w:firstLineChars="0"/>
              <w:rPr>
                <w:rFonts w:ascii="宋体" w:hAnsi="宋体" w:cs="宋体"/>
                <w:color w:val="000000"/>
                <w:kern w:val="0"/>
                <w:szCs w:val="21"/>
              </w:rPr>
            </w:pPr>
            <w:r>
              <w:rPr>
                <w:rFonts w:hint="eastAsia" w:ascii="宋体" w:hAnsi="宋体" w:cs="宋体"/>
                <w:color w:val="000000"/>
                <w:kern w:val="0"/>
                <w:szCs w:val="21"/>
              </w:rPr>
              <w:t>b、群众端在线服务：现场工作人员完成登记后，群众端收到短信链接，在线反馈问题，上传证据照片。干部浙政钉端收到群众端反馈内容，进行处置（得2分）；</w:t>
            </w:r>
          </w:p>
          <w:p>
            <w:pPr>
              <w:pStyle w:val="46"/>
              <w:ind w:firstLine="0" w:firstLineChars="0"/>
              <w:rPr>
                <w:rFonts w:ascii="宋体" w:hAnsi="宋体" w:cs="宋体"/>
                <w:szCs w:val="21"/>
              </w:rPr>
            </w:pPr>
            <w:r>
              <w:rPr>
                <w:rFonts w:hint="eastAsia" w:ascii="宋体" w:hAnsi="宋体" w:cs="宋体"/>
                <w:color w:val="000000"/>
                <w:kern w:val="0"/>
                <w:szCs w:val="21"/>
              </w:rPr>
              <w:t>本项最高得4分。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color w:val="00000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42" w:type="dxa"/>
            <w:vMerge w:val="continue"/>
            <w:vAlign w:val="center"/>
          </w:tcPr>
          <w:p>
            <w:pPr>
              <w:spacing w:line="360" w:lineRule="auto"/>
              <w:jc w:val="center"/>
              <w:rPr>
                <w:rFonts w:ascii="宋体" w:hAnsi="宋体" w:cs="宋体"/>
                <w:kern w:val="0"/>
                <w:sz w:val="21"/>
                <w:szCs w:val="21"/>
              </w:rPr>
            </w:pPr>
          </w:p>
        </w:tc>
        <w:tc>
          <w:tcPr>
            <w:tcW w:w="1600" w:type="dxa"/>
            <w:vMerge w:val="continue"/>
            <w:vAlign w:val="center"/>
          </w:tcPr>
          <w:p>
            <w:pPr>
              <w:spacing w:line="360" w:lineRule="auto"/>
              <w:jc w:val="center"/>
              <w:rPr>
                <w:rFonts w:ascii="宋体" w:hAnsi="宋体" w:cs="宋体"/>
                <w:sz w:val="21"/>
                <w:szCs w:val="21"/>
              </w:rPr>
            </w:pPr>
          </w:p>
        </w:tc>
        <w:tc>
          <w:tcPr>
            <w:tcW w:w="6612" w:type="dxa"/>
            <w:vAlign w:val="center"/>
          </w:tcPr>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2、在线会商模块：</w:t>
            </w:r>
          </w:p>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a、协同联动：相关人员在浙政钉建立“云会商”窗口，并在线添加协同工作人员，被邀请工作人员收到浙政钉工作通知，点击工作通知进入会商协同办理，得2分；</w:t>
            </w:r>
          </w:p>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b、业务应用：“云会商”团组人员遇到重大紧急事件，点击云上会商按钮，调用视频会议接口，支持选择性拉回在线会商，发起视频联动，得2分；</w:t>
            </w:r>
          </w:p>
          <w:p>
            <w:pPr>
              <w:pStyle w:val="4"/>
              <w:spacing w:line="360" w:lineRule="auto"/>
              <w:rPr>
                <w:rFonts w:ascii="宋体" w:hAnsi="宋体" w:cs="宋体"/>
                <w:sz w:val="21"/>
                <w:szCs w:val="21"/>
              </w:rPr>
            </w:pPr>
            <w:r>
              <w:rPr>
                <w:rFonts w:hint="eastAsia" w:ascii="宋体" w:hAnsi="宋体" w:cs="宋体"/>
                <w:b w:val="0"/>
                <w:color w:val="000000"/>
                <w:kern w:val="0"/>
                <w:sz w:val="21"/>
                <w:szCs w:val="21"/>
              </w:rPr>
              <w:t>本项最高得4分。</w:t>
            </w:r>
          </w:p>
        </w:tc>
        <w:tc>
          <w:tcPr>
            <w:tcW w:w="713" w:type="dxa"/>
            <w:vAlign w:val="center"/>
          </w:tcPr>
          <w:p>
            <w:pPr>
              <w:widowControl/>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642" w:type="dxa"/>
            <w:vMerge w:val="continue"/>
            <w:vAlign w:val="center"/>
          </w:tcPr>
          <w:p>
            <w:pPr>
              <w:spacing w:line="360" w:lineRule="auto"/>
              <w:jc w:val="center"/>
              <w:rPr>
                <w:rFonts w:ascii="宋体" w:hAnsi="宋体" w:cs="宋体"/>
                <w:kern w:val="0"/>
                <w:sz w:val="21"/>
                <w:szCs w:val="21"/>
              </w:rPr>
            </w:pPr>
          </w:p>
        </w:tc>
        <w:tc>
          <w:tcPr>
            <w:tcW w:w="1600" w:type="dxa"/>
            <w:vMerge w:val="continue"/>
            <w:vAlign w:val="center"/>
          </w:tcPr>
          <w:p>
            <w:pPr>
              <w:spacing w:line="360" w:lineRule="auto"/>
              <w:jc w:val="center"/>
              <w:rPr>
                <w:rFonts w:ascii="宋体" w:hAnsi="宋体" w:cs="宋体"/>
                <w:sz w:val="21"/>
                <w:szCs w:val="21"/>
              </w:rPr>
            </w:pPr>
          </w:p>
        </w:tc>
        <w:tc>
          <w:tcPr>
            <w:tcW w:w="6612" w:type="dxa"/>
            <w:vAlign w:val="center"/>
          </w:tcPr>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3、督办管理模块：</w:t>
            </w:r>
          </w:p>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a、应调未调管理：后台管理人员在三色台账督察重点案件，对应调未调事件进行打标签，驾驶舱中的责任监督环子屏实时标记显示打标签的应调未调事件，得2分；</w:t>
            </w:r>
          </w:p>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b、事心双解案件管理：后台管理人员在三色台账督察事心双解案件，对事心双解事件进行打标签。驾驶舱中的多元调处环子屏实时标记显示打标签的事心双解事件，得2分；</w:t>
            </w:r>
          </w:p>
          <w:p>
            <w:pPr>
              <w:pStyle w:val="4"/>
              <w:spacing w:line="360" w:lineRule="auto"/>
              <w:rPr>
                <w:rFonts w:ascii="宋体" w:hAnsi="宋体" w:cs="宋体"/>
                <w:sz w:val="21"/>
                <w:szCs w:val="21"/>
              </w:rPr>
            </w:pPr>
            <w:r>
              <w:rPr>
                <w:rFonts w:hint="eastAsia" w:ascii="宋体" w:hAnsi="宋体" w:cs="宋体"/>
                <w:b w:val="0"/>
                <w:color w:val="000000"/>
                <w:kern w:val="0"/>
                <w:sz w:val="21"/>
                <w:szCs w:val="21"/>
              </w:rPr>
              <w:t>本项最高得4分。</w:t>
            </w:r>
          </w:p>
        </w:tc>
        <w:tc>
          <w:tcPr>
            <w:tcW w:w="713" w:type="dxa"/>
            <w:vAlign w:val="center"/>
          </w:tcPr>
          <w:p>
            <w:pPr>
              <w:widowControl/>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pPr>
              <w:tabs>
                <w:tab w:val="left" w:pos="1449"/>
              </w:tabs>
              <w:spacing w:line="360" w:lineRule="auto"/>
              <w:rPr>
                <w:rFonts w:ascii="宋体" w:hAnsi="宋体" w:cs="宋体"/>
                <w:sz w:val="21"/>
                <w:szCs w:val="21"/>
              </w:rPr>
            </w:pPr>
            <w:r>
              <w:rPr>
                <w:rFonts w:hint="eastAsia" w:ascii="宋体" w:hAnsi="宋体" w:cs="宋体"/>
                <w:sz w:val="21"/>
                <w:szCs w:val="21"/>
              </w:rPr>
              <w:t>16</w:t>
            </w:r>
          </w:p>
        </w:tc>
        <w:tc>
          <w:tcPr>
            <w:tcW w:w="1600" w:type="dxa"/>
            <w:vAlign w:val="center"/>
          </w:tcPr>
          <w:p>
            <w:pPr>
              <w:tabs>
                <w:tab w:val="left" w:pos="1449"/>
              </w:tabs>
              <w:spacing w:line="360" w:lineRule="auto"/>
              <w:rPr>
                <w:rFonts w:ascii="宋体" w:hAnsi="宋体" w:cs="宋体"/>
                <w:sz w:val="21"/>
                <w:szCs w:val="21"/>
              </w:rPr>
            </w:pPr>
            <w:r>
              <w:rPr>
                <w:rFonts w:hint="eastAsia" w:ascii="宋体" w:hAnsi="宋体" w:cs="宋体"/>
                <w:sz w:val="21"/>
                <w:szCs w:val="21"/>
              </w:rPr>
              <w:t>应用创新</w:t>
            </w:r>
          </w:p>
        </w:tc>
        <w:tc>
          <w:tcPr>
            <w:tcW w:w="6612" w:type="dxa"/>
            <w:vAlign w:val="center"/>
          </w:tcPr>
          <w:p>
            <w:pPr>
              <w:tabs>
                <w:tab w:val="left" w:pos="1449"/>
              </w:tabs>
              <w:spacing w:line="360" w:lineRule="auto"/>
              <w:rPr>
                <w:rFonts w:ascii="宋体" w:hAnsi="宋体" w:cs="宋体"/>
                <w:color w:val="000000"/>
                <w:kern w:val="0"/>
                <w:sz w:val="21"/>
                <w:szCs w:val="21"/>
              </w:rPr>
            </w:pPr>
            <w:r>
              <w:rPr>
                <w:rFonts w:hint="eastAsia" w:ascii="宋体" w:hAnsi="宋体" w:cs="宋体"/>
                <w:color w:val="000000"/>
                <w:kern w:val="0"/>
                <w:sz w:val="21"/>
                <w:szCs w:val="21"/>
              </w:rPr>
              <w:t>投标人的方案在满足招标文件要求的基础上，结合自身经验，针对本项目的软件建设清单进行梳理分析，从矛盾纠纷小切口复用至基层治理全领域和如何实现“1612”体系贯通，提出优化或创新方案，优化或创新方案应当具有针对性和可操作性。评委依据优化或创新方案的针对性和可操作性等方面进行综合评定，优化或创新方案点每个得1分；本项合计最高得5分。</w:t>
            </w:r>
          </w:p>
        </w:tc>
        <w:tc>
          <w:tcPr>
            <w:tcW w:w="713" w:type="dxa"/>
            <w:vAlign w:val="center"/>
          </w:tcPr>
          <w:p>
            <w:pPr>
              <w:tabs>
                <w:tab w:val="left" w:pos="1449"/>
              </w:tabs>
              <w:spacing w:line="360" w:lineRule="auto"/>
              <w:ind w:firstLine="210" w:firstLineChars="100"/>
              <w:rPr>
                <w:rFonts w:ascii="宋体" w:hAnsi="宋体" w:cs="宋体"/>
                <w:color w:val="000000"/>
                <w:kern w:val="0"/>
                <w:sz w:val="21"/>
                <w:szCs w:val="21"/>
              </w:rPr>
            </w:pPr>
            <w:r>
              <w:rPr>
                <w:rFonts w:hint="eastAsia" w:ascii="宋体" w:hAnsi="宋体" w:cs="宋体"/>
                <w:color w:val="00000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54" w:type="dxa"/>
            <w:gridSpan w:val="3"/>
            <w:shd w:val="clear" w:color="auto" w:fill="D7D7D7"/>
            <w:vAlign w:val="center"/>
          </w:tcPr>
          <w:p>
            <w:pPr>
              <w:widowControl/>
              <w:spacing w:line="360" w:lineRule="auto"/>
              <w:jc w:val="center"/>
              <w:rPr>
                <w:rFonts w:ascii="宋体" w:hAnsi="宋体" w:cs="宋体"/>
                <w:b/>
                <w:kern w:val="0"/>
                <w:sz w:val="21"/>
                <w:szCs w:val="21"/>
              </w:rPr>
            </w:pPr>
            <w:r>
              <w:rPr>
                <w:rFonts w:hint="eastAsia" w:ascii="宋体" w:hAnsi="宋体" w:cs="宋体"/>
                <w:b/>
                <w:kern w:val="0"/>
                <w:sz w:val="21"/>
                <w:szCs w:val="21"/>
                <w:lang w:val="zh-CN"/>
              </w:rPr>
              <w:t>第二部分报价文件评分</w:t>
            </w:r>
          </w:p>
        </w:tc>
        <w:tc>
          <w:tcPr>
            <w:tcW w:w="713" w:type="dxa"/>
            <w:shd w:val="clear" w:color="auto" w:fill="D7D7D7"/>
            <w:vAlign w:val="center"/>
          </w:tcPr>
          <w:p>
            <w:pPr>
              <w:widowControl/>
              <w:spacing w:line="360" w:lineRule="auto"/>
              <w:jc w:val="center"/>
              <w:rPr>
                <w:rFonts w:ascii="宋体" w:hAnsi="宋体" w:cs="宋体"/>
                <w:b/>
                <w:kern w:val="0"/>
                <w:sz w:val="21"/>
                <w:szCs w:val="21"/>
              </w:rPr>
            </w:pPr>
            <w:r>
              <w:rPr>
                <w:rFonts w:hint="eastAsia" w:ascii="宋体" w:hAnsi="宋体" w:cs="宋体"/>
                <w:b/>
                <w:kern w:val="0"/>
                <w:sz w:val="21"/>
                <w:szCs w:val="21"/>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642" w:type="dxa"/>
            <w:vAlign w:val="center"/>
          </w:tcPr>
          <w:p>
            <w:pPr>
              <w:widowControl/>
              <w:spacing w:line="360" w:lineRule="auto"/>
              <w:jc w:val="center"/>
              <w:rPr>
                <w:rFonts w:ascii="宋体" w:hAnsi="宋体" w:cs="宋体"/>
                <w:b/>
                <w:sz w:val="21"/>
                <w:szCs w:val="21"/>
              </w:rPr>
            </w:pPr>
            <w:r>
              <w:rPr>
                <w:rFonts w:hint="eastAsia" w:ascii="宋体" w:hAnsi="宋体" w:cs="宋体"/>
                <w:b/>
                <w:sz w:val="21"/>
                <w:szCs w:val="21"/>
              </w:rPr>
              <w:t>评分标准</w:t>
            </w:r>
          </w:p>
        </w:tc>
        <w:tc>
          <w:tcPr>
            <w:tcW w:w="8212" w:type="dxa"/>
            <w:gridSpan w:val="2"/>
            <w:vAlign w:val="center"/>
          </w:tcPr>
          <w:p>
            <w:pPr>
              <w:spacing w:line="360" w:lineRule="auto"/>
              <w:ind w:firstLine="420" w:firstLineChars="200"/>
              <w:rPr>
                <w:rFonts w:ascii="宋体" w:hAnsi="宋体" w:cs="宋体"/>
                <w:b/>
                <w:kern w:val="0"/>
                <w:sz w:val="21"/>
                <w:szCs w:val="21"/>
                <w:lang w:val="zh-CN"/>
              </w:rPr>
            </w:pPr>
            <w:r>
              <w:rPr>
                <w:rFonts w:hint="eastAsia" w:ascii="宋体" w:hAnsi="宋体" w:cs="宋体"/>
                <w:kern w:val="0"/>
                <w:sz w:val="21"/>
                <w:szCs w:val="21"/>
                <w:lang w:val="zh-CN"/>
              </w:rPr>
              <w:t>（1）各供应商报价文件得分由评标委员会按各供应商的投标报价统一计算</w:t>
            </w:r>
            <w:r>
              <w:rPr>
                <w:rFonts w:hint="eastAsia" w:ascii="宋体" w:hAnsi="宋体" w:cs="宋体"/>
                <w:b/>
                <w:kern w:val="0"/>
                <w:sz w:val="21"/>
                <w:szCs w:val="21"/>
                <w:lang w:val="zh-CN"/>
              </w:rPr>
              <w:t>。</w:t>
            </w:r>
          </w:p>
          <w:p>
            <w:pPr>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w:t>
            </w:r>
            <w:r>
              <w:rPr>
                <w:rFonts w:hint="eastAsia" w:ascii="宋体" w:hAnsi="宋体" w:cs="宋体"/>
                <w:kern w:val="0"/>
                <w:sz w:val="21"/>
                <w:szCs w:val="21"/>
              </w:rPr>
              <w:t>2</w:t>
            </w:r>
            <w:r>
              <w:rPr>
                <w:rFonts w:hint="eastAsia" w:ascii="宋体" w:hAnsi="宋体" w:cs="宋体"/>
                <w:kern w:val="0"/>
                <w:sz w:val="21"/>
                <w:szCs w:val="21"/>
                <w:lang w:val="zh-CN"/>
              </w:rPr>
              <w:t>）报价文件评分采用低价优先法计算，即满足采购文件要求且价格最低的投标报价为评标基准价。投标报价最低的供应商，其报价文件得满分。其他供应商的报价文件得分按下列公式计算：</w:t>
            </w:r>
          </w:p>
          <w:p>
            <w:pPr>
              <w:spacing w:line="360" w:lineRule="auto"/>
              <w:ind w:firstLine="422" w:firstLineChars="200"/>
              <w:rPr>
                <w:rFonts w:ascii="宋体" w:hAnsi="宋体" w:cs="宋体"/>
                <w:b/>
                <w:kern w:val="0"/>
                <w:sz w:val="21"/>
                <w:szCs w:val="21"/>
                <w:lang w:val="zh-CN"/>
              </w:rPr>
            </w:pPr>
            <w:r>
              <w:rPr>
                <w:rFonts w:hint="eastAsia" w:ascii="宋体" w:hAnsi="宋体" w:cs="宋体"/>
                <w:b/>
                <w:sz w:val="21"/>
                <w:szCs w:val="21"/>
                <w:lang w:val="zh-CN"/>
              </w:rPr>
              <w:t>投标报价</w:t>
            </w:r>
            <w:r>
              <w:rPr>
                <w:rFonts w:hint="eastAsia" w:ascii="宋体" w:hAnsi="宋体" w:cs="宋体"/>
                <w:b/>
                <w:kern w:val="0"/>
                <w:sz w:val="21"/>
                <w:szCs w:val="21"/>
                <w:lang w:val="zh-CN"/>
              </w:rPr>
              <w:t>得分=(评标基准价／投标报价)×</w:t>
            </w:r>
            <w:r>
              <w:rPr>
                <w:rFonts w:hint="eastAsia" w:ascii="宋体" w:hAnsi="宋体" w:cs="宋体"/>
                <w:b/>
                <w:kern w:val="0"/>
                <w:sz w:val="21"/>
                <w:szCs w:val="21"/>
              </w:rPr>
              <w:t>20%</w:t>
            </w:r>
            <w:r>
              <w:rPr>
                <w:rFonts w:hint="eastAsia" w:ascii="宋体" w:hAnsi="宋体" w:cs="宋体"/>
                <w:b/>
                <w:kern w:val="0"/>
                <w:sz w:val="21"/>
                <w:szCs w:val="21"/>
                <w:lang w:val="zh-CN"/>
              </w:rPr>
              <w:t>×100 。</w:t>
            </w:r>
          </w:p>
        </w:tc>
        <w:tc>
          <w:tcPr>
            <w:tcW w:w="713" w:type="dxa"/>
            <w:vAlign w:val="center"/>
          </w:tcPr>
          <w:p>
            <w:pPr>
              <w:spacing w:line="360" w:lineRule="auto"/>
              <w:jc w:val="center"/>
              <w:rPr>
                <w:rFonts w:ascii="宋体" w:hAnsi="宋体" w:cs="宋体"/>
                <w:b/>
                <w:sz w:val="21"/>
                <w:szCs w:val="21"/>
              </w:rPr>
            </w:pPr>
            <w:r>
              <w:rPr>
                <w:rFonts w:hint="eastAsia" w:ascii="宋体" w:hAnsi="宋体" w:cs="宋体"/>
                <w:kern w:val="0"/>
                <w:sz w:val="21"/>
                <w:szCs w:val="21"/>
              </w:rPr>
              <w:t>20</w:t>
            </w:r>
          </w:p>
        </w:tc>
      </w:tr>
      <w:bookmarkEnd w:id="28"/>
    </w:tbl>
    <w:p>
      <w:pPr>
        <w:pStyle w:val="106"/>
        <w:spacing w:beforeLines="150" w:afterLines="0" w:line="360" w:lineRule="auto"/>
        <w:outlineLvl w:val="0"/>
        <w:rPr>
          <w:rFonts w:hAnsi="宋体" w:cs="宋体"/>
          <w:b/>
          <w:color w:val="000000"/>
          <w:szCs w:val="21"/>
        </w:rPr>
      </w:pPr>
    </w:p>
    <w:p>
      <w:pPr>
        <w:pStyle w:val="137"/>
        <w:snapToGrid w:val="0"/>
        <w:ind w:firstLine="3855" w:firstLineChars="1200"/>
        <w:rPr>
          <w:rFonts w:ascii="宋体"/>
          <w:b/>
          <w:sz w:val="32"/>
          <w:szCs w:val="32"/>
        </w:rPr>
      </w:pPr>
      <w:r>
        <w:rPr>
          <w:rFonts w:hint="eastAsia" w:ascii="宋体"/>
          <w:b/>
          <w:sz w:val="32"/>
          <w:szCs w:val="32"/>
        </w:rPr>
        <w:t>(标段二）</w:t>
      </w:r>
    </w:p>
    <w:p>
      <w:pPr>
        <w:pStyle w:val="137"/>
        <w:snapToGrid w:val="0"/>
        <w:ind w:firstLine="3855" w:firstLineChars="1200"/>
        <w:rPr>
          <w:rFonts w:ascii="宋体"/>
          <w:b/>
          <w:sz w:val="32"/>
          <w:szCs w:val="32"/>
        </w:rPr>
      </w:pPr>
    </w:p>
    <w:tbl>
      <w:tblPr>
        <w:tblStyle w:val="48"/>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95"/>
        <w:gridCol w:w="6417"/>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67" w:type="dxa"/>
            <w:gridSpan w:val="4"/>
            <w:shd w:val="pct10" w:color="auto" w:fill="auto"/>
            <w:vAlign w:val="center"/>
          </w:tcPr>
          <w:p>
            <w:pPr>
              <w:widowControl/>
              <w:spacing w:line="360" w:lineRule="auto"/>
              <w:jc w:val="center"/>
              <w:rPr>
                <w:rFonts w:ascii="宋体" w:hAnsi="宋体" w:cs="宋体"/>
                <w:b/>
                <w:kern w:val="0"/>
                <w:sz w:val="21"/>
                <w:szCs w:val="21"/>
              </w:rPr>
            </w:pPr>
            <w:r>
              <w:rPr>
                <w:rFonts w:hint="eastAsia" w:ascii="宋体" w:hAnsi="宋体" w:cs="宋体"/>
                <w:b/>
                <w:kern w:val="0"/>
                <w:sz w:val="21"/>
                <w:szCs w:val="21"/>
                <w:lang w:val="zh-CN"/>
              </w:rPr>
              <w:t xml:space="preserve">第一部分商务资信技术文件评分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2" w:type="dxa"/>
            <w:vAlign w:val="center"/>
          </w:tcPr>
          <w:p>
            <w:pPr>
              <w:widowControl/>
              <w:spacing w:line="360" w:lineRule="auto"/>
              <w:jc w:val="center"/>
              <w:rPr>
                <w:rFonts w:ascii="宋体" w:hAnsi="宋体" w:cs="宋体"/>
                <w:b/>
                <w:kern w:val="0"/>
                <w:sz w:val="21"/>
                <w:szCs w:val="21"/>
              </w:rPr>
            </w:pPr>
            <w:r>
              <w:rPr>
                <w:rFonts w:hint="eastAsia" w:ascii="宋体" w:hAnsi="宋体" w:cs="宋体"/>
                <w:b/>
                <w:kern w:val="0"/>
                <w:sz w:val="21"/>
                <w:szCs w:val="21"/>
              </w:rPr>
              <w:t>序号</w:t>
            </w:r>
          </w:p>
        </w:tc>
        <w:tc>
          <w:tcPr>
            <w:tcW w:w="1795" w:type="dxa"/>
            <w:vAlign w:val="center"/>
          </w:tcPr>
          <w:p>
            <w:pPr>
              <w:widowControl/>
              <w:spacing w:line="360" w:lineRule="auto"/>
              <w:jc w:val="center"/>
              <w:rPr>
                <w:rFonts w:ascii="宋体" w:hAnsi="宋体" w:cs="宋体"/>
                <w:b/>
                <w:kern w:val="0"/>
                <w:sz w:val="21"/>
                <w:szCs w:val="21"/>
              </w:rPr>
            </w:pPr>
            <w:r>
              <w:rPr>
                <w:rFonts w:hint="eastAsia" w:ascii="宋体" w:hAnsi="宋体" w:cs="宋体"/>
                <w:b/>
                <w:kern w:val="0"/>
                <w:sz w:val="21"/>
                <w:szCs w:val="21"/>
              </w:rPr>
              <w:t>评分因素</w:t>
            </w:r>
          </w:p>
        </w:tc>
        <w:tc>
          <w:tcPr>
            <w:tcW w:w="6417" w:type="dxa"/>
            <w:vAlign w:val="center"/>
          </w:tcPr>
          <w:p>
            <w:pPr>
              <w:widowControl/>
              <w:spacing w:line="360" w:lineRule="auto"/>
              <w:ind w:firstLine="211" w:firstLineChars="100"/>
              <w:jc w:val="center"/>
              <w:rPr>
                <w:rFonts w:ascii="宋体" w:hAnsi="宋体" w:cs="宋体"/>
                <w:b/>
                <w:kern w:val="0"/>
                <w:sz w:val="21"/>
                <w:szCs w:val="21"/>
              </w:rPr>
            </w:pPr>
            <w:r>
              <w:rPr>
                <w:rFonts w:hint="eastAsia" w:ascii="宋体" w:hAnsi="宋体" w:cs="宋体"/>
                <w:b/>
                <w:kern w:val="0"/>
                <w:sz w:val="21"/>
                <w:szCs w:val="21"/>
              </w:rPr>
              <w:t>具体内容及分数的构成</w:t>
            </w:r>
          </w:p>
        </w:tc>
        <w:tc>
          <w:tcPr>
            <w:tcW w:w="713" w:type="dxa"/>
            <w:vAlign w:val="center"/>
          </w:tcPr>
          <w:p>
            <w:pPr>
              <w:widowControl/>
              <w:spacing w:line="360" w:lineRule="auto"/>
              <w:jc w:val="center"/>
              <w:rPr>
                <w:rFonts w:ascii="宋体" w:hAnsi="宋体" w:cs="宋体"/>
                <w:b/>
                <w:kern w:val="0"/>
                <w:sz w:val="21"/>
                <w:szCs w:val="21"/>
              </w:rPr>
            </w:pPr>
            <w:r>
              <w:rPr>
                <w:rFonts w:hint="eastAsia" w:ascii="宋体" w:hAnsi="宋体" w:cs="宋体"/>
                <w:b/>
                <w:kern w:val="0"/>
                <w:sz w:val="21"/>
                <w:szCs w:val="21"/>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2" w:type="dxa"/>
            <w:vAlign w:val="center"/>
          </w:tcPr>
          <w:p>
            <w:pPr>
              <w:widowControl/>
              <w:spacing w:line="360" w:lineRule="auto"/>
              <w:jc w:val="center"/>
              <w:rPr>
                <w:rFonts w:ascii="宋体" w:hAnsi="宋体" w:cs="宋体"/>
                <w:b/>
                <w:kern w:val="0"/>
                <w:sz w:val="21"/>
                <w:szCs w:val="21"/>
              </w:rPr>
            </w:pPr>
            <w:r>
              <w:rPr>
                <w:rFonts w:hint="eastAsia" w:ascii="宋体" w:hAnsi="宋体" w:cs="宋体"/>
                <w:b/>
                <w:kern w:val="0"/>
                <w:sz w:val="21"/>
                <w:szCs w:val="21"/>
              </w:rPr>
              <w:t>一</w:t>
            </w:r>
          </w:p>
        </w:tc>
        <w:tc>
          <w:tcPr>
            <w:tcW w:w="8212" w:type="dxa"/>
            <w:gridSpan w:val="2"/>
            <w:vAlign w:val="center"/>
          </w:tcPr>
          <w:p>
            <w:pPr>
              <w:widowControl/>
              <w:spacing w:line="360" w:lineRule="auto"/>
              <w:ind w:firstLine="211" w:firstLineChars="100"/>
              <w:jc w:val="center"/>
              <w:rPr>
                <w:rFonts w:ascii="宋体" w:hAnsi="宋体" w:cs="宋体"/>
                <w:b/>
                <w:kern w:val="0"/>
                <w:sz w:val="21"/>
                <w:szCs w:val="21"/>
              </w:rPr>
            </w:pPr>
            <w:r>
              <w:rPr>
                <w:rFonts w:hint="eastAsia" w:ascii="宋体" w:hAnsi="宋体" w:cs="宋体"/>
                <w:b/>
                <w:kern w:val="0"/>
                <w:sz w:val="21"/>
                <w:szCs w:val="21"/>
              </w:rPr>
              <w:t>商务资信部分</w:t>
            </w:r>
          </w:p>
        </w:tc>
        <w:tc>
          <w:tcPr>
            <w:tcW w:w="713" w:type="dxa"/>
            <w:vAlign w:val="center"/>
          </w:tcPr>
          <w:p>
            <w:pPr>
              <w:widowControl/>
              <w:spacing w:line="360" w:lineRule="auto"/>
              <w:jc w:val="center"/>
              <w:rPr>
                <w:rFonts w:ascii="宋体" w:hAnsi="宋体" w:cs="宋体"/>
                <w:b/>
                <w:kern w:val="0"/>
                <w:sz w:val="21"/>
                <w:szCs w:val="21"/>
              </w:rPr>
            </w:pPr>
            <w:r>
              <w:rPr>
                <w:rFonts w:hint="eastAsia" w:ascii="宋体" w:hAnsi="宋体" w:cs="宋体"/>
                <w:b/>
                <w:kern w:val="0"/>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642"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1</w:t>
            </w:r>
          </w:p>
        </w:tc>
        <w:tc>
          <w:tcPr>
            <w:tcW w:w="1795" w:type="dxa"/>
            <w:vAlign w:val="center"/>
          </w:tcPr>
          <w:p>
            <w:pPr>
              <w:spacing w:line="360" w:lineRule="auto"/>
              <w:jc w:val="center"/>
              <w:rPr>
                <w:rFonts w:ascii="宋体" w:hAnsi="宋体" w:cs="宋体"/>
                <w:b/>
                <w:sz w:val="21"/>
                <w:szCs w:val="21"/>
              </w:rPr>
            </w:pPr>
            <w:r>
              <w:rPr>
                <w:rFonts w:hint="eastAsia" w:ascii="宋体" w:hAnsi="宋体" w:cs="宋体"/>
                <w:bCs/>
                <w:sz w:val="21"/>
                <w:szCs w:val="21"/>
              </w:rPr>
              <w:t>标书质量</w:t>
            </w:r>
          </w:p>
        </w:tc>
        <w:tc>
          <w:tcPr>
            <w:tcW w:w="6417" w:type="dxa"/>
            <w:vAlign w:val="center"/>
          </w:tcPr>
          <w:p>
            <w:pPr>
              <w:pStyle w:val="338"/>
              <w:adjustRightInd/>
              <w:snapToGrid/>
              <w:spacing w:line="360" w:lineRule="auto"/>
              <w:rPr>
                <w:rFonts w:ascii="宋体" w:hAnsi="宋体" w:eastAsia="宋体" w:cs="宋体"/>
                <w:b/>
                <w:sz w:val="21"/>
                <w:szCs w:val="21"/>
              </w:rPr>
            </w:pPr>
            <w:r>
              <w:rPr>
                <w:rFonts w:hint="eastAsia" w:ascii="宋体" w:hAnsi="宋体" w:eastAsia="宋体" w:cs="宋体"/>
                <w:bCs/>
                <w:sz w:val="21"/>
                <w:szCs w:val="21"/>
              </w:rPr>
              <w:t>响应文件内容按采购文件要求完整提供、目录对应清晰、表达简洁明了、内容关联准确、查找方便的，得2分。存在未按要求完整提供、目录对应不清晰、编制内容关联不够准确、内容查找不方便的，酌情扣分。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4" w:hRule="atLeast"/>
        </w:trPr>
        <w:tc>
          <w:tcPr>
            <w:tcW w:w="642"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2</w:t>
            </w:r>
          </w:p>
        </w:tc>
        <w:tc>
          <w:tcPr>
            <w:tcW w:w="1795" w:type="dxa"/>
            <w:vAlign w:val="center"/>
          </w:tcPr>
          <w:p>
            <w:pPr>
              <w:spacing w:line="360" w:lineRule="auto"/>
              <w:jc w:val="center"/>
              <w:rPr>
                <w:rFonts w:ascii="宋体" w:hAnsi="宋体" w:cs="宋体"/>
                <w:bCs/>
                <w:sz w:val="21"/>
                <w:szCs w:val="21"/>
              </w:rPr>
            </w:pPr>
            <w:r>
              <w:rPr>
                <w:rFonts w:hint="eastAsia" w:ascii="宋体" w:hAnsi="宋体" w:cs="宋体"/>
                <w:sz w:val="21"/>
                <w:szCs w:val="21"/>
              </w:rPr>
              <w:t>企业实力</w:t>
            </w:r>
          </w:p>
        </w:tc>
        <w:tc>
          <w:tcPr>
            <w:tcW w:w="6417" w:type="dxa"/>
            <w:vAlign w:val="center"/>
          </w:tcPr>
          <w:p>
            <w:pPr>
              <w:pStyle w:val="338"/>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根据投标人具备ISO9001质量管理体系认证证书、ISO45001职业健康安全管理体系认证证书、ISO14001环境管理体系认证证书、ISO22301业务连续性管理认证证书、 IS020000信息技术服务管理体系认证的同时具有得5分，若无法同时具有，每样证书得0.5分，没有的不得分。</w:t>
            </w:r>
          </w:p>
          <w:p>
            <w:pPr>
              <w:pStyle w:val="338"/>
              <w:adjustRightInd/>
              <w:snapToGrid/>
              <w:spacing w:line="360" w:lineRule="auto"/>
              <w:rPr>
                <w:rFonts w:ascii="宋体" w:hAnsi="宋体" w:eastAsia="宋体" w:cs="宋体"/>
                <w:bCs/>
                <w:sz w:val="21"/>
                <w:szCs w:val="21"/>
              </w:rPr>
            </w:pPr>
            <w:r>
              <w:rPr>
                <w:rFonts w:hint="eastAsia" w:ascii="宋体" w:hAnsi="宋体" w:eastAsia="宋体" w:cs="宋体"/>
                <w:bCs/>
                <w:sz w:val="21"/>
                <w:szCs w:val="21"/>
              </w:rPr>
              <w:t>（注：须提供有效证明材料的扫描件或复印件并加盖公章，编入投标文件中，否则不得分。）</w:t>
            </w:r>
          </w:p>
          <w:p>
            <w:pPr>
              <w:pStyle w:val="338"/>
              <w:adjustRightInd/>
              <w:snapToGrid/>
              <w:spacing w:line="360" w:lineRule="auto"/>
              <w:rPr>
                <w:rFonts w:ascii="宋体" w:hAnsi="宋体" w:eastAsia="宋体" w:cs="宋体"/>
                <w:bCs/>
                <w:sz w:val="21"/>
                <w:szCs w:val="21"/>
              </w:rPr>
            </w:pPr>
          </w:p>
        </w:tc>
        <w:tc>
          <w:tcPr>
            <w:tcW w:w="713" w:type="dxa"/>
            <w:vAlign w:val="center"/>
          </w:tcPr>
          <w:p>
            <w:pPr>
              <w:pStyle w:val="338"/>
              <w:adjustRightInd/>
              <w:snapToGrid/>
              <w:spacing w:line="360" w:lineRule="auto"/>
              <w:ind w:firstLine="210" w:firstLineChars="100"/>
              <w:rPr>
                <w:rFonts w:ascii="宋体" w:hAnsi="宋体" w:eastAsia="宋体" w:cs="宋体"/>
                <w:bCs/>
                <w:sz w:val="21"/>
                <w:szCs w:val="21"/>
              </w:rPr>
            </w:pPr>
            <w:r>
              <w:rPr>
                <w:rFonts w:hint="eastAsia" w:ascii="宋体" w:hAnsi="宋体" w:eastAsia="宋体" w:cs="宋体"/>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3</w:t>
            </w:r>
          </w:p>
        </w:tc>
        <w:tc>
          <w:tcPr>
            <w:tcW w:w="1795" w:type="dxa"/>
            <w:vAlign w:val="center"/>
          </w:tcPr>
          <w:p>
            <w:pPr>
              <w:spacing w:line="360" w:lineRule="auto"/>
              <w:jc w:val="center"/>
              <w:rPr>
                <w:rFonts w:ascii="宋体" w:hAnsi="宋体" w:cs="宋体"/>
                <w:sz w:val="21"/>
                <w:szCs w:val="21"/>
              </w:rPr>
            </w:pPr>
            <w:r>
              <w:rPr>
                <w:rFonts w:hint="eastAsia" w:ascii="宋体" w:hAnsi="宋体" w:cs="宋体"/>
                <w:sz w:val="21"/>
                <w:szCs w:val="21"/>
              </w:rPr>
              <w:t>类似业绩</w:t>
            </w:r>
          </w:p>
        </w:tc>
        <w:tc>
          <w:tcPr>
            <w:tcW w:w="6417" w:type="dxa"/>
            <w:vAlign w:val="center"/>
          </w:tcPr>
          <w:p>
            <w:pPr>
              <w:pStyle w:val="338"/>
              <w:widowControl w:val="0"/>
              <w:adjustRightInd/>
              <w:snapToGrid/>
              <w:spacing w:line="360" w:lineRule="auto"/>
              <w:jc w:val="both"/>
              <w:rPr>
                <w:rFonts w:ascii="宋体" w:hAnsi="宋体" w:eastAsia="宋体" w:cs="宋体"/>
                <w:b/>
                <w:sz w:val="21"/>
                <w:szCs w:val="21"/>
              </w:rPr>
            </w:pPr>
            <w:r>
              <w:rPr>
                <w:rFonts w:hint="eastAsia" w:ascii="宋体" w:hAnsi="宋体" w:eastAsia="宋体" w:cs="宋体"/>
                <w:bCs/>
                <w:color w:val="000000"/>
                <w:sz w:val="21"/>
                <w:szCs w:val="21"/>
              </w:rPr>
              <w:t>根据投标人近三年来（至本项目开标之日，以合同签订时间为准）的类似项目业绩，每提供一个得1分，最高得2分。（注：须提供有效合同的扫描件或复印件并加盖公章，编入投标文件中，否则不得分。）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42"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4</w:t>
            </w:r>
          </w:p>
        </w:tc>
        <w:tc>
          <w:tcPr>
            <w:tcW w:w="1795" w:type="dxa"/>
            <w:vAlign w:val="center"/>
          </w:tcPr>
          <w:p>
            <w:pPr>
              <w:spacing w:line="360" w:lineRule="auto"/>
              <w:jc w:val="center"/>
              <w:rPr>
                <w:rFonts w:ascii="宋体" w:hAnsi="宋体" w:cs="宋体"/>
                <w:sz w:val="21"/>
                <w:szCs w:val="21"/>
              </w:rPr>
            </w:pPr>
            <w:r>
              <w:rPr>
                <w:rFonts w:hint="eastAsia" w:ascii="宋体" w:hAnsi="宋体" w:cs="宋体"/>
                <w:sz w:val="21"/>
                <w:szCs w:val="21"/>
              </w:rPr>
              <w:t>项目负责人</w:t>
            </w:r>
          </w:p>
        </w:tc>
        <w:tc>
          <w:tcPr>
            <w:tcW w:w="6417" w:type="dxa"/>
            <w:vAlign w:val="center"/>
          </w:tcPr>
          <w:p>
            <w:pPr>
              <w:pStyle w:val="338"/>
              <w:widowControl w:val="0"/>
              <w:adjustRightInd/>
              <w:snapToGrid/>
              <w:spacing w:line="360" w:lineRule="auto"/>
              <w:jc w:val="both"/>
              <w:rPr>
                <w:rFonts w:ascii="宋体" w:hAnsi="宋体" w:eastAsia="宋体" w:cs="宋体"/>
                <w:bCs/>
                <w:color w:val="000000"/>
                <w:sz w:val="21"/>
                <w:szCs w:val="21"/>
              </w:rPr>
            </w:pPr>
            <w:r>
              <w:rPr>
                <w:rFonts w:hint="eastAsia" w:ascii="宋体" w:hAnsi="宋体" w:eastAsia="宋体" w:cs="宋体"/>
                <w:bCs/>
                <w:color w:val="000000"/>
                <w:sz w:val="21"/>
                <w:szCs w:val="21"/>
              </w:rPr>
              <w:t>项目负责人具有信息系统项目管理师证书、软件设计师证书、</w:t>
            </w:r>
            <w:r>
              <w:rPr>
                <w:rFonts w:hint="eastAsia" w:ascii="宋体" w:hAnsi="宋体" w:eastAsia="宋体" w:cs="宋体"/>
                <w:bCs/>
                <w:color w:val="000000"/>
                <w:sz w:val="21"/>
                <w:szCs w:val="21"/>
                <w:highlight w:val="none"/>
              </w:rPr>
              <w:t>、</w:t>
            </w:r>
            <w:r>
              <w:rPr>
                <w:rFonts w:hint="eastAsia" w:ascii="宋体" w:hAnsi="宋体" w:eastAsia="宋体" w:cs="宋体"/>
                <w:bCs/>
                <w:color w:val="000000"/>
                <w:sz w:val="21"/>
                <w:szCs w:val="21"/>
              </w:rPr>
              <w:t>云计算</w:t>
            </w:r>
            <w:r>
              <w:rPr>
                <w:rFonts w:hint="eastAsia" w:ascii="宋体" w:hAnsi="宋体" w:eastAsia="宋体" w:cs="宋体"/>
                <w:bCs/>
                <w:color w:val="000000"/>
                <w:sz w:val="21"/>
                <w:szCs w:val="21"/>
                <w:lang w:val="en-US" w:eastAsia="zh-CN"/>
              </w:rPr>
              <w:t>类证书</w:t>
            </w: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高级物联网应用工程师</w:t>
            </w:r>
            <w:r>
              <w:rPr>
                <w:rFonts w:hint="eastAsia" w:ascii="宋体" w:hAnsi="宋体" w:eastAsia="宋体" w:cs="宋体"/>
                <w:bCs/>
                <w:color w:val="000000"/>
                <w:sz w:val="21"/>
                <w:szCs w:val="21"/>
              </w:rPr>
              <w:t>、国家注册信息安全工程师资质、</w:t>
            </w:r>
            <w:r>
              <w:rPr>
                <w:rFonts w:hint="eastAsia" w:ascii="宋体" w:hAnsi="宋体" w:eastAsia="宋体" w:cs="宋体"/>
                <w:bCs/>
                <w:color w:val="000000"/>
                <w:sz w:val="21"/>
                <w:szCs w:val="21"/>
                <w:lang w:val="en-US" w:eastAsia="zh-CN"/>
              </w:rPr>
              <w:t>智能化系统集成项目经理（高级）</w:t>
            </w:r>
            <w:r>
              <w:rPr>
                <w:rFonts w:hint="eastAsia" w:ascii="宋体" w:hAnsi="宋体" w:eastAsia="宋体" w:cs="宋体"/>
                <w:bCs/>
                <w:color w:val="000000"/>
                <w:sz w:val="21"/>
                <w:szCs w:val="21"/>
              </w:rPr>
              <w:t>，同时具有得6分，若无法同时具有，每样证书得0.5分，没有的不得分。（注：需提供近3个月人员社保证明以及相关证书证明材料，不提供不得分）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642"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5</w:t>
            </w:r>
          </w:p>
        </w:tc>
        <w:tc>
          <w:tcPr>
            <w:tcW w:w="1795" w:type="dxa"/>
            <w:vAlign w:val="center"/>
          </w:tcPr>
          <w:p>
            <w:pPr>
              <w:spacing w:line="360" w:lineRule="auto"/>
              <w:jc w:val="center"/>
              <w:rPr>
                <w:rFonts w:ascii="宋体" w:hAnsi="宋体" w:cs="宋体"/>
                <w:sz w:val="21"/>
                <w:szCs w:val="21"/>
              </w:rPr>
            </w:pPr>
            <w:r>
              <w:rPr>
                <w:rFonts w:hint="eastAsia" w:ascii="宋体" w:hAnsi="宋体" w:cs="宋体"/>
                <w:sz w:val="21"/>
                <w:szCs w:val="21"/>
              </w:rPr>
              <w:t>拟投入本项目的技术负责人</w:t>
            </w:r>
          </w:p>
        </w:tc>
        <w:tc>
          <w:tcPr>
            <w:tcW w:w="6417" w:type="dxa"/>
            <w:vAlign w:val="center"/>
          </w:tcPr>
          <w:p>
            <w:pPr>
              <w:pStyle w:val="338"/>
              <w:widowControl w:val="0"/>
              <w:adjustRightInd/>
              <w:snapToGrid/>
              <w:spacing w:line="360" w:lineRule="auto"/>
              <w:jc w:val="both"/>
              <w:rPr>
                <w:rFonts w:ascii="宋体" w:hAnsi="宋体" w:eastAsia="宋体" w:cs="宋体"/>
                <w:bCs/>
                <w:color w:val="000000"/>
                <w:sz w:val="21"/>
                <w:szCs w:val="21"/>
              </w:rPr>
            </w:pPr>
            <w:r>
              <w:rPr>
                <w:rFonts w:hint="eastAsia" w:ascii="宋体" w:hAnsi="宋体" w:eastAsia="宋体" w:cs="宋体"/>
                <w:bCs/>
                <w:color w:val="000000"/>
                <w:sz w:val="21"/>
                <w:szCs w:val="21"/>
              </w:rPr>
              <w:t>拟投入本项目的技术负责人具备高级软件工程师证书、国际信息系统审计师CISA证书、系统集成项目管理工程师、智能化系统集成项目经理的，同时具有得4分，若无法同时具有，每样证书得0.5分，没有的不得分。（注：需提供近3个月人员社保证明以及相关证书证明材料，不提供不得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bCs/>
                <w:color w:val="00000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642"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6</w:t>
            </w:r>
          </w:p>
        </w:tc>
        <w:tc>
          <w:tcPr>
            <w:tcW w:w="1795" w:type="dxa"/>
            <w:vAlign w:val="center"/>
          </w:tcPr>
          <w:p>
            <w:pPr>
              <w:spacing w:line="360" w:lineRule="auto"/>
              <w:jc w:val="center"/>
              <w:rPr>
                <w:rFonts w:ascii="宋体" w:hAnsi="宋体" w:cs="宋体"/>
                <w:sz w:val="21"/>
                <w:szCs w:val="21"/>
              </w:rPr>
            </w:pPr>
            <w:r>
              <w:rPr>
                <w:rFonts w:hint="eastAsia" w:ascii="宋体" w:hAnsi="宋体" w:cs="宋体"/>
                <w:sz w:val="21"/>
                <w:szCs w:val="21"/>
              </w:rPr>
              <w:t>拟投入本项目的驻场实施人员</w:t>
            </w:r>
          </w:p>
        </w:tc>
        <w:tc>
          <w:tcPr>
            <w:tcW w:w="6417" w:type="dxa"/>
            <w:vAlign w:val="center"/>
          </w:tcPr>
          <w:p>
            <w:pPr>
              <w:pStyle w:val="338"/>
              <w:widowControl w:val="0"/>
              <w:adjustRightInd/>
              <w:snapToGrid/>
              <w:spacing w:line="360" w:lineRule="auto"/>
              <w:jc w:val="both"/>
              <w:rPr>
                <w:rFonts w:ascii="宋体" w:hAnsi="宋体" w:eastAsia="宋体" w:cs="宋体"/>
                <w:bCs/>
                <w:color w:val="000000"/>
                <w:sz w:val="21"/>
                <w:szCs w:val="21"/>
              </w:rPr>
            </w:pPr>
            <w:r>
              <w:rPr>
                <w:rFonts w:hint="eastAsia" w:ascii="宋体" w:hAnsi="宋体" w:eastAsia="宋体" w:cs="宋体"/>
                <w:bCs/>
                <w:color w:val="000000"/>
                <w:sz w:val="21"/>
                <w:szCs w:val="21"/>
              </w:rPr>
              <w:t>拟投入本项目的驻场实施人员具有信息系统项目管理师证书、网络工程师、通信专业互联网技术证书的同时具有得3分，若无法同时具有，每样证书得0.5分，没有的不得分。</w:t>
            </w:r>
          </w:p>
          <w:p>
            <w:pPr>
              <w:pStyle w:val="338"/>
              <w:widowControl w:val="0"/>
              <w:adjustRightInd/>
              <w:snapToGrid/>
              <w:spacing w:line="360" w:lineRule="auto"/>
              <w:jc w:val="both"/>
              <w:rPr>
                <w:rFonts w:ascii="宋体" w:hAnsi="宋体" w:eastAsia="宋体" w:cs="宋体"/>
                <w:bCs/>
                <w:color w:val="000000"/>
                <w:sz w:val="21"/>
                <w:szCs w:val="21"/>
              </w:rPr>
            </w:pPr>
            <w:r>
              <w:rPr>
                <w:rFonts w:hint="eastAsia" w:ascii="宋体" w:hAnsi="宋体" w:eastAsia="宋体" w:cs="宋体"/>
                <w:bCs/>
                <w:color w:val="000000"/>
                <w:sz w:val="21"/>
                <w:szCs w:val="21"/>
              </w:rPr>
              <w:t>（注：需提供近3个月人员社保证明以及相关证书证明材料，不提供不得分）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642"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7</w:t>
            </w:r>
          </w:p>
        </w:tc>
        <w:tc>
          <w:tcPr>
            <w:tcW w:w="1795" w:type="dxa"/>
            <w:vAlign w:val="center"/>
          </w:tcPr>
          <w:p>
            <w:pPr>
              <w:spacing w:line="360" w:lineRule="auto"/>
              <w:jc w:val="center"/>
              <w:rPr>
                <w:rFonts w:ascii="宋体" w:hAnsi="宋体" w:cs="宋体"/>
                <w:sz w:val="21"/>
                <w:szCs w:val="21"/>
              </w:rPr>
            </w:pPr>
            <w:r>
              <w:rPr>
                <w:rFonts w:hint="eastAsia" w:ascii="宋体" w:hAnsi="宋体" w:cs="宋体"/>
                <w:sz w:val="21"/>
                <w:szCs w:val="21"/>
              </w:rPr>
              <w:t>项目实施团队成员</w:t>
            </w:r>
          </w:p>
        </w:tc>
        <w:tc>
          <w:tcPr>
            <w:tcW w:w="6417" w:type="dxa"/>
            <w:vAlign w:val="center"/>
          </w:tcPr>
          <w:p>
            <w:pPr>
              <w:pStyle w:val="338"/>
              <w:widowControl w:val="0"/>
              <w:adjustRightInd/>
              <w:snapToGrid/>
              <w:spacing w:line="360" w:lineRule="auto"/>
              <w:jc w:val="both"/>
              <w:rPr>
                <w:rFonts w:ascii="宋体" w:hAnsi="宋体" w:eastAsia="宋体" w:cs="宋体"/>
                <w:bCs/>
                <w:color w:val="000000"/>
                <w:sz w:val="21"/>
                <w:szCs w:val="21"/>
              </w:rPr>
            </w:pPr>
            <w:r>
              <w:rPr>
                <w:rFonts w:hint="eastAsia" w:ascii="宋体" w:hAnsi="宋体" w:eastAsia="宋体" w:cs="宋体"/>
                <w:bCs/>
                <w:color w:val="000000"/>
                <w:sz w:val="21"/>
                <w:szCs w:val="21"/>
              </w:rPr>
              <w:t>项目实施团队成员具备与本项目相适应的资质证书，如具备高级工程师（网络优化）、数据隐私解决方案工程师证书（CDPSE）、信息系统项目管理师、网络工程师、软件设计师、国际信息系统审计师（CISA）该项最多不超过6分。（一个人有多本证书的按 1 本计算，多人有同一本证书的按一本计算）。（注：需提供近3个月人员社保证明以及相关证书证明材料，不提供不得分）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bCs/>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42" w:type="dxa"/>
            <w:vAlign w:val="center"/>
          </w:tcPr>
          <w:p>
            <w:pPr>
              <w:widowControl/>
              <w:spacing w:line="360" w:lineRule="auto"/>
              <w:jc w:val="center"/>
              <w:rPr>
                <w:rFonts w:ascii="宋体" w:hAnsi="宋体" w:cs="宋体"/>
                <w:b/>
                <w:bCs/>
                <w:kern w:val="0"/>
                <w:sz w:val="21"/>
                <w:szCs w:val="21"/>
              </w:rPr>
            </w:pPr>
            <w:r>
              <w:rPr>
                <w:rFonts w:hint="eastAsia" w:ascii="宋体" w:hAnsi="宋体" w:cs="宋体"/>
                <w:b/>
                <w:bCs/>
                <w:kern w:val="0"/>
                <w:sz w:val="21"/>
                <w:szCs w:val="21"/>
              </w:rPr>
              <w:t>二</w:t>
            </w:r>
          </w:p>
        </w:tc>
        <w:tc>
          <w:tcPr>
            <w:tcW w:w="8212" w:type="dxa"/>
            <w:gridSpan w:val="2"/>
            <w:vAlign w:val="center"/>
          </w:tcPr>
          <w:p>
            <w:pPr>
              <w:spacing w:line="360" w:lineRule="auto"/>
              <w:jc w:val="center"/>
              <w:rPr>
                <w:rFonts w:ascii="宋体" w:hAnsi="宋体" w:cs="宋体"/>
                <w:b/>
                <w:bCs/>
                <w:sz w:val="21"/>
                <w:szCs w:val="21"/>
              </w:rPr>
            </w:pPr>
            <w:r>
              <w:rPr>
                <w:rFonts w:hint="eastAsia" w:ascii="宋体" w:hAnsi="宋体" w:cs="宋体"/>
                <w:b/>
                <w:bCs/>
                <w:sz w:val="21"/>
                <w:szCs w:val="21"/>
              </w:rPr>
              <w:t>技术部分</w:t>
            </w:r>
          </w:p>
        </w:tc>
        <w:tc>
          <w:tcPr>
            <w:tcW w:w="713" w:type="dxa"/>
            <w:vAlign w:val="center"/>
          </w:tcPr>
          <w:p>
            <w:pPr>
              <w:widowControl/>
              <w:spacing w:line="360" w:lineRule="auto"/>
              <w:jc w:val="center"/>
              <w:rPr>
                <w:rFonts w:ascii="宋体" w:hAnsi="宋体" w:cs="宋体"/>
                <w:b/>
                <w:bCs/>
                <w:kern w:val="0"/>
                <w:sz w:val="21"/>
                <w:szCs w:val="21"/>
              </w:rPr>
            </w:pPr>
            <w:r>
              <w:rPr>
                <w:rFonts w:hint="eastAsia" w:ascii="宋体" w:hAnsi="宋体" w:cs="宋体"/>
                <w:b/>
                <w:bCs/>
                <w:kern w:val="0"/>
                <w:sz w:val="21"/>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42" w:type="dxa"/>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8</w:t>
            </w:r>
          </w:p>
        </w:tc>
        <w:tc>
          <w:tcPr>
            <w:tcW w:w="1795" w:type="dxa"/>
            <w:vAlign w:val="center"/>
          </w:tcPr>
          <w:p>
            <w:pPr>
              <w:widowControl/>
              <w:jc w:val="center"/>
              <w:textAlignment w:val="center"/>
              <w:rPr>
                <w:rFonts w:ascii="宋体" w:hAnsi="宋体" w:cs="宋体"/>
                <w:color w:val="000000"/>
                <w:kern w:val="0"/>
                <w:sz w:val="21"/>
                <w:szCs w:val="21"/>
              </w:rPr>
            </w:pPr>
            <w:r>
              <w:rPr>
                <w:rFonts w:hint="eastAsia" w:ascii="宋体" w:hAnsi="宋体" w:cs="宋体"/>
                <w:kern w:val="0"/>
                <w:sz w:val="21"/>
                <w:szCs w:val="21"/>
              </w:rPr>
              <w:t>项目理解</w:t>
            </w:r>
          </w:p>
        </w:tc>
        <w:tc>
          <w:tcPr>
            <w:tcW w:w="6417" w:type="dxa"/>
            <w:vAlign w:val="center"/>
          </w:tcPr>
          <w:p>
            <w:pPr>
              <w:pStyle w:val="4"/>
              <w:spacing w:line="360" w:lineRule="auto"/>
              <w:rPr>
                <w:rFonts w:ascii="宋体" w:hAnsi="宋体" w:cs="宋体"/>
                <w:b w:val="0"/>
                <w:color w:val="000000"/>
                <w:kern w:val="0"/>
                <w:sz w:val="21"/>
                <w:szCs w:val="21"/>
              </w:rPr>
            </w:pPr>
            <w:r>
              <w:rPr>
                <w:rFonts w:hint="eastAsia" w:ascii="宋体" w:hAnsi="宋体" w:cs="宋体"/>
                <w:b w:val="0"/>
                <w:kern w:val="0"/>
                <w:sz w:val="21"/>
                <w:szCs w:val="21"/>
              </w:rPr>
              <w:t>投标人针对本项目的现状及需求的理解情况，分析项目建设意义的必要性和可行性等的情况由评委酌情赋分。</w:t>
            </w:r>
            <w:r>
              <w:rPr>
                <w:rFonts w:hint="eastAsia" w:ascii="宋体" w:hAnsi="宋体" w:cs="宋体"/>
                <w:b w:val="0"/>
                <w:color w:val="000000"/>
                <w:kern w:val="0"/>
                <w:sz w:val="21"/>
                <w:szCs w:val="21"/>
              </w:rPr>
              <w:t>本项最高得4分。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42" w:type="dxa"/>
            <w:vAlign w:val="center"/>
          </w:tcPr>
          <w:p>
            <w:pPr>
              <w:widowControl/>
              <w:spacing w:line="360" w:lineRule="auto"/>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9</w:t>
            </w:r>
          </w:p>
        </w:tc>
        <w:tc>
          <w:tcPr>
            <w:tcW w:w="1795"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实施方案</w:t>
            </w:r>
          </w:p>
        </w:tc>
        <w:tc>
          <w:tcPr>
            <w:tcW w:w="6417" w:type="dxa"/>
            <w:vAlign w:val="center"/>
          </w:tcPr>
          <w:p>
            <w:pPr>
              <w:pStyle w:val="4"/>
              <w:spacing w:line="360" w:lineRule="auto"/>
              <w:rPr>
                <w:rFonts w:ascii="宋体" w:hAnsi="宋体" w:cs="宋体"/>
                <w:b w:val="0"/>
                <w:kern w:val="0"/>
                <w:sz w:val="21"/>
                <w:szCs w:val="21"/>
              </w:rPr>
            </w:pPr>
            <w:r>
              <w:rPr>
                <w:rFonts w:hint="eastAsia" w:ascii="宋体" w:hAnsi="宋体" w:cs="宋体"/>
                <w:b w:val="0"/>
                <w:color w:val="000000"/>
                <w:kern w:val="0"/>
                <w:sz w:val="21"/>
                <w:szCs w:val="21"/>
              </w:rPr>
              <w:t>根据投标人提供的项目实施方案（实施方案、质量保证、进度保证等）的完整性、合理性等方面综合评分。本项最高得4分。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42" w:type="dxa"/>
            <w:vMerge w:val="restart"/>
            <w:vAlign w:val="center"/>
          </w:tcPr>
          <w:p>
            <w:pPr>
              <w:widowControl/>
              <w:spacing w:line="360" w:lineRule="auto"/>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1795" w:type="dxa"/>
            <w:vMerge w:val="restart"/>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产品及技术响应</w:t>
            </w:r>
          </w:p>
        </w:tc>
        <w:tc>
          <w:tcPr>
            <w:tcW w:w="6417" w:type="dxa"/>
            <w:vAlign w:val="center"/>
          </w:tcPr>
          <w:p>
            <w:pPr>
              <w:pStyle w:val="4"/>
              <w:spacing w:line="360" w:lineRule="auto"/>
              <w:rPr>
                <w:rFonts w:ascii="宋体" w:hAnsi="宋体" w:cs="宋体"/>
                <w:b w:val="0"/>
                <w:kern w:val="0"/>
                <w:sz w:val="21"/>
                <w:szCs w:val="21"/>
              </w:rPr>
            </w:pPr>
            <w:r>
              <w:rPr>
                <w:rFonts w:hint="eastAsia" w:ascii="宋体" w:hAnsi="宋体" w:cs="宋体"/>
                <w:b w:val="0"/>
                <w:kern w:val="0"/>
                <w:sz w:val="21"/>
                <w:szCs w:val="21"/>
              </w:rPr>
              <w:t>项目的理解分析方案：根据投标人对项目的理解分析，对现状和存在的问题的阐述，对用户需求、业务需求、性能需求的阐述进行综合评分。本项最高得3分。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42" w:type="dxa"/>
            <w:vMerge w:val="continue"/>
            <w:vAlign w:val="center"/>
          </w:tcPr>
          <w:p>
            <w:pPr>
              <w:widowControl/>
              <w:spacing w:line="360" w:lineRule="auto"/>
              <w:jc w:val="center"/>
              <w:rPr>
                <w:rFonts w:ascii="宋体" w:hAnsi="宋体" w:cs="宋体"/>
                <w:kern w:val="0"/>
                <w:sz w:val="21"/>
                <w:szCs w:val="21"/>
              </w:rPr>
            </w:pPr>
          </w:p>
        </w:tc>
        <w:tc>
          <w:tcPr>
            <w:tcW w:w="1795" w:type="dxa"/>
            <w:vMerge w:val="continue"/>
            <w:vAlign w:val="center"/>
          </w:tcPr>
          <w:p>
            <w:pPr>
              <w:widowControl/>
              <w:spacing w:line="360" w:lineRule="auto"/>
              <w:jc w:val="center"/>
              <w:rPr>
                <w:rFonts w:ascii="宋体" w:hAnsi="宋体" w:cs="宋体"/>
                <w:kern w:val="0"/>
                <w:sz w:val="21"/>
                <w:szCs w:val="21"/>
              </w:rPr>
            </w:pPr>
          </w:p>
        </w:tc>
        <w:tc>
          <w:tcPr>
            <w:tcW w:w="6417" w:type="dxa"/>
            <w:vAlign w:val="center"/>
          </w:tcPr>
          <w:p>
            <w:pPr>
              <w:pStyle w:val="4"/>
              <w:spacing w:line="360" w:lineRule="auto"/>
              <w:rPr>
                <w:rFonts w:ascii="宋体" w:hAnsi="宋体" w:cs="宋体"/>
                <w:b w:val="0"/>
                <w:kern w:val="0"/>
                <w:sz w:val="21"/>
                <w:szCs w:val="21"/>
              </w:rPr>
            </w:pPr>
            <w:r>
              <w:rPr>
                <w:rFonts w:hint="eastAsia" w:ascii="宋体" w:hAnsi="宋体" w:cs="宋体"/>
                <w:b w:val="0"/>
                <w:color w:val="000000"/>
                <w:kern w:val="0"/>
                <w:sz w:val="21"/>
                <w:szCs w:val="21"/>
              </w:rPr>
              <w:t>投标人或所投软件厂商具有视频AI分析系统软著、视频活体认证系统软著的，每具备一项证书得3分；本项最高得6分；（须提供本项目采购公告发布之日前的国家版权局颁发的软件著作权登记证书复印件并加盖投标人公章，否则不得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42" w:type="dxa"/>
            <w:vMerge w:val="continue"/>
            <w:vAlign w:val="center"/>
          </w:tcPr>
          <w:p>
            <w:pPr>
              <w:widowControl/>
              <w:spacing w:line="360" w:lineRule="auto"/>
              <w:jc w:val="center"/>
              <w:rPr>
                <w:rFonts w:ascii="宋体" w:hAnsi="宋体" w:cs="宋体"/>
                <w:kern w:val="0"/>
                <w:sz w:val="21"/>
                <w:szCs w:val="21"/>
              </w:rPr>
            </w:pPr>
          </w:p>
        </w:tc>
        <w:tc>
          <w:tcPr>
            <w:tcW w:w="1795" w:type="dxa"/>
            <w:vMerge w:val="continue"/>
            <w:vAlign w:val="center"/>
          </w:tcPr>
          <w:p>
            <w:pPr>
              <w:widowControl/>
              <w:spacing w:line="360" w:lineRule="auto"/>
              <w:jc w:val="center"/>
              <w:rPr>
                <w:rFonts w:ascii="宋体" w:hAnsi="宋体" w:cs="宋体"/>
                <w:kern w:val="0"/>
                <w:sz w:val="21"/>
                <w:szCs w:val="21"/>
              </w:rPr>
            </w:pPr>
          </w:p>
        </w:tc>
        <w:tc>
          <w:tcPr>
            <w:tcW w:w="6417" w:type="dxa"/>
            <w:vAlign w:val="center"/>
          </w:tcPr>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根据本项目需求提供业务架构图、数据架构图、网络拓扑图、功能实现方式等，评审专家根据投标文件响应情况从有利于本项目实施角度逬行综合评分：</w:t>
            </w:r>
          </w:p>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方案内容全面且描述清晰，充分理解本项目需求，完全响应招标文件要求，方案有利于且充分保障本项目实施的，得8分；</w:t>
            </w:r>
          </w:p>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方案内容基本全面，存在一定缺陷但经过调整基本不妨碍本项目实施的，得6分；</w:t>
            </w:r>
          </w:p>
          <w:p>
            <w:pPr>
              <w:pStyle w:val="4"/>
              <w:spacing w:line="360" w:lineRule="auto"/>
              <w:rPr>
                <w:rFonts w:ascii="宋体" w:hAnsi="宋体" w:cs="宋体"/>
                <w:sz w:val="21"/>
                <w:szCs w:val="21"/>
              </w:rPr>
            </w:pPr>
            <w:r>
              <w:rPr>
                <w:rFonts w:hint="eastAsia" w:ascii="宋体" w:hAnsi="宋体" w:cs="宋体"/>
                <w:b w:val="0"/>
                <w:color w:val="000000"/>
                <w:kern w:val="0"/>
                <w:sz w:val="21"/>
                <w:szCs w:val="21"/>
              </w:rPr>
              <w:t>方案内容存在明显缺失，在满足本项目需求上存在明显缺陷的，得3分；本项最高得8分。</w:t>
            </w:r>
          </w:p>
        </w:tc>
        <w:tc>
          <w:tcPr>
            <w:tcW w:w="713" w:type="dxa"/>
            <w:vAlign w:val="center"/>
          </w:tcPr>
          <w:p>
            <w:pPr>
              <w:widowControl/>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42" w:type="dxa"/>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1</w:t>
            </w:r>
          </w:p>
        </w:tc>
        <w:tc>
          <w:tcPr>
            <w:tcW w:w="1795"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售后服务方案</w:t>
            </w:r>
          </w:p>
        </w:tc>
        <w:tc>
          <w:tcPr>
            <w:tcW w:w="6417" w:type="dxa"/>
            <w:vAlign w:val="center"/>
          </w:tcPr>
          <w:p>
            <w:pPr>
              <w:pStyle w:val="4"/>
              <w:spacing w:line="360" w:lineRule="auto"/>
              <w:rPr>
                <w:rFonts w:ascii="宋体" w:hAnsi="宋体" w:cs="宋体"/>
                <w:b w:val="0"/>
                <w:kern w:val="0"/>
                <w:sz w:val="21"/>
                <w:szCs w:val="21"/>
              </w:rPr>
            </w:pPr>
            <w:r>
              <w:rPr>
                <w:rFonts w:hint="eastAsia" w:ascii="宋体" w:hAnsi="宋体" w:cs="宋体"/>
                <w:b w:val="0"/>
                <w:kern w:val="0"/>
                <w:sz w:val="21"/>
                <w:szCs w:val="21"/>
              </w:rPr>
              <w:t>根据投标人提供的售后服务方案进行综合评分。本项最高得2分。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42" w:type="dxa"/>
            <w:vAlign w:val="center"/>
          </w:tcPr>
          <w:p>
            <w:pPr>
              <w:spacing w:line="360" w:lineRule="auto"/>
              <w:jc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2</w:t>
            </w:r>
          </w:p>
        </w:tc>
        <w:tc>
          <w:tcPr>
            <w:tcW w:w="1795"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培训方案</w:t>
            </w:r>
          </w:p>
        </w:tc>
        <w:tc>
          <w:tcPr>
            <w:tcW w:w="6417" w:type="dxa"/>
            <w:vAlign w:val="center"/>
          </w:tcPr>
          <w:p>
            <w:pPr>
              <w:pStyle w:val="4"/>
              <w:spacing w:line="360" w:lineRule="auto"/>
              <w:rPr>
                <w:rFonts w:ascii="宋体" w:hAnsi="宋体" w:cs="宋体"/>
                <w:b w:val="0"/>
                <w:kern w:val="0"/>
                <w:sz w:val="21"/>
                <w:szCs w:val="21"/>
              </w:rPr>
            </w:pPr>
            <w:r>
              <w:rPr>
                <w:rFonts w:hint="eastAsia" w:ascii="宋体" w:hAnsi="宋体" w:cs="宋体"/>
                <w:b w:val="0"/>
                <w:kern w:val="0"/>
                <w:sz w:val="21"/>
                <w:szCs w:val="21"/>
              </w:rPr>
              <w:t>根据投标人提供的培训方案进行综合评分。本项最高得2分。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642" w:type="dxa"/>
            <w:vAlign w:val="center"/>
          </w:tcPr>
          <w:p>
            <w:pPr>
              <w:spacing w:line="360" w:lineRule="auto"/>
              <w:jc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3</w:t>
            </w:r>
          </w:p>
        </w:tc>
        <w:tc>
          <w:tcPr>
            <w:tcW w:w="1795" w:type="dxa"/>
            <w:vAlign w:val="center"/>
          </w:tcPr>
          <w:p>
            <w:pPr>
              <w:spacing w:line="360" w:lineRule="auto"/>
              <w:jc w:val="center"/>
              <w:rPr>
                <w:rFonts w:ascii="宋体" w:hAnsi="宋体" w:cs="宋体"/>
                <w:sz w:val="21"/>
                <w:szCs w:val="21"/>
              </w:rPr>
            </w:pPr>
            <w:r>
              <w:rPr>
                <w:rFonts w:hint="eastAsia" w:ascii="宋体" w:hAnsi="宋体" w:cs="宋体"/>
                <w:sz w:val="21"/>
                <w:szCs w:val="21"/>
              </w:rPr>
              <w:t>重大事件应急保障能力</w:t>
            </w:r>
          </w:p>
        </w:tc>
        <w:tc>
          <w:tcPr>
            <w:tcW w:w="6417" w:type="dxa"/>
            <w:vAlign w:val="center"/>
          </w:tcPr>
          <w:p>
            <w:pPr>
              <w:pStyle w:val="4"/>
              <w:spacing w:line="360" w:lineRule="auto"/>
              <w:rPr>
                <w:rFonts w:ascii="宋体" w:hAnsi="宋体" w:cs="宋体"/>
                <w:kern w:val="0"/>
                <w:sz w:val="21"/>
                <w:szCs w:val="21"/>
              </w:rPr>
            </w:pPr>
            <w:r>
              <w:rPr>
                <w:rFonts w:hint="eastAsia" w:ascii="宋体" w:hAnsi="宋体" w:cs="宋体"/>
                <w:b w:val="0"/>
                <w:kern w:val="0"/>
                <w:sz w:val="21"/>
                <w:szCs w:val="21"/>
              </w:rPr>
              <w:t>重大事件应急保障能力：根据投标人在重大事件中体现出的应急保障能力，如：通信保障人员力量，物资储备、设施装备力量，售后服务人员资质等技术实力、临时紧急增派到采购人处的技术人员支持数量、技术实力进行综合评分。本项最高得3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42" w:type="dxa"/>
            <w:vMerge w:val="restart"/>
            <w:vAlign w:val="center"/>
          </w:tcPr>
          <w:p>
            <w:pPr>
              <w:spacing w:line="360" w:lineRule="auto"/>
              <w:jc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4</w:t>
            </w:r>
          </w:p>
        </w:tc>
        <w:tc>
          <w:tcPr>
            <w:tcW w:w="1795" w:type="dxa"/>
            <w:vMerge w:val="restart"/>
            <w:vAlign w:val="center"/>
          </w:tcPr>
          <w:p>
            <w:pPr>
              <w:spacing w:line="360" w:lineRule="auto"/>
              <w:jc w:val="center"/>
              <w:rPr>
                <w:rFonts w:ascii="宋体" w:hAnsi="宋体" w:cs="宋体"/>
                <w:sz w:val="21"/>
                <w:szCs w:val="21"/>
              </w:rPr>
            </w:pPr>
            <w:r>
              <w:rPr>
                <w:rFonts w:hint="eastAsia" w:ascii="宋体" w:hAnsi="宋体" w:cs="宋体"/>
                <w:color w:val="000000"/>
                <w:kern w:val="0"/>
                <w:sz w:val="21"/>
                <w:szCs w:val="21"/>
              </w:rPr>
              <w:t>本地化服务</w:t>
            </w:r>
          </w:p>
        </w:tc>
        <w:tc>
          <w:tcPr>
            <w:tcW w:w="6417" w:type="dxa"/>
            <w:vAlign w:val="center"/>
          </w:tcPr>
          <w:p>
            <w:pPr>
              <w:pStyle w:val="4"/>
              <w:numPr>
                <w:ilvl w:val="0"/>
                <w:numId w:val="0"/>
              </w:numPr>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lang w:val="en-US" w:eastAsia="zh-CN"/>
              </w:rPr>
              <w:t>(1)</w:t>
            </w:r>
            <w:r>
              <w:rPr>
                <w:rFonts w:hint="eastAsia" w:ascii="宋体" w:hAnsi="宋体" w:cs="宋体"/>
                <w:b w:val="0"/>
                <w:color w:val="000000"/>
                <w:kern w:val="0"/>
                <w:sz w:val="21"/>
                <w:szCs w:val="21"/>
              </w:rPr>
              <w:t>投标人提供的售后维护机构情况（或中标30日内承诺设立），在仙居县内有售后服务网点的得1分。</w:t>
            </w:r>
          </w:p>
          <w:p>
            <w:pPr>
              <w:pStyle w:val="4"/>
              <w:spacing w:line="360" w:lineRule="auto"/>
              <w:rPr>
                <w:rFonts w:ascii="宋体" w:hAnsi="宋体" w:cs="宋体"/>
                <w:b w:val="0"/>
                <w:kern w:val="0"/>
                <w:sz w:val="21"/>
                <w:szCs w:val="21"/>
              </w:rPr>
            </w:pPr>
            <w:r>
              <w:rPr>
                <w:rFonts w:hint="eastAsia" w:ascii="宋体" w:hAnsi="宋体" w:cs="宋体"/>
                <w:color w:val="000000"/>
                <w:kern w:val="0"/>
                <w:sz w:val="21"/>
                <w:szCs w:val="21"/>
              </w:rPr>
              <w:t>（投标文件中需提供服务网点相关证明材料复印件或加盖单位公章的承诺书，否则不得分）；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42" w:type="dxa"/>
            <w:vMerge w:val="continue"/>
            <w:vAlign w:val="center"/>
          </w:tcPr>
          <w:p>
            <w:pPr>
              <w:pStyle w:val="4"/>
              <w:spacing w:line="360" w:lineRule="auto"/>
              <w:rPr>
                <w:rFonts w:ascii="宋体" w:hAnsi="宋体" w:cs="宋体"/>
                <w:b w:val="0"/>
                <w:kern w:val="0"/>
                <w:sz w:val="21"/>
                <w:szCs w:val="21"/>
              </w:rPr>
            </w:pPr>
          </w:p>
        </w:tc>
        <w:tc>
          <w:tcPr>
            <w:tcW w:w="1795" w:type="dxa"/>
            <w:vMerge w:val="continue"/>
            <w:vAlign w:val="center"/>
          </w:tcPr>
          <w:p>
            <w:pPr>
              <w:pStyle w:val="4"/>
              <w:spacing w:line="360" w:lineRule="auto"/>
              <w:rPr>
                <w:rFonts w:ascii="宋体" w:hAnsi="宋体" w:cs="宋体"/>
                <w:b w:val="0"/>
                <w:kern w:val="0"/>
                <w:sz w:val="21"/>
                <w:szCs w:val="21"/>
              </w:rPr>
            </w:pPr>
          </w:p>
        </w:tc>
        <w:tc>
          <w:tcPr>
            <w:tcW w:w="6417" w:type="dxa"/>
            <w:vAlign w:val="center"/>
          </w:tcPr>
          <w:p>
            <w:pPr>
              <w:pStyle w:val="4"/>
              <w:spacing w:line="360" w:lineRule="auto"/>
              <w:rPr>
                <w:rFonts w:ascii="宋体" w:hAnsi="宋体" w:cs="宋体"/>
                <w:b w:val="0"/>
                <w:kern w:val="0"/>
                <w:sz w:val="21"/>
                <w:szCs w:val="21"/>
              </w:rPr>
            </w:pPr>
            <w:r>
              <w:rPr>
                <w:rFonts w:hint="eastAsia" w:ascii="宋体" w:hAnsi="宋体" w:cs="宋体"/>
                <w:b w:val="0"/>
                <w:color w:val="000000"/>
                <w:kern w:val="0"/>
                <w:sz w:val="21"/>
                <w:szCs w:val="21"/>
              </w:rPr>
              <w:t>（2）根据售中售后的响应时间、服务承诺及其它服务措施的优劣等情况打分，</w:t>
            </w:r>
            <w:r>
              <w:rPr>
                <w:rFonts w:hint="eastAsia" w:ascii="宋体" w:hAnsi="宋体" w:cs="宋体"/>
                <w:b w:val="0"/>
                <w:kern w:val="0"/>
                <w:sz w:val="21"/>
                <w:szCs w:val="21"/>
              </w:rPr>
              <w:t>最高不超过2分。</w:t>
            </w:r>
          </w:p>
        </w:tc>
        <w:tc>
          <w:tcPr>
            <w:tcW w:w="713" w:type="dxa"/>
            <w:vAlign w:val="center"/>
          </w:tcPr>
          <w:p>
            <w:pPr>
              <w:pStyle w:val="4"/>
              <w:spacing w:line="360" w:lineRule="auto"/>
              <w:ind w:firstLine="210" w:firstLineChars="100"/>
              <w:rPr>
                <w:rFonts w:ascii="宋体" w:hAnsi="宋体" w:cs="宋体"/>
                <w:b w:val="0"/>
                <w:kern w:val="0"/>
                <w:sz w:val="21"/>
                <w:szCs w:val="21"/>
              </w:rPr>
            </w:pPr>
            <w:r>
              <w:rPr>
                <w:rFonts w:hint="eastAsia" w:ascii="宋体" w:hAnsi="宋体" w:cs="宋体"/>
                <w:b w:val="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trPr>
        <w:tc>
          <w:tcPr>
            <w:tcW w:w="642" w:type="dxa"/>
            <w:vMerge w:val="restart"/>
            <w:vAlign w:val="center"/>
          </w:tcPr>
          <w:p>
            <w:pPr>
              <w:spacing w:line="360" w:lineRule="auto"/>
              <w:jc w:val="center"/>
              <w:rPr>
                <w:rFonts w:hint="eastAsia" w:ascii="宋体" w:hAnsi="宋体" w:eastAsia="宋体" w:cs="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5</w:t>
            </w:r>
          </w:p>
        </w:tc>
        <w:tc>
          <w:tcPr>
            <w:tcW w:w="1795" w:type="dxa"/>
            <w:vMerge w:val="restart"/>
            <w:vAlign w:val="center"/>
          </w:tcPr>
          <w:p>
            <w:pPr>
              <w:pStyle w:val="38"/>
              <w:ind w:left="0" w:leftChars="0"/>
              <w:jc w:val="left"/>
              <w:rPr>
                <w:rFonts w:ascii="宋体" w:hAnsi="宋体" w:cs="宋体"/>
                <w:sz w:val="21"/>
                <w:szCs w:val="21"/>
              </w:rPr>
            </w:pPr>
            <w:r>
              <w:rPr>
                <w:rFonts w:hint="eastAsia" w:ascii="宋体" w:hAnsi="宋体" w:cs="宋体"/>
                <w:sz w:val="21"/>
                <w:szCs w:val="21"/>
              </w:rPr>
              <w:t>系统演示</w:t>
            </w:r>
          </w:p>
          <w:p>
            <w:pPr>
              <w:spacing w:line="360" w:lineRule="auto"/>
              <w:jc w:val="center"/>
              <w:rPr>
                <w:rFonts w:ascii="宋体" w:hAnsi="宋体" w:cs="宋体"/>
                <w:sz w:val="21"/>
                <w:szCs w:val="21"/>
              </w:rPr>
            </w:pPr>
            <w:r>
              <w:rPr>
                <w:rFonts w:hint="eastAsia" w:ascii="宋体" w:hAnsi="宋体" w:cs="宋体"/>
                <w:sz w:val="21"/>
                <w:szCs w:val="21"/>
              </w:rPr>
              <w:t>（本项目要求视频录制模拟演示，演示时间不超20分钟）</w:t>
            </w:r>
          </w:p>
        </w:tc>
        <w:tc>
          <w:tcPr>
            <w:tcW w:w="6417" w:type="dxa"/>
            <w:vAlign w:val="center"/>
          </w:tcPr>
          <w:p>
            <w:pPr>
              <w:pStyle w:val="46"/>
              <w:ind w:firstLine="0" w:firstLineChars="0"/>
            </w:pPr>
            <w:r>
              <w:rPr>
                <w:rFonts w:hint="eastAsia"/>
              </w:rPr>
              <w:t>AI视频感知系统：</w:t>
            </w:r>
          </w:p>
          <w:p>
            <w:pPr>
              <w:pStyle w:val="46"/>
              <w:ind w:firstLine="0" w:firstLineChars="0"/>
            </w:pPr>
            <w:r>
              <w:rPr>
                <w:rFonts w:hint="eastAsia"/>
              </w:rPr>
              <w:t>（1）表情愉悦度检测模块：通过视频画面，实时分析人脸面部表情，形成连续性的情绪正面或负面评价指标，形成愉悦曲线反馈到可视化看板，可根据预设规则（低于预设分值阀值等），自动研判并产生预警信息，将实施抓拍图片送至预警中心，得1分；</w:t>
            </w:r>
          </w:p>
          <w:p>
            <w:pPr>
              <w:pStyle w:val="46"/>
              <w:ind w:firstLine="0" w:firstLineChars="0"/>
            </w:pPr>
            <w:r>
              <w:rPr>
                <w:rFonts w:hint="eastAsia"/>
              </w:rPr>
              <w:t>（2）预警通知模块：视觉机器人（多人聚集告警）,接收并展示预警信息，可实现预警时视频画面的编码封装，保存为短视频录像，供前端可视化看板调阅，得0.5分。</w:t>
            </w:r>
          </w:p>
          <w:p>
            <w:pPr>
              <w:pStyle w:val="46"/>
              <w:ind w:firstLine="0" w:firstLineChars="0"/>
            </w:pPr>
            <w:r>
              <w:rPr>
                <w:rFonts w:hint="eastAsia"/>
              </w:rPr>
              <w:t>（3）高频人员检测模块：通过人员监测终端，对人员存留时间、出入比对进行管理，对近期高频人员进行预警，得0.5分。</w:t>
            </w:r>
          </w:p>
          <w:p>
            <w:r>
              <w:rPr>
                <w:rFonts w:hint="eastAsia" w:ascii="宋体" w:hAnsi="宋体" w:cs="宋体"/>
                <w:color w:val="000000"/>
                <w:kern w:val="0"/>
                <w:sz w:val="21"/>
                <w:szCs w:val="21"/>
              </w:rPr>
              <w:t>本项最高得2分。</w:t>
            </w:r>
          </w:p>
        </w:tc>
        <w:tc>
          <w:tcPr>
            <w:tcW w:w="713" w:type="dxa"/>
            <w:vAlign w:val="center"/>
          </w:tcPr>
          <w:p>
            <w:pPr>
              <w:widowControl/>
              <w:spacing w:line="360" w:lineRule="auto"/>
              <w:jc w:val="center"/>
              <w:rPr>
                <w:rFonts w:ascii="宋体" w:hAnsi="宋体" w:cs="宋体"/>
                <w:kern w:val="0"/>
                <w:sz w:val="21"/>
                <w:szCs w:val="21"/>
              </w:rPr>
            </w:pPr>
            <w:r>
              <w:rPr>
                <w:rFonts w:hint="eastAsia" w:ascii="宋体" w:hAnsi="宋体" w:cs="宋体"/>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vMerge w:val="continue"/>
            <w:vAlign w:val="center"/>
          </w:tcPr>
          <w:p>
            <w:pPr>
              <w:spacing w:line="360" w:lineRule="auto"/>
              <w:jc w:val="center"/>
              <w:rPr>
                <w:rFonts w:ascii="宋体" w:hAnsi="宋体" w:cs="宋体"/>
                <w:kern w:val="0"/>
                <w:sz w:val="21"/>
                <w:szCs w:val="21"/>
              </w:rPr>
            </w:pPr>
          </w:p>
        </w:tc>
        <w:tc>
          <w:tcPr>
            <w:tcW w:w="1795" w:type="dxa"/>
            <w:vMerge w:val="continue"/>
            <w:vAlign w:val="center"/>
          </w:tcPr>
          <w:p>
            <w:pPr>
              <w:spacing w:line="360" w:lineRule="auto"/>
              <w:jc w:val="center"/>
              <w:rPr>
                <w:rFonts w:ascii="宋体" w:hAnsi="宋体" w:cs="宋体"/>
                <w:sz w:val="21"/>
                <w:szCs w:val="21"/>
              </w:rPr>
            </w:pPr>
          </w:p>
        </w:tc>
        <w:tc>
          <w:tcPr>
            <w:tcW w:w="6417" w:type="dxa"/>
            <w:vAlign w:val="center"/>
          </w:tcPr>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AI声纹识别服务：</w:t>
            </w:r>
          </w:p>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（1）仙居上访事件驾驶舱面板服务：提供仙居上访事件驾驶舱面板服务，服务内容包括实时对于仙居上访智能声音预警系统下所有设备的上报事件和运行状况进行直观驾驶舱展示，方便总揽系统全局，得0.5分。</w:t>
            </w:r>
          </w:p>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（2）敏感信息感知模块：提供仙居图敏感词敏感词识别服务，服务内容包括上访沟通场景进行识别，针对其中的敏感词部分进行分析，得1分。</w:t>
            </w:r>
          </w:p>
          <w:p>
            <w:pPr>
              <w:pStyle w:val="4"/>
              <w:spacing w:line="360" w:lineRule="auto"/>
              <w:rPr>
                <w:rFonts w:ascii="宋体" w:hAnsi="宋体" w:cs="宋体"/>
                <w:sz w:val="21"/>
                <w:szCs w:val="21"/>
              </w:rPr>
            </w:pPr>
            <w:r>
              <w:rPr>
                <w:rFonts w:hint="eastAsia" w:ascii="宋体" w:hAnsi="宋体" w:cs="宋体"/>
                <w:b w:val="0"/>
                <w:color w:val="000000"/>
                <w:kern w:val="0"/>
                <w:sz w:val="21"/>
                <w:szCs w:val="21"/>
              </w:rPr>
              <w:t>本项最高得1.5分。</w:t>
            </w:r>
          </w:p>
        </w:tc>
        <w:tc>
          <w:tcPr>
            <w:tcW w:w="713" w:type="dxa"/>
            <w:vAlign w:val="center"/>
          </w:tcPr>
          <w:p>
            <w:pPr>
              <w:widowControl/>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5" w:hRule="atLeast"/>
        </w:trPr>
        <w:tc>
          <w:tcPr>
            <w:tcW w:w="642" w:type="dxa"/>
            <w:vMerge w:val="continue"/>
            <w:vAlign w:val="center"/>
          </w:tcPr>
          <w:p>
            <w:pPr>
              <w:spacing w:line="360" w:lineRule="auto"/>
              <w:jc w:val="center"/>
              <w:rPr>
                <w:rFonts w:ascii="宋体" w:hAnsi="宋体" w:cs="宋体"/>
                <w:kern w:val="0"/>
                <w:sz w:val="21"/>
                <w:szCs w:val="21"/>
              </w:rPr>
            </w:pPr>
          </w:p>
        </w:tc>
        <w:tc>
          <w:tcPr>
            <w:tcW w:w="1795" w:type="dxa"/>
            <w:vMerge w:val="continue"/>
            <w:vAlign w:val="center"/>
          </w:tcPr>
          <w:p>
            <w:pPr>
              <w:spacing w:line="360" w:lineRule="auto"/>
              <w:jc w:val="center"/>
              <w:rPr>
                <w:rFonts w:ascii="宋体" w:hAnsi="宋体" w:cs="宋体"/>
                <w:sz w:val="21"/>
                <w:szCs w:val="21"/>
              </w:rPr>
            </w:pPr>
          </w:p>
        </w:tc>
        <w:tc>
          <w:tcPr>
            <w:tcW w:w="6417" w:type="dxa"/>
            <w:vAlign w:val="center"/>
          </w:tcPr>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重点人录入管理端：</w:t>
            </w:r>
          </w:p>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（1）关键人信访五步法进展查看：对关键人信访化解五步法流程化的情况进行查看，方便重点人录入管理端对五步法功能的管理和驾驶舱展示，得1分；</w:t>
            </w:r>
          </w:p>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（2）录入信息查询：重点人录入信息查询功能可对展示的关键人录入信息进行查询，可看到此人员录入的基础信息、亲属关系、诉求事项、信访经历、信访网络、社交关系等，得0.5分；</w:t>
            </w:r>
          </w:p>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（3）重点人员信息管理功能：可对重点人录入管理端界面展示的关键人录入信息进行增加、修改、删除等操作的，得0.5分。</w:t>
            </w:r>
          </w:p>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本项最高得2分。</w:t>
            </w:r>
          </w:p>
        </w:tc>
        <w:tc>
          <w:tcPr>
            <w:tcW w:w="713" w:type="dxa"/>
            <w:vAlign w:val="center"/>
          </w:tcPr>
          <w:p>
            <w:pPr>
              <w:widowControl/>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Merge w:val="continue"/>
            <w:vAlign w:val="center"/>
          </w:tcPr>
          <w:p>
            <w:pPr>
              <w:spacing w:line="360" w:lineRule="auto"/>
              <w:rPr>
                <w:rFonts w:ascii="宋体" w:hAnsi="宋体" w:cs="宋体"/>
                <w:sz w:val="21"/>
                <w:szCs w:val="21"/>
              </w:rPr>
            </w:pPr>
          </w:p>
        </w:tc>
        <w:tc>
          <w:tcPr>
            <w:tcW w:w="1795" w:type="dxa"/>
            <w:vMerge w:val="continue"/>
            <w:vAlign w:val="center"/>
          </w:tcPr>
          <w:p>
            <w:pPr>
              <w:spacing w:line="360" w:lineRule="auto"/>
              <w:rPr>
                <w:rFonts w:ascii="宋体" w:hAnsi="宋体" w:cs="宋体"/>
                <w:sz w:val="21"/>
                <w:szCs w:val="21"/>
              </w:rPr>
            </w:pPr>
          </w:p>
        </w:tc>
        <w:tc>
          <w:tcPr>
            <w:tcW w:w="6417" w:type="dxa"/>
            <w:vAlign w:val="center"/>
          </w:tcPr>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即时感知环子屏：</w:t>
            </w:r>
          </w:p>
          <w:p>
            <w:pPr>
              <w:pStyle w:val="2"/>
            </w:pPr>
            <w:r>
              <w:rPr>
                <w:rFonts w:hint="eastAsia"/>
              </w:rPr>
              <w:t>（1）报警点位查询：可根据报警点位关键词，模糊搜索时间范围内的报警信息，并进行呈现，得0.5分。</w:t>
            </w:r>
          </w:p>
          <w:p>
            <w:pPr>
              <w:pStyle w:val="2"/>
            </w:pPr>
            <w:r>
              <w:rPr>
                <w:rFonts w:hint="eastAsia"/>
              </w:rPr>
              <w:t>（2）矛调中心实时点位切换：运行感知中的矛调中心实时点位切换下拉框，可选择相应的矛调中心摄像头点位，实时切换对应矛调中心摄像点位的视频，得0.5分。</w:t>
            </w:r>
          </w:p>
          <w:p>
            <w:pPr>
              <w:pStyle w:val="2"/>
            </w:pPr>
            <w:r>
              <w:rPr>
                <w:rFonts w:hint="eastAsia"/>
              </w:rPr>
              <w:t>（3）反映人愉悦指数展示：反映人愉悦指数展示根据上访人视频ai分析全县乡镇可筛选查看不同点位上访人实时愉悦指数分析结果，得1分。</w:t>
            </w:r>
          </w:p>
          <w:p>
            <w:pPr>
              <w:pStyle w:val="2"/>
            </w:pPr>
            <w:r>
              <w:rPr>
                <w:rFonts w:hint="eastAsia"/>
              </w:rPr>
              <w:t>（4）调解满意度反馈：提供群众端数据展示包含受理确认数、满意率、不满意事项总数；政府端数据展示包含AI预警数、当前红码娄、当前黄码数，得0.5分。</w:t>
            </w:r>
          </w:p>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（5）多人聚集预警展示:多人聚集预警展示(视觉机器人)根据视频系统中对接的信访人现场视频，进行多人聚集识别和预警，在驾驶舱风险感知的多人聚集分析中进行信访人现场聚集视频预警展示，得1分。</w:t>
            </w:r>
          </w:p>
          <w:p>
            <w:pPr>
              <w:pStyle w:val="4"/>
              <w:spacing w:line="360" w:lineRule="auto"/>
            </w:pPr>
            <w:r>
              <w:rPr>
                <w:rFonts w:hint="eastAsia" w:ascii="宋体" w:hAnsi="宋体" w:cs="宋体"/>
                <w:b w:val="0"/>
                <w:color w:val="000000"/>
                <w:kern w:val="0"/>
                <w:sz w:val="21"/>
                <w:szCs w:val="21"/>
              </w:rPr>
              <w:t>（6）告警清单展示:历史告警清单展示包括情绪、声纹、图像、多人、舆情历史告警，显示报警时间、报警点位、报警地址、详情，得0.5分。</w:t>
            </w:r>
          </w:p>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本项最高得4分。</w:t>
            </w:r>
          </w:p>
        </w:tc>
        <w:tc>
          <w:tcPr>
            <w:tcW w:w="713" w:type="dxa"/>
            <w:vAlign w:val="center"/>
          </w:tcPr>
          <w:p>
            <w:pPr>
              <w:spacing w:line="360" w:lineRule="auto"/>
              <w:rPr>
                <w:rFonts w:ascii="宋体" w:hAnsi="宋体" w:cs="宋体"/>
                <w:color w:val="000000"/>
                <w:kern w:val="0"/>
                <w:sz w:val="21"/>
                <w:szCs w:val="21"/>
              </w:rPr>
            </w:pPr>
            <w:r>
              <w:rPr>
                <w:rFonts w:hint="eastAsia" w:ascii="宋体" w:hAnsi="宋体" w:cs="宋体"/>
                <w:color w:val="00000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642" w:type="dxa"/>
            <w:vMerge w:val="continue"/>
            <w:vAlign w:val="center"/>
          </w:tcPr>
          <w:p>
            <w:pPr>
              <w:tabs>
                <w:tab w:val="left" w:pos="1449"/>
              </w:tabs>
              <w:spacing w:line="360" w:lineRule="auto"/>
              <w:rPr>
                <w:rFonts w:ascii="宋体" w:hAnsi="宋体" w:cs="宋体"/>
                <w:sz w:val="21"/>
                <w:szCs w:val="21"/>
              </w:rPr>
            </w:pPr>
          </w:p>
        </w:tc>
        <w:tc>
          <w:tcPr>
            <w:tcW w:w="1795" w:type="dxa"/>
            <w:vMerge w:val="continue"/>
            <w:vAlign w:val="center"/>
          </w:tcPr>
          <w:p>
            <w:pPr>
              <w:tabs>
                <w:tab w:val="left" w:pos="1449"/>
              </w:tabs>
              <w:spacing w:line="360" w:lineRule="auto"/>
              <w:rPr>
                <w:rFonts w:ascii="宋体" w:hAnsi="宋体" w:cs="宋体"/>
                <w:sz w:val="21"/>
                <w:szCs w:val="21"/>
              </w:rPr>
            </w:pPr>
          </w:p>
        </w:tc>
        <w:tc>
          <w:tcPr>
            <w:tcW w:w="6417" w:type="dxa"/>
            <w:vAlign w:val="center"/>
          </w:tcPr>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预警研判环子屏：</w:t>
            </w:r>
          </w:p>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1）核心指标：核心指标包括核心关注数据统计，核心指标包括当月事项预警总次数、人员预警总次数、IRS回流数据总件数、化解苗头事项总次数、解决普遍性问题总次数、本月高频词汇案件总数。统计单位时间内发生的重点事项预警，人员预警次数、化解苗条事项、解决普遍性问题的相关关键指标数据，通过核心指标逐步提升服务工作效率，得0.5分。</w:t>
            </w:r>
          </w:p>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（2）Top10高频词汇数据分析统计:对Top10高频词汇数据分析统计，分析数据内容包含内容、数量、涉及部门、共性部门，得0.5分。</w:t>
            </w:r>
          </w:p>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（3）重点事项展示）：根据系统上报的重点事项进行关键信息研判分析事项紧急程度，详细记录事件处理流程节点，并对重点事项进行展示，得0.5分；</w:t>
            </w:r>
          </w:p>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（4）风险区域展示：对阶段内中高风险领域进行事项突出告警，告警信息汇集和决策分析，辅助指挥调度和控制，得0.5分</w:t>
            </w:r>
          </w:p>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（5）趋势研判：近六个月四级走访人数据展示；近六个月四级走访批次数据展示；20个乡镇积案总数柱状图展示；得0.5分。</w:t>
            </w:r>
          </w:p>
          <w:p>
            <w:pPr>
              <w:pStyle w:val="4"/>
              <w:spacing w:line="360" w:lineRule="auto"/>
              <w:rPr>
                <w:rFonts w:ascii="宋体" w:hAnsi="宋体" w:cs="宋体"/>
                <w:b w:val="0"/>
                <w:color w:val="000000"/>
                <w:kern w:val="0"/>
                <w:sz w:val="21"/>
                <w:szCs w:val="21"/>
              </w:rPr>
            </w:pPr>
            <w:r>
              <w:rPr>
                <w:rFonts w:hint="eastAsia" w:ascii="宋体" w:hAnsi="宋体" w:cs="宋体"/>
                <w:b w:val="0"/>
                <w:color w:val="000000"/>
                <w:kern w:val="0"/>
                <w:sz w:val="21"/>
                <w:szCs w:val="21"/>
              </w:rPr>
              <w:t>本项最高得2.5分。</w:t>
            </w:r>
          </w:p>
        </w:tc>
        <w:tc>
          <w:tcPr>
            <w:tcW w:w="713" w:type="dxa"/>
            <w:vAlign w:val="center"/>
          </w:tcPr>
          <w:p>
            <w:pPr>
              <w:tabs>
                <w:tab w:val="left" w:pos="1449"/>
              </w:tabs>
              <w:spacing w:line="360" w:lineRule="auto"/>
              <w:rPr>
                <w:rFonts w:ascii="宋体" w:hAnsi="宋体" w:cs="宋体"/>
                <w:color w:val="000000"/>
                <w:kern w:val="0"/>
                <w:sz w:val="21"/>
                <w:szCs w:val="21"/>
              </w:rPr>
            </w:pPr>
            <w:r>
              <w:rPr>
                <w:rFonts w:hint="eastAsia" w:ascii="宋体" w:hAnsi="宋体" w:cs="宋体"/>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pPr>
              <w:tabs>
                <w:tab w:val="left" w:pos="1449"/>
              </w:tabs>
              <w:spacing w:line="360" w:lineRule="auto"/>
              <w:rPr>
                <w:rFonts w:hint="eastAsia" w:ascii="宋体" w:hAnsi="宋体" w:eastAsia="宋体" w:cs="宋体"/>
                <w:sz w:val="21"/>
                <w:szCs w:val="21"/>
                <w:lang w:eastAsia="zh-CN"/>
              </w:rPr>
            </w:pPr>
            <w:r>
              <w:rPr>
                <w:rFonts w:hint="eastAsia" w:ascii="宋体" w:hAnsi="宋体" w:cs="宋体"/>
                <w:sz w:val="21"/>
                <w:szCs w:val="21"/>
              </w:rPr>
              <w:t>1</w:t>
            </w:r>
            <w:r>
              <w:rPr>
                <w:rFonts w:hint="eastAsia" w:ascii="宋体" w:hAnsi="宋体" w:cs="宋体"/>
                <w:sz w:val="21"/>
                <w:szCs w:val="21"/>
                <w:lang w:val="en-US" w:eastAsia="zh-CN"/>
              </w:rPr>
              <w:t>6</w:t>
            </w:r>
          </w:p>
        </w:tc>
        <w:tc>
          <w:tcPr>
            <w:tcW w:w="1795" w:type="dxa"/>
            <w:vAlign w:val="center"/>
          </w:tcPr>
          <w:p>
            <w:pPr>
              <w:tabs>
                <w:tab w:val="left" w:pos="1449"/>
              </w:tabs>
              <w:spacing w:line="360" w:lineRule="auto"/>
              <w:rPr>
                <w:rFonts w:ascii="宋体" w:hAnsi="宋体" w:cs="宋体"/>
                <w:sz w:val="21"/>
                <w:szCs w:val="21"/>
              </w:rPr>
            </w:pPr>
            <w:r>
              <w:rPr>
                <w:rFonts w:hint="eastAsia" w:ascii="宋体" w:hAnsi="宋体" w:cs="宋体"/>
                <w:sz w:val="21"/>
                <w:szCs w:val="21"/>
              </w:rPr>
              <w:t>应用创新</w:t>
            </w:r>
          </w:p>
        </w:tc>
        <w:tc>
          <w:tcPr>
            <w:tcW w:w="6417" w:type="dxa"/>
            <w:vAlign w:val="center"/>
          </w:tcPr>
          <w:p>
            <w:pPr>
              <w:tabs>
                <w:tab w:val="left" w:pos="1449"/>
              </w:tabs>
              <w:spacing w:line="360" w:lineRule="auto"/>
              <w:rPr>
                <w:rFonts w:ascii="宋体" w:hAnsi="宋体" w:cs="宋体"/>
                <w:color w:val="000000"/>
                <w:kern w:val="0"/>
                <w:sz w:val="21"/>
                <w:szCs w:val="21"/>
              </w:rPr>
            </w:pPr>
            <w:r>
              <w:rPr>
                <w:rFonts w:hint="eastAsia" w:ascii="宋体" w:hAnsi="宋体" w:cs="宋体"/>
                <w:color w:val="000000"/>
                <w:kern w:val="0"/>
                <w:sz w:val="21"/>
                <w:szCs w:val="21"/>
              </w:rPr>
              <w:t>投标人的方案在满足招标文件要求的基础上，结合自身经验，针对本项目的软件建设清单进行梳理分析，从矛盾纠纷小切口复用至基层治理全领域和如何实现“1612”体系贯通，提出优化或创新方案，优化或创新方案应当具有针对性和可操作性。评委依据优化或创新方案的针对性和可操作性等方面进行综合评定，优化或创新方案点每个得1分；本项合计最高得5分。</w:t>
            </w:r>
          </w:p>
        </w:tc>
        <w:tc>
          <w:tcPr>
            <w:tcW w:w="713" w:type="dxa"/>
            <w:vAlign w:val="center"/>
          </w:tcPr>
          <w:p>
            <w:pPr>
              <w:tabs>
                <w:tab w:val="left" w:pos="1449"/>
              </w:tabs>
              <w:spacing w:line="360" w:lineRule="auto"/>
              <w:ind w:firstLine="210" w:firstLineChars="100"/>
              <w:rPr>
                <w:rFonts w:ascii="宋体" w:hAnsi="宋体" w:cs="宋体"/>
                <w:color w:val="000000"/>
                <w:kern w:val="0"/>
                <w:sz w:val="21"/>
                <w:szCs w:val="21"/>
              </w:rPr>
            </w:pPr>
            <w:r>
              <w:rPr>
                <w:rFonts w:hint="eastAsia" w:ascii="宋体" w:hAnsi="宋体" w:cs="宋体"/>
                <w:color w:val="00000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54" w:type="dxa"/>
            <w:gridSpan w:val="3"/>
            <w:shd w:val="clear" w:color="auto" w:fill="D7D7D7"/>
            <w:vAlign w:val="center"/>
          </w:tcPr>
          <w:p>
            <w:pPr>
              <w:widowControl/>
              <w:spacing w:line="360" w:lineRule="auto"/>
              <w:jc w:val="center"/>
              <w:rPr>
                <w:rFonts w:ascii="宋体" w:hAnsi="宋体" w:cs="宋体"/>
                <w:b/>
                <w:kern w:val="0"/>
                <w:sz w:val="21"/>
                <w:szCs w:val="21"/>
              </w:rPr>
            </w:pPr>
            <w:r>
              <w:rPr>
                <w:rFonts w:hint="eastAsia" w:ascii="宋体" w:hAnsi="宋体" w:cs="宋体"/>
                <w:b/>
                <w:kern w:val="0"/>
                <w:sz w:val="21"/>
                <w:szCs w:val="21"/>
                <w:lang w:val="zh-CN"/>
              </w:rPr>
              <w:t>第二部分报价文件评分</w:t>
            </w:r>
          </w:p>
        </w:tc>
        <w:tc>
          <w:tcPr>
            <w:tcW w:w="713" w:type="dxa"/>
            <w:shd w:val="clear" w:color="auto" w:fill="D7D7D7"/>
            <w:vAlign w:val="center"/>
          </w:tcPr>
          <w:p>
            <w:pPr>
              <w:widowControl/>
              <w:spacing w:line="360" w:lineRule="auto"/>
              <w:jc w:val="center"/>
              <w:rPr>
                <w:rFonts w:ascii="宋体" w:hAnsi="宋体" w:cs="宋体"/>
                <w:b/>
                <w:kern w:val="0"/>
                <w:sz w:val="21"/>
                <w:szCs w:val="21"/>
              </w:rPr>
            </w:pPr>
            <w:r>
              <w:rPr>
                <w:rFonts w:hint="eastAsia" w:ascii="宋体" w:hAnsi="宋体" w:cs="宋体"/>
                <w:b/>
                <w:kern w:val="0"/>
                <w:sz w:val="21"/>
                <w:szCs w:val="21"/>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642" w:type="dxa"/>
            <w:vAlign w:val="center"/>
          </w:tcPr>
          <w:p>
            <w:pPr>
              <w:widowControl/>
              <w:spacing w:line="360" w:lineRule="auto"/>
              <w:jc w:val="center"/>
              <w:rPr>
                <w:rFonts w:ascii="宋体" w:hAnsi="宋体" w:cs="宋体"/>
                <w:b/>
                <w:sz w:val="21"/>
                <w:szCs w:val="21"/>
              </w:rPr>
            </w:pPr>
            <w:r>
              <w:rPr>
                <w:rFonts w:hint="eastAsia" w:ascii="宋体" w:hAnsi="宋体" w:cs="宋体"/>
                <w:b/>
                <w:sz w:val="21"/>
                <w:szCs w:val="21"/>
              </w:rPr>
              <w:t>评分标准</w:t>
            </w:r>
          </w:p>
        </w:tc>
        <w:tc>
          <w:tcPr>
            <w:tcW w:w="8212" w:type="dxa"/>
            <w:gridSpan w:val="2"/>
            <w:vAlign w:val="center"/>
          </w:tcPr>
          <w:p>
            <w:pPr>
              <w:spacing w:line="360" w:lineRule="auto"/>
              <w:ind w:firstLine="420" w:firstLineChars="200"/>
              <w:rPr>
                <w:rFonts w:ascii="宋体" w:hAnsi="宋体" w:cs="宋体"/>
                <w:b/>
                <w:kern w:val="0"/>
                <w:sz w:val="21"/>
                <w:szCs w:val="21"/>
                <w:lang w:val="zh-CN"/>
              </w:rPr>
            </w:pPr>
            <w:r>
              <w:rPr>
                <w:rFonts w:hint="eastAsia" w:ascii="宋体" w:hAnsi="宋体" w:cs="宋体"/>
                <w:kern w:val="0"/>
                <w:sz w:val="21"/>
                <w:szCs w:val="21"/>
                <w:lang w:val="zh-CN"/>
              </w:rPr>
              <w:t>（1）各供应商报价文件得分由评标委员会按各供应商的投标报价统一计算</w:t>
            </w:r>
            <w:r>
              <w:rPr>
                <w:rFonts w:hint="eastAsia" w:ascii="宋体" w:hAnsi="宋体" w:cs="宋体"/>
                <w:b/>
                <w:kern w:val="0"/>
                <w:sz w:val="21"/>
                <w:szCs w:val="21"/>
                <w:lang w:val="zh-CN"/>
              </w:rPr>
              <w:t>。</w:t>
            </w:r>
          </w:p>
          <w:p>
            <w:pPr>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w:t>
            </w:r>
            <w:r>
              <w:rPr>
                <w:rFonts w:hint="eastAsia" w:ascii="宋体" w:hAnsi="宋体" w:cs="宋体"/>
                <w:kern w:val="0"/>
                <w:sz w:val="21"/>
                <w:szCs w:val="21"/>
              </w:rPr>
              <w:t>2</w:t>
            </w:r>
            <w:r>
              <w:rPr>
                <w:rFonts w:hint="eastAsia" w:ascii="宋体" w:hAnsi="宋体" w:cs="宋体"/>
                <w:kern w:val="0"/>
                <w:sz w:val="21"/>
                <w:szCs w:val="21"/>
                <w:lang w:val="zh-CN"/>
              </w:rPr>
              <w:t>）报价文件评分采用低价优先法计算，即满足采购文件要求且价格最低的投标报价为评标基准价。投标报价最低的供应商，其报价文件得满分。其他供应商的报价文件得分按下列公式计算：</w:t>
            </w:r>
          </w:p>
          <w:p>
            <w:pPr>
              <w:spacing w:line="360" w:lineRule="auto"/>
              <w:ind w:firstLine="422" w:firstLineChars="200"/>
              <w:rPr>
                <w:rFonts w:ascii="宋体" w:hAnsi="宋体" w:cs="宋体"/>
                <w:b/>
                <w:kern w:val="0"/>
                <w:sz w:val="21"/>
                <w:szCs w:val="21"/>
                <w:lang w:val="zh-CN"/>
              </w:rPr>
            </w:pPr>
            <w:r>
              <w:rPr>
                <w:rFonts w:hint="eastAsia" w:ascii="宋体" w:hAnsi="宋体" w:cs="宋体"/>
                <w:b/>
                <w:sz w:val="21"/>
                <w:szCs w:val="21"/>
                <w:lang w:val="zh-CN"/>
              </w:rPr>
              <w:t>投标报价</w:t>
            </w:r>
            <w:r>
              <w:rPr>
                <w:rFonts w:hint="eastAsia" w:ascii="宋体" w:hAnsi="宋体" w:cs="宋体"/>
                <w:b/>
                <w:kern w:val="0"/>
                <w:sz w:val="21"/>
                <w:szCs w:val="21"/>
                <w:lang w:val="zh-CN"/>
              </w:rPr>
              <w:t>得分=(评标基准价／投标报价)×</w:t>
            </w:r>
            <w:r>
              <w:rPr>
                <w:rFonts w:hint="eastAsia" w:ascii="宋体" w:hAnsi="宋体" w:cs="宋体"/>
                <w:b/>
                <w:kern w:val="0"/>
                <w:sz w:val="21"/>
                <w:szCs w:val="21"/>
              </w:rPr>
              <w:t>20%</w:t>
            </w:r>
            <w:r>
              <w:rPr>
                <w:rFonts w:hint="eastAsia" w:ascii="宋体" w:hAnsi="宋体" w:cs="宋体"/>
                <w:b/>
                <w:kern w:val="0"/>
                <w:sz w:val="21"/>
                <w:szCs w:val="21"/>
                <w:lang w:val="zh-CN"/>
              </w:rPr>
              <w:t>×100 。</w:t>
            </w:r>
          </w:p>
        </w:tc>
        <w:tc>
          <w:tcPr>
            <w:tcW w:w="713" w:type="dxa"/>
            <w:vAlign w:val="center"/>
          </w:tcPr>
          <w:p>
            <w:pPr>
              <w:spacing w:line="360" w:lineRule="auto"/>
              <w:jc w:val="center"/>
              <w:rPr>
                <w:rFonts w:ascii="宋体" w:hAnsi="宋体" w:cs="宋体"/>
                <w:b/>
                <w:sz w:val="21"/>
                <w:szCs w:val="21"/>
              </w:rPr>
            </w:pPr>
            <w:r>
              <w:rPr>
                <w:rFonts w:hint="eastAsia" w:ascii="宋体" w:hAnsi="宋体" w:cs="宋体"/>
                <w:kern w:val="0"/>
                <w:sz w:val="21"/>
                <w:szCs w:val="21"/>
              </w:rPr>
              <w:t>20</w:t>
            </w:r>
          </w:p>
        </w:tc>
      </w:tr>
    </w:tbl>
    <w:p>
      <w:pPr>
        <w:pStyle w:val="106"/>
        <w:spacing w:beforeLines="150" w:afterLines="0" w:line="360" w:lineRule="auto"/>
        <w:jc w:val="center"/>
        <w:outlineLvl w:val="0"/>
        <w:rPr>
          <w:rFonts w:hAnsi="宋体" w:cs="宋体"/>
          <w:sz w:val="30"/>
          <w:szCs w:val="30"/>
        </w:rPr>
      </w:pPr>
      <w:r>
        <w:rPr>
          <w:rFonts w:hint="eastAsia" w:hAnsi="宋体" w:cs="宋体"/>
          <w:b/>
          <w:color w:val="000000"/>
          <w:szCs w:val="21"/>
        </w:rPr>
        <w:br w:type="page"/>
      </w:r>
      <w:bookmarkEnd w:id="27"/>
      <w:bookmarkStart w:id="29" w:name="_Toc306901462"/>
      <w:bookmarkStart w:id="30" w:name="_Toc240724385"/>
      <w:r>
        <w:rPr>
          <w:rFonts w:hint="eastAsia" w:hAnsi="宋体" w:cs="宋体"/>
          <w:sz w:val="30"/>
          <w:szCs w:val="30"/>
        </w:rPr>
        <w:t>第五章合同条款及格式</w:t>
      </w:r>
    </w:p>
    <w:p>
      <w:pPr>
        <w:widowControl/>
        <w:shd w:val="clear" w:color="auto" w:fill="FFFFFF"/>
        <w:snapToGrid w:val="0"/>
        <w:spacing w:line="360" w:lineRule="auto"/>
        <w:ind w:firstLine="480"/>
        <w:jc w:val="left"/>
        <w:rPr>
          <w:rFonts w:ascii="宋体" w:hAnsi="宋体" w:cs="宋体"/>
          <w:sz w:val="24"/>
          <w:szCs w:val="24"/>
        </w:rPr>
      </w:pPr>
      <w:r>
        <w:rPr>
          <w:rFonts w:hint="eastAsia" w:ascii="宋体" w:hAnsi="宋体" w:cs="宋体"/>
          <w:sz w:val="24"/>
          <w:szCs w:val="24"/>
        </w:rPr>
        <w:t>以下为成交后签定本项目合同的通用条款，成交供应商不得提出实质性的修改，关于专用条款将由采购人与成交供应商结合本项目具体情况协商后签订。</w:t>
      </w:r>
    </w:p>
    <w:p>
      <w:pPr>
        <w:pStyle w:val="28"/>
        <w:snapToGrid w:val="0"/>
        <w:spacing w:line="360" w:lineRule="auto"/>
        <w:rPr>
          <w:rFonts w:hAnsi="宋体" w:cs="宋体"/>
          <w:sz w:val="24"/>
          <w:szCs w:val="24"/>
        </w:rPr>
      </w:pPr>
      <w:r>
        <w:rPr>
          <w:rFonts w:hint="eastAsia" w:hAnsi="宋体" w:cs="宋体"/>
          <w:sz w:val="24"/>
          <w:szCs w:val="24"/>
        </w:rPr>
        <w:t>项目名称：                                       项目编号：</w:t>
      </w:r>
    </w:p>
    <w:p>
      <w:pPr>
        <w:pStyle w:val="28"/>
        <w:snapToGrid w:val="0"/>
        <w:spacing w:before="120" w:after="120" w:line="360" w:lineRule="auto"/>
        <w:rPr>
          <w:rFonts w:hAnsi="宋体"/>
          <w:color w:val="000000"/>
          <w:sz w:val="24"/>
          <w:szCs w:val="24"/>
          <w:lang w:val="zh-CN"/>
        </w:rPr>
      </w:pPr>
      <w:r>
        <w:rPr>
          <w:rFonts w:hint="eastAsia" w:hAnsi="宋体"/>
          <w:color w:val="000000"/>
          <w:sz w:val="24"/>
          <w:szCs w:val="24"/>
          <w:lang w:val="zh-CN"/>
        </w:rPr>
        <w:t>甲方：（采购人）</w:t>
      </w:r>
    </w:p>
    <w:p>
      <w:pPr>
        <w:pStyle w:val="28"/>
        <w:snapToGrid w:val="0"/>
        <w:spacing w:before="120" w:after="120" w:line="360" w:lineRule="auto"/>
        <w:rPr>
          <w:rFonts w:hAnsi="宋体"/>
          <w:color w:val="000000"/>
          <w:sz w:val="24"/>
          <w:szCs w:val="24"/>
          <w:lang w:val="zh-CN"/>
        </w:rPr>
      </w:pPr>
      <w:r>
        <w:rPr>
          <w:rFonts w:hint="eastAsia" w:hAnsi="宋体"/>
          <w:color w:val="000000"/>
          <w:sz w:val="24"/>
          <w:szCs w:val="24"/>
          <w:lang w:val="zh-CN"/>
        </w:rPr>
        <w:t>乙方：（中标人）</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甲、乙双方根据</w:t>
      </w:r>
      <w:r>
        <w:rPr>
          <w:rFonts w:hint="eastAsia" w:hAnsi="宋体"/>
          <w:color w:val="000000"/>
          <w:sz w:val="24"/>
          <w:szCs w:val="24"/>
          <w:u w:val="single"/>
          <w:lang w:val="zh-CN"/>
        </w:rPr>
        <w:t xml:space="preserve">       项目名称及编号            </w:t>
      </w:r>
      <w:r>
        <w:rPr>
          <w:rFonts w:hint="eastAsia" w:hAnsi="宋体"/>
          <w:color w:val="000000"/>
          <w:sz w:val="24"/>
          <w:szCs w:val="24"/>
          <w:lang w:val="zh-CN"/>
        </w:rPr>
        <w:t>采购的结果，签署本合同。</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 xml:space="preserve">一、合同文件： </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1、合同条款。</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2、中标通知书。</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3、更正补充文件。</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4、采购文件。</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5、</w:t>
      </w:r>
      <w:r>
        <w:rPr>
          <w:rFonts w:hint="eastAsia" w:hAnsi="宋体" w:cs="宋体"/>
          <w:sz w:val="24"/>
          <w:szCs w:val="24"/>
        </w:rPr>
        <w:t>中标人</w:t>
      </w:r>
      <w:r>
        <w:rPr>
          <w:rFonts w:hint="eastAsia" w:ascii="宋体" w:hAnsi="宋体"/>
          <w:color w:val="000000"/>
          <w:sz w:val="24"/>
          <w:szCs w:val="24"/>
        </w:rPr>
        <w:t>投标</w:t>
      </w:r>
      <w:r>
        <w:rPr>
          <w:rFonts w:hint="eastAsia" w:ascii="宋体" w:hAnsi="宋体"/>
          <w:color w:val="000000"/>
          <w:sz w:val="24"/>
          <w:szCs w:val="24"/>
          <w:lang w:val="zh-CN"/>
        </w:rPr>
        <w:t>文件。</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6、其他。</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上述所指合同文件应认为是互相补充和解释的，但是有模棱两可或互相矛盾之处，以其所列内容顺序为准。</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二、货物内容</w:t>
      </w:r>
    </w:p>
    <w:tbl>
      <w:tblPr>
        <w:tblStyle w:val="48"/>
        <w:tblW w:w="8680" w:type="dxa"/>
        <w:tblInd w:w="0" w:type="dxa"/>
        <w:tblLayout w:type="autofit"/>
        <w:tblCellMar>
          <w:top w:w="0" w:type="dxa"/>
          <w:left w:w="0" w:type="dxa"/>
          <w:bottom w:w="0" w:type="dxa"/>
          <w:right w:w="0" w:type="dxa"/>
        </w:tblCellMar>
      </w:tblPr>
      <w:tblGrid>
        <w:gridCol w:w="540"/>
        <w:gridCol w:w="1484"/>
        <w:gridCol w:w="1275"/>
        <w:gridCol w:w="659"/>
        <w:gridCol w:w="810"/>
        <w:gridCol w:w="1229"/>
        <w:gridCol w:w="1574"/>
        <w:gridCol w:w="1109"/>
      </w:tblGrid>
      <w:tr>
        <w:tblPrEx>
          <w:tblCellMar>
            <w:top w:w="0" w:type="dxa"/>
            <w:left w:w="0" w:type="dxa"/>
            <w:bottom w:w="0" w:type="dxa"/>
            <w:right w:w="0" w:type="dxa"/>
          </w:tblCellMar>
        </w:tblPrEx>
        <w:trPr>
          <w:trHeight w:val="600" w:hRule="atLeast"/>
          <w:tblHeader/>
        </w:trPr>
        <w:tc>
          <w:tcPr>
            <w:tcW w:w="5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序号</w:t>
            </w: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产品名称</w:t>
            </w: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规格型号</w:t>
            </w: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单位</w:t>
            </w: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数量</w:t>
            </w: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综合单价</w:t>
            </w:r>
            <w:r>
              <w:rPr>
                <w:rFonts w:hint="eastAsia" w:ascii="宋体" w:hAnsi="宋体" w:cs="宋体"/>
                <w:b/>
                <w:color w:val="000000"/>
                <w:kern w:val="0"/>
                <w:sz w:val="24"/>
                <w:szCs w:val="24"/>
              </w:rPr>
              <w:br w:type="textWrapping"/>
            </w:r>
            <w:r>
              <w:rPr>
                <w:rFonts w:hint="eastAsia" w:ascii="宋体" w:hAnsi="宋体" w:cs="宋体"/>
                <w:b/>
                <w:color w:val="000000"/>
                <w:kern w:val="0"/>
                <w:sz w:val="24"/>
                <w:szCs w:val="24"/>
              </w:rPr>
              <w:t>（元）</w:t>
            </w: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合价（元）</w:t>
            </w: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品牌</w:t>
            </w: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left"/>
              <w:textAlignment w:val="center"/>
              <w:rPr>
                <w:rFonts w:ascii="宋体" w:hAnsi="宋体" w:cs="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left"/>
              <w:textAlignment w:val="center"/>
              <w:rPr>
                <w:rFonts w:ascii="宋体" w:hAnsi="宋体" w:cs="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r>
      <w:tr>
        <w:tblPrEx>
          <w:tblCellMar>
            <w:top w:w="0" w:type="dxa"/>
            <w:left w:w="0" w:type="dxa"/>
            <w:bottom w:w="0" w:type="dxa"/>
            <w:right w:w="0" w:type="dxa"/>
          </w:tblCellMar>
        </w:tblPrEx>
        <w:trPr>
          <w:trHeight w:val="575"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left"/>
              <w:textAlignment w:val="center"/>
              <w:rPr>
                <w:rFonts w:ascii="宋体" w:hAnsi="宋体" w:cs="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left"/>
              <w:textAlignment w:val="center"/>
              <w:rPr>
                <w:rFonts w:ascii="宋体" w:hAnsi="宋体" w:cs="宋体"/>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left"/>
              <w:textAlignment w:val="center"/>
              <w:rPr>
                <w:rFonts w:ascii="宋体" w:hAnsi="宋体" w:cs="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napToGrid w:val="0"/>
              <w:spacing w:line="360" w:lineRule="auto"/>
              <w:jc w:val="center"/>
              <w:rPr>
                <w:rFonts w:ascii="宋体" w:hAnsi="宋体" w:cs="宋体"/>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left"/>
              <w:textAlignment w:val="center"/>
              <w:rPr>
                <w:rFonts w:ascii="宋体" w:hAnsi="宋体" w:cs="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kern w:val="0"/>
                <w:sz w:val="24"/>
                <w:szCs w:val="24"/>
              </w:rPr>
            </w:pPr>
          </w:p>
        </w:tc>
        <w:tc>
          <w:tcPr>
            <w:tcW w:w="14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left"/>
              <w:textAlignment w:val="center"/>
              <w:rPr>
                <w:rFonts w:ascii="宋体" w:hAnsi="宋体" w:cs="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81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57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c>
          <w:tcPr>
            <w:tcW w:w="11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napToGrid w:val="0"/>
              <w:spacing w:line="360" w:lineRule="auto"/>
              <w:jc w:val="center"/>
              <w:textAlignment w:val="center"/>
              <w:rPr>
                <w:rFonts w:ascii="宋体" w:hAnsi="宋体" w:cs="宋体"/>
                <w:color w:val="000000"/>
                <w:sz w:val="24"/>
                <w:szCs w:val="24"/>
              </w:rPr>
            </w:pPr>
          </w:p>
        </w:tc>
      </w:tr>
    </w:tbl>
    <w:p>
      <w:pPr>
        <w:pStyle w:val="28"/>
        <w:snapToGrid w:val="0"/>
        <w:spacing w:line="360" w:lineRule="auto"/>
        <w:ind w:firstLine="480" w:firstLineChars="200"/>
        <w:rPr>
          <w:rFonts w:hAnsi="宋体"/>
          <w:color w:val="000000"/>
          <w:sz w:val="24"/>
          <w:szCs w:val="24"/>
          <w:lang w:val="zh-CN"/>
        </w:rPr>
      </w:pP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三、合同金额</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本合同金额为（大写）：_____________________________元（￥_____元）人民币。</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四、技术资料</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1.乙方应按采购文件规定的时间向甲方提供使用货物的有关技术资料。</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五、知识产权</w:t>
      </w:r>
    </w:p>
    <w:p>
      <w:pPr>
        <w:pStyle w:val="28"/>
        <w:snapToGrid w:val="0"/>
        <w:spacing w:line="360" w:lineRule="auto"/>
        <w:ind w:firstLine="480" w:firstLineChars="200"/>
        <w:rPr>
          <w:rFonts w:hint="eastAsia" w:hAnsi="宋体"/>
          <w:color w:val="000000"/>
          <w:sz w:val="24"/>
          <w:szCs w:val="24"/>
          <w:lang w:val="zh-CN"/>
        </w:rPr>
      </w:pPr>
      <w:r>
        <w:rPr>
          <w:rFonts w:hint="eastAsia" w:hAnsi="宋体"/>
          <w:color w:val="000000"/>
          <w:sz w:val="24"/>
          <w:szCs w:val="24"/>
          <w:lang w:val="en-US" w:eastAsia="zh-CN"/>
        </w:rPr>
        <w:t>1.</w:t>
      </w:r>
      <w:r>
        <w:rPr>
          <w:rFonts w:hint="eastAsia" w:hAnsi="宋体"/>
          <w:color w:val="000000"/>
          <w:sz w:val="24"/>
          <w:szCs w:val="24"/>
          <w:lang w:val="zh-CN"/>
        </w:rPr>
        <w:t>乙方应保证所提供的货物或其任何一部分均不会侵犯任何第三方的知识产权。</w:t>
      </w:r>
    </w:p>
    <w:p>
      <w:pPr>
        <w:pStyle w:val="29"/>
        <w:ind w:left="0" w:leftChars="0" w:firstLine="0" w:firstLineChars="0"/>
        <w:rPr>
          <w:rFonts w:hint="default" w:ascii="宋体" w:hAnsi="宋体" w:eastAsia="宋体" w:cs="Times New Roman"/>
          <w:color w:val="000000"/>
          <w:kern w:val="2"/>
          <w:sz w:val="24"/>
          <w:szCs w:val="24"/>
          <w:lang w:val="en-US" w:eastAsia="zh-CN" w:bidi="ar-SA"/>
        </w:rPr>
      </w:pPr>
      <w:r>
        <w:rPr>
          <w:rFonts w:hint="eastAsia" w:hAnsi="宋体"/>
          <w:color w:val="000000"/>
          <w:sz w:val="24"/>
          <w:szCs w:val="24"/>
          <w:lang w:val="en-US" w:eastAsia="zh-CN"/>
        </w:rPr>
        <w:t xml:space="preserve">   </w:t>
      </w:r>
      <w:r>
        <w:rPr>
          <w:rFonts w:hint="eastAsia" w:ascii="宋体" w:hAnsi="宋体" w:eastAsia="宋体" w:cs="Times New Roman"/>
          <w:color w:val="000000"/>
          <w:kern w:val="2"/>
          <w:sz w:val="24"/>
          <w:szCs w:val="24"/>
          <w:lang w:val="en-US" w:eastAsia="zh-CN" w:bidi="ar-SA"/>
        </w:rPr>
        <w:t xml:space="preserve"> 2. 知识产权归属中共仙居县委政法委员会</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六、产权担保</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乙方保证所交付的货物的所有权完全属于乙方且无任何抵押、查封等产权瑕疵。</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七、转包或分包</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1.本合同范围的货物，应由乙方直接供应，不得转让他人供应；</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2.除非得到甲方的书面同意，乙方不得将本合同范围的货物全部或部分分包给他人供应；</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3.如有转让和未经甲方同意的分包行为，甲方有权解除合同，没收履约保证金并追究乙方的违约责任。</w:t>
      </w:r>
    </w:p>
    <w:p>
      <w:pPr>
        <w:pStyle w:val="28"/>
        <w:snapToGrid w:val="0"/>
        <w:spacing w:line="360" w:lineRule="auto"/>
        <w:ind w:firstLine="480" w:firstLineChars="200"/>
        <w:rPr>
          <w:rFonts w:hAnsi="宋体"/>
          <w:sz w:val="24"/>
          <w:szCs w:val="24"/>
          <w:lang w:val="zh-CN"/>
        </w:rPr>
      </w:pPr>
      <w:r>
        <w:rPr>
          <w:rFonts w:hint="eastAsia" w:hAnsi="宋体"/>
          <w:sz w:val="24"/>
          <w:szCs w:val="24"/>
          <w:lang w:val="zh-CN"/>
        </w:rPr>
        <w:t>八、质保期和履约保证金</w:t>
      </w:r>
    </w:p>
    <w:p>
      <w:pPr>
        <w:pStyle w:val="28"/>
        <w:snapToGrid w:val="0"/>
        <w:spacing w:line="360" w:lineRule="auto"/>
        <w:ind w:firstLine="480" w:firstLineChars="200"/>
        <w:rPr>
          <w:rFonts w:hAnsi="宋体"/>
          <w:sz w:val="24"/>
          <w:szCs w:val="24"/>
          <w:lang w:val="zh-CN"/>
        </w:rPr>
      </w:pPr>
      <w:r>
        <w:rPr>
          <w:rFonts w:hint="eastAsia" w:hAnsi="宋体"/>
          <w:sz w:val="24"/>
          <w:szCs w:val="24"/>
          <w:lang w:val="zh-CN"/>
        </w:rPr>
        <w:t>1. 质保期年。（自项目验收合格之日起计）</w:t>
      </w:r>
    </w:p>
    <w:p>
      <w:pPr>
        <w:pStyle w:val="28"/>
        <w:snapToGrid w:val="0"/>
        <w:spacing w:line="360" w:lineRule="auto"/>
        <w:ind w:firstLine="480" w:firstLineChars="200"/>
        <w:rPr>
          <w:rFonts w:hAnsi="宋体" w:cs="仿宋"/>
          <w:snapToGrid w:val="0"/>
          <w:sz w:val="24"/>
          <w:szCs w:val="24"/>
        </w:rPr>
      </w:pPr>
      <w:r>
        <w:rPr>
          <w:rFonts w:hint="eastAsia" w:hAnsi="宋体"/>
          <w:sz w:val="24"/>
          <w:szCs w:val="24"/>
          <w:lang w:val="zh-CN"/>
        </w:rPr>
        <w:t>2. 履约保证金元。[履约保证金交至采购人处，在合同约定交货验收合格满（）个月之日起（）个工作日内无息退还]</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九、项目工期、交货方式及交货地点</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1. 项目工期：自合同签订之日起70天内按采购人要求完成所有产品供货、安装调试。</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2. 交货方式：根据甲方要求交付。</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3. 交货地点：</w:t>
      </w:r>
      <w:r>
        <w:rPr>
          <w:rFonts w:hint="eastAsia" w:hAnsi="宋体"/>
          <w:color w:val="000000"/>
          <w:sz w:val="24"/>
          <w:szCs w:val="24"/>
          <w:u w:val="single"/>
          <w:lang w:val="zh-CN"/>
        </w:rPr>
        <w:t>采购人指定地点。</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十、货款支付</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第一期：合同签订后，</w:t>
      </w:r>
      <w:r>
        <w:rPr>
          <w:rFonts w:hint="eastAsia" w:asciiTheme="minorEastAsia" w:hAnsiTheme="minorEastAsia" w:eastAsiaTheme="minorEastAsia"/>
          <w:bCs/>
          <w:sz w:val="24"/>
          <w:szCs w:val="24"/>
        </w:rPr>
        <w:t>采购人在</w:t>
      </w:r>
      <w:r>
        <w:rPr>
          <w:rFonts w:hint="eastAsia" w:asciiTheme="minorEastAsia" w:hAnsiTheme="minorEastAsia" w:eastAsiaTheme="minorEastAsia"/>
          <w:sz w:val="24"/>
          <w:szCs w:val="24"/>
        </w:rPr>
        <w:t>7日内向中标供应商支付项目预付款，项目预付款为合同金额的40%，同时中标供应商向采购人提交银行、保险公司等金融机构出具同等金额的预付款保函。</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期：项目验收合格，采购人自收到发票后15日内将按实结算至货款的95%，剩余5%在合同约定交货验收合格满12个月起15个工作日内支付。如项目结束时验收不合格的，中标供应商应全额退还采购人已支付的项目预付款。</w:t>
      </w:r>
    </w:p>
    <w:p>
      <w:pPr>
        <w:pStyle w:val="28"/>
        <w:snapToGrid w:val="0"/>
        <w:spacing w:line="360" w:lineRule="auto"/>
        <w:ind w:firstLine="480" w:firstLineChars="200"/>
        <w:rPr>
          <w:rFonts w:hAnsi="宋体"/>
          <w:color w:val="000000"/>
          <w:sz w:val="24"/>
          <w:szCs w:val="24"/>
          <w:lang w:val="zh-CN"/>
        </w:rPr>
      </w:pPr>
      <w:r>
        <w:rPr>
          <w:rFonts w:hint="eastAsia" w:asciiTheme="minorEastAsia" w:hAnsiTheme="minorEastAsia" w:eastAsiaTheme="minorEastAsia"/>
          <w:sz w:val="24"/>
          <w:szCs w:val="24"/>
        </w:rPr>
        <w:t>注：当采购数量与实际使用数量不一致时，由采购单位向同级财政部门申请并经批准后，可以由乙方根据实际使用量供货，合同的最终结算金额按实际使用量乘以成交单价进行计算。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十一、税费</w:t>
      </w:r>
    </w:p>
    <w:p>
      <w:pPr>
        <w:snapToGrid w:val="0"/>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本合同执行中相关的一切税费均由乙方负担。</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十二、质量保证及售后服务</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1. 乙方应按采购文件规定的货物性能、技术要求、质量标准向甲方提供未经使用的全新产品。</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2.乙方提供的货物在质保期内因货物本身的质量问题发生故障，乙方应负责免费更换。对达不到技术要求者，根据实际情况，经双方协商，可按以下办法处理：</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⑴更换：由乙方承担所发生的全部费用。</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⑵贬值处理：由甲乙双方合议定价。</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⑶退货处理：乙方应退还甲方支付的合同款，同时应承担该货物的直接费用（运输、保险、检验、货款利息及银行手续费等）。</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3.如在使用过程中发生质量问题，乙方在接到甲方通知后在小时内到达甲方现场。</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4.在质保期内，乙方应对货物出现的质量及安全问题负责处理解决并承担一切费用。</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5.上述的货物免费保修期为年，因人为因素出现的故障不在免费保修范围内。超过保修期的机器设备，终生维修，维修时只收部件成本费。</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十三、调试和验收</w:t>
      </w:r>
    </w:p>
    <w:p>
      <w:pPr>
        <w:pStyle w:val="28"/>
        <w:snapToGrid w:val="0"/>
        <w:spacing w:line="360" w:lineRule="auto"/>
        <w:ind w:firstLine="480" w:firstLineChars="200"/>
        <w:jc w:val="left"/>
        <w:rPr>
          <w:rFonts w:hAnsi="宋体"/>
          <w:color w:val="000000"/>
          <w:sz w:val="24"/>
          <w:szCs w:val="24"/>
          <w:lang w:val="zh-CN"/>
        </w:rPr>
      </w:pPr>
      <w:r>
        <w:rPr>
          <w:rFonts w:hint="eastAsia" w:hAnsi="宋体"/>
          <w:color w:val="000000"/>
          <w:sz w:val="24"/>
          <w:szCs w:val="24"/>
          <w:lang w:val="zh-CN"/>
        </w:rPr>
        <w:t>1.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2.乙方交货前应对产品作出全面检查和对验收文件进行整理，并列出清单，作为甲方收货验收和使用的技术条件依据，检验的结果应随货物交甲方。</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3.甲方对乙方提供的货物在使用前进行调试时，乙方需负责安装并培训甲方的使用操作人员，并协助甲方一起调试，直到符合技术要求，甲方才做最终验收。</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4.对技术复杂的货物，甲方应请国家认可的专业检测机构参与初步验收及最终验收，并由其出具质量检测报告。</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5.验收时乙方必须在现场，验收完毕后作出验收结果报告；验收费用由</w:t>
      </w:r>
      <w:r>
        <w:rPr>
          <w:rFonts w:hint="eastAsia" w:hAnsi="宋体"/>
          <w:color w:val="000000"/>
          <w:sz w:val="24"/>
          <w:szCs w:val="24"/>
        </w:rPr>
        <w:t>甲</w:t>
      </w:r>
      <w:r>
        <w:rPr>
          <w:rFonts w:hint="eastAsia" w:hAnsi="宋体"/>
          <w:color w:val="000000"/>
          <w:sz w:val="24"/>
          <w:szCs w:val="24"/>
          <w:lang w:val="zh-CN"/>
        </w:rPr>
        <w:t>方负责。</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十四、货物包装、发运及运输</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1.乙方应在货物发运前对其进行满足运输距离、防潮、防震、防锈和防破损装卸等要求包装，以保证货物安全运达甲方指定地点。</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2.使用说明书、质量检验证明书、随配附件和工具以及清单一并附于货物内。</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3.乙方在货物发运手续办理完毕后24小时内或货到甲方48小时前通知甲方，以准备接货。</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4.货物在交付甲方前发生的风险均由乙方负责。</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5.货物在规定的交付期限内由乙方送达甲方指定的地点视为交付，乙方同时需通知甲方货物已送达。</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十五、违约责任</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1.甲方无正当理由拒收货物的，甲方向乙方偿付拒收货款总值的百分之五违约金。</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2.甲方无故逾期验收和办理货款支付手续的,甲方应按逾期付款总额每日万分之五向乙方支付违约金。</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十六、不可抗力事件处理</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1.在合同有效期内，任何一方因不可抗力事件导致不能履行合同，则合同履行</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期可延长，其延长期与不可抗力影响期相同。</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2.不可抗力事件发生后，应立即通知对方，并寄送有关权威机构出具的证明。</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3.不可抗力事件延续120天以上，双方应通过友好协商，确定是否继续履行合同。</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十七、诉讼</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 xml:space="preserve"> 双方在执行合同中所发生的一切争议，应通过协商解决。如协商不成，可向甲方所在地法院起诉。</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十八、合同生效及其它</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1.合同经双方法定代表人或授权代表签字并加盖单位公章后生效。</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2.合同执行中涉及采购资金和采购内容修改或补充的，须经财政部门审批，并签书面补充协议报政府采购监督管理部门备案，方可作为主合同不可分割的一部分。</w:t>
      </w:r>
    </w:p>
    <w:p>
      <w:pPr>
        <w:pStyle w:val="28"/>
        <w:snapToGrid w:val="0"/>
        <w:spacing w:line="360" w:lineRule="auto"/>
        <w:ind w:firstLine="480" w:firstLineChars="200"/>
        <w:rPr>
          <w:rFonts w:hAnsi="宋体"/>
          <w:color w:val="000000"/>
          <w:sz w:val="24"/>
          <w:szCs w:val="24"/>
          <w:lang w:val="zh-CN"/>
        </w:rPr>
      </w:pPr>
      <w:r>
        <w:rPr>
          <w:rFonts w:hint="eastAsia" w:hAnsi="宋体"/>
          <w:color w:val="000000"/>
          <w:sz w:val="24"/>
          <w:szCs w:val="24"/>
          <w:lang w:val="zh-CN"/>
        </w:rPr>
        <w:t>3.本合同未尽事宜，遵照《中华人民共和国民法典》有关条文执行。</w:t>
      </w:r>
    </w:p>
    <w:p>
      <w:pPr>
        <w:widowControl/>
        <w:snapToGrid w:val="0"/>
        <w:spacing w:line="360" w:lineRule="auto"/>
        <w:ind w:firstLine="480" w:firstLineChars="200"/>
        <w:jc w:val="left"/>
        <w:rPr>
          <w:rFonts w:ascii="宋体" w:hAnsi="宋体"/>
          <w:sz w:val="24"/>
          <w:szCs w:val="24"/>
        </w:rPr>
      </w:pPr>
      <w:r>
        <w:rPr>
          <w:rFonts w:hint="eastAsia" w:hAnsi="宋体"/>
          <w:color w:val="000000"/>
          <w:sz w:val="24"/>
          <w:szCs w:val="24"/>
          <w:lang w:val="zh-CN"/>
        </w:rPr>
        <w:t>4.本合同一式六份，具有同等法律效力，甲乙双方各执二份；浙江华域高宇项目管理有限公司、仙居县财政局政府采购监管科各一份。</w:t>
      </w:r>
    </w:p>
    <w:p>
      <w:pPr>
        <w:snapToGrid w:val="0"/>
        <w:spacing w:line="360" w:lineRule="auto"/>
        <w:ind w:firstLine="588" w:firstLineChars="245"/>
        <w:rPr>
          <w:rFonts w:ascii="宋体" w:hAnsi="宋体"/>
          <w:sz w:val="24"/>
          <w:szCs w:val="24"/>
        </w:rPr>
      </w:pPr>
    </w:p>
    <w:p>
      <w:pPr>
        <w:pStyle w:val="106"/>
        <w:widowControl/>
        <w:snapToGrid w:val="0"/>
        <w:spacing w:beforeLines="0" w:afterLines="0" w:line="360" w:lineRule="auto"/>
        <w:ind w:firstLine="480" w:firstLineChars="200"/>
        <w:rPr>
          <w:rFonts w:hAnsi="宋体" w:cs="宋体"/>
          <w:b/>
          <w:sz w:val="24"/>
          <w:szCs w:val="24"/>
        </w:rPr>
      </w:pPr>
      <w:r>
        <w:rPr>
          <w:rFonts w:hint="eastAsia" w:hAnsi="宋体" w:cs="宋体"/>
          <w:sz w:val="24"/>
          <w:szCs w:val="24"/>
        </w:rPr>
        <w:t>甲方：（盖章）                       乙方：（盖章）</w:t>
      </w:r>
    </w:p>
    <w:p>
      <w:pPr>
        <w:pStyle w:val="106"/>
        <w:widowControl/>
        <w:snapToGrid w:val="0"/>
        <w:spacing w:beforeLines="0" w:afterLines="0" w:line="360" w:lineRule="auto"/>
        <w:ind w:firstLine="480" w:firstLineChars="200"/>
        <w:rPr>
          <w:rFonts w:hAnsi="宋体" w:cs="宋体"/>
          <w:b/>
          <w:sz w:val="24"/>
          <w:szCs w:val="24"/>
        </w:rPr>
      </w:pPr>
      <w:r>
        <w:rPr>
          <w:rFonts w:hint="eastAsia" w:hAnsi="宋体" w:cs="宋体"/>
          <w:sz w:val="24"/>
          <w:szCs w:val="24"/>
        </w:rPr>
        <w:t>地址：                               地址：</w:t>
      </w:r>
    </w:p>
    <w:p>
      <w:pPr>
        <w:pStyle w:val="106"/>
        <w:widowControl/>
        <w:snapToGrid w:val="0"/>
        <w:spacing w:beforeLines="0" w:afterLines="0" w:line="360" w:lineRule="auto"/>
        <w:ind w:firstLine="480" w:firstLineChars="200"/>
        <w:rPr>
          <w:rFonts w:hAnsi="宋体" w:cs="宋体"/>
          <w:b/>
          <w:sz w:val="24"/>
          <w:szCs w:val="24"/>
        </w:rPr>
      </w:pPr>
      <w:r>
        <w:rPr>
          <w:rFonts w:hint="eastAsia" w:hAnsi="宋体" w:cs="宋体"/>
          <w:sz w:val="24"/>
          <w:szCs w:val="24"/>
        </w:rPr>
        <w:t>联系电话：                           联系电话：</w:t>
      </w:r>
    </w:p>
    <w:p>
      <w:pPr>
        <w:pStyle w:val="106"/>
        <w:widowControl/>
        <w:snapToGrid w:val="0"/>
        <w:spacing w:beforeLines="0" w:afterLines="0" w:line="360" w:lineRule="auto"/>
        <w:ind w:firstLine="480" w:firstLineChars="200"/>
        <w:rPr>
          <w:rFonts w:hAnsi="宋体" w:cs="宋体"/>
          <w:b/>
          <w:sz w:val="24"/>
          <w:szCs w:val="24"/>
        </w:rPr>
      </w:pPr>
      <w:r>
        <w:rPr>
          <w:rFonts w:hint="eastAsia" w:hAnsi="宋体" w:cs="宋体"/>
          <w:sz w:val="24"/>
          <w:szCs w:val="24"/>
        </w:rPr>
        <w:t>法定代表人：                         法定代表人：</w:t>
      </w:r>
    </w:p>
    <w:p>
      <w:pPr>
        <w:pStyle w:val="106"/>
        <w:widowControl/>
        <w:snapToGrid w:val="0"/>
        <w:spacing w:beforeLines="0" w:afterLines="0" w:line="360" w:lineRule="auto"/>
        <w:ind w:firstLine="480" w:firstLineChars="200"/>
        <w:rPr>
          <w:rFonts w:hAnsi="宋体" w:cs="宋体"/>
          <w:b/>
          <w:sz w:val="24"/>
          <w:szCs w:val="24"/>
        </w:rPr>
      </w:pPr>
      <w:r>
        <w:rPr>
          <w:rFonts w:hint="eastAsia" w:hAnsi="宋体" w:cs="宋体"/>
          <w:sz w:val="24"/>
          <w:szCs w:val="24"/>
        </w:rPr>
        <w:t>或授权委托人：（签字或签章）         或授权委托人：（签字或签章）</w:t>
      </w:r>
    </w:p>
    <w:p>
      <w:pPr>
        <w:pStyle w:val="106"/>
        <w:widowControl/>
        <w:snapToGrid w:val="0"/>
        <w:spacing w:beforeLines="0" w:afterLines="0" w:line="360" w:lineRule="auto"/>
        <w:ind w:firstLine="480" w:firstLineChars="200"/>
        <w:rPr>
          <w:rFonts w:hAnsi="宋体" w:cs="宋体"/>
          <w:b/>
          <w:sz w:val="24"/>
          <w:szCs w:val="24"/>
        </w:rPr>
      </w:pPr>
      <w:r>
        <w:rPr>
          <w:rFonts w:hint="eastAsia" w:hAnsi="宋体" w:cs="宋体"/>
          <w:sz w:val="24"/>
          <w:szCs w:val="24"/>
        </w:rPr>
        <w:t>账户名称：                           账户名称：</w:t>
      </w:r>
    </w:p>
    <w:p>
      <w:pPr>
        <w:pStyle w:val="106"/>
        <w:widowControl/>
        <w:snapToGrid w:val="0"/>
        <w:spacing w:beforeLines="0" w:afterLines="0" w:line="360" w:lineRule="auto"/>
        <w:ind w:firstLine="480" w:firstLineChars="200"/>
        <w:rPr>
          <w:rFonts w:hAnsi="宋体" w:cs="宋体"/>
          <w:b/>
          <w:sz w:val="24"/>
          <w:szCs w:val="24"/>
        </w:rPr>
      </w:pPr>
      <w:r>
        <w:rPr>
          <w:rFonts w:hint="eastAsia" w:hAnsi="宋体" w:cs="宋体"/>
          <w:sz w:val="24"/>
          <w:szCs w:val="24"/>
        </w:rPr>
        <w:t>开户银行：　　　　　　　　　　　　   开户银行：</w:t>
      </w:r>
    </w:p>
    <w:p>
      <w:pPr>
        <w:pStyle w:val="106"/>
        <w:widowControl/>
        <w:snapToGrid w:val="0"/>
        <w:spacing w:beforeLines="0" w:afterLines="0" w:line="360" w:lineRule="auto"/>
        <w:ind w:firstLine="480" w:firstLineChars="200"/>
        <w:rPr>
          <w:rFonts w:hAnsi="宋体" w:cs="宋体"/>
          <w:b/>
          <w:sz w:val="24"/>
          <w:szCs w:val="24"/>
        </w:rPr>
      </w:pPr>
      <w:r>
        <w:rPr>
          <w:rFonts w:hint="eastAsia" w:hAnsi="宋体" w:cs="宋体"/>
          <w:sz w:val="24"/>
          <w:szCs w:val="24"/>
        </w:rPr>
        <w:t>账号：　　　　　　　　　　　　　   　账号：</w:t>
      </w:r>
    </w:p>
    <w:p>
      <w:pPr>
        <w:pStyle w:val="106"/>
        <w:widowControl/>
        <w:snapToGrid w:val="0"/>
        <w:spacing w:beforeLines="0" w:afterLines="0" w:line="360" w:lineRule="auto"/>
        <w:ind w:firstLine="480" w:firstLineChars="200"/>
        <w:rPr>
          <w:rFonts w:hAnsi="宋体" w:cs="宋体"/>
          <w:b/>
          <w:sz w:val="24"/>
          <w:szCs w:val="24"/>
        </w:rPr>
      </w:pPr>
      <w:r>
        <w:rPr>
          <w:rFonts w:hint="eastAsia" w:hAnsi="宋体" w:cs="宋体"/>
          <w:sz w:val="24"/>
          <w:szCs w:val="24"/>
        </w:rPr>
        <w:t>签订地址：仙居县                     签订地址：仙居县</w:t>
      </w:r>
    </w:p>
    <w:p>
      <w:pPr>
        <w:snapToGrid w:val="0"/>
        <w:spacing w:line="360" w:lineRule="auto"/>
        <w:jc w:val="center"/>
        <w:rPr>
          <w:rFonts w:ascii="宋体" w:hAnsi="宋体"/>
          <w:szCs w:val="21"/>
        </w:rPr>
      </w:pPr>
      <w:r>
        <w:rPr>
          <w:rFonts w:hint="eastAsia" w:ascii="宋体" w:hAnsi="宋体" w:cs="宋体"/>
          <w:sz w:val="24"/>
          <w:szCs w:val="24"/>
        </w:rPr>
        <w:t>签订日期：     年   月  日           签订日期：     年   月   日</w:t>
      </w:r>
    </w:p>
    <w:p>
      <w:pPr>
        <w:pStyle w:val="5"/>
        <w:spacing w:before="100" w:beforeAutospacing="1"/>
        <w:ind w:firstLine="422" w:firstLineChars="200"/>
        <w:jc w:val="center"/>
        <w:rPr>
          <w:b w:val="0"/>
          <w:color w:val="000000"/>
        </w:rPr>
      </w:pPr>
      <w:r>
        <w:rPr>
          <w:rFonts w:ascii="宋体" w:hAnsi="宋体" w:eastAsia="宋体" w:cs="宋体"/>
          <w:sz w:val="21"/>
          <w:szCs w:val="21"/>
        </w:rPr>
        <w:br w:type="page"/>
      </w:r>
      <w:r>
        <w:rPr>
          <w:rFonts w:hint="eastAsia"/>
          <w:b w:val="0"/>
          <w:color w:val="000000"/>
        </w:rPr>
        <w:t>第六章投标文件格式</w:t>
      </w:r>
      <w:bookmarkEnd w:id="29"/>
      <w:bookmarkEnd w:id="30"/>
      <w:bookmarkStart w:id="31" w:name="_Toc205087903"/>
      <w:bookmarkStart w:id="32" w:name="_Toc205087913"/>
      <w:bookmarkStart w:id="33" w:name="_Toc199314553"/>
      <w:bookmarkStart w:id="34" w:name="_Toc194223719"/>
      <w:bookmarkStart w:id="35" w:name="_Toc240724400"/>
      <w:bookmarkStart w:id="36" w:name="_Toc295986635"/>
      <w:bookmarkStart w:id="37" w:name="_Toc199314545"/>
    </w:p>
    <w:bookmarkEnd w:id="31"/>
    <w:bookmarkEnd w:id="32"/>
    <w:bookmarkEnd w:id="33"/>
    <w:bookmarkEnd w:id="34"/>
    <w:bookmarkEnd w:id="35"/>
    <w:bookmarkEnd w:id="36"/>
    <w:bookmarkEnd w:id="37"/>
    <w:p>
      <w:pPr>
        <w:spacing w:line="360" w:lineRule="auto"/>
        <w:rPr>
          <w:rFonts w:ascii="宋体" w:hAnsi="宋体" w:cs="宋体"/>
          <w:b/>
          <w:bCs/>
          <w:sz w:val="28"/>
          <w:szCs w:val="28"/>
        </w:rPr>
      </w:pPr>
      <w:r>
        <w:rPr>
          <w:rFonts w:hint="eastAsia" w:ascii="宋体" w:hAnsi="宋体" w:cs="宋体"/>
          <w:b/>
          <w:bCs/>
          <w:sz w:val="28"/>
          <w:szCs w:val="28"/>
        </w:rPr>
        <w:t>投标文件封面样式</w:t>
      </w:r>
    </w:p>
    <w:p>
      <w:pPr>
        <w:pStyle w:val="29"/>
        <w:spacing w:line="480" w:lineRule="auto"/>
        <w:ind w:left="0" w:leftChars="0" w:right="280"/>
        <w:jc w:val="right"/>
        <w:rPr>
          <w:rFonts w:ascii="宋体" w:hAnsi="宋体" w:cs="宋体"/>
          <w:b/>
          <w:sz w:val="28"/>
        </w:rPr>
      </w:pPr>
    </w:p>
    <w:p>
      <w:pPr>
        <w:rPr>
          <w:rFonts w:ascii="宋体" w:hAnsi="宋体" w:cs="宋体"/>
          <w:b/>
          <w:sz w:val="28"/>
        </w:rPr>
      </w:pPr>
    </w:p>
    <w:p>
      <w:pPr>
        <w:spacing w:line="360" w:lineRule="auto"/>
        <w:jc w:val="center"/>
        <w:rPr>
          <w:rFonts w:ascii="宋体" w:hAnsi="宋体" w:cs="宋体"/>
          <w:sz w:val="84"/>
        </w:rPr>
      </w:pPr>
      <w:r>
        <w:rPr>
          <w:rFonts w:hint="eastAsia" w:ascii="宋体" w:hAnsi="宋体" w:cs="宋体"/>
          <w:sz w:val="84"/>
        </w:rPr>
        <w:t>投 标 文 件</w:t>
      </w:r>
    </w:p>
    <w:p>
      <w:pPr>
        <w:pStyle w:val="29"/>
        <w:ind w:left="0" w:leftChars="0" w:right="280"/>
        <w:jc w:val="center"/>
        <w:rPr>
          <w:rFonts w:ascii="宋体" w:hAnsi="宋体" w:cs="宋体"/>
          <w:b/>
          <w:sz w:val="32"/>
          <w:szCs w:val="32"/>
        </w:rPr>
      </w:pPr>
      <w:r>
        <w:rPr>
          <w:rFonts w:hint="eastAsia" w:ascii="宋体" w:hAnsi="宋体" w:cs="宋体"/>
          <w:b/>
          <w:sz w:val="32"/>
          <w:szCs w:val="32"/>
          <w:lang w:val="zh-CN"/>
        </w:rPr>
        <w:t>“</w:t>
      </w:r>
      <w:r>
        <w:rPr>
          <w:rFonts w:hint="eastAsia" w:ascii="宋体" w:hAnsi="宋体" w:cs="宋体"/>
          <w:b/>
          <w:sz w:val="32"/>
          <w:szCs w:val="32"/>
        </w:rPr>
        <w:t>资格证明文件”或</w:t>
      </w:r>
      <w:r>
        <w:rPr>
          <w:rFonts w:hint="eastAsia" w:ascii="宋体" w:hAnsi="宋体" w:cs="宋体"/>
          <w:b/>
          <w:sz w:val="32"/>
          <w:szCs w:val="32"/>
          <w:lang w:val="zh-CN"/>
        </w:rPr>
        <w:t>“</w:t>
      </w:r>
      <w:r>
        <w:rPr>
          <w:rFonts w:hint="eastAsia" w:ascii="宋体" w:hAnsi="宋体" w:cs="宋体"/>
          <w:b/>
          <w:sz w:val="32"/>
          <w:szCs w:val="32"/>
        </w:rPr>
        <w:t>商务与技术文件”或“报价文件”</w:t>
      </w:r>
    </w:p>
    <w:p>
      <w:pPr>
        <w:pStyle w:val="29"/>
        <w:ind w:left="0" w:leftChars="0" w:right="280"/>
        <w:jc w:val="center"/>
        <w:rPr>
          <w:rFonts w:ascii="宋体" w:hAnsi="宋体" w:cs="宋体"/>
          <w:b/>
          <w:sz w:val="32"/>
          <w:szCs w:val="32"/>
        </w:rPr>
      </w:pPr>
      <w:r>
        <w:rPr>
          <w:rFonts w:hint="eastAsia" w:ascii="宋体" w:hAnsi="宋体" w:cs="宋体"/>
          <w:b/>
          <w:sz w:val="32"/>
          <w:szCs w:val="32"/>
        </w:rPr>
        <w:t>（请选择）</w:t>
      </w:r>
    </w:p>
    <w:p>
      <w:pPr>
        <w:rPr>
          <w:rFonts w:ascii="宋体" w:hAnsi="宋体" w:cs="宋体"/>
        </w:rPr>
      </w:pPr>
    </w:p>
    <w:p>
      <w:pPr>
        <w:rPr>
          <w:rFonts w:ascii="宋体" w:hAnsi="宋体" w:cs="宋体"/>
        </w:rPr>
      </w:pPr>
    </w:p>
    <w:p>
      <w:pPr>
        <w:rPr>
          <w:rFonts w:ascii="宋体" w:hAnsi="宋体" w:cs="宋体"/>
          <w:sz w:val="28"/>
          <w:szCs w:val="28"/>
        </w:rPr>
      </w:pPr>
    </w:p>
    <w:p>
      <w:pPr>
        <w:pStyle w:val="2"/>
        <w:rPr>
          <w:rFonts w:ascii="宋体" w:hAnsi="宋体" w:cs="宋体"/>
          <w:sz w:val="28"/>
          <w:szCs w:val="28"/>
        </w:rPr>
      </w:pPr>
      <w:r>
        <w:rPr>
          <w:rFonts w:hint="eastAsia" w:ascii="宋体" w:hAnsi="宋体" w:cs="宋体"/>
          <w:b/>
          <w:bCs/>
          <w:sz w:val="28"/>
          <w:szCs w:val="28"/>
        </w:rPr>
        <w:t>标项号 （如有）</w:t>
      </w:r>
    </w:p>
    <w:p>
      <w:pPr>
        <w:rPr>
          <w:rFonts w:ascii="宋体" w:hAnsi="宋体" w:cs="宋体"/>
        </w:rPr>
      </w:pPr>
    </w:p>
    <w:p>
      <w:pPr>
        <w:pStyle w:val="28"/>
        <w:spacing w:before="156" w:after="156" w:line="480" w:lineRule="auto"/>
        <w:jc w:val="center"/>
        <w:rPr>
          <w:rFonts w:hAnsi="宋体" w:cs="宋体"/>
          <w:b/>
          <w:sz w:val="28"/>
        </w:rPr>
      </w:pPr>
    </w:p>
    <w:p>
      <w:pPr>
        <w:pStyle w:val="28"/>
        <w:spacing w:before="156" w:after="156" w:line="480" w:lineRule="auto"/>
        <w:ind w:firstLine="980" w:firstLineChars="350"/>
        <w:rPr>
          <w:rFonts w:hAnsi="宋体" w:cs="宋体"/>
          <w:b/>
          <w:bCs/>
          <w:sz w:val="28"/>
          <w:szCs w:val="28"/>
          <w:u w:val="single"/>
        </w:rPr>
      </w:pPr>
      <w:r>
        <w:rPr>
          <w:rFonts w:hint="eastAsia" w:hAnsi="宋体" w:cs="宋体"/>
          <w:bCs/>
          <w:sz w:val="28"/>
          <w:szCs w:val="28"/>
          <w:lang w:val="zh-CN"/>
        </w:rPr>
        <w:t>项目编号:</w:t>
      </w:r>
    </w:p>
    <w:p>
      <w:pPr>
        <w:pStyle w:val="28"/>
        <w:spacing w:before="156" w:after="156" w:line="480" w:lineRule="auto"/>
        <w:ind w:firstLine="980" w:firstLineChars="350"/>
        <w:rPr>
          <w:rFonts w:hAnsi="宋体" w:cs="宋体"/>
          <w:b/>
          <w:bCs/>
          <w:sz w:val="28"/>
          <w:szCs w:val="28"/>
          <w:u w:val="single"/>
        </w:rPr>
      </w:pPr>
      <w:r>
        <w:rPr>
          <w:rFonts w:hint="eastAsia" w:hAnsi="宋体" w:cs="宋体"/>
          <w:sz w:val="28"/>
          <w:szCs w:val="28"/>
        </w:rPr>
        <w:t>项目名</w:t>
      </w:r>
      <w:r>
        <w:rPr>
          <w:rFonts w:hint="eastAsia" w:hAnsi="宋体" w:cs="宋体"/>
          <w:bCs/>
          <w:sz w:val="28"/>
          <w:szCs w:val="28"/>
        </w:rPr>
        <w:t>称</w:t>
      </w:r>
      <w:r>
        <w:rPr>
          <w:rFonts w:hint="eastAsia" w:hAnsi="宋体" w:cs="宋体"/>
          <w:bCs/>
          <w:sz w:val="28"/>
          <w:szCs w:val="28"/>
          <w:lang w:val="zh-CN"/>
        </w:rPr>
        <w:t>:</w:t>
      </w:r>
    </w:p>
    <w:p>
      <w:pPr>
        <w:spacing w:line="360" w:lineRule="auto"/>
        <w:ind w:firstLine="2744" w:firstLineChars="980"/>
        <w:jc w:val="left"/>
        <w:rPr>
          <w:rFonts w:ascii="宋体" w:hAnsi="宋体" w:cs="宋体"/>
          <w:sz w:val="28"/>
          <w:szCs w:val="44"/>
        </w:rPr>
      </w:pPr>
    </w:p>
    <w:p>
      <w:pPr>
        <w:spacing w:line="360" w:lineRule="auto"/>
        <w:jc w:val="left"/>
        <w:rPr>
          <w:rFonts w:ascii="宋体" w:hAnsi="宋体" w:cs="宋体"/>
          <w:sz w:val="28"/>
          <w:szCs w:val="44"/>
        </w:rPr>
      </w:pPr>
    </w:p>
    <w:p>
      <w:pPr>
        <w:spacing w:line="360" w:lineRule="auto"/>
        <w:ind w:firstLine="980" w:firstLineChars="350"/>
        <w:jc w:val="left"/>
        <w:rPr>
          <w:rFonts w:ascii="宋体" w:hAnsi="宋体" w:cs="宋体"/>
          <w:sz w:val="28"/>
          <w:szCs w:val="44"/>
          <w:u w:val="single"/>
        </w:rPr>
      </w:pPr>
      <w:r>
        <w:rPr>
          <w:rFonts w:hint="eastAsia" w:ascii="宋体" w:hAnsi="宋体" w:cs="宋体"/>
          <w:sz w:val="28"/>
          <w:szCs w:val="44"/>
        </w:rPr>
        <w:t>投标人名称：（盖单位章）</w:t>
      </w:r>
    </w:p>
    <w:p>
      <w:pPr>
        <w:spacing w:beforeLines="50" w:line="360" w:lineRule="auto"/>
        <w:ind w:firstLine="3920" w:firstLineChars="1400"/>
        <w:jc w:val="left"/>
        <w:rPr>
          <w:rFonts w:ascii="宋体" w:hAnsi="宋体" w:cs="宋体"/>
          <w:sz w:val="28"/>
        </w:rPr>
      </w:pPr>
      <w:r>
        <w:rPr>
          <w:rFonts w:hint="eastAsia" w:ascii="宋体" w:hAnsi="宋体" w:cs="宋体"/>
          <w:sz w:val="28"/>
        </w:rPr>
        <w:t>年   月   日</w:t>
      </w:r>
    </w:p>
    <w:p>
      <w:pPr>
        <w:spacing w:before="50" w:after="50" w:line="360" w:lineRule="auto"/>
        <w:rPr>
          <w:rFonts w:ascii="宋体" w:hAnsi="宋体" w:cs="宋体"/>
          <w:sz w:val="24"/>
        </w:rPr>
        <w:sectPr>
          <w:footerReference r:id="rId5" w:type="default"/>
          <w:pgSz w:w="11906" w:h="16838"/>
          <w:pgMar w:top="1440" w:right="1587" w:bottom="1440" w:left="1587" w:header="851" w:footer="992" w:gutter="0"/>
          <w:cols w:space="720" w:num="1"/>
          <w:docGrid w:type="lines" w:linePitch="312" w:charSpace="0"/>
        </w:sectPr>
      </w:pPr>
    </w:p>
    <w:p>
      <w:pPr>
        <w:pStyle w:val="5"/>
        <w:spacing w:beforeLines="100"/>
        <w:jc w:val="center"/>
        <w:rPr>
          <w:rFonts w:ascii="宋体" w:hAnsi="宋体" w:eastAsia="宋体" w:cs="宋体"/>
          <w:lang w:val="zh-CN"/>
        </w:rPr>
      </w:pPr>
      <w:bookmarkStart w:id="38" w:name="_Toc14856"/>
      <w:bookmarkStart w:id="39" w:name="_Toc528927455"/>
      <w:bookmarkStart w:id="40" w:name="_Toc528578413"/>
      <w:bookmarkStart w:id="41" w:name="_Toc528927456"/>
      <w:bookmarkStart w:id="42" w:name="_Toc528578414"/>
      <w:r>
        <w:rPr>
          <w:rFonts w:hint="eastAsia" w:ascii="宋体" w:hAnsi="宋体" w:eastAsia="宋体" w:cs="宋体"/>
          <w:lang w:val="zh-CN"/>
        </w:rPr>
        <w:t>1、资格证明文件格式</w:t>
      </w:r>
      <w:bookmarkEnd w:id="38"/>
      <w:bookmarkEnd w:id="39"/>
      <w:bookmarkEnd w:id="40"/>
    </w:p>
    <w:p>
      <w:pPr>
        <w:spacing w:before="100" w:beforeAutospacing="1" w:line="480" w:lineRule="auto"/>
        <w:jc w:val="center"/>
        <w:rPr>
          <w:rFonts w:ascii="宋体" w:hAnsi="宋体" w:cs="宋体"/>
          <w:b/>
          <w:bCs/>
          <w:color w:val="000000"/>
          <w:sz w:val="32"/>
          <w:szCs w:val="32"/>
        </w:rPr>
      </w:pPr>
      <w:r>
        <w:rPr>
          <w:rFonts w:hint="eastAsia" w:ascii="宋体" w:hAnsi="宋体" w:cs="宋体"/>
          <w:b/>
          <w:bCs/>
          <w:color w:val="000000"/>
          <w:sz w:val="32"/>
          <w:szCs w:val="32"/>
        </w:rPr>
        <w:t>目  录</w:t>
      </w:r>
    </w:p>
    <w:p>
      <w:pPr>
        <w:spacing w:line="360" w:lineRule="auto"/>
        <w:jc w:val="center"/>
        <w:rPr>
          <w:rFonts w:ascii="宋体" w:hAnsi="宋体" w:cs="宋体"/>
          <w:sz w:val="24"/>
        </w:rPr>
      </w:pPr>
      <w:r>
        <w:rPr>
          <w:rFonts w:hint="eastAsia" w:ascii="宋体" w:hAnsi="宋体" w:cs="宋体"/>
          <w:sz w:val="24"/>
        </w:rPr>
        <w:t>（按照“第三章 投标人须知”有关资格证明文件组成要求编排）</w:t>
      </w:r>
    </w:p>
    <w:p>
      <w:pPr>
        <w:spacing w:before="100" w:beforeAutospacing="1" w:line="480" w:lineRule="auto"/>
        <w:jc w:val="center"/>
        <w:rPr>
          <w:rFonts w:ascii="宋体" w:hAnsi="宋体" w:cs="宋体"/>
          <w:b/>
          <w:bCs/>
          <w:color w:val="000000"/>
          <w:sz w:val="32"/>
          <w:szCs w:val="32"/>
        </w:rPr>
      </w:pPr>
    </w:p>
    <w:p>
      <w:pPr>
        <w:spacing w:before="100" w:beforeAutospacing="1" w:line="360" w:lineRule="auto"/>
        <w:rPr>
          <w:rFonts w:ascii="宋体" w:hAnsi="宋体" w:cs="宋体"/>
          <w:b/>
          <w:bCs/>
          <w:color w:val="000000"/>
          <w:sz w:val="24"/>
        </w:rPr>
        <w:sectPr>
          <w:pgSz w:w="11906" w:h="16838"/>
          <w:pgMar w:top="1440" w:right="1587" w:bottom="1440" w:left="1587" w:header="851" w:footer="992" w:gutter="0"/>
          <w:cols w:space="720" w:num="1"/>
          <w:docGrid w:type="lines" w:linePitch="312" w:charSpace="0"/>
        </w:sectPr>
      </w:pPr>
    </w:p>
    <w:p>
      <w:pPr>
        <w:spacing w:line="450" w:lineRule="atLeast"/>
        <w:jc w:val="left"/>
        <w:rPr>
          <w:rFonts w:ascii="宋体" w:hAnsi="宋体" w:cs="宋体"/>
          <w:b/>
          <w:bCs/>
          <w:color w:val="000000"/>
          <w:sz w:val="24"/>
        </w:rPr>
      </w:pPr>
      <w:r>
        <w:rPr>
          <w:rFonts w:hint="eastAsia" w:ascii="宋体" w:hAnsi="宋体" w:cs="宋体"/>
          <w:b/>
          <w:bCs/>
          <w:color w:val="000000"/>
          <w:sz w:val="24"/>
        </w:rPr>
        <w:t>附件1：</w:t>
      </w:r>
    </w:p>
    <w:p>
      <w:pPr>
        <w:spacing w:line="450" w:lineRule="atLeast"/>
        <w:jc w:val="center"/>
        <w:rPr>
          <w:rFonts w:ascii="宋体" w:hAnsi="宋体" w:cs="仿宋_GB2312"/>
          <w:b/>
          <w:bCs/>
          <w:color w:val="000000"/>
          <w:kern w:val="0"/>
          <w:sz w:val="32"/>
          <w:szCs w:val="32"/>
          <w:lang w:val="zh-CN"/>
        </w:rPr>
      </w:pPr>
      <w:r>
        <w:rPr>
          <w:rFonts w:hint="eastAsia" w:ascii="宋体" w:hAnsi="宋体" w:cs="仿宋_GB2312"/>
          <w:b/>
          <w:bCs/>
          <w:color w:val="000000"/>
          <w:kern w:val="0"/>
          <w:sz w:val="32"/>
          <w:szCs w:val="32"/>
          <w:lang w:val="zh-CN"/>
        </w:rPr>
        <w:t>投标声明书</w:t>
      </w:r>
    </w:p>
    <w:p>
      <w:pPr>
        <w:spacing w:line="360" w:lineRule="auto"/>
        <w:jc w:val="left"/>
        <w:rPr>
          <w:rFonts w:ascii="Arial" w:hAnsi="Arial" w:cs="Arial"/>
          <w:color w:val="000000"/>
          <w:sz w:val="24"/>
          <w:szCs w:val="24"/>
        </w:rPr>
      </w:pPr>
    </w:p>
    <w:p>
      <w:pPr>
        <w:spacing w:line="360" w:lineRule="auto"/>
        <w:jc w:val="left"/>
        <w:rPr>
          <w:rFonts w:ascii="宋体" w:hAnsi="宋体"/>
          <w:color w:val="000000"/>
          <w:sz w:val="24"/>
          <w:szCs w:val="24"/>
        </w:rPr>
      </w:pPr>
      <w:r>
        <w:rPr>
          <w:rFonts w:hint="eastAsia" w:ascii="宋体" w:hAnsi="宋体"/>
          <w:color w:val="000000"/>
          <w:sz w:val="24"/>
          <w:szCs w:val="24"/>
        </w:rPr>
        <w:t>中共仙居县委政法委员会：</w:t>
      </w:r>
    </w:p>
    <w:p>
      <w:pPr>
        <w:pStyle w:val="28"/>
        <w:spacing w:line="360" w:lineRule="auto"/>
        <w:ind w:firstLine="597" w:firstLineChars="249"/>
        <w:rPr>
          <w:rFonts w:hAnsi="宋体"/>
          <w:color w:val="000000"/>
          <w:sz w:val="24"/>
          <w:szCs w:val="24"/>
        </w:rPr>
      </w:pPr>
      <w:r>
        <w:rPr>
          <w:rFonts w:hint="eastAsia" w:hAnsi="宋体"/>
          <w:color w:val="000000"/>
          <w:sz w:val="24"/>
          <w:szCs w:val="24"/>
          <w:u w:val="single"/>
        </w:rPr>
        <w:t xml:space="preserve">              (投标人全称)                  </w:t>
      </w:r>
      <w:r>
        <w:rPr>
          <w:rFonts w:hint="eastAsia" w:hAnsi="宋体"/>
          <w:color w:val="000000"/>
          <w:sz w:val="24"/>
          <w:szCs w:val="24"/>
        </w:rPr>
        <w:t>系中华人民共和国合法企业，经营地址。</w:t>
      </w:r>
    </w:p>
    <w:p>
      <w:pPr>
        <w:spacing w:line="360" w:lineRule="auto"/>
        <w:ind w:firstLine="480" w:firstLineChars="200"/>
        <w:jc w:val="left"/>
        <w:rPr>
          <w:rFonts w:ascii="宋体" w:hAnsi="宋体"/>
          <w:b/>
          <w:color w:val="000000"/>
          <w:sz w:val="24"/>
          <w:szCs w:val="24"/>
          <w:u w:val="single"/>
        </w:rPr>
      </w:pPr>
      <w:r>
        <w:rPr>
          <w:rFonts w:hint="eastAsia" w:ascii="宋体" w:hAnsi="宋体"/>
          <w:color w:val="000000"/>
          <w:sz w:val="24"/>
          <w:szCs w:val="24"/>
        </w:rPr>
        <w:t>我</w:t>
      </w:r>
      <w:r>
        <w:rPr>
          <w:rFonts w:hint="eastAsia" w:ascii="宋体" w:hAnsi="宋体"/>
          <w:color w:val="000000"/>
          <w:sz w:val="24"/>
          <w:szCs w:val="24"/>
          <w:u w:val="single"/>
        </w:rPr>
        <w:t xml:space="preserve">    （姓名）     </w:t>
      </w:r>
      <w:r>
        <w:rPr>
          <w:rFonts w:hint="eastAsia" w:ascii="宋体" w:hAnsi="宋体"/>
          <w:color w:val="000000"/>
          <w:sz w:val="24"/>
          <w:szCs w:val="24"/>
        </w:rPr>
        <w:t>系上述企业的法定代表人（或营业执照中明确的负责人），参加贵方组织的</w:t>
      </w:r>
      <w:r>
        <w:rPr>
          <w:rFonts w:hint="eastAsia" w:ascii="宋体" w:hAnsi="宋体"/>
          <w:b/>
          <w:color w:val="000000"/>
          <w:sz w:val="24"/>
          <w:szCs w:val="24"/>
          <w:u w:val="single"/>
          <w:lang w:eastAsia="zh-CN"/>
        </w:rPr>
        <w:t>GYTZ[2022]-021</w:t>
      </w:r>
      <w:r>
        <w:rPr>
          <w:rFonts w:hint="eastAsia" w:ascii="宋体" w:hAnsi="宋体"/>
          <w:b/>
          <w:color w:val="000000"/>
          <w:sz w:val="24"/>
          <w:szCs w:val="24"/>
          <w:u w:val="single"/>
        </w:rPr>
        <w:t>、仙居县基层矛调“五环智控”应用</w:t>
      </w:r>
      <w:r>
        <w:rPr>
          <w:rFonts w:hint="eastAsia" w:ascii="宋体" w:hAnsi="宋体"/>
          <w:color w:val="000000"/>
          <w:sz w:val="24"/>
          <w:szCs w:val="24"/>
        </w:rPr>
        <w:t>的投标。为便于贵方公正、择优地确定中标人以及投标产品和服务，我方就本次投标有关事项郑重承诺如下：</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1、我方向贵方提交的所有投标文件、资料都是准确的和真实的。</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2、我方承诺已经具备《中华人民共和国政府采购法》、《中华人民共和国政府采购法实施条例》中规定的参加政府采购活动的投标人应当具备的条件，并真实提供相关材料。</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3、提供投标须知规定的全部投标文件，具体内容为：</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（1）资格证明文件</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（2）商务与技术文件；</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（3）报价文件；</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（4）投标人须知要求投标人提交的全部文件；</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4、按招标文件要求提供和交付的货物或服务的投标报价详见开标一览表。</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5、保证忠实地执行双方所签订的合同，并承担合同规定的责任和义务。</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6、保证遵守招标文件中的其他有关规定。</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7、我方的投标有效期自在开标日起90天内有效。</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8、我方完全理解贵方不一定要接受最低价的投标。</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9、我方在投标之前已经与贵方进行了充分的沟通，完全理解并接受招标文件的各项规定和要求，对招标文件的合理性、合法性不再有异议。</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10、我方愿意向贵方提供真实完整的任何与该项投标有关的数据、情况和技术资料。若贵方需要，我方愿意提供我方作出的一切承诺的证明材料。</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11、我方已详细审核全部招标文件，包括招标文件的澄清或修改文件（如有的话）、参考资料及有关附件，已经了解我方对于招标文件、采购过程、采购结果有依法进行询问、质疑、投诉的权利及相关渠道和要求。</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12、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a、提供虚假材料谋取中标、成交的；</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b、采取不正当手段诋毁、排挤其他投标人的；</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c、与采购人、其它投标人恶意串通的；</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d、向采购人行贿或者提供其他不正当利益的；</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e、拒绝有关部门监督检查或提供虚假情况的。</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13、如中标，本投标文件至本项目合同履行完毕止均保持有效，我方将按招标文件及政府采购法律、法规的规定履行合同责任和义务。</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14、以上事项如有虚假或隐瞒，我方愿意承担一切不利后果，并不再寻求任何旨在减轻或免除法律责任。</w:t>
      </w:r>
    </w:p>
    <w:p>
      <w:pPr>
        <w:spacing w:line="360" w:lineRule="auto"/>
        <w:jc w:val="left"/>
        <w:rPr>
          <w:rFonts w:ascii="宋体" w:hAnsi="宋体"/>
          <w:color w:val="000000"/>
          <w:sz w:val="24"/>
          <w:szCs w:val="24"/>
        </w:rPr>
      </w:pPr>
    </w:p>
    <w:p>
      <w:pPr>
        <w:spacing w:line="450" w:lineRule="atLeast"/>
        <w:jc w:val="left"/>
        <w:rPr>
          <w:rFonts w:ascii="宋体" w:hAnsi="宋体"/>
          <w:color w:val="000000"/>
          <w:sz w:val="24"/>
          <w:szCs w:val="24"/>
        </w:rPr>
      </w:pPr>
      <w:r>
        <w:rPr>
          <w:rFonts w:hint="eastAsia" w:ascii="宋体" w:hAnsi="宋体"/>
          <w:color w:val="000000"/>
          <w:sz w:val="24"/>
          <w:szCs w:val="24"/>
        </w:rPr>
        <w:t>     与本投标有关的一切往来通讯请寄：</w:t>
      </w:r>
    </w:p>
    <w:p>
      <w:pPr>
        <w:spacing w:line="450" w:lineRule="atLeast"/>
        <w:ind w:firstLine="240" w:firstLineChars="100"/>
        <w:jc w:val="left"/>
        <w:rPr>
          <w:rFonts w:ascii="宋体" w:hAnsi="宋体"/>
          <w:color w:val="000000"/>
          <w:sz w:val="24"/>
          <w:szCs w:val="24"/>
        </w:rPr>
      </w:pPr>
      <w:r>
        <w:rPr>
          <w:rFonts w:hint="eastAsia" w:ascii="宋体" w:hAnsi="宋体"/>
          <w:color w:val="000000"/>
          <w:sz w:val="24"/>
          <w:szCs w:val="24"/>
        </w:rPr>
        <w:t>地址：________________                   邮编：____________　</w:t>
      </w:r>
    </w:p>
    <w:p>
      <w:pPr>
        <w:spacing w:line="450" w:lineRule="atLeast"/>
        <w:ind w:firstLine="240" w:firstLineChars="100"/>
        <w:jc w:val="left"/>
        <w:rPr>
          <w:rFonts w:ascii="宋体" w:hAnsi="宋体"/>
          <w:color w:val="000000"/>
          <w:sz w:val="24"/>
          <w:szCs w:val="24"/>
        </w:rPr>
      </w:pPr>
      <w:r>
        <w:rPr>
          <w:rFonts w:hint="eastAsia" w:ascii="宋体" w:hAnsi="宋体"/>
          <w:color w:val="000000"/>
          <w:sz w:val="24"/>
          <w:szCs w:val="24"/>
        </w:rPr>
        <w:t>电话：________________　                 传真：____________</w:t>
      </w:r>
    </w:p>
    <w:p>
      <w:pPr>
        <w:spacing w:line="450" w:lineRule="atLeast"/>
        <w:jc w:val="left"/>
        <w:rPr>
          <w:rFonts w:ascii="宋体" w:hAnsi="宋体"/>
          <w:color w:val="000000"/>
          <w:sz w:val="24"/>
          <w:szCs w:val="24"/>
        </w:rPr>
      </w:pPr>
      <w:r>
        <w:rPr>
          <w:rFonts w:hint="eastAsia" w:ascii="宋体" w:hAnsi="宋体"/>
          <w:color w:val="000000"/>
          <w:sz w:val="24"/>
          <w:szCs w:val="24"/>
        </w:rPr>
        <w:t> </w:t>
      </w:r>
    </w:p>
    <w:p>
      <w:pPr>
        <w:spacing w:line="450" w:lineRule="atLeast"/>
        <w:jc w:val="left"/>
        <w:rPr>
          <w:rFonts w:ascii="宋体" w:hAnsi="宋体"/>
          <w:color w:val="000000"/>
          <w:sz w:val="24"/>
          <w:szCs w:val="24"/>
        </w:rPr>
      </w:pPr>
    </w:p>
    <w:p>
      <w:pPr>
        <w:spacing w:line="450" w:lineRule="atLeast"/>
        <w:ind w:firstLine="240" w:firstLineChars="100"/>
        <w:jc w:val="left"/>
        <w:rPr>
          <w:rFonts w:ascii="宋体" w:hAnsi="宋体"/>
          <w:color w:val="000000"/>
          <w:sz w:val="24"/>
          <w:szCs w:val="24"/>
        </w:rPr>
      </w:pPr>
      <w:r>
        <w:rPr>
          <w:rFonts w:hint="eastAsia" w:ascii="宋体" w:hAnsi="宋体"/>
          <w:color w:val="000000"/>
          <w:sz w:val="24"/>
          <w:szCs w:val="24"/>
        </w:rPr>
        <w:t xml:space="preserve">                                    投标人 (盖单位章)：</w:t>
      </w:r>
    </w:p>
    <w:p>
      <w:pPr>
        <w:spacing w:line="450" w:lineRule="atLeast"/>
        <w:ind w:firstLine="240" w:firstLineChars="100"/>
        <w:jc w:val="left"/>
        <w:rPr>
          <w:rFonts w:ascii="宋体" w:hAnsi="宋体"/>
          <w:color w:val="000000"/>
          <w:sz w:val="24"/>
          <w:szCs w:val="24"/>
        </w:rPr>
      </w:pPr>
    </w:p>
    <w:p>
      <w:pPr>
        <w:spacing w:line="450" w:lineRule="atLeast"/>
        <w:ind w:firstLine="2760" w:firstLineChars="1150"/>
        <w:jc w:val="left"/>
        <w:rPr>
          <w:rFonts w:ascii="宋体" w:hAnsi="宋体"/>
          <w:color w:val="000000"/>
          <w:sz w:val="24"/>
          <w:szCs w:val="24"/>
        </w:rPr>
      </w:pPr>
      <w:r>
        <w:rPr>
          <w:rFonts w:hint="eastAsia" w:ascii="宋体" w:hAnsi="宋体"/>
          <w:color w:val="000000"/>
          <w:sz w:val="24"/>
          <w:szCs w:val="24"/>
        </w:rPr>
        <w:t>法定代表人或全权代表(盖章或签字)：</w:t>
      </w:r>
    </w:p>
    <w:p>
      <w:pPr>
        <w:spacing w:line="450" w:lineRule="atLeast"/>
        <w:jc w:val="left"/>
        <w:rPr>
          <w:rFonts w:ascii="宋体" w:hAnsi="宋体"/>
          <w:color w:val="000000"/>
          <w:sz w:val="24"/>
          <w:szCs w:val="24"/>
        </w:rPr>
      </w:pPr>
      <w:r>
        <w:rPr>
          <w:rFonts w:hint="eastAsia" w:ascii="宋体" w:hAnsi="宋体"/>
          <w:color w:val="000000"/>
          <w:sz w:val="24"/>
          <w:szCs w:val="24"/>
        </w:rPr>
        <w:t> </w:t>
      </w:r>
    </w:p>
    <w:p>
      <w:pPr>
        <w:spacing w:line="450" w:lineRule="atLeast"/>
        <w:jc w:val="center"/>
        <w:rPr>
          <w:rFonts w:ascii="宋体" w:hAnsi="宋体"/>
          <w:color w:val="000000"/>
          <w:sz w:val="24"/>
          <w:szCs w:val="24"/>
        </w:rPr>
      </w:pPr>
      <w:r>
        <w:rPr>
          <w:rFonts w:hint="eastAsia" w:ascii="宋体" w:hAnsi="宋体"/>
          <w:sz w:val="24"/>
          <w:szCs w:val="24"/>
        </w:rPr>
        <w:t>            </w:t>
      </w:r>
      <w:r>
        <w:rPr>
          <w:rFonts w:hint="eastAsia" w:ascii="宋体" w:hAnsi="宋体"/>
          <w:color w:val="000000"/>
          <w:sz w:val="24"/>
          <w:szCs w:val="24"/>
        </w:rPr>
        <w:t>日　期：</w:t>
      </w:r>
    </w:p>
    <w:p>
      <w:pPr>
        <w:spacing w:line="450" w:lineRule="atLeast"/>
        <w:rPr>
          <w:rFonts w:ascii="宋体" w:hAnsi="宋体"/>
          <w:color w:val="000000"/>
          <w:sz w:val="24"/>
          <w:szCs w:val="24"/>
        </w:rPr>
      </w:pPr>
    </w:p>
    <w:p>
      <w:pPr>
        <w:spacing w:line="450" w:lineRule="atLeast"/>
        <w:ind w:firstLine="361" w:firstLineChars="150"/>
        <w:rPr>
          <w:rFonts w:ascii="仿宋_GB2312" w:eastAsia="仿宋_GB2312"/>
          <w:b/>
          <w:bCs/>
          <w:color w:val="000000"/>
          <w:sz w:val="24"/>
          <w:szCs w:val="24"/>
        </w:rPr>
      </w:pPr>
    </w:p>
    <w:p>
      <w:pPr>
        <w:spacing w:line="450" w:lineRule="atLeast"/>
        <w:ind w:firstLine="361" w:firstLineChars="150"/>
        <w:rPr>
          <w:rFonts w:ascii="仿宋_GB2312" w:eastAsia="仿宋_GB2312"/>
          <w:b/>
          <w:bCs/>
          <w:color w:val="000000"/>
          <w:sz w:val="24"/>
          <w:szCs w:val="24"/>
        </w:rPr>
      </w:pPr>
      <w:r>
        <w:rPr>
          <w:rFonts w:ascii="仿宋_GB2312" w:eastAsia="仿宋_GB2312"/>
          <w:b/>
          <w:bCs/>
          <w:color w:val="000000"/>
          <w:sz w:val="24"/>
          <w:szCs w:val="24"/>
        </w:rPr>
        <w:t>注：</w:t>
      </w:r>
      <w:r>
        <w:rPr>
          <w:rFonts w:hint="eastAsia" w:ascii="仿宋_GB2312" w:eastAsia="仿宋_GB2312"/>
          <w:b/>
          <w:bCs/>
          <w:color w:val="000000"/>
          <w:sz w:val="24"/>
          <w:szCs w:val="24"/>
        </w:rPr>
        <w:t>必须按照本声明书要求填报。</w:t>
      </w:r>
    </w:p>
    <w:p>
      <w:pPr>
        <w:snapToGrid w:val="0"/>
        <w:jc w:val="left"/>
        <w:rPr>
          <w:rFonts w:ascii="宋体" w:hAnsi="宋体"/>
          <w:sz w:val="24"/>
          <w:szCs w:val="24"/>
        </w:rPr>
      </w:pPr>
    </w:p>
    <w:p>
      <w:pPr>
        <w:spacing w:line="360" w:lineRule="auto"/>
        <w:rPr>
          <w:rFonts w:ascii="宋体" w:hAnsi="宋体" w:cs="宋体"/>
          <w:b/>
          <w:bCs/>
          <w:color w:val="000000"/>
          <w:sz w:val="24"/>
        </w:rPr>
        <w:sectPr>
          <w:pgSz w:w="11906" w:h="16838"/>
          <w:pgMar w:top="1440" w:right="1587" w:bottom="1440" w:left="1587" w:header="851" w:footer="992" w:gutter="0"/>
          <w:cols w:space="720" w:num="1"/>
          <w:docGrid w:type="lines" w:linePitch="312" w:charSpace="0"/>
        </w:sectPr>
      </w:pPr>
    </w:p>
    <w:p>
      <w:pPr>
        <w:spacing w:line="360" w:lineRule="auto"/>
        <w:rPr>
          <w:rFonts w:ascii="宋体" w:hAnsi="宋体" w:cs="宋体"/>
          <w:b/>
          <w:bCs/>
          <w:color w:val="000000"/>
          <w:sz w:val="24"/>
        </w:rPr>
      </w:pPr>
      <w:r>
        <w:rPr>
          <w:rFonts w:hint="eastAsia" w:ascii="宋体" w:hAnsi="宋体" w:cs="宋体"/>
          <w:b/>
          <w:bCs/>
          <w:color w:val="000000"/>
          <w:sz w:val="24"/>
        </w:rPr>
        <w:t>附件2：</w:t>
      </w:r>
    </w:p>
    <w:p>
      <w:pPr>
        <w:jc w:val="center"/>
        <w:rPr>
          <w:snapToGrid w:val="0"/>
          <w:sz w:val="30"/>
          <w:szCs w:val="30"/>
        </w:rPr>
      </w:pPr>
      <w:r>
        <w:rPr>
          <w:rFonts w:hint="eastAsia"/>
          <w:snapToGrid w:val="0"/>
          <w:sz w:val="30"/>
          <w:szCs w:val="30"/>
        </w:rPr>
        <w:t xml:space="preserve">       （1）</w:t>
      </w:r>
      <w:r>
        <w:rPr>
          <w:snapToGrid w:val="0"/>
          <w:sz w:val="30"/>
          <w:szCs w:val="30"/>
        </w:rPr>
        <w:t>法定代表人身份证明</w:t>
      </w:r>
      <w:r>
        <w:rPr>
          <w:rFonts w:hint="eastAsia"/>
          <w:snapToGrid w:val="0"/>
          <w:sz w:val="30"/>
          <w:szCs w:val="30"/>
        </w:rPr>
        <w:t xml:space="preserve">书  </w:t>
      </w:r>
      <w:r>
        <w:rPr>
          <w:rFonts w:hint="eastAsia"/>
          <w:i/>
          <w:iCs/>
          <w:snapToGrid w:val="0"/>
          <w:color w:val="FF0000"/>
          <w:sz w:val="24"/>
          <w:szCs w:val="24"/>
          <w:u w:val="single"/>
        </w:rPr>
        <w:t>（以下二选一）</w:t>
      </w:r>
    </w:p>
    <w:p>
      <w:pPr>
        <w:rPr>
          <w:snapToGrid w:val="0"/>
          <w:szCs w:val="21"/>
        </w:rPr>
      </w:pPr>
    </w:p>
    <w:p>
      <w:pPr>
        <w:rPr>
          <w:snapToGrid w:val="0"/>
          <w:szCs w:val="21"/>
        </w:rPr>
      </w:pPr>
    </w:p>
    <w:p>
      <w:pPr>
        <w:spacing w:line="500" w:lineRule="exact"/>
        <w:rPr>
          <w:snapToGrid w:val="0"/>
          <w:sz w:val="24"/>
          <w:szCs w:val="24"/>
        </w:rPr>
      </w:pPr>
      <w:r>
        <w:rPr>
          <w:snapToGrid w:val="0"/>
          <w:sz w:val="24"/>
          <w:szCs w:val="24"/>
        </w:rPr>
        <w:t>投标人名称：</w:t>
      </w:r>
    </w:p>
    <w:p>
      <w:pPr>
        <w:spacing w:line="500" w:lineRule="exact"/>
        <w:rPr>
          <w:snapToGrid w:val="0"/>
          <w:sz w:val="24"/>
          <w:szCs w:val="24"/>
        </w:rPr>
      </w:pPr>
      <w:r>
        <w:rPr>
          <w:snapToGrid w:val="0"/>
          <w:sz w:val="24"/>
          <w:szCs w:val="24"/>
        </w:rPr>
        <w:t>单位性质：</w:t>
      </w:r>
    </w:p>
    <w:p>
      <w:pPr>
        <w:spacing w:line="500" w:lineRule="exact"/>
        <w:rPr>
          <w:snapToGrid w:val="0"/>
          <w:sz w:val="24"/>
          <w:szCs w:val="24"/>
        </w:rPr>
      </w:pPr>
      <w:r>
        <w:rPr>
          <w:snapToGrid w:val="0"/>
          <w:sz w:val="24"/>
          <w:szCs w:val="24"/>
        </w:rPr>
        <w:t>地址：</w:t>
      </w:r>
    </w:p>
    <w:p>
      <w:pPr>
        <w:spacing w:line="500" w:lineRule="exact"/>
        <w:rPr>
          <w:snapToGrid w:val="0"/>
          <w:sz w:val="24"/>
          <w:szCs w:val="24"/>
        </w:rPr>
      </w:pPr>
      <w:r>
        <w:rPr>
          <w:snapToGrid w:val="0"/>
          <w:sz w:val="24"/>
          <w:szCs w:val="24"/>
        </w:rPr>
        <w:t>成立时间：年月日</w:t>
      </w:r>
    </w:p>
    <w:p>
      <w:pPr>
        <w:spacing w:line="500" w:lineRule="exact"/>
        <w:rPr>
          <w:snapToGrid w:val="0"/>
          <w:sz w:val="24"/>
          <w:szCs w:val="24"/>
        </w:rPr>
      </w:pPr>
      <w:r>
        <w:rPr>
          <w:snapToGrid w:val="0"/>
          <w:sz w:val="24"/>
          <w:szCs w:val="24"/>
        </w:rPr>
        <w:t>经营期限：</w:t>
      </w:r>
    </w:p>
    <w:p>
      <w:pPr>
        <w:spacing w:line="500" w:lineRule="exact"/>
        <w:rPr>
          <w:snapToGrid w:val="0"/>
          <w:sz w:val="24"/>
          <w:szCs w:val="24"/>
          <w:u w:val="single"/>
        </w:rPr>
      </w:pPr>
      <w:r>
        <w:rPr>
          <w:snapToGrid w:val="0"/>
          <w:sz w:val="24"/>
          <w:szCs w:val="24"/>
        </w:rPr>
        <w:t>姓名：性别：年龄：身份证号码</w:t>
      </w:r>
    </w:p>
    <w:p>
      <w:pPr>
        <w:spacing w:line="500" w:lineRule="exact"/>
        <w:rPr>
          <w:snapToGrid w:val="0"/>
          <w:sz w:val="24"/>
          <w:szCs w:val="24"/>
        </w:rPr>
      </w:pPr>
      <w:r>
        <w:rPr>
          <w:snapToGrid w:val="0"/>
          <w:sz w:val="24"/>
          <w:szCs w:val="24"/>
        </w:rPr>
        <w:t>职务：系（投标人名称）的法定代表人。</w:t>
      </w:r>
    </w:p>
    <w:p>
      <w:pPr>
        <w:spacing w:line="500" w:lineRule="exact"/>
        <w:rPr>
          <w:snapToGrid w:val="0"/>
          <w:sz w:val="24"/>
          <w:szCs w:val="24"/>
        </w:rPr>
      </w:pPr>
      <w:r>
        <w:rPr>
          <w:snapToGrid w:val="0"/>
          <w:sz w:val="24"/>
          <w:szCs w:val="24"/>
        </w:rPr>
        <w:t>特此证明。</w:t>
      </w:r>
    </w:p>
    <w:p>
      <w:pPr>
        <w:spacing w:line="500" w:lineRule="exact"/>
        <w:rPr>
          <w:snapToGrid w:val="0"/>
          <w:sz w:val="24"/>
          <w:szCs w:val="24"/>
        </w:rPr>
      </w:pPr>
      <w:r>
        <w:rPr>
          <w:rFonts w:hint="eastAsia"/>
          <w:snapToGrid w:val="0"/>
          <w:sz w:val="24"/>
          <w:szCs w:val="24"/>
        </w:rPr>
        <w:t xml:space="preserve">       投标人</w:t>
      </w:r>
      <w:r>
        <w:rPr>
          <w:snapToGrid w:val="0"/>
          <w:sz w:val="24"/>
          <w:szCs w:val="24"/>
        </w:rPr>
        <w:t>：（盖单位章）</w:t>
      </w:r>
    </w:p>
    <w:p>
      <w:pPr>
        <w:spacing w:line="500" w:lineRule="exact"/>
        <w:rPr>
          <w:snapToGrid w:val="0"/>
          <w:sz w:val="24"/>
          <w:szCs w:val="24"/>
        </w:rPr>
      </w:pPr>
      <w:r>
        <w:rPr>
          <w:snapToGrid w:val="0"/>
          <w:sz w:val="24"/>
          <w:szCs w:val="24"/>
        </w:rPr>
        <w:t>年月日</w:t>
      </w:r>
    </w:p>
    <w:p>
      <w:pPr>
        <w:spacing w:line="500" w:lineRule="exact"/>
        <w:rPr>
          <w:snapToGrid w:val="0"/>
          <w:sz w:val="28"/>
          <w:szCs w:val="28"/>
        </w:rPr>
      </w:pPr>
    </w:p>
    <w:p>
      <w:pPr>
        <w:spacing w:line="500" w:lineRule="exact"/>
        <w:rPr>
          <w:snapToGrid w:val="0"/>
          <w:color w:val="FF0000"/>
          <w:sz w:val="24"/>
          <w:szCs w:val="24"/>
        </w:rPr>
      </w:pPr>
      <w:r>
        <w:rPr>
          <w:snapToGrid w:val="0"/>
          <w:color w:val="FF0000"/>
          <w:sz w:val="24"/>
          <w:szCs w:val="24"/>
        </w:rPr>
        <w:t>注：此证明用于法定代表人</w:t>
      </w:r>
      <w:r>
        <w:rPr>
          <w:rFonts w:hint="eastAsia"/>
          <w:snapToGrid w:val="0"/>
          <w:color w:val="FF0000"/>
          <w:sz w:val="24"/>
          <w:szCs w:val="24"/>
        </w:rPr>
        <w:t>本人参加本项目的采购活动</w:t>
      </w:r>
      <w:r>
        <w:rPr>
          <w:snapToGrid w:val="0"/>
          <w:color w:val="FF0000"/>
          <w:sz w:val="24"/>
          <w:szCs w:val="24"/>
        </w:rPr>
        <w:t>。</w:t>
      </w:r>
    </w:p>
    <w:p>
      <w:pPr>
        <w:pStyle w:val="15"/>
        <w:spacing w:line="600" w:lineRule="exact"/>
        <w:ind w:firstLine="0" w:firstLineChars="0"/>
        <w:rPr>
          <w:sz w:val="24"/>
        </w:rPr>
      </w:pPr>
      <w:r>
        <w:rPr>
          <w:rFonts w:hint="eastAsia"/>
          <w:sz w:val="24"/>
        </w:rPr>
        <w:t>-----------------------------------------------------------------------------------------------------------------</w:t>
      </w:r>
    </w:p>
    <w:p>
      <w:pPr>
        <w:pStyle w:val="15"/>
        <w:spacing w:line="600" w:lineRule="exact"/>
        <w:ind w:firstLine="374" w:firstLineChars="156"/>
        <w:jc w:val="center"/>
        <w:rPr>
          <w:sz w:val="24"/>
        </w:rPr>
      </w:pPr>
    </w:p>
    <w:p>
      <w:pPr>
        <w:pStyle w:val="15"/>
        <w:spacing w:line="600" w:lineRule="exact"/>
        <w:ind w:firstLine="374" w:firstLineChars="156"/>
        <w:jc w:val="center"/>
        <w:rPr>
          <w:sz w:val="24"/>
        </w:rPr>
      </w:pPr>
    </w:p>
    <w:p>
      <w:pPr>
        <w:pStyle w:val="15"/>
        <w:spacing w:line="600" w:lineRule="exact"/>
        <w:ind w:firstLine="480"/>
        <w:jc w:val="center"/>
        <w:rPr>
          <w:sz w:val="24"/>
        </w:rPr>
      </w:pPr>
      <w:r>
        <w:rPr>
          <w:rFonts w:hint="eastAsia"/>
          <w:sz w:val="24"/>
        </w:rPr>
        <w:t>（有效身份证复印件）</w:t>
      </w:r>
    </w:p>
    <w:p>
      <w:pPr>
        <w:spacing w:line="480" w:lineRule="auto"/>
        <w:ind w:firstLine="361" w:firstLineChars="100"/>
        <w:jc w:val="center"/>
        <w:rPr>
          <w:b/>
          <w:szCs w:val="36"/>
        </w:rPr>
        <w:sectPr>
          <w:pgSz w:w="11906" w:h="16838"/>
          <w:pgMar w:top="1418" w:right="1418" w:bottom="1418" w:left="1418" w:header="851" w:footer="992" w:gutter="0"/>
          <w:cols w:space="720" w:num="1"/>
          <w:docGrid w:linePitch="312" w:charSpace="0"/>
        </w:sectPr>
      </w:pPr>
    </w:p>
    <w:p>
      <w:pPr>
        <w:snapToGrid w:val="0"/>
        <w:spacing w:beforeLines="50" w:after="50"/>
        <w:jc w:val="center"/>
        <w:rPr>
          <w:rFonts w:ascii="宋体" w:hAnsi="宋体" w:cs="宋体"/>
          <w:b/>
          <w:sz w:val="30"/>
          <w:szCs w:val="30"/>
        </w:rPr>
      </w:pPr>
      <w:r>
        <w:rPr>
          <w:rFonts w:hint="eastAsia" w:ascii="宋体" w:hAnsi="宋体" w:cs="宋体"/>
          <w:b/>
          <w:sz w:val="30"/>
          <w:szCs w:val="30"/>
        </w:rPr>
        <w:t>（2）法定代表人授权委托书</w:t>
      </w:r>
    </w:p>
    <w:p>
      <w:pPr>
        <w:snapToGrid w:val="0"/>
        <w:spacing w:beforeLines="50" w:after="50"/>
        <w:rPr>
          <w:rFonts w:ascii="宋体" w:hAnsi="宋体" w:cs="宋体"/>
          <w:bCs/>
          <w:sz w:val="24"/>
          <w:szCs w:val="24"/>
        </w:rPr>
      </w:pPr>
    </w:p>
    <w:p>
      <w:pPr>
        <w:snapToGrid w:val="0"/>
        <w:spacing w:beforeLines="50" w:after="50"/>
        <w:rPr>
          <w:rFonts w:ascii="宋体" w:hAnsi="宋体" w:cs="宋体"/>
          <w:b/>
          <w:bCs/>
          <w:sz w:val="24"/>
          <w:szCs w:val="24"/>
        </w:rPr>
      </w:pPr>
      <w:r>
        <w:rPr>
          <w:rFonts w:hint="eastAsia" w:ascii="宋体" w:hAnsi="宋体" w:cs="宋体"/>
          <w:bCs/>
          <w:sz w:val="24"/>
          <w:szCs w:val="24"/>
        </w:rPr>
        <w:t>致：</w:t>
      </w:r>
      <w:r>
        <w:rPr>
          <w:rFonts w:hint="eastAsia" w:ascii="宋体" w:hAnsi="宋体" w:cs="宋体"/>
          <w:sz w:val="24"/>
          <w:szCs w:val="24"/>
          <w:u w:val="single"/>
        </w:rPr>
        <w:t>（采购单位名称）</w:t>
      </w:r>
      <w:r>
        <w:rPr>
          <w:rFonts w:hint="eastAsia" w:ascii="宋体" w:hAnsi="宋体" w:cs="宋体"/>
          <w:sz w:val="24"/>
          <w:szCs w:val="24"/>
        </w:rPr>
        <w:t>：</w:t>
      </w:r>
    </w:p>
    <w:p>
      <w:pPr>
        <w:spacing w:line="700" w:lineRule="exact"/>
        <w:ind w:firstLine="840" w:firstLineChars="350"/>
        <w:rPr>
          <w:rFonts w:ascii="宋体" w:hAnsi="宋体" w:cs="宋体"/>
          <w:sz w:val="24"/>
          <w:szCs w:val="24"/>
        </w:rPr>
      </w:pPr>
      <w:r>
        <w:rPr>
          <w:rFonts w:hint="eastAsia" w:ascii="宋体" w:hAnsi="宋体" w:cs="宋体"/>
          <w:sz w:val="24"/>
          <w:szCs w:val="24"/>
        </w:rPr>
        <w:t>（投标人全称）法定代表人授权</w:t>
      </w:r>
    </w:p>
    <w:p>
      <w:pPr>
        <w:spacing w:line="700" w:lineRule="exact"/>
        <w:rPr>
          <w:rFonts w:ascii="宋体" w:hAnsi="宋体" w:cs="宋体"/>
          <w:sz w:val="24"/>
          <w:szCs w:val="24"/>
        </w:rPr>
      </w:pPr>
      <w:r>
        <w:rPr>
          <w:rFonts w:hint="eastAsia" w:ascii="宋体" w:hAnsi="宋体" w:cs="宋体"/>
          <w:sz w:val="24"/>
          <w:szCs w:val="24"/>
        </w:rPr>
        <w:t>（全称代表姓名）为全权代表，参加贵单位组织的</w:t>
      </w:r>
      <w:r>
        <w:rPr>
          <w:rFonts w:hint="eastAsia" w:ascii="宋体" w:hAnsi="宋体" w:cs="宋体"/>
          <w:sz w:val="24"/>
          <w:szCs w:val="24"/>
          <w:u w:val="single"/>
        </w:rPr>
        <w:t>仙居县基层矛调“五环智控”应用</w:t>
      </w:r>
      <w:r>
        <w:rPr>
          <w:rFonts w:hint="eastAsia" w:ascii="宋体" w:hAnsi="宋体" w:cs="宋体"/>
          <w:sz w:val="24"/>
          <w:szCs w:val="24"/>
        </w:rPr>
        <w:t>编号：</w:t>
      </w:r>
      <w:r>
        <w:rPr>
          <w:rFonts w:hint="eastAsia" w:ascii="宋体" w:hAnsi="宋体" w:cs="宋体"/>
          <w:sz w:val="24"/>
          <w:szCs w:val="24"/>
          <w:u w:val="single"/>
          <w:lang w:eastAsia="zh-CN"/>
        </w:rPr>
        <w:t>GYTZ[2022]-021</w:t>
      </w:r>
      <w:r>
        <w:rPr>
          <w:rFonts w:hint="eastAsia" w:ascii="宋体" w:hAnsi="宋体" w:cs="宋体"/>
          <w:sz w:val="24"/>
          <w:szCs w:val="24"/>
        </w:rPr>
        <w:t>的招标活动，全权代表我方处理招标活动中的一切事务，我均予以承认。</w:t>
      </w:r>
    </w:p>
    <w:p>
      <w:pPr>
        <w:spacing w:line="360" w:lineRule="auto"/>
        <w:ind w:firstLine="4094" w:firstLineChars="1706"/>
        <w:rPr>
          <w:rFonts w:ascii="宋体" w:hAnsi="宋体" w:cs="宋体"/>
          <w:sz w:val="24"/>
          <w:szCs w:val="24"/>
        </w:rPr>
      </w:pPr>
    </w:p>
    <w:p>
      <w:pPr>
        <w:spacing w:line="360" w:lineRule="auto"/>
        <w:ind w:firstLine="3360" w:firstLineChars="1400"/>
        <w:rPr>
          <w:rFonts w:ascii="宋体" w:hAnsi="宋体" w:cs="宋体"/>
          <w:sz w:val="24"/>
          <w:szCs w:val="24"/>
        </w:rPr>
      </w:pPr>
    </w:p>
    <w:p>
      <w:pPr>
        <w:spacing w:line="480" w:lineRule="auto"/>
        <w:ind w:firstLine="3360" w:firstLineChars="1400"/>
        <w:rPr>
          <w:rFonts w:ascii="宋体" w:hAnsi="宋体" w:cs="宋体"/>
          <w:sz w:val="24"/>
          <w:szCs w:val="24"/>
        </w:rPr>
      </w:pPr>
      <w:r>
        <w:rPr>
          <w:rFonts w:hint="eastAsia" w:ascii="宋体" w:hAnsi="宋体" w:cs="宋体"/>
          <w:sz w:val="24"/>
          <w:szCs w:val="24"/>
        </w:rPr>
        <w:t xml:space="preserve">法定代表人（签字或盖章）：  </w:t>
      </w:r>
    </w:p>
    <w:p>
      <w:pPr>
        <w:spacing w:line="480" w:lineRule="auto"/>
        <w:ind w:firstLine="3360" w:firstLineChars="1400"/>
        <w:rPr>
          <w:rFonts w:ascii="宋体" w:hAnsi="宋体" w:cs="宋体"/>
          <w:sz w:val="24"/>
          <w:szCs w:val="24"/>
        </w:rPr>
      </w:pPr>
      <w:r>
        <w:rPr>
          <w:rFonts w:hint="eastAsia" w:ascii="宋体" w:hAnsi="宋体" w:cs="宋体"/>
          <w:sz w:val="24"/>
          <w:szCs w:val="24"/>
        </w:rPr>
        <w:t xml:space="preserve"> 投标人 （盖单位章）：</w:t>
      </w:r>
    </w:p>
    <w:p>
      <w:pPr>
        <w:pStyle w:val="28"/>
        <w:spacing w:line="480" w:lineRule="auto"/>
        <w:rPr>
          <w:rFonts w:hAnsi="宋体"/>
          <w:szCs w:val="24"/>
        </w:rPr>
      </w:pPr>
      <w:r>
        <w:rPr>
          <w:rFonts w:hAnsi="宋体"/>
          <w:szCs w:val="24"/>
        </w:rPr>
        <w:tab/>
      </w:r>
      <w:r>
        <w:rPr>
          <w:rFonts w:hAnsi="宋体"/>
          <w:szCs w:val="24"/>
        </w:rPr>
        <w:tab/>
      </w:r>
      <w:r>
        <w:rPr>
          <w:rFonts w:hAnsi="宋体"/>
          <w:szCs w:val="24"/>
        </w:rPr>
        <w:t xml:space="preserve">                                日 期：</w:t>
      </w:r>
    </w:p>
    <w:p>
      <w:pPr>
        <w:spacing w:line="360" w:lineRule="auto"/>
        <w:rPr>
          <w:rFonts w:ascii="宋体" w:hAnsi="宋体" w:cs="宋体"/>
          <w:b/>
          <w:bCs/>
          <w:color w:val="000000"/>
          <w:sz w:val="24"/>
        </w:rPr>
      </w:pPr>
    </w:p>
    <w:p>
      <w:r>
        <w:rPr>
          <w:rFonts w:hint="eastAsia" w:ascii="宋体" w:hAnsi="宋体" w:cs="宋体"/>
          <w:b/>
          <w:bCs/>
          <w:color w:val="FF0000"/>
          <w:sz w:val="21"/>
          <w:szCs w:val="21"/>
        </w:rPr>
        <w:t>注：本表后附法定代表人身份证复印件及委托代理人身份证复印件。</w:t>
      </w:r>
    </w:p>
    <w:p>
      <w:pPr>
        <w:pStyle w:val="58"/>
        <w:sectPr>
          <w:pgSz w:w="11906" w:h="16838"/>
          <w:pgMar w:top="1440" w:right="1587" w:bottom="1440" w:left="1587" w:header="851" w:footer="992" w:gutter="0"/>
          <w:cols w:space="720" w:num="1"/>
          <w:docGrid w:type="lines" w:linePitch="312" w:charSpace="0"/>
        </w:sectPr>
      </w:pPr>
      <w:r>
        <w:rPr>
          <w:rFonts w:hint="eastAsia"/>
          <w:sz w:val="24"/>
        </w:rPr>
        <w:t>-------------------------------------------------------------------------------------------------------------</w:t>
      </w:r>
    </w:p>
    <w:p>
      <w:pPr>
        <w:spacing w:line="360" w:lineRule="auto"/>
        <w:rPr>
          <w:rFonts w:ascii="宋体" w:hAnsi="宋体" w:cs="宋体"/>
          <w:b/>
          <w:bCs/>
          <w:color w:val="000000"/>
          <w:sz w:val="24"/>
        </w:rPr>
      </w:pPr>
      <w:r>
        <w:rPr>
          <w:rFonts w:hint="eastAsia" w:ascii="宋体" w:hAnsi="宋体" w:cs="宋体"/>
          <w:b/>
          <w:bCs/>
          <w:color w:val="000000"/>
          <w:sz w:val="24"/>
        </w:rPr>
        <w:t>附件3：</w:t>
      </w:r>
    </w:p>
    <w:p>
      <w:pPr>
        <w:widowControl/>
        <w:jc w:val="center"/>
        <w:rPr>
          <w:rFonts w:ascii="宋体" w:hAnsi="宋体"/>
          <w:b/>
          <w:color w:val="000000"/>
          <w:sz w:val="24"/>
        </w:rPr>
      </w:pPr>
      <w:r>
        <w:rPr>
          <w:rFonts w:hint="eastAsia" w:ascii="宋体" w:hAnsi="宋体"/>
          <w:b/>
          <w:color w:val="000000"/>
          <w:sz w:val="32"/>
          <w:szCs w:val="32"/>
        </w:rPr>
        <w:t>政府采购诚信竞投承诺书</w:t>
      </w:r>
    </w:p>
    <w:p>
      <w:pPr>
        <w:widowControl/>
        <w:spacing w:line="420" w:lineRule="exact"/>
        <w:rPr>
          <w:rFonts w:ascii="宋体" w:hAnsi="宋体"/>
          <w:color w:val="000000"/>
          <w:sz w:val="24"/>
        </w:rPr>
      </w:pPr>
    </w:p>
    <w:p>
      <w:pPr>
        <w:widowControl/>
        <w:spacing w:line="420" w:lineRule="exact"/>
        <w:rPr>
          <w:rFonts w:ascii="宋体" w:hAnsi="宋体"/>
          <w:color w:val="000000"/>
          <w:sz w:val="24"/>
          <w:szCs w:val="24"/>
        </w:rPr>
      </w:pPr>
      <w:r>
        <w:rPr>
          <w:rFonts w:hint="eastAsia" w:ascii="宋体" w:hAnsi="宋体"/>
          <w:color w:val="000000"/>
          <w:sz w:val="24"/>
          <w:szCs w:val="24"/>
        </w:rPr>
        <w:t>本单位郑重承诺：</w:t>
      </w:r>
    </w:p>
    <w:p>
      <w:pPr>
        <w:widowControl/>
        <w:spacing w:line="420" w:lineRule="exact"/>
        <w:ind w:firstLine="420"/>
        <w:rPr>
          <w:rFonts w:ascii="宋体" w:hAnsi="宋体"/>
          <w:b/>
          <w:color w:val="000000"/>
          <w:sz w:val="24"/>
          <w:szCs w:val="24"/>
        </w:rPr>
      </w:pPr>
      <w:r>
        <w:rPr>
          <w:rFonts w:hint="eastAsia" w:ascii="宋体" w:hAnsi="宋体"/>
          <w:color w:val="000000"/>
          <w:sz w:val="24"/>
          <w:szCs w:val="24"/>
        </w:rPr>
        <w:t>一、将遵循公开、公平、公正和诚实信用的原则参加</w:t>
      </w:r>
      <w:r>
        <w:rPr>
          <w:rFonts w:hint="eastAsia" w:ascii="宋体" w:hAnsi="宋体"/>
          <w:sz w:val="24"/>
          <w:szCs w:val="24"/>
          <w:u w:val="single"/>
        </w:rPr>
        <w:t>仙居县基层矛调“五环智控”应用、</w:t>
      </w:r>
      <w:r>
        <w:rPr>
          <w:rFonts w:hint="eastAsia" w:ascii="宋体" w:hAnsi="宋体"/>
          <w:sz w:val="24"/>
          <w:szCs w:val="24"/>
          <w:u w:val="single"/>
          <w:lang w:eastAsia="zh-CN"/>
        </w:rPr>
        <w:t>GYTZ[2022]-021</w:t>
      </w:r>
      <w:r>
        <w:rPr>
          <w:rFonts w:hint="eastAsia" w:ascii="宋体" w:hAnsi="宋体"/>
          <w:color w:val="000000"/>
          <w:sz w:val="24"/>
          <w:szCs w:val="24"/>
        </w:rPr>
        <w:t>的招标活动；</w:t>
      </w:r>
    </w:p>
    <w:p>
      <w:pPr>
        <w:widowControl/>
        <w:spacing w:line="420" w:lineRule="exact"/>
        <w:ind w:firstLine="480"/>
        <w:rPr>
          <w:rFonts w:ascii="宋体" w:hAnsi="宋体"/>
          <w:color w:val="000000"/>
          <w:sz w:val="24"/>
          <w:szCs w:val="24"/>
        </w:rPr>
      </w:pPr>
      <w:r>
        <w:rPr>
          <w:rFonts w:hint="eastAsia" w:ascii="宋体" w:hAnsi="宋体"/>
          <w:color w:val="000000"/>
          <w:sz w:val="24"/>
          <w:szCs w:val="24"/>
        </w:rPr>
        <w:t>二、不向采购单位、采购代理机构和监管部门及其工作人员和评审人员贿赂，或采取其它不正当手段谋取中标或成交；</w:t>
      </w:r>
    </w:p>
    <w:p>
      <w:pPr>
        <w:widowControl/>
        <w:spacing w:line="420" w:lineRule="exact"/>
        <w:ind w:firstLine="480"/>
        <w:rPr>
          <w:rFonts w:ascii="宋体" w:hAnsi="宋体"/>
          <w:color w:val="000000"/>
          <w:sz w:val="24"/>
          <w:szCs w:val="24"/>
        </w:rPr>
      </w:pPr>
      <w:r>
        <w:rPr>
          <w:rFonts w:hint="eastAsia" w:ascii="宋体" w:hAnsi="宋体"/>
          <w:color w:val="000000"/>
          <w:sz w:val="24"/>
          <w:szCs w:val="24"/>
        </w:rPr>
        <w:t>三、应公平竞争、诚实守信，不得采取不正当手段抵毁、排挤其他投标人，不提供虚假材料谋取中标或成交；</w:t>
      </w:r>
    </w:p>
    <w:p>
      <w:pPr>
        <w:widowControl/>
        <w:spacing w:line="420" w:lineRule="exact"/>
        <w:ind w:firstLine="480"/>
        <w:rPr>
          <w:rFonts w:ascii="宋体" w:hAnsi="宋体"/>
          <w:color w:val="000000"/>
          <w:sz w:val="24"/>
          <w:szCs w:val="24"/>
        </w:rPr>
      </w:pPr>
      <w:r>
        <w:rPr>
          <w:rFonts w:hint="eastAsia" w:ascii="宋体" w:hAnsi="宋体"/>
          <w:color w:val="000000"/>
          <w:sz w:val="24"/>
          <w:szCs w:val="24"/>
        </w:rPr>
        <w:t>四、中标成交后，不将采购项目非法转让他人，或未经采购单位、采购代理机构或采购监管部门同意，将中标项目分包给他人；</w:t>
      </w:r>
    </w:p>
    <w:p>
      <w:pPr>
        <w:widowControl/>
        <w:spacing w:line="420" w:lineRule="exact"/>
        <w:ind w:firstLine="480"/>
        <w:rPr>
          <w:rFonts w:ascii="宋体" w:hAnsi="宋体"/>
          <w:color w:val="000000"/>
          <w:sz w:val="24"/>
          <w:szCs w:val="24"/>
        </w:rPr>
      </w:pPr>
      <w:r>
        <w:rPr>
          <w:rFonts w:hint="eastAsia" w:ascii="宋体" w:hAnsi="宋体"/>
          <w:color w:val="000000"/>
          <w:sz w:val="24"/>
          <w:szCs w:val="24"/>
        </w:rPr>
        <w:t>五、不与采购单位、其它投标人和采购代理机构串通或恶意报价，哄抬采购价格；不在招标过程中与采购组织机构协商谈判；</w:t>
      </w:r>
    </w:p>
    <w:p>
      <w:pPr>
        <w:widowControl/>
        <w:spacing w:line="420" w:lineRule="exact"/>
        <w:ind w:firstLine="480"/>
        <w:rPr>
          <w:rFonts w:ascii="宋体" w:hAnsi="宋体"/>
          <w:color w:val="000000"/>
          <w:sz w:val="24"/>
          <w:szCs w:val="24"/>
        </w:rPr>
      </w:pPr>
      <w:r>
        <w:rPr>
          <w:rFonts w:hint="eastAsia" w:ascii="宋体" w:hAnsi="宋体"/>
          <w:color w:val="000000"/>
          <w:sz w:val="24"/>
          <w:szCs w:val="24"/>
        </w:rPr>
        <w:t>六、中标成交后，按规定及时与采购人签订政府采购合同；无正当理由不拖延或拒绝与采购人签订政府采购合同，不与采购人订立有悖于采购结果的合同或协议；</w:t>
      </w:r>
    </w:p>
    <w:p>
      <w:pPr>
        <w:widowControl/>
        <w:spacing w:line="420" w:lineRule="exact"/>
        <w:ind w:firstLine="480"/>
        <w:rPr>
          <w:rFonts w:ascii="宋体" w:hAnsi="宋体"/>
          <w:color w:val="000000"/>
          <w:sz w:val="24"/>
          <w:szCs w:val="24"/>
        </w:rPr>
      </w:pPr>
      <w:r>
        <w:rPr>
          <w:rFonts w:hint="eastAsia" w:ascii="宋体" w:hAnsi="宋体"/>
          <w:color w:val="000000"/>
          <w:sz w:val="24"/>
          <w:szCs w:val="24"/>
        </w:rPr>
        <w:t>七、严格履行政府采购合同，不降低合同约定的产品质量和服务，不擅自变更、中止、终止合同，或拒绝履行合同义务；</w:t>
      </w:r>
    </w:p>
    <w:p>
      <w:pPr>
        <w:widowControl/>
        <w:spacing w:line="420" w:lineRule="exact"/>
        <w:ind w:firstLine="480"/>
        <w:rPr>
          <w:rFonts w:ascii="宋体" w:hAnsi="宋体"/>
          <w:color w:val="000000"/>
          <w:sz w:val="24"/>
          <w:szCs w:val="24"/>
        </w:rPr>
      </w:pPr>
      <w:r>
        <w:rPr>
          <w:rFonts w:hint="eastAsia" w:ascii="宋体" w:hAnsi="宋体"/>
          <w:color w:val="000000"/>
          <w:sz w:val="24"/>
          <w:szCs w:val="24"/>
        </w:rPr>
        <w:t>八、不捏造事实或者提供虚假材料，进行虚假、恶意质疑、投诉，扰乱政府采购工作；</w:t>
      </w:r>
    </w:p>
    <w:p>
      <w:pPr>
        <w:widowControl/>
        <w:spacing w:line="420" w:lineRule="exact"/>
        <w:ind w:firstLine="470"/>
        <w:rPr>
          <w:rFonts w:ascii="宋体" w:hAnsi="宋体"/>
          <w:color w:val="000000"/>
          <w:sz w:val="24"/>
          <w:szCs w:val="24"/>
        </w:rPr>
      </w:pPr>
      <w:r>
        <w:rPr>
          <w:rFonts w:hint="eastAsia" w:ascii="宋体" w:hAnsi="宋体"/>
          <w:color w:val="000000"/>
          <w:sz w:val="24"/>
          <w:szCs w:val="24"/>
        </w:rPr>
        <w:t>九、自觉接受和配合有关政府采购监督部门的监督检查，不拒绝或在检查中提供虚假材料。</w:t>
      </w:r>
    </w:p>
    <w:p>
      <w:pPr>
        <w:widowControl/>
        <w:spacing w:line="420" w:lineRule="exact"/>
        <w:ind w:firstLine="480"/>
        <w:rPr>
          <w:rFonts w:ascii="宋体" w:hAnsi="宋体"/>
          <w:color w:val="000000"/>
          <w:sz w:val="24"/>
          <w:szCs w:val="24"/>
        </w:rPr>
      </w:pPr>
      <w:r>
        <w:rPr>
          <w:rFonts w:hint="eastAsia" w:ascii="宋体" w:hAnsi="宋体"/>
          <w:color w:val="000000"/>
          <w:sz w:val="24"/>
          <w:szCs w:val="24"/>
        </w:rPr>
        <w:t>本公司若有违反承诺内容的行为，自愿接受记入信用档案等有关处理，愿意承担法律责任。如已中标的，自动放弃中标资格；给采购人造成损失的，依法承担赔偿责任。</w:t>
      </w:r>
    </w:p>
    <w:p>
      <w:pPr>
        <w:adjustRightInd w:val="0"/>
        <w:snapToGrid w:val="0"/>
        <w:spacing w:line="360" w:lineRule="auto"/>
        <w:rPr>
          <w:rFonts w:ascii="宋体" w:hAnsi="宋体"/>
          <w:color w:val="000000"/>
          <w:kern w:val="0"/>
          <w:sz w:val="24"/>
          <w:szCs w:val="24"/>
          <w:lang w:val="zh-CN"/>
        </w:rPr>
      </w:pPr>
    </w:p>
    <w:p>
      <w:pPr>
        <w:adjustRightInd w:val="0"/>
        <w:snapToGrid w:val="0"/>
        <w:spacing w:line="360" w:lineRule="auto"/>
        <w:ind w:firstLine="4680" w:firstLineChars="1950"/>
        <w:rPr>
          <w:rFonts w:ascii="宋体" w:hAnsi="宋体"/>
          <w:color w:val="000000"/>
          <w:kern w:val="0"/>
          <w:sz w:val="24"/>
          <w:szCs w:val="24"/>
          <w:lang w:val="zh-CN"/>
        </w:rPr>
      </w:pPr>
    </w:p>
    <w:p>
      <w:pPr>
        <w:spacing w:line="450" w:lineRule="atLeast"/>
        <w:ind w:firstLine="240" w:firstLineChars="100"/>
        <w:jc w:val="left"/>
        <w:rPr>
          <w:rFonts w:ascii="宋体" w:hAnsi="宋体"/>
          <w:color w:val="000000"/>
          <w:sz w:val="24"/>
          <w:szCs w:val="24"/>
        </w:rPr>
      </w:pPr>
      <w:r>
        <w:rPr>
          <w:rFonts w:hint="eastAsia" w:ascii="宋体" w:hAnsi="宋体"/>
          <w:color w:val="000000"/>
          <w:sz w:val="24"/>
          <w:szCs w:val="24"/>
        </w:rPr>
        <w:t xml:space="preserve">                                    投标人 (盖单位章)：</w:t>
      </w:r>
    </w:p>
    <w:p>
      <w:pPr>
        <w:spacing w:line="450" w:lineRule="atLeast"/>
        <w:ind w:firstLine="240" w:firstLineChars="100"/>
        <w:jc w:val="left"/>
        <w:rPr>
          <w:rFonts w:ascii="宋体" w:hAnsi="宋体"/>
          <w:color w:val="000000"/>
          <w:sz w:val="24"/>
          <w:szCs w:val="24"/>
        </w:rPr>
      </w:pPr>
    </w:p>
    <w:p>
      <w:pPr>
        <w:spacing w:line="450" w:lineRule="atLeast"/>
        <w:ind w:firstLine="2760" w:firstLineChars="1150"/>
        <w:jc w:val="left"/>
        <w:rPr>
          <w:rFonts w:ascii="宋体" w:hAnsi="宋体"/>
          <w:color w:val="000000"/>
          <w:sz w:val="24"/>
          <w:szCs w:val="24"/>
        </w:rPr>
      </w:pPr>
      <w:r>
        <w:rPr>
          <w:rFonts w:hint="eastAsia" w:ascii="宋体" w:hAnsi="宋体"/>
          <w:color w:val="000000"/>
          <w:sz w:val="24"/>
          <w:szCs w:val="24"/>
        </w:rPr>
        <w:t>法定代表人或全权代表(盖章或签字)：</w:t>
      </w:r>
    </w:p>
    <w:p>
      <w:pPr>
        <w:spacing w:line="450" w:lineRule="atLeast"/>
        <w:jc w:val="left"/>
        <w:rPr>
          <w:rFonts w:ascii="宋体" w:hAnsi="宋体"/>
          <w:color w:val="000000"/>
          <w:sz w:val="24"/>
          <w:szCs w:val="24"/>
        </w:rPr>
      </w:pPr>
      <w:r>
        <w:rPr>
          <w:rFonts w:hint="eastAsia" w:ascii="宋体" w:hAnsi="宋体"/>
          <w:color w:val="000000"/>
          <w:sz w:val="24"/>
          <w:szCs w:val="24"/>
        </w:rPr>
        <w:t> </w:t>
      </w:r>
    </w:p>
    <w:p>
      <w:pPr>
        <w:spacing w:line="450" w:lineRule="atLeast"/>
        <w:jc w:val="center"/>
        <w:rPr>
          <w:rFonts w:ascii="宋体" w:hAnsi="宋体"/>
          <w:color w:val="000000"/>
          <w:sz w:val="24"/>
          <w:szCs w:val="24"/>
        </w:rPr>
      </w:pPr>
      <w:r>
        <w:rPr>
          <w:rFonts w:hint="eastAsia" w:ascii="宋体" w:hAnsi="宋体"/>
          <w:sz w:val="24"/>
          <w:szCs w:val="24"/>
        </w:rPr>
        <w:t>            </w:t>
      </w:r>
      <w:r>
        <w:rPr>
          <w:rFonts w:hint="eastAsia" w:ascii="宋体" w:hAnsi="宋体"/>
          <w:color w:val="000000"/>
          <w:sz w:val="24"/>
          <w:szCs w:val="24"/>
        </w:rPr>
        <w:t>日　期：</w:t>
      </w:r>
    </w:p>
    <w:p>
      <w:pPr>
        <w:spacing w:line="360" w:lineRule="auto"/>
        <w:rPr>
          <w:rFonts w:ascii="宋体" w:hAnsi="宋体" w:cs="宋体"/>
          <w:color w:val="000000"/>
          <w:sz w:val="28"/>
          <w:szCs w:val="28"/>
          <w:lang w:val="zh-CN"/>
        </w:rPr>
      </w:pPr>
      <w:r>
        <w:rPr>
          <w:rFonts w:hint="eastAsia" w:ascii="宋体" w:hAnsi="宋体" w:cs="宋体"/>
          <w:b/>
          <w:bCs/>
          <w:color w:val="000000"/>
          <w:sz w:val="24"/>
        </w:rPr>
        <w:t>附件4：</w:t>
      </w:r>
    </w:p>
    <w:p>
      <w:pPr>
        <w:spacing w:afterLines="100" w:line="480" w:lineRule="auto"/>
        <w:jc w:val="center"/>
        <w:rPr>
          <w:rFonts w:ascii="宋体" w:hAnsi="宋体" w:cs="宋体"/>
          <w:b/>
          <w:bCs/>
          <w:color w:val="000000"/>
          <w:kern w:val="0"/>
          <w:sz w:val="32"/>
          <w:szCs w:val="32"/>
          <w:lang w:val="zh-CN"/>
        </w:rPr>
      </w:pPr>
    </w:p>
    <w:p>
      <w:pPr>
        <w:spacing w:afterLines="100" w:line="480" w:lineRule="auto"/>
        <w:jc w:val="center"/>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具有履行合同所必须的设备和专业技术能力的承诺函</w:t>
      </w:r>
    </w:p>
    <w:p>
      <w:pPr>
        <w:spacing w:line="480" w:lineRule="auto"/>
        <w:jc w:val="left"/>
        <w:rPr>
          <w:rFonts w:ascii="宋体" w:hAnsi="宋体" w:cs="宋体"/>
          <w:color w:val="000000"/>
          <w:sz w:val="28"/>
          <w:szCs w:val="28"/>
        </w:rPr>
      </w:pPr>
      <w:r>
        <w:rPr>
          <w:rFonts w:hint="eastAsia" w:ascii="宋体" w:hAnsi="宋体" w:cs="宋体"/>
          <w:color w:val="000000"/>
          <w:sz w:val="28"/>
          <w:szCs w:val="28"/>
        </w:rPr>
        <w:t>中共仙居县委政法委员会：</w:t>
      </w:r>
    </w:p>
    <w:p>
      <w:pPr>
        <w:adjustRightInd w:val="0"/>
        <w:snapToGrid w:val="0"/>
        <w:spacing w:line="480" w:lineRule="auto"/>
        <w:ind w:firstLine="560" w:firstLineChars="200"/>
        <w:jc w:val="left"/>
        <w:rPr>
          <w:rFonts w:ascii="宋体" w:hAnsi="宋体" w:cs="宋体"/>
          <w:color w:val="000000"/>
          <w:sz w:val="28"/>
          <w:szCs w:val="28"/>
        </w:rPr>
      </w:pPr>
      <w:r>
        <w:rPr>
          <w:rFonts w:hint="eastAsia" w:ascii="宋体" w:hAnsi="宋体"/>
          <w:color w:val="000000"/>
          <w:sz w:val="28"/>
          <w:szCs w:val="28"/>
        </w:rPr>
        <w:t>本公司参加</w:t>
      </w:r>
      <w:r>
        <w:rPr>
          <w:rFonts w:hint="eastAsia" w:ascii="宋体" w:hAnsi="宋体"/>
          <w:color w:val="000000"/>
          <w:sz w:val="28"/>
          <w:szCs w:val="28"/>
          <w:u w:val="single"/>
        </w:rPr>
        <w:t>仙居县基层矛调“五环智控”应用、</w:t>
      </w:r>
      <w:r>
        <w:rPr>
          <w:rFonts w:hint="eastAsia" w:ascii="宋体" w:hAnsi="宋体"/>
          <w:color w:val="000000"/>
          <w:sz w:val="28"/>
          <w:szCs w:val="28"/>
          <w:u w:val="single"/>
          <w:lang w:eastAsia="zh-CN"/>
        </w:rPr>
        <w:t>GYTZ[2022]-021</w:t>
      </w:r>
      <w:r>
        <w:rPr>
          <w:rFonts w:hint="eastAsia" w:ascii="宋体" w:hAnsi="宋体"/>
          <w:color w:val="000000"/>
          <w:sz w:val="28"/>
          <w:szCs w:val="28"/>
        </w:rPr>
        <w:t>的招标活动</w:t>
      </w:r>
      <w:r>
        <w:rPr>
          <w:rFonts w:hint="eastAsia" w:ascii="宋体" w:hAnsi="宋体" w:cs="宋体"/>
          <w:color w:val="000000"/>
          <w:sz w:val="28"/>
          <w:szCs w:val="28"/>
        </w:rPr>
        <w:t>，我方郑重承诺，我方承诺具有履行合同所必需设备和专业技术能力。如有虚假，采购组织机构可取消我方任何资格（投标/中标/签订合同），我方对此无任何异议。</w:t>
      </w:r>
    </w:p>
    <w:p>
      <w:pPr>
        <w:spacing w:line="450" w:lineRule="atLeast"/>
        <w:ind w:right="480" w:firstLine="5040" w:firstLineChars="1800"/>
        <w:rPr>
          <w:rFonts w:ascii="宋体" w:hAnsi="宋体" w:cs="宋体"/>
          <w:color w:val="000000"/>
          <w:sz w:val="28"/>
          <w:szCs w:val="28"/>
        </w:rPr>
      </w:pPr>
    </w:p>
    <w:p>
      <w:pPr>
        <w:spacing w:line="450" w:lineRule="atLeast"/>
        <w:jc w:val="left"/>
        <w:rPr>
          <w:rFonts w:ascii="宋体" w:hAnsi="宋体" w:cs="宋体"/>
          <w:color w:val="000000"/>
          <w:sz w:val="28"/>
          <w:szCs w:val="28"/>
        </w:rPr>
      </w:pPr>
      <w:r>
        <w:rPr>
          <w:rFonts w:hint="eastAsia" w:ascii="宋体" w:hAnsi="宋体" w:cs="宋体"/>
          <w:color w:val="000000"/>
          <w:sz w:val="28"/>
          <w:szCs w:val="28"/>
        </w:rPr>
        <w:t>                               声明人 (盖单位章)：</w:t>
      </w:r>
    </w:p>
    <w:p>
      <w:pPr>
        <w:pStyle w:val="28"/>
        <w:spacing w:before="156" w:after="156" w:line="360" w:lineRule="auto"/>
        <w:ind w:firstLine="5460" w:firstLineChars="1950"/>
        <w:rPr>
          <w:rFonts w:hAnsi="宋体" w:cs="宋体"/>
          <w:bCs/>
          <w:color w:val="000000"/>
          <w:sz w:val="28"/>
          <w:szCs w:val="28"/>
          <w:lang w:val="zh-CN"/>
        </w:rPr>
      </w:pPr>
      <w:r>
        <w:rPr>
          <w:rFonts w:hint="eastAsia" w:hAnsi="宋体" w:cs="宋体"/>
          <w:bCs/>
          <w:color w:val="000000"/>
          <w:sz w:val="28"/>
          <w:szCs w:val="28"/>
        </w:rPr>
        <w:t>日　期：</w:t>
      </w:r>
    </w:p>
    <w:p>
      <w:pPr>
        <w:spacing w:before="100" w:beforeAutospacing="1" w:line="360" w:lineRule="auto"/>
        <w:rPr>
          <w:rFonts w:ascii="宋体" w:hAnsi="宋体" w:cs="宋体"/>
          <w:b/>
          <w:bCs/>
          <w:color w:val="000000"/>
          <w:sz w:val="24"/>
        </w:rPr>
        <w:sectPr>
          <w:pgSz w:w="11906" w:h="16838"/>
          <w:pgMar w:top="1440" w:right="1587" w:bottom="1440" w:left="1587" w:header="851" w:footer="992" w:gutter="0"/>
          <w:cols w:space="720" w:num="1"/>
          <w:docGrid w:type="lines" w:linePitch="312" w:charSpace="0"/>
        </w:sectPr>
      </w:pPr>
    </w:p>
    <w:p>
      <w:pPr>
        <w:spacing w:line="360" w:lineRule="auto"/>
        <w:rPr>
          <w:rFonts w:ascii="宋体" w:hAnsi="宋体" w:cs="宋体"/>
          <w:b/>
          <w:bCs/>
          <w:color w:val="000000"/>
          <w:sz w:val="24"/>
        </w:rPr>
      </w:pPr>
      <w:r>
        <w:rPr>
          <w:rFonts w:hint="eastAsia" w:ascii="宋体" w:hAnsi="宋体" w:cs="宋体"/>
          <w:b/>
          <w:bCs/>
          <w:color w:val="000000"/>
          <w:sz w:val="24"/>
        </w:rPr>
        <w:t>附件5：</w:t>
      </w:r>
    </w:p>
    <w:p>
      <w:pPr>
        <w:spacing w:afterLines="100" w:line="480" w:lineRule="auto"/>
        <w:jc w:val="center"/>
        <w:rPr>
          <w:rFonts w:ascii="宋体" w:hAnsi="宋体" w:cs="宋体"/>
          <w:b/>
          <w:bCs/>
          <w:color w:val="000000"/>
          <w:kern w:val="0"/>
          <w:sz w:val="32"/>
          <w:szCs w:val="32"/>
          <w:lang w:val="zh-CN"/>
        </w:rPr>
      </w:pPr>
    </w:p>
    <w:p>
      <w:pPr>
        <w:spacing w:afterLines="100" w:line="480" w:lineRule="auto"/>
        <w:jc w:val="center"/>
      </w:pPr>
      <w:r>
        <w:rPr>
          <w:rFonts w:hint="eastAsia" w:ascii="宋体" w:hAnsi="宋体" w:cs="宋体"/>
          <w:b/>
          <w:bCs/>
          <w:color w:val="000000"/>
          <w:kern w:val="0"/>
          <w:sz w:val="32"/>
          <w:szCs w:val="32"/>
          <w:lang w:val="zh-CN"/>
        </w:rPr>
        <w:t>健全的财务会计制度承诺函</w:t>
      </w:r>
    </w:p>
    <w:p>
      <w:pPr>
        <w:widowControl/>
        <w:spacing w:line="360" w:lineRule="auto"/>
        <w:rPr>
          <w:rFonts w:ascii="宋体" w:hAnsi="宋体"/>
          <w:color w:val="000000"/>
          <w:sz w:val="28"/>
          <w:szCs w:val="28"/>
        </w:rPr>
      </w:pPr>
      <w:r>
        <w:rPr>
          <w:rFonts w:hint="eastAsia" w:ascii="宋体" w:hAnsi="宋体"/>
          <w:kern w:val="0"/>
          <w:sz w:val="28"/>
          <w:szCs w:val="28"/>
        </w:rPr>
        <w:t>致</w:t>
      </w:r>
      <w:r>
        <w:rPr>
          <w:rFonts w:hint="eastAsia" w:ascii="宋体" w:hAnsi="宋体"/>
          <w:kern w:val="0"/>
          <w:sz w:val="28"/>
          <w:szCs w:val="28"/>
          <w:u w:val="single"/>
        </w:rPr>
        <w:t>中共仙居县委政法委员会</w:t>
      </w:r>
      <w:r>
        <w:rPr>
          <w:rFonts w:hint="eastAsia" w:ascii="宋体" w:hAnsi="宋体"/>
          <w:kern w:val="0"/>
          <w:sz w:val="28"/>
          <w:szCs w:val="28"/>
        </w:rPr>
        <w:t>：</w:t>
      </w:r>
    </w:p>
    <w:p>
      <w:pPr>
        <w:pStyle w:val="2"/>
        <w:spacing w:line="360" w:lineRule="auto"/>
        <w:rPr>
          <w:rFonts w:ascii="宋体" w:hAnsi="宋体"/>
          <w:color w:val="000000"/>
          <w:sz w:val="28"/>
          <w:szCs w:val="28"/>
        </w:rPr>
      </w:pPr>
      <w:r>
        <w:rPr>
          <w:rFonts w:hint="eastAsia" w:ascii="宋体" w:hAnsi="宋体"/>
          <w:color w:val="000000"/>
          <w:sz w:val="28"/>
          <w:szCs w:val="28"/>
        </w:rPr>
        <w:t xml:space="preserve">    本公司参加</w:t>
      </w:r>
      <w:r>
        <w:rPr>
          <w:rFonts w:hint="eastAsia" w:ascii="宋体" w:hAnsi="宋体"/>
          <w:color w:val="000000"/>
          <w:sz w:val="28"/>
          <w:szCs w:val="28"/>
          <w:u w:val="single"/>
        </w:rPr>
        <w:t>仙居县基层矛调“五环智控”应用、</w:t>
      </w:r>
      <w:r>
        <w:rPr>
          <w:rFonts w:hint="eastAsia" w:ascii="宋体" w:hAnsi="宋体"/>
          <w:color w:val="000000"/>
          <w:sz w:val="28"/>
          <w:szCs w:val="28"/>
          <w:u w:val="single"/>
          <w:lang w:eastAsia="zh-CN"/>
        </w:rPr>
        <w:t>GYTZ[2022]-021</w:t>
      </w:r>
      <w:r>
        <w:rPr>
          <w:rFonts w:hint="eastAsia" w:ascii="宋体" w:hAnsi="宋体"/>
          <w:color w:val="000000"/>
          <w:sz w:val="28"/>
          <w:szCs w:val="28"/>
        </w:rPr>
        <w:t>的招标活动，现承诺我公司在参加本项目政府采购活动前，</w:t>
      </w:r>
      <w:r>
        <w:rPr>
          <w:rFonts w:hint="eastAsia" w:ascii="宋体" w:hAnsi="宋体"/>
          <w:kern w:val="0"/>
          <w:sz w:val="28"/>
          <w:szCs w:val="28"/>
        </w:rPr>
        <w:t>没有处于被责令停产、财产被接管、冻结或破产状态，具有足够的流动资金，有能力履行合同；我公司</w:t>
      </w:r>
      <w:r>
        <w:rPr>
          <w:rFonts w:hint="eastAsia" w:ascii="宋体" w:hAnsi="宋体"/>
          <w:color w:val="000000"/>
          <w:sz w:val="28"/>
          <w:szCs w:val="28"/>
        </w:rPr>
        <w:t>具有良好的商业信誉和健全的财务会计制度。</w:t>
      </w:r>
    </w:p>
    <w:p>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如本公司对以上条款提供虚假承诺，愿承担一切法律责任。</w:t>
      </w:r>
    </w:p>
    <w:p>
      <w:pPr>
        <w:pStyle w:val="2"/>
        <w:rPr>
          <w:sz w:val="28"/>
          <w:szCs w:val="28"/>
        </w:rPr>
      </w:pPr>
    </w:p>
    <w:p>
      <w:pPr>
        <w:pStyle w:val="2"/>
        <w:spacing w:line="480" w:lineRule="auto"/>
        <w:rPr>
          <w:sz w:val="28"/>
          <w:szCs w:val="28"/>
        </w:rPr>
      </w:pPr>
    </w:p>
    <w:p>
      <w:pPr>
        <w:spacing w:line="480" w:lineRule="auto"/>
        <w:jc w:val="left"/>
        <w:rPr>
          <w:rFonts w:ascii="宋体" w:hAnsi="宋体" w:cs="宋体"/>
          <w:color w:val="000000"/>
          <w:sz w:val="28"/>
          <w:szCs w:val="28"/>
        </w:rPr>
      </w:pPr>
      <w:r>
        <w:rPr>
          <w:rFonts w:hint="eastAsia" w:ascii="宋体" w:hAnsi="宋体" w:cs="宋体"/>
          <w:color w:val="000000"/>
          <w:sz w:val="28"/>
          <w:szCs w:val="28"/>
        </w:rPr>
        <w:t xml:space="preserve">                              承诺人 (盖单位章)： </w:t>
      </w:r>
    </w:p>
    <w:p>
      <w:pPr>
        <w:pStyle w:val="28"/>
        <w:spacing w:before="156" w:after="156" w:line="480" w:lineRule="auto"/>
        <w:ind w:firstLine="5460" w:firstLineChars="1950"/>
        <w:rPr>
          <w:rFonts w:hAnsi="宋体" w:cs="宋体"/>
          <w:bCs/>
          <w:color w:val="000000"/>
          <w:sz w:val="28"/>
          <w:szCs w:val="28"/>
        </w:rPr>
        <w:sectPr>
          <w:pgSz w:w="11906" w:h="16838"/>
          <w:pgMar w:top="1440" w:right="1587" w:bottom="1440" w:left="1587" w:header="851" w:footer="992" w:gutter="0"/>
          <w:cols w:space="720" w:num="1"/>
          <w:docGrid w:type="lines" w:linePitch="312" w:charSpace="0"/>
        </w:sectPr>
      </w:pPr>
      <w:r>
        <w:rPr>
          <w:rFonts w:hint="eastAsia" w:hAnsi="宋体" w:cs="宋体"/>
          <w:bCs/>
          <w:color w:val="000000"/>
          <w:sz w:val="28"/>
          <w:szCs w:val="28"/>
        </w:rPr>
        <w:t>日　期：</w:t>
      </w:r>
    </w:p>
    <w:p>
      <w:pPr>
        <w:spacing w:line="360" w:lineRule="auto"/>
        <w:rPr>
          <w:rFonts w:ascii="宋体" w:hAnsi="宋体" w:cs="宋体"/>
          <w:b/>
          <w:bCs/>
          <w:color w:val="000000"/>
          <w:sz w:val="24"/>
        </w:rPr>
      </w:pPr>
      <w:bookmarkStart w:id="43" w:name="_Toc51489575"/>
      <w:r>
        <w:rPr>
          <w:rFonts w:hint="eastAsia" w:ascii="宋体" w:hAnsi="宋体" w:cs="宋体"/>
          <w:b/>
          <w:bCs/>
          <w:color w:val="000000"/>
          <w:sz w:val="24"/>
        </w:rPr>
        <w:t>附件6：</w:t>
      </w:r>
    </w:p>
    <w:p>
      <w:pPr>
        <w:spacing w:afterLines="100" w:line="480" w:lineRule="auto"/>
        <w:jc w:val="center"/>
        <w:rPr>
          <w:rFonts w:ascii="宋体" w:hAnsi="宋体" w:cs="宋体"/>
          <w:color w:val="000000"/>
          <w:sz w:val="28"/>
          <w:szCs w:val="28"/>
        </w:rPr>
      </w:pPr>
      <w:r>
        <w:rPr>
          <w:rFonts w:hint="eastAsia" w:ascii="宋体" w:hAnsi="宋体" w:cs="宋体"/>
          <w:b/>
          <w:bCs/>
          <w:color w:val="000000"/>
          <w:kern w:val="0"/>
          <w:sz w:val="32"/>
          <w:szCs w:val="32"/>
          <w:lang w:val="zh-CN"/>
        </w:rPr>
        <w:t>依法缴纳税收及社会保障资金的书面承诺</w:t>
      </w:r>
      <w:bookmarkEnd w:id="43"/>
    </w:p>
    <w:p>
      <w:pPr>
        <w:spacing w:line="480" w:lineRule="auto"/>
        <w:jc w:val="left"/>
        <w:rPr>
          <w:rFonts w:ascii="宋体" w:hAnsi="宋体" w:cs="宋体"/>
          <w:color w:val="000000"/>
          <w:sz w:val="28"/>
          <w:szCs w:val="28"/>
        </w:rPr>
      </w:pPr>
      <w:r>
        <w:rPr>
          <w:rFonts w:hint="eastAsia" w:ascii="宋体" w:hAnsi="宋体"/>
          <w:kern w:val="0"/>
          <w:sz w:val="28"/>
          <w:szCs w:val="28"/>
        </w:rPr>
        <w:t>致</w:t>
      </w:r>
      <w:r>
        <w:rPr>
          <w:rFonts w:hint="eastAsia" w:ascii="宋体" w:hAnsi="宋体"/>
          <w:kern w:val="0"/>
          <w:sz w:val="28"/>
          <w:szCs w:val="28"/>
          <w:u w:val="single"/>
        </w:rPr>
        <w:t>中共仙居县委政法委员会</w:t>
      </w:r>
      <w:r>
        <w:rPr>
          <w:rFonts w:hint="eastAsia" w:ascii="宋体" w:hAnsi="宋体" w:cs="宋体"/>
          <w:color w:val="000000"/>
          <w:sz w:val="28"/>
          <w:szCs w:val="28"/>
        </w:rPr>
        <w:t>：</w:t>
      </w:r>
    </w:p>
    <w:p>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我公司作为本次采购项目的投标人，参加</w:t>
      </w:r>
      <w:r>
        <w:rPr>
          <w:rFonts w:hint="eastAsia" w:ascii="宋体" w:hAnsi="宋体" w:cs="宋体"/>
          <w:color w:val="000000"/>
          <w:sz w:val="28"/>
          <w:szCs w:val="28"/>
          <w:u w:val="single"/>
        </w:rPr>
        <w:t>仙居县基层矛调“五环智控”应用、</w:t>
      </w:r>
      <w:r>
        <w:rPr>
          <w:rFonts w:hint="eastAsia" w:ascii="宋体" w:hAnsi="宋体" w:cs="宋体"/>
          <w:color w:val="000000"/>
          <w:sz w:val="28"/>
          <w:szCs w:val="28"/>
          <w:u w:val="single"/>
          <w:lang w:eastAsia="zh-CN"/>
        </w:rPr>
        <w:t>GYTZ[2022]-021</w:t>
      </w:r>
      <w:r>
        <w:rPr>
          <w:rFonts w:hint="eastAsia" w:ascii="宋体" w:hAnsi="宋体" w:cs="宋体"/>
          <w:color w:val="000000"/>
          <w:sz w:val="28"/>
          <w:szCs w:val="28"/>
        </w:rPr>
        <w:t>招标活动，根据采购文件要求，现郑重承诺：</w:t>
      </w:r>
    </w:p>
    <w:p>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我公司已依法缴纳税收及社会保障资金，符合参与政府采购活动的资格条件，不存在税收缴纳、社会保障等方面的失信记录。</w:t>
      </w:r>
    </w:p>
    <w:p>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如本公司对以上条款提供虚假承诺，愿承担一切法律责任。</w:t>
      </w:r>
    </w:p>
    <w:p>
      <w:pPr>
        <w:spacing w:line="480" w:lineRule="auto"/>
        <w:jc w:val="left"/>
        <w:rPr>
          <w:rFonts w:ascii="宋体" w:hAnsi="宋体" w:cs="宋体"/>
          <w:color w:val="000000"/>
          <w:sz w:val="28"/>
          <w:szCs w:val="28"/>
        </w:rPr>
      </w:pPr>
    </w:p>
    <w:p>
      <w:pPr>
        <w:spacing w:line="480" w:lineRule="auto"/>
        <w:jc w:val="left"/>
        <w:rPr>
          <w:rFonts w:ascii="宋体" w:hAnsi="宋体" w:cs="宋体"/>
          <w:color w:val="000000"/>
          <w:sz w:val="28"/>
          <w:szCs w:val="28"/>
        </w:rPr>
      </w:pPr>
    </w:p>
    <w:p>
      <w:pPr>
        <w:spacing w:line="450" w:lineRule="atLeast"/>
        <w:jc w:val="left"/>
        <w:rPr>
          <w:rFonts w:ascii="宋体" w:hAnsi="宋体" w:cs="宋体"/>
          <w:color w:val="000000"/>
          <w:sz w:val="28"/>
          <w:szCs w:val="28"/>
        </w:rPr>
      </w:pPr>
      <w:r>
        <w:rPr>
          <w:rFonts w:hint="eastAsia" w:ascii="宋体" w:hAnsi="宋体" w:cs="宋体"/>
          <w:color w:val="000000"/>
          <w:sz w:val="28"/>
          <w:szCs w:val="28"/>
        </w:rPr>
        <w:t xml:space="preserve">                              承诺人 (盖单位章)： </w:t>
      </w:r>
    </w:p>
    <w:p>
      <w:pPr>
        <w:pStyle w:val="29"/>
        <w:ind w:left="0" w:leftChars="0"/>
        <w:jc w:val="center"/>
        <w:sectPr>
          <w:pgSz w:w="11906" w:h="16838"/>
          <w:pgMar w:top="1440" w:right="1587" w:bottom="1440" w:left="1587" w:header="851" w:footer="992" w:gutter="0"/>
          <w:cols w:space="720" w:num="1"/>
          <w:docGrid w:type="lines" w:linePitch="312" w:charSpace="0"/>
        </w:sectPr>
      </w:pPr>
      <w:r>
        <w:rPr>
          <w:rFonts w:hint="eastAsia" w:hAnsi="宋体" w:cs="宋体"/>
          <w:bCs/>
          <w:color w:val="000000"/>
          <w:sz w:val="28"/>
          <w:szCs w:val="28"/>
        </w:rPr>
        <w:t>日　期：</w:t>
      </w:r>
    </w:p>
    <w:p>
      <w:pPr>
        <w:spacing w:line="360" w:lineRule="auto"/>
        <w:rPr>
          <w:rFonts w:ascii="宋体" w:hAnsi="宋体" w:cs="宋体"/>
          <w:color w:val="000000"/>
          <w:sz w:val="28"/>
          <w:szCs w:val="28"/>
          <w:lang w:val="zh-CN"/>
        </w:rPr>
      </w:pPr>
      <w:r>
        <w:rPr>
          <w:rFonts w:hint="eastAsia" w:ascii="宋体" w:hAnsi="宋体" w:cs="宋体"/>
          <w:b/>
          <w:bCs/>
          <w:color w:val="000000"/>
          <w:sz w:val="24"/>
        </w:rPr>
        <w:t>附件7：</w:t>
      </w:r>
    </w:p>
    <w:p>
      <w:pPr>
        <w:spacing w:afterLines="100" w:line="480" w:lineRule="auto"/>
        <w:jc w:val="center"/>
        <w:rPr>
          <w:rFonts w:ascii="宋体" w:hAnsi="宋体" w:cs="宋体"/>
          <w:color w:val="000000"/>
          <w:sz w:val="32"/>
          <w:szCs w:val="32"/>
        </w:rPr>
      </w:pPr>
      <w:r>
        <w:rPr>
          <w:rFonts w:hint="eastAsia" w:ascii="宋体" w:hAnsi="宋体" w:cs="宋体"/>
          <w:b/>
          <w:bCs/>
          <w:color w:val="000000"/>
          <w:kern w:val="0"/>
          <w:sz w:val="32"/>
          <w:szCs w:val="32"/>
          <w:lang w:val="zh-CN"/>
        </w:rPr>
        <w:t>无重大违法记录声明书</w:t>
      </w:r>
    </w:p>
    <w:p>
      <w:pPr>
        <w:spacing w:line="480" w:lineRule="auto"/>
        <w:jc w:val="left"/>
        <w:rPr>
          <w:rFonts w:ascii="宋体" w:hAnsi="宋体" w:cs="宋体"/>
          <w:color w:val="000000"/>
          <w:sz w:val="28"/>
          <w:szCs w:val="28"/>
        </w:rPr>
      </w:pPr>
      <w:r>
        <w:rPr>
          <w:rFonts w:hint="eastAsia" w:ascii="宋体" w:hAnsi="宋体" w:cs="宋体"/>
          <w:color w:val="000000"/>
          <w:sz w:val="28"/>
          <w:szCs w:val="28"/>
        </w:rPr>
        <w:t>致</w:t>
      </w:r>
      <w:r>
        <w:rPr>
          <w:rFonts w:hint="eastAsia" w:ascii="宋体" w:hAnsi="宋体" w:cs="宋体"/>
          <w:color w:val="000000"/>
          <w:sz w:val="28"/>
          <w:szCs w:val="28"/>
          <w:u w:val="single"/>
        </w:rPr>
        <w:t>中共仙居县委政法委员会</w:t>
      </w:r>
      <w:r>
        <w:rPr>
          <w:rFonts w:hint="eastAsia" w:ascii="宋体" w:hAnsi="宋体" w:cs="宋体"/>
          <w:color w:val="000000"/>
          <w:sz w:val="28"/>
          <w:szCs w:val="28"/>
        </w:rPr>
        <w:t>：</w:t>
      </w:r>
    </w:p>
    <w:p>
      <w:pPr>
        <w:spacing w:line="480" w:lineRule="auto"/>
        <w:ind w:firstLine="560" w:firstLineChars="200"/>
        <w:jc w:val="left"/>
        <w:rPr>
          <w:rFonts w:ascii="宋体" w:hAnsi="宋体" w:cs="宋体"/>
          <w:color w:val="000000"/>
          <w:sz w:val="28"/>
          <w:szCs w:val="28"/>
        </w:rPr>
      </w:pPr>
      <w:r>
        <w:rPr>
          <w:rFonts w:hint="eastAsia" w:ascii="宋体" w:hAnsi="宋体" w:cs="宋体"/>
          <w:color w:val="000000"/>
          <w:sz w:val="28"/>
          <w:szCs w:val="28"/>
        </w:rPr>
        <w:t xml:space="preserve">我方郑重声明：我方参加 </w:t>
      </w:r>
      <w:r>
        <w:rPr>
          <w:rFonts w:hint="eastAsia" w:ascii="宋体" w:hAnsi="宋体" w:cs="宋体"/>
          <w:color w:val="000000"/>
          <w:sz w:val="28"/>
          <w:szCs w:val="28"/>
          <w:u w:val="single"/>
        </w:rPr>
        <w:t>仙居县基层矛调“五环智控”应用、</w:t>
      </w:r>
      <w:r>
        <w:rPr>
          <w:rFonts w:hint="eastAsia" w:ascii="宋体" w:hAnsi="宋体" w:cs="宋体"/>
          <w:color w:val="000000"/>
          <w:sz w:val="28"/>
          <w:szCs w:val="28"/>
          <w:u w:val="single"/>
          <w:lang w:eastAsia="zh-CN"/>
        </w:rPr>
        <w:t>GYTZ[2022]-021</w:t>
      </w:r>
      <w:r>
        <w:rPr>
          <w:rFonts w:hint="eastAsia" w:ascii="宋体" w:hAnsi="宋体" w:cs="宋体"/>
          <w:color w:val="000000"/>
          <w:sz w:val="28"/>
          <w:szCs w:val="28"/>
        </w:rPr>
        <w:t>的采购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spacing w:line="480" w:lineRule="auto"/>
        <w:ind w:firstLine="560" w:firstLineChars="200"/>
        <w:jc w:val="left"/>
        <w:rPr>
          <w:rFonts w:ascii="宋体" w:hAnsi="宋体" w:cs="宋体"/>
          <w:spacing w:val="6"/>
          <w:sz w:val="28"/>
          <w:szCs w:val="28"/>
        </w:rPr>
      </w:pPr>
      <w:r>
        <w:rPr>
          <w:rFonts w:hint="eastAsia" w:ascii="宋体" w:hAnsi="宋体" w:cs="宋体"/>
          <w:color w:val="000000"/>
          <w:sz w:val="28"/>
          <w:szCs w:val="28"/>
        </w:rPr>
        <w:t>特此声明。</w:t>
      </w:r>
    </w:p>
    <w:p>
      <w:pPr>
        <w:pStyle w:val="28"/>
        <w:spacing w:before="156" w:after="156"/>
        <w:jc w:val="center"/>
        <w:rPr>
          <w:rFonts w:hAnsi="宋体" w:cs="宋体"/>
          <w:color w:val="000000"/>
          <w:sz w:val="28"/>
          <w:szCs w:val="28"/>
        </w:rPr>
      </w:pPr>
    </w:p>
    <w:p>
      <w:pPr>
        <w:spacing w:line="450" w:lineRule="atLeast"/>
        <w:jc w:val="left"/>
        <w:rPr>
          <w:rFonts w:ascii="宋体" w:hAnsi="宋体" w:cs="宋体"/>
          <w:color w:val="000000"/>
          <w:sz w:val="28"/>
          <w:szCs w:val="28"/>
        </w:rPr>
      </w:pPr>
      <w:r>
        <w:rPr>
          <w:rFonts w:hint="eastAsia" w:ascii="宋体" w:hAnsi="宋体" w:cs="宋体"/>
          <w:color w:val="000000"/>
          <w:sz w:val="28"/>
          <w:szCs w:val="28"/>
        </w:rPr>
        <w:t>                               声明人 (盖单位章)： </w:t>
      </w:r>
    </w:p>
    <w:p>
      <w:pPr>
        <w:pStyle w:val="28"/>
        <w:spacing w:before="156" w:after="156" w:line="360" w:lineRule="auto"/>
        <w:ind w:firstLine="5460" w:firstLineChars="1950"/>
        <w:rPr>
          <w:rFonts w:hAnsi="宋体" w:cs="宋体"/>
          <w:b/>
          <w:color w:val="000000"/>
          <w:sz w:val="28"/>
          <w:szCs w:val="28"/>
        </w:rPr>
      </w:pPr>
      <w:r>
        <w:rPr>
          <w:rFonts w:hint="eastAsia" w:hAnsi="宋体" w:cs="宋体"/>
          <w:bCs/>
          <w:color w:val="000000"/>
          <w:sz w:val="28"/>
          <w:szCs w:val="28"/>
        </w:rPr>
        <w:t>日　期：</w:t>
      </w:r>
    </w:p>
    <w:p>
      <w:pPr>
        <w:spacing w:line="360" w:lineRule="auto"/>
        <w:rPr>
          <w:rFonts w:ascii="宋体" w:hAnsi="宋体" w:cs="宋体"/>
          <w:b/>
          <w:bCs/>
          <w:color w:val="000000"/>
          <w:sz w:val="24"/>
        </w:rPr>
      </w:pPr>
      <w:r>
        <w:rPr>
          <w:rFonts w:hint="eastAsia" w:hAnsi="宋体" w:cs="宋体"/>
          <w:b/>
          <w:color w:val="000000"/>
          <w:sz w:val="28"/>
          <w:szCs w:val="28"/>
        </w:rPr>
        <w:br w:type="page"/>
      </w:r>
    </w:p>
    <w:p>
      <w:pPr>
        <w:rPr>
          <w:lang w:val="zh-CN"/>
        </w:rPr>
        <w:sectPr>
          <w:pgSz w:w="11906" w:h="16838"/>
          <w:pgMar w:top="1418" w:right="1418" w:bottom="1418" w:left="1418" w:header="851" w:footer="992" w:gutter="0"/>
          <w:cols w:space="720" w:num="1"/>
          <w:docGrid w:linePitch="312" w:charSpace="0"/>
        </w:sectPr>
      </w:pPr>
    </w:p>
    <w:p>
      <w:pPr>
        <w:pStyle w:val="5"/>
        <w:spacing w:beforeLines="100"/>
        <w:jc w:val="center"/>
        <w:rPr>
          <w:rFonts w:ascii="宋体" w:hAnsi="宋体" w:eastAsia="宋体" w:cs="宋体"/>
          <w:lang w:val="zh-CN"/>
        </w:rPr>
      </w:pPr>
      <w:bookmarkStart w:id="44" w:name="_Toc14537"/>
      <w:r>
        <w:rPr>
          <w:rFonts w:hint="eastAsia" w:ascii="宋体" w:hAnsi="宋体" w:eastAsia="宋体" w:cs="宋体"/>
          <w:lang w:val="zh-CN"/>
        </w:rPr>
        <w:t>2、商务与技术文件格式</w:t>
      </w:r>
      <w:bookmarkEnd w:id="41"/>
      <w:bookmarkEnd w:id="42"/>
      <w:bookmarkEnd w:id="44"/>
    </w:p>
    <w:p>
      <w:pPr>
        <w:spacing w:before="100" w:beforeAutospacing="1" w:after="100" w:afterAutospacing="1"/>
        <w:jc w:val="center"/>
        <w:rPr>
          <w:rFonts w:ascii="宋体" w:hAnsi="宋体" w:cs="宋体"/>
          <w:b/>
          <w:sz w:val="32"/>
          <w:szCs w:val="32"/>
        </w:rPr>
      </w:pPr>
      <w:r>
        <w:rPr>
          <w:rFonts w:hint="eastAsia" w:ascii="宋体" w:hAnsi="宋体" w:cs="宋体"/>
          <w:b/>
          <w:sz w:val="32"/>
          <w:szCs w:val="32"/>
        </w:rPr>
        <w:t>目  录</w:t>
      </w:r>
    </w:p>
    <w:p>
      <w:pPr>
        <w:spacing w:line="480" w:lineRule="auto"/>
        <w:jc w:val="center"/>
        <w:rPr>
          <w:rFonts w:ascii="宋体" w:hAnsi="宋体" w:cs="宋体"/>
          <w:sz w:val="24"/>
        </w:rPr>
      </w:pPr>
      <w:r>
        <w:rPr>
          <w:rFonts w:hint="eastAsia" w:ascii="宋体" w:hAnsi="宋体" w:cs="宋体"/>
          <w:sz w:val="24"/>
        </w:rPr>
        <w:t>（投标人可参考招标文件“第三章 投标人须知”商务与技术文件组成要求编排）</w:t>
      </w:r>
    </w:p>
    <w:p>
      <w:pPr>
        <w:pStyle w:val="15"/>
        <w:spacing w:line="600" w:lineRule="exact"/>
        <w:ind w:firstLine="0" w:firstLineChars="0"/>
        <w:sectPr>
          <w:pgSz w:w="11905" w:h="16838"/>
          <w:pgMar w:top="1361" w:right="1587" w:bottom="1361" w:left="1587" w:header="851" w:footer="811" w:gutter="0"/>
          <w:cols w:space="720" w:num="1"/>
          <w:docGrid w:type="lines" w:linePitch="321" w:charSpace="0"/>
        </w:sectPr>
      </w:pPr>
      <w:bookmarkStart w:id="45" w:name="_Toc481505164"/>
      <w:bookmarkStart w:id="46" w:name="_Toc434090250"/>
      <w:r>
        <w:rPr>
          <w:rFonts w:hint="eastAsia" w:ascii="宋体" w:hAnsi="宋体" w:cs="宋体"/>
          <w:b/>
          <w:bCs/>
          <w:color w:val="000000"/>
          <w:sz w:val="24"/>
        </w:rPr>
        <w:br w:type="page"/>
      </w:r>
    </w:p>
    <w:bookmarkEnd w:id="45"/>
    <w:bookmarkEnd w:id="46"/>
    <w:p>
      <w:pPr>
        <w:spacing w:afterLines="100" w:line="600" w:lineRule="exact"/>
        <w:jc w:val="left"/>
        <w:rPr>
          <w:rFonts w:ascii="宋体" w:hAnsi="宋体" w:cs="宋体"/>
          <w:b/>
          <w:bCs/>
          <w:color w:val="000000"/>
          <w:sz w:val="24"/>
        </w:rPr>
      </w:pPr>
      <w:bookmarkStart w:id="47" w:name="_Toc481505160"/>
      <w:r>
        <w:rPr>
          <w:rFonts w:hint="eastAsia" w:ascii="宋体" w:hAnsi="宋体" w:cs="宋体"/>
          <w:b/>
          <w:bCs/>
          <w:color w:val="000000"/>
          <w:sz w:val="24"/>
        </w:rPr>
        <w:t>附件8：</w:t>
      </w:r>
    </w:p>
    <w:p>
      <w:pPr>
        <w:spacing w:afterLines="100" w:line="600" w:lineRule="exact"/>
        <w:jc w:val="center"/>
        <w:rPr>
          <w:rFonts w:ascii="宋体" w:hAnsi="宋体"/>
          <w:b/>
          <w:kern w:val="0"/>
          <w:sz w:val="30"/>
          <w:szCs w:val="30"/>
        </w:rPr>
      </w:pPr>
      <w:r>
        <w:rPr>
          <w:rFonts w:hint="eastAsia" w:ascii="宋体" w:hAnsi="宋体"/>
          <w:b/>
          <w:kern w:val="0"/>
          <w:sz w:val="30"/>
          <w:szCs w:val="30"/>
        </w:rPr>
        <w:t>商务响应承诺函</w:t>
      </w:r>
    </w:p>
    <w:p>
      <w:pPr>
        <w:widowControl/>
        <w:spacing w:line="360" w:lineRule="auto"/>
        <w:rPr>
          <w:rFonts w:ascii="宋体" w:hAnsi="宋体"/>
          <w:sz w:val="24"/>
          <w:szCs w:val="24"/>
        </w:rPr>
      </w:pPr>
      <w:r>
        <w:rPr>
          <w:rFonts w:hint="eastAsia" w:ascii="宋体" w:hAnsi="宋体"/>
          <w:kern w:val="0"/>
          <w:sz w:val="24"/>
          <w:szCs w:val="24"/>
        </w:rPr>
        <w:t xml:space="preserve">致 </w:t>
      </w:r>
      <w:r>
        <w:rPr>
          <w:rFonts w:hint="eastAsia" w:ascii="宋体" w:hAnsi="宋体"/>
          <w:kern w:val="0"/>
          <w:sz w:val="24"/>
          <w:szCs w:val="24"/>
          <w:u w:val="single"/>
        </w:rPr>
        <w:t>中共仙居县委政法委员会</w:t>
      </w:r>
      <w:r>
        <w:rPr>
          <w:rFonts w:hint="eastAsia" w:ascii="宋体" w:hAnsi="宋体"/>
          <w:kern w:val="0"/>
          <w:sz w:val="24"/>
          <w:szCs w:val="24"/>
        </w:rPr>
        <w:t>：</w:t>
      </w:r>
    </w:p>
    <w:p>
      <w:pPr>
        <w:pStyle w:val="2"/>
        <w:spacing w:line="360" w:lineRule="auto"/>
        <w:rPr>
          <w:rFonts w:ascii="宋体" w:hAnsi="宋体"/>
          <w:sz w:val="24"/>
          <w:szCs w:val="24"/>
        </w:rPr>
      </w:pPr>
      <w:r>
        <w:rPr>
          <w:rFonts w:hint="eastAsia" w:ascii="宋体" w:hAnsi="宋体"/>
          <w:sz w:val="24"/>
          <w:szCs w:val="24"/>
        </w:rPr>
        <w:t xml:space="preserve">    本公司参加</w:t>
      </w:r>
      <w:r>
        <w:rPr>
          <w:rFonts w:hint="eastAsia" w:ascii="宋体" w:hAnsi="宋体"/>
          <w:sz w:val="24"/>
          <w:szCs w:val="24"/>
          <w:u w:val="single"/>
        </w:rPr>
        <w:t>仙居县基层矛调“五环智控”应用、编号为</w:t>
      </w:r>
      <w:r>
        <w:rPr>
          <w:rFonts w:hint="eastAsia" w:ascii="宋体" w:hAnsi="宋体"/>
          <w:sz w:val="24"/>
          <w:szCs w:val="24"/>
          <w:u w:val="single"/>
          <w:lang w:eastAsia="zh-CN"/>
        </w:rPr>
        <w:t>GYTZ[2022]-021</w:t>
      </w:r>
      <w:r>
        <w:rPr>
          <w:rFonts w:hint="eastAsia" w:ascii="宋体" w:hAnsi="宋体"/>
          <w:sz w:val="24"/>
          <w:szCs w:val="24"/>
        </w:rPr>
        <w:t>的采购活动，现承诺我公司完全响应采购文件中要求的所有商务响应条款。</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如本公司对以上内容虚假承诺，愿承担一切法律责任。</w:t>
      </w:r>
    </w:p>
    <w:p>
      <w:pPr>
        <w:pStyle w:val="2"/>
        <w:rPr>
          <w:sz w:val="24"/>
          <w:szCs w:val="24"/>
        </w:rPr>
      </w:pPr>
    </w:p>
    <w:p>
      <w:pPr>
        <w:pStyle w:val="2"/>
        <w:spacing w:line="480" w:lineRule="auto"/>
        <w:rPr>
          <w:sz w:val="24"/>
          <w:szCs w:val="24"/>
        </w:rPr>
      </w:pPr>
    </w:p>
    <w:p>
      <w:pPr>
        <w:pStyle w:val="2"/>
        <w:jc w:val="center"/>
        <w:rPr>
          <w:rFonts w:hAnsi="宋体" w:cs="宋体"/>
          <w:bCs/>
          <w:sz w:val="24"/>
          <w:szCs w:val="24"/>
          <w:lang w:val="zh-CN"/>
        </w:rPr>
      </w:pPr>
      <w:r>
        <w:rPr>
          <w:rFonts w:hint="eastAsia" w:hAnsi="宋体" w:cs="宋体"/>
          <w:bCs/>
          <w:sz w:val="24"/>
          <w:szCs w:val="24"/>
          <w:lang w:val="zh-CN"/>
        </w:rPr>
        <w:t>投标人名称(盖单位章)：</w:t>
      </w:r>
    </w:p>
    <w:p>
      <w:pPr>
        <w:pStyle w:val="2"/>
        <w:jc w:val="center"/>
        <w:rPr>
          <w:rFonts w:ascii="宋体" w:hAnsi="宋体" w:cs="宋体"/>
          <w:sz w:val="24"/>
          <w:szCs w:val="24"/>
        </w:rPr>
      </w:pPr>
      <w:r>
        <w:rPr>
          <w:rFonts w:hint="eastAsia" w:hAnsi="宋体" w:cs="宋体"/>
          <w:bCs/>
          <w:sz w:val="24"/>
          <w:szCs w:val="24"/>
          <w:lang w:val="zh-CN"/>
        </w:rPr>
        <w:t xml:space="preserve">                           法定代表人或授权委托人(签字</w:t>
      </w:r>
      <w:r>
        <w:rPr>
          <w:rFonts w:hint="eastAsia" w:hAnsi="宋体" w:cs="宋体"/>
          <w:bCs/>
          <w:sz w:val="24"/>
          <w:szCs w:val="24"/>
        </w:rPr>
        <w:t>或盖章</w:t>
      </w:r>
      <w:r>
        <w:rPr>
          <w:rFonts w:hint="eastAsia" w:hAnsi="宋体" w:cs="宋体"/>
          <w:bCs/>
          <w:sz w:val="24"/>
          <w:szCs w:val="24"/>
          <w:lang w:val="zh-CN"/>
        </w:rPr>
        <w:t>)：</w:t>
      </w:r>
      <w:r>
        <w:rPr>
          <w:rFonts w:hint="eastAsia" w:hAnsi="宋体" w:cs="宋体"/>
          <w:bCs/>
          <w:sz w:val="24"/>
          <w:szCs w:val="24"/>
        </w:rPr>
        <w:t> </w:t>
      </w:r>
    </w:p>
    <w:p>
      <w:pPr>
        <w:pStyle w:val="2"/>
        <w:jc w:val="center"/>
        <w:rPr>
          <w:rFonts w:hAnsi="宋体" w:cs="宋体"/>
          <w:bCs/>
          <w:sz w:val="24"/>
          <w:szCs w:val="24"/>
        </w:rPr>
      </w:pPr>
      <w:r>
        <w:rPr>
          <w:rFonts w:hint="eastAsia" w:hAnsi="宋体" w:cs="宋体"/>
          <w:bCs/>
          <w:sz w:val="24"/>
          <w:szCs w:val="24"/>
        </w:rPr>
        <w:t>日　期：</w:t>
      </w:r>
    </w:p>
    <w:p>
      <w:pPr>
        <w:rPr>
          <w:rFonts w:hAnsi="宋体" w:cs="宋体"/>
          <w:bCs/>
          <w:sz w:val="24"/>
          <w:szCs w:val="24"/>
        </w:rPr>
      </w:pPr>
      <w:r>
        <w:rPr>
          <w:rFonts w:hint="eastAsia" w:hAnsi="宋体" w:cs="宋体"/>
          <w:bCs/>
          <w:sz w:val="24"/>
          <w:szCs w:val="24"/>
        </w:rPr>
        <w:br w:type="page"/>
      </w:r>
    </w:p>
    <w:p>
      <w:pPr>
        <w:spacing w:before="100" w:beforeAutospacing="1" w:line="360" w:lineRule="auto"/>
        <w:rPr>
          <w:rFonts w:ascii="宋体" w:hAnsi="宋体" w:cs="宋体"/>
          <w:b/>
          <w:bCs/>
          <w:color w:val="000000"/>
          <w:sz w:val="24"/>
        </w:rPr>
      </w:pPr>
      <w:r>
        <w:rPr>
          <w:rFonts w:hint="eastAsia" w:ascii="宋体" w:hAnsi="宋体" w:cs="宋体"/>
          <w:b/>
          <w:bCs/>
          <w:color w:val="000000"/>
          <w:sz w:val="24"/>
        </w:rPr>
        <w:t xml:space="preserve">附件9： </w:t>
      </w:r>
    </w:p>
    <w:p>
      <w:pPr>
        <w:tabs>
          <w:tab w:val="left" w:pos="2790"/>
          <w:tab w:val="left" w:pos="4230"/>
        </w:tabs>
        <w:autoSpaceDE w:val="0"/>
        <w:autoSpaceDN w:val="0"/>
        <w:spacing w:line="440" w:lineRule="exact"/>
        <w:jc w:val="center"/>
        <w:rPr>
          <w:rFonts w:ascii="宋体" w:hAnsi="宋体" w:cs="宋体"/>
          <w:b/>
          <w:color w:val="000000"/>
          <w:sz w:val="28"/>
          <w:szCs w:val="28"/>
        </w:rPr>
      </w:pPr>
      <w:r>
        <w:rPr>
          <w:rFonts w:hint="eastAsia" w:ascii="宋体" w:hAnsi="宋体" w:cs="宋体"/>
          <w:b/>
          <w:color w:val="000000"/>
          <w:sz w:val="28"/>
          <w:szCs w:val="28"/>
        </w:rPr>
        <w:t>类似项目业绩一览表</w:t>
      </w:r>
    </w:p>
    <w:p>
      <w:pPr>
        <w:pStyle w:val="28"/>
        <w:spacing w:line="320" w:lineRule="exact"/>
        <w:rPr>
          <w:rFonts w:hAnsi="宋体" w:cs="宋体"/>
          <w:szCs w:val="21"/>
        </w:rPr>
      </w:pPr>
      <w:r>
        <w:rPr>
          <w:rFonts w:hint="eastAsia" w:hAnsi="宋体" w:cs="宋体"/>
          <w:szCs w:val="21"/>
        </w:rPr>
        <w:t>项目编号：</w:t>
      </w:r>
      <w:r>
        <w:rPr>
          <w:rFonts w:hint="eastAsia" w:hAnsi="宋体" w:cs="宋体"/>
          <w:color w:val="000000"/>
          <w:szCs w:val="21"/>
          <w:lang w:val="zh-CN"/>
        </w:rPr>
        <w:t xml:space="preserve">GYTZ[2022]-021 </w:t>
      </w:r>
    </w:p>
    <w:p>
      <w:pPr>
        <w:pStyle w:val="28"/>
        <w:spacing w:line="320" w:lineRule="exact"/>
        <w:rPr>
          <w:rFonts w:hAnsi="宋体" w:cs="宋体"/>
          <w:color w:val="000000"/>
          <w:szCs w:val="21"/>
          <w:lang w:val="zh-CN"/>
        </w:rPr>
      </w:pPr>
      <w:r>
        <w:rPr>
          <w:rFonts w:hint="eastAsia" w:hAnsi="宋体" w:cs="宋体"/>
          <w:color w:val="000000"/>
          <w:szCs w:val="21"/>
          <w:lang w:val="zh-CN"/>
        </w:rPr>
        <w:t>项目名称：仙居县基层矛调“五环智控”应用</w:t>
      </w:r>
    </w:p>
    <w:tbl>
      <w:tblPr>
        <w:tblStyle w:val="4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49"/>
        <w:gridCol w:w="1744"/>
        <w:gridCol w:w="1260"/>
        <w:gridCol w:w="1800"/>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5" w:type="dxa"/>
            <w:vAlign w:val="center"/>
          </w:tcPr>
          <w:p>
            <w:pPr>
              <w:pStyle w:val="28"/>
              <w:spacing w:before="156" w:after="156"/>
              <w:jc w:val="center"/>
              <w:rPr>
                <w:rFonts w:hAnsi="宋体" w:cs="宋体"/>
                <w:b/>
                <w:bCs/>
                <w:kern w:val="0"/>
                <w:szCs w:val="21"/>
              </w:rPr>
            </w:pPr>
            <w:r>
              <w:rPr>
                <w:rFonts w:hint="eastAsia" w:hAnsi="宋体" w:cs="宋体"/>
                <w:bCs/>
                <w:kern w:val="0"/>
                <w:szCs w:val="21"/>
              </w:rPr>
              <w:t>序号</w:t>
            </w:r>
          </w:p>
        </w:tc>
        <w:tc>
          <w:tcPr>
            <w:tcW w:w="1649" w:type="dxa"/>
            <w:vAlign w:val="center"/>
          </w:tcPr>
          <w:p>
            <w:pPr>
              <w:pStyle w:val="28"/>
              <w:spacing w:before="156" w:after="156"/>
              <w:jc w:val="center"/>
              <w:rPr>
                <w:rFonts w:hAnsi="宋体" w:cs="宋体"/>
                <w:b/>
                <w:bCs/>
                <w:kern w:val="0"/>
                <w:szCs w:val="21"/>
              </w:rPr>
            </w:pPr>
            <w:r>
              <w:rPr>
                <w:rFonts w:hint="eastAsia" w:hAnsi="宋体" w:cs="宋体"/>
                <w:bCs/>
                <w:kern w:val="0"/>
                <w:szCs w:val="21"/>
              </w:rPr>
              <w:t>项目名称</w:t>
            </w:r>
          </w:p>
        </w:tc>
        <w:tc>
          <w:tcPr>
            <w:tcW w:w="1744" w:type="dxa"/>
            <w:vAlign w:val="center"/>
          </w:tcPr>
          <w:p>
            <w:pPr>
              <w:pStyle w:val="28"/>
              <w:spacing w:before="156" w:after="156"/>
              <w:jc w:val="center"/>
              <w:rPr>
                <w:rFonts w:hAnsi="宋体" w:cs="宋体"/>
                <w:b/>
                <w:bCs/>
                <w:kern w:val="0"/>
                <w:szCs w:val="21"/>
              </w:rPr>
            </w:pPr>
            <w:r>
              <w:rPr>
                <w:rFonts w:hint="eastAsia" w:hAnsi="宋体" w:cs="宋体"/>
                <w:bCs/>
                <w:kern w:val="0"/>
                <w:szCs w:val="21"/>
              </w:rPr>
              <w:t>业主单位</w:t>
            </w:r>
          </w:p>
        </w:tc>
        <w:tc>
          <w:tcPr>
            <w:tcW w:w="1260" w:type="dxa"/>
            <w:vAlign w:val="center"/>
          </w:tcPr>
          <w:p>
            <w:pPr>
              <w:pStyle w:val="28"/>
              <w:spacing w:before="156" w:after="156"/>
              <w:jc w:val="center"/>
              <w:rPr>
                <w:rFonts w:hAnsi="宋体" w:cs="宋体"/>
                <w:b/>
                <w:bCs/>
                <w:kern w:val="0"/>
                <w:szCs w:val="21"/>
              </w:rPr>
            </w:pPr>
            <w:r>
              <w:rPr>
                <w:rFonts w:hint="eastAsia" w:hAnsi="宋体" w:cs="宋体"/>
                <w:bCs/>
                <w:kern w:val="0"/>
                <w:szCs w:val="21"/>
              </w:rPr>
              <w:t>合同金额</w:t>
            </w:r>
          </w:p>
        </w:tc>
        <w:tc>
          <w:tcPr>
            <w:tcW w:w="1800" w:type="dxa"/>
            <w:vAlign w:val="center"/>
          </w:tcPr>
          <w:p>
            <w:pPr>
              <w:pStyle w:val="28"/>
              <w:spacing w:before="156" w:after="156"/>
              <w:jc w:val="center"/>
              <w:rPr>
                <w:rFonts w:hAnsi="宋体" w:cs="宋体"/>
                <w:b/>
                <w:bCs/>
                <w:kern w:val="0"/>
                <w:szCs w:val="21"/>
              </w:rPr>
            </w:pPr>
            <w:r>
              <w:rPr>
                <w:rFonts w:hint="eastAsia" w:hAnsi="宋体" w:cs="宋体"/>
                <w:bCs/>
                <w:kern w:val="0"/>
                <w:szCs w:val="21"/>
              </w:rPr>
              <w:t>合同签订时间</w:t>
            </w:r>
          </w:p>
        </w:tc>
        <w:tc>
          <w:tcPr>
            <w:tcW w:w="2194" w:type="dxa"/>
            <w:vAlign w:val="center"/>
          </w:tcPr>
          <w:p>
            <w:pPr>
              <w:pStyle w:val="28"/>
              <w:spacing w:before="156" w:after="156"/>
              <w:jc w:val="center"/>
              <w:rPr>
                <w:rFonts w:hAnsi="宋体" w:cs="宋体"/>
                <w:b/>
                <w:bCs/>
                <w:kern w:val="0"/>
                <w:szCs w:val="21"/>
              </w:rPr>
            </w:pPr>
            <w:r>
              <w:rPr>
                <w:rFonts w:hint="eastAsia" w:hAnsi="宋体" w:cs="宋体"/>
                <w:bCs/>
                <w:kern w:val="0"/>
                <w:szCs w:val="21"/>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pPr>
              <w:pStyle w:val="28"/>
              <w:spacing w:before="156" w:after="156"/>
              <w:rPr>
                <w:rFonts w:hAnsi="宋体" w:cs="宋体"/>
                <w:b/>
                <w:kern w:val="0"/>
                <w:szCs w:val="21"/>
              </w:rPr>
            </w:pPr>
          </w:p>
        </w:tc>
        <w:tc>
          <w:tcPr>
            <w:tcW w:w="1649" w:type="dxa"/>
            <w:vAlign w:val="center"/>
          </w:tcPr>
          <w:p>
            <w:pPr>
              <w:pStyle w:val="28"/>
              <w:spacing w:before="156" w:after="156"/>
              <w:rPr>
                <w:rFonts w:hAnsi="宋体" w:cs="宋体"/>
                <w:b/>
                <w:kern w:val="0"/>
                <w:szCs w:val="21"/>
              </w:rPr>
            </w:pPr>
          </w:p>
        </w:tc>
        <w:tc>
          <w:tcPr>
            <w:tcW w:w="1744" w:type="dxa"/>
            <w:vAlign w:val="center"/>
          </w:tcPr>
          <w:p>
            <w:pPr>
              <w:pStyle w:val="28"/>
              <w:spacing w:before="156" w:after="156"/>
              <w:rPr>
                <w:rFonts w:hAnsi="宋体" w:cs="宋体"/>
                <w:b/>
                <w:kern w:val="0"/>
                <w:szCs w:val="21"/>
              </w:rPr>
            </w:pPr>
          </w:p>
        </w:tc>
        <w:tc>
          <w:tcPr>
            <w:tcW w:w="1260" w:type="dxa"/>
            <w:vAlign w:val="center"/>
          </w:tcPr>
          <w:p>
            <w:pPr>
              <w:pStyle w:val="28"/>
              <w:spacing w:before="156" w:after="156"/>
              <w:rPr>
                <w:rFonts w:hAnsi="宋体" w:cs="宋体"/>
                <w:b/>
                <w:kern w:val="0"/>
                <w:szCs w:val="21"/>
              </w:rPr>
            </w:pPr>
          </w:p>
        </w:tc>
        <w:tc>
          <w:tcPr>
            <w:tcW w:w="1800" w:type="dxa"/>
            <w:vAlign w:val="center"/>
          </w:tcPr>
          <w:p>
            <w:pPr>
              <w:pStyle w:val="28"/>
              <w:spacing w:before="156" w:after="156"/>
              <w:rPr>
                <w:rFonts w:hAnsi="宋体" w:cs="宋体"/>
                <w:b/>
                <w:kern w:val="0"/>
                <w:szCs w:val="21"/>
              </w:rPr>
            </w:pPr>
          </w:p>
        </w:tc>
        <w:tc>
          <w:tcPr>
            <w:tcW w:w="2194" w:type="dxa"/>
            <w:vAlign w:val="center"/>
          </w:tcPr>
          <w:p>
            <w:pPr>
              <w:pStyle w:val="28"/>
              <w:spacing w:before="156" w:after="156"/>
              <w:rPr>
                <w:rFonts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pPr>
              <w:pStyle w:val="28"/>
              <w:spacing w:before="156" w:after="156"/>
              <w:rPr>
                <w:rFonts w:hAnsi="宋体" w:cs="宋体"/>
                <w:b/>
                <w:kern w:val="0"/>
                <w:szCs w:val="21"/>
              </w:rPr>
            </w:pPr>
          </w:p>
        </w:tc>
        <w:tc>
          <w:tcPr>
            <w:tcW w:w="1649" w:type="dxa"/>
            <w:vAlign w:val="center"/>
          </w:tcPr>
          <w:p>
            <w:pPr>
              <w:pStyle w:val="28"/>
              <w:spacing w:before="156" w:after="156"/>
              <w:rPr>
                <w:rFonts w:hAnsi="宋体" w:cs="宋体"/>
                <w:b/>
                <w:kern w:val="0"/>
                <w:szCs w:val="21"/>
              </w:rPr>
            </w:pPr>
          </w:p>
        </w:tc>
        <w:tc>
          <w:tcPr>
            <w:tcW w:w="1744" w:type="dxa"/>
            <w:vAlign w:val="center"/>
          </w:tcPr>
          <w:p>
            <w:pPr>
              <w:pStyle w:val="28"/>
              <w:spacing w:before="156" w:after="156"/>
              <w:rPr>
                <w:rFonts w:hAnsi="宋体" w:cs="宋体"/>
                <w:b/>
                <w:kern w:val="0"/>
                <w:szCs w:val="21"/>
              </w:rPr>
            </w:pPr>
          </w:p>
        </w:tc>
        <w:tc>
          <w:tcPr>
            <w:tcW w:w="1260" w:type="dxa"/>
            <w:vAlign w:val="center"/>
          </w:tcPr>
          <w:p>
            <w:pPr>
              <w:pStyle w:val="28"/>
              <w:spacing w:before="156" w:after="156"/>
              <w:rPr>
                <w:rFonts w:hAnsi="宋体" w:cs="宋体"/>
                <w:b/>
                <w:kern w:val="0"/>
                <w:szCs w:val="21"/>
              </w:rPr>
            </w:pPr>
          </w:p>
        </w:tc>
        <w:tc>
          <w:tcPr>
            <w:tcW w:w="1800" w:type="dxa"/>
            <w:vAlign w:val="center"/>
          </w:tcPr>
          <w:p>
            <w:pPr>
              <w:pStyle w:val="28"/>
              <w:spacing w:before="156" w:after="156"/>
              <w:rPr>
                <w:rFonts w:hAnsi="宋体" w:cs="宋体"/>
                <w:b/>
                <w:kern w:val="0"/>
                <w:szCs w:val="21"/>
              </w:rPr>
            </w:pPr>
          </w:p>
        </w:tc>
        <w:tc>
          <w:tcPr>
            <w:tcW w:w="2194" w:type="dxa"/>
            <w:vAlign w:val="center"/>
          </w:tcPr>
          <w:p>
            <w:pPr>
              <w:pStyle w:val="28"/>
              <w:spacing w:before="156" w:after="156"/>
              <w:rPr>
                <w:rFonts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pPr>
              <w:pStyle w:val="28"/>
              <w:spacing w:before="156" w:after="156"/>
              <w:rPr>
                <w:rFonts w:hAnsi="宋体" w:cs="宋体"/>
                <w:b/>
                <w:kern w:val="0"/>
                <w:szCs w:val="21"/>
              </w:rPr>
            </w:pPr>
          </w:p>
        </w:tc>
        <w:tc>
          <w:tcPr>
            <w:tcW w:w="1649" w:type="dxa"/>
            <w:vAlign w:val="center"/>
          </w:tcPr>
          <w:p>
            <w:pPr>
              <w:pStyle w:val="28"/>
              <w:spacing w:before="156" w:after="156"/>
              <w:rPr>
                <w:rFonts w:hAnsi="宋体" w:cs="宋体"/>
                <w:b/>
                <w:kern w:val="0"/>
                <w:szCs w:val="21"/>
              </w:rPr>
            </w:pPr>
          </w:p>
        </w:tc>
        <w:tc>
          <w:tcPr>
            <w:tcW w:w="1744" w:type="dxa"/>
            <w:vAlign w:val="center"/>
          </w:tcPr>
          <w:p>
            <w:pPr>
              <w:pStyle w:val="28"/>
              <w:spacing w:before="156" w:after="156"/>
              <w:rPr>
                <w:rFonts w:hAnsi="宋体" w:cs="宋体"/>
                <w:b/>
                <w:kern w:val="0"/>
                <w:szCs w:val="21"/>
              </w:rPr>
            </w:pPr>
          </w:p>
        </w:tc>
        <w:tc>
          <w:tcPr>
            <w:tcW w:w="1260" w:type="dxa"/>
            <w:vAlign w:val="center"/>
          </w:tcPr>
          <w:p>
            <w:pPr>
              <w:pStyle w:val="28"/>
              <w:spacing w:before="156" w:after="156"/>
              <w:rPr>
                <w:rFonts w:hAnsi="宋体" w:cs="宋体"/>
                <w:b/>
                <w:kern w:val="0"/>
                <w:szCs w:val="21"/>
              </w:rPr>
            </w:pPr>
          </w:p>
        </w:tc>
        <w:tc>
          <w:tcPr>
            <w:tcW w:w="1800" w:type="dxa"/>
            <w:vAlign w:val="center"/>
          </w:tcPr>
          <w:p>
            <w:pPr>
              <w:pStyle w:val="28"/>
              <w:spacing w:before="156" w:after="156"/>
              <w:rPr>
                <w:rFonts w:hAnsi="宋体" w:cs="宋体"/>
                <w:b/>
                <w:kern w:val="0"/>
                <w:szCs w:val="21"/>
              </w:rPr>
            </w:pPr>
          </w:p>
        </w:tc>
        <w:tc>
          <w:tcPr>
            <w:tcW w:w="2194" w:type="dxa"/>
            <w:vAlign w:val="center"/>
          </w:tcPr>
          <w:p>
            <w:pPr>
              <w:pStyle w:val="28"/>
              <w:spacing w:before="156" w:after="156"/>
              <w:rPr>
                <w:rFonts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pPr>
              <w:pStyle w:val="28"/>
              <w:spacing w:before="156" w:after="156"/>
              <w:rPr>
                <w:rFonts w:hAnsi="宋体" w:cs="宋体"/>
                <w:b/>
                <w:kern w:val="0"/>
                <w:szCs w:val="21"/>
              </w:rPr>
            </w:pPr>
          </w:p>
        </w:tc>
        <w:tc>
          <w:tcPr>
            <w:tcW w:w="1649" w:type="dxa"/>
            <w:vAlign w:val="center"/>
          </w:tcPr>
          <w:p>
            <w:pPr>
              <w:pStyle w:val="28"/>
              <w:spacing w:before="156" w:after="156"/>
              <w:rPr>
                <w:rFonts w:hAnsi="宋体" w:cs="宋体"/>
                <w:b/>
                <w:kern w:val="0"/>
                <w:szCs w:val="21"/>
              </w:rPr>
            </w:pPr>
          </w:p>
        </w:tc>
        <w:tc>
          <w:tcPr>
            <w:tcW w:w="1744" w:type="dxa"/>
            <w:vAlign w:val="center"/>
          </w:tcPr>
          <w:p>
            <w:pPr>
              <w:pStyle w:val="28"/>
              <w:spacing w:before="156" w:after="156"/>
              <w:rPr>
                <w:rFonts w:hAnsi="宋体" w:cs="宋体"/>
                <w:b/>
                <w:kern w:val="0"/>
                <w:szCs w:val="21"/>
              </w:rPr>
            </w:pPr>
          </w:p>
        </w:tc>
        <w:tc>
          <w:tcPr>
            <w:tcW w:w="1260" w:type="dxa"/>
            <w:vAlign w:val="center"/>
          </w:tcPr>
          <w:p>
            <w:pPr>
              <w:pStyle w:val="28"/>
              <w:spacing w:before="156" w:after="156"/>
              <w:rPr>
                <w:rFonts w:hAnsi="宋体" w:cs="宋体"/>
                <w:b/>
                <w:kern w:val="0"/>
                <w:szCs w:val="21"/>
              </w:rPr>
            </w:pPr>
          </w:p>
        </w:tc>
        <w:tc>
          <w:tcPr>
            <w:tcW w:w="1800" w:type="dxa"/>
            <w:vAlign w:val="center"/>
          </w:tcPr>
          <w:p>
            <w:pPr>
              <w:pStyle w:val="28"/>
              <w:spacing w:before="156" w:after="156"/>
              <w:rPr>
                <w:rFonts w:hAnsi="宋体" w:cs="宋体"/>
                <w:b/>
                <w:kern w:val="0"/>
                <w:szCs w:val="21"/>
              </w:rPr>
            </w:pPr>
          </w:p>
        </w:tc>
        <w:tc>
          <w:tcPr>
            <w:tcW w:w="2194" w:type="dxa"/>
            <w:vAlign w:val="center"/>
          </w:tcPr>
          <w:p>
            <w:pPr>
              <w:pStyle w:val="28"/>
              <w:spacing w:before="156" w:after="156"/>
              <w:rPr>
                <w:rFonts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pPr>
              <w:pStyle w:val="28"/>
              <w:spacing w:before="156" w:after="156"/>
              <w:rPr>
                <w:rFonts w:hAnsi="宋体" w:cs="宋体"/>
                <w:b/>
                <w:kern w:val="0"/>
                <w:szCs w:val="21"/>
              </w:rPr>
            </w:pPr>
          </w:p>
        </w:tc>
        <w:tc>
          <w:tcPr>
            <w:tcW w:w="1649" w:type="dxa"/>
            <w:vAlign w:val="center"/>
          </w:tcPr>
          <w:p>
            <w:pPr>
              <w:pStyle w:val="28"/>
              <w:spacing w:before="156" w:after="156"/>
              <w:rPr>
                <w:rFonts w:hAnsi="宋体" w:cs="宋体"/>
                <w:b/>
                <w:kern w:val="0"/>
                <w:szCs w:val="21"/>
              </w:rPr>
            </w:pPr>
          </w:p>
        </w:tc>
        <w:tc>
          <w:tcPr>
            <w:tcW w:w="1744" w:type="dxa"/>
            <w:vAlign w:val="center"/>
          </w:tcPr>
          <w:p>
            <w:pPr>
              <w:pStyle w:val="28"/>
              <w:spacing w:before="156" w:after="156"/>
              <w:rPr>
                <w:rFonts w:hAnsi="宋体" w:cs="宋体"/>
                <w:b/>
                <w:kern w:val="0"/>
                <w:szCs w:val="21"/>
              </w:rPr>
            </w:pPr>
          </w:p>
        </w:tc>
        <w:tc>
          <w:tcPr>
            <w:tcW w:w="1260" w:type="dxa"/>
            <w:vAlign w:val="center"/>
          </w:tcPr>
          <w:p>
            <w:pPr>
              <w:pStyle w:val="28"/>
              <w:spacing w:before="156" w:after="156"/>
              <w:rPr>
                <w:rFonts w:hAnsi="宋体" w:cs="宋体"/>
                <w:b/>
                <w:kern w:val="0"/>
                <w:szCs w:val="21"/>
              </w:rPr>
            </w:pPr>
          </w:p>
        </w:tc>
        <w:tc>
          <w:tcPr>
            <w:tcW w:w="1800" w:type="dxa"/>
            <w:vAlign w:val="center"/>
          </w:tcPr>
          <w:p>
            <w:pPr>
              <w:pStyle w:val="28"/>
              <w:spacing w:before="156" w:after="156"/>
              <w:rPr>
                <w:rFonts w:hAnsi="宋体" w:cs="宋体"/>
                <w:b/>
                <w:kern w:val="0"/>
                <w:szCs w:val="21"/>
              </w:rPr>
            </w:pPr>
          </w:p>
        </w:tc>
        <w:tc>
          <w:tcPr>
            <w:tcW w:w="2194" w:type="dxa"/>
            <w:vAlign w:val="center"/>
          </w:tcPr>
          <w:p>
            <w:pPr>
              <w:pStyle w:val="28"/>
              <w:spacing w:before="156" w:after="156"/>
              <w:rPr>
                <w:rFonts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pPr>
              <w:pStyle w:val="28"/>
              <w:spacing w:before="156" w:after="156"/>
              <w:rPr>
                <w:rFonts w:hAnsi="宋体" w:cs="宋体"/>
                <w:b/>
                <w:kern w:val="0"/>
                <w:szCs w:val="21"/>
              </w:rPr>
            </w:pPr>
          </w:p>
        </w:tc>
        <w:tc>
          <w:tcPr>
            <w:tcW w:w="1649" w:type="dxa"/>
            <w:vAlign w:val="center"/>
          </w:tcPr>
          <w:p>
            <w:pPr>
              <w:pStyle w:val="28"/>
              <w:spacing w:before="156" w:after="156"/>
              <w:rPr>
                <w:rFonts w:hAnsi="宋体" w:cs="宋体"/>
                <w:b/>
                <w:kern w:val="0"/>
                <w:szCs w:val="21"/>
              </w:rPr>
            </w:pPr>
          </w:p>
        </w:tc>
        <w:tc>
          <w:tcPr>
            <w:tcW w:w="1744" w:type="dxa"/>
            <w:vAlign w:val="center"/>
          </w:tcPr>
          <w:p>
            <w:pPr>
              <w:pStyle w:val="28"/>
              <w:spacing w:before="156" w:after="156"/>
              <w:rPr>
                <w:rFonts w:hAnsi="宋体" w:cs="宋体"/>
                <w:b/>
                <w:kern w:val="0"/>
                <w:szCs w:val="21"/>
              </w:rPr>
            </w:pPr>
          </w:p>
        </w:tc>
        <w:tc>
          <w:tcPr>
            <w:tcW w:w="1260" w:type="dxa"/>
            <w:vAlign w:val="center"/>
          </w:tcPr>
          <w:p>
            <w:pPr>
              <w:pStyle w:val="28"/>
              <w:spacing w:before="156" w:after="156"/>
              <w:rPr>
                <w:rFonts w:hAnsi="宋体" w:cs="宋体"/>
                <w:b/>
                <w:kern w:val="0"/>
                <w:szCs w:val="21"/>
              </w:rPr>
            </w:pPr>
          </w:p>
        </w:tc>
        <w:tc>
          <w:tcPr>
            <w:tcW w:w="1800" w:type="dxa"/>
            <w:vAlign w:val="center"/>
          </w:tcPr>
          <w:p>
            <w:pPr>
              <w:pStyle w:val="28"/>
              <w:spacing w:before="156" w:after="156"/>
              <w:rPr>
                <w:rFonts w:hAnsi="宋体" w:cs="宋体"/>
                <w:b/>
                <w:kern w:val="0"/>
                <w:szCs w:val="21"/>
              </w:rPr>
            </w:pPr>
          </w:p>
        </w:tc>
        <w:tc>
          <w:tcPr>
            <w:tcW w:w="2194" w:type="dxa"/>
            <w:vAlign w:val="center"/>
          </w:tcPr>
          <w:p>
            <w:pPr>
              <w:pStyle w:val="28"/>
              <w:spacing w:before="156" w:after="156"/>
              <w:rPr>
                <w:rFonts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pPr>
              <w:pStyle w:val="28"/>
              <w:spacing w:before="156" w:after="156"/>
              <w:rPr>
                <w:rFonts w:hAnsi="宋体" w:cs="宋体"/>
                <w:b/>
                <w:kern w:val="0"/>
                <w:szCs w:val="21"/>
              </w:rPr>
            </w:pPr>
          </w:p>
        </w:tc>
        <w:tc>
          <w:tcPr>
            <w:tcW w:w="1649" w:type="dxa"/>
            <w:vAlign w:val="center"/>
          </w:tcPr>
          <w:p>
            <w:pPr>
              <w:pStyle w:val="28"/>
              <w:spacing w:before="156" w:after="156"/>
              <w:rPr>
                <w:rFonts w:hAnsi="宋体" w:cs="宋体"/>
                <w:b/>
                <w:kern w:val="0"/>
                <w:szCs w:val="21"/>
              </w:rPr>
            </w:pPr>
          </w:p>
        </w:tc>
        <w:tc>
          <w:tcPr>
            <w:tcW w:w="1744" w:type="dxa"/>
            <w:vAlign w:val="center"/>
          </w:tcPr>
          <w:p>
            <w:pPr>
              <w:pStyle w:val="28"/>
              <w:spacing w:before="156" w:after="156"/>
              <w:rPr>
                <w:rFonts w:hAnsi="宋体" w:cs="宋体"/>
                <w:b/>
                <w:kern w:val="0"/>
                <w:szCs w:val="21"/>
              </w:rPr>
            </w:pPr>
          </w:p>
        </w:tc>
        <w:tc>
          <w:tcPr>
            <w:tcW w:w="1260" w:type="dxa"/>
            <w:vAlign w:val="center"/>
          </w:tcPr>
          <w:p>
            <w:pPr>
              <w:pStyle w:val="28"/>
              <w:spacing w:before="156" w:after="156"/>
              <w:rPr>
                <w:rFonts w:hAnsi="宋体" w:cs="宋体"/>
                <w:b/>
                <w:kern w:val="0"/>
                <w:szCs w:val="21"/>
              </w:rPr>
            </w:pPr>
          </w:p>
        </w:tc>
        <w:tc>
          <w:tcPr>
            <w:tcW w:w="1800" w:type="dxa"/>
            <w:vAlign w:val="center"/>
          </w:tcPr>
          <w:p>
            <w:pPr>
              <w:pStyle w:val="28"/>
              <w:spacing w:before="156" w:after="156"/>
              <w:rPr>
                <w:rFonts w:hAnsi="宋体" w:cs="宋体"/>
                <w:b/>
                <w:kern w:val="0"/>
                <w:szCs w:val="21"/>
              </w:rPr>
            </w:pPr>
          </w:p>
        </w:tc>
        <w:tc>
          <w:tcPr>
            <w:tcW w:w="2194" w:type="dxa"/>
            <w:vAlign w:val="center"/>
          </w:tcPr>
          <w:p>
            <w:pPr>
              <w:pStyle w:val="28"/>
              <w:spacing w:before="156" w:after="156"/>
              <w:rPr>
                <w:rFonts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75" w:type="dxa"/>
            <w:vAlign w:val="center"/>
          </w:tcPr>
          <w:p>
            <w:pPr>
              <w:pStyle w:val="28"/>
              <w:spacing w:before="156" w:after="156"/>
              <w:rPr>
                <w:rFonts w:hAnsi="宋体" w:cs="宋体"/>
                <w:b/>
                <w:kern w:val="0"/>
                <w:szCs w:val="21"/>
              </w:rPr>
            </w:pPr>
          </w:p>
        </w:tc>
        <w:tc>
          <w:tcPr>
            <w:tcW w:w="1649" w:type="dxa"/>
            <w:vAlign w:val="center"/>
          </w:tcPr>
          <w:p>
            <w:pPr>
              <w:pStyle w:val="28"/>
              <w:spacing w:before="156" w:after="156"/>
              <w:rPr>
                <w:rFonts w:hAnsi="宋体" w:cs="宋体"/>
                <w:b/>
                <w:kern w:val="0"/>
                <w:szCs w:val="21"/>
              </w:rPr>
            </w:pPr>
          </w:p>
        </w:tc>
        <w:tc>
          <w:tcPr>
            <w:tcW w:w="1744" w:type="dxa"/>
            <w:vAlign w:val="center"/>
          </w:tcPr>
          <w:p>
            <w:pPr>
              <w:pStyle w:val="28"/>
              <w:spacing w:before="156" w:after="156"/>
              <w:rPr>
                <w:rFonts w:hAnsi="宋体" w:cs="宋体"/>
                <w:b/>
                <w:kern w:val="0"/>
                <w:szCs w:val="21"/>
              </w:rPr>
            </w:pPr>
          </w:p>
        </w:tc>
        <w:tc>
          <w:tcPr>
            <w:tcW w:w="1260" w:type="dxa"/>
            <w:vAlign w:val="center"/>
          </w:tcPr>
          <w:p>
            <w:pPr>
              <w:pStyle w:val="28"/>
              <w:spacing w:before="156" w:after="156"/>
              <w:rPr>
                <w:rFonts w:hAnsi="宋体" w:cs="宋体"/>
                <w:b/>
                <w:kern w:val="0"/>
                <w:szCs w:val="21"/>
              </w:rPr>
            </w:pPr>
          </w:p>
        </w:tc>
        <w:tc>
          <w:tcPr>
            <w:tcW w:w="1800" w:type="dxa"/>
            <w:vAlign w:val="center"/>
          </w:tcPr>
          <w:p>
            <w:pPr>
              <w:pStyle w:val="28"/>
              <w:spacing w:before="156" w:after="156"/>
              <w:rPr>
                <w:rFonts w:hAnsi="宋体" w:cs="宋体"/>
                <w:b/>
                <w:kern w:val="0"/>
                <w:szCs w:val="21"/>
              </w:rPr>
            </w:pPr>
          </w:p>
        </w:tc>
        <w:tc>
          <w:tcPr>
            <w:tcW w:w="2194" w:type="dxa"/>
            <w:vAlign w:val="center"/>
          </w:tcPr>
          <w:p>
            <w:pPr>
              <w:pStyle w:val="28"/>
              <w:spacing w:before="156" w:after="156"/>
              <w:rPr>
                <w:rFonts w:hAnsi="宋体" w:cs="宋体"/>
                <w:b/>
                <w:kern w:val="0"/>
                <w:szCs w:val="21"/>
              </w:rPr>
            </w:pPr>
          </w:p>
        </w:tc>
      </w:tr>
    </w:tbl>
    <w:p>
      <w:pPr>
        <w:pStyle w:val="28"/>
        <w:spacing w:line="360" w:lineRule="auto"/>
        <w:rPr>
          <w:rFonts w:hAnsi="宋体" w:cs="宋体"/>
          <w:b/>
          <w:bCs/>
          <w:kern w:val="0"/>
          <w:szCs w:val="21"/>
        </w:rPr>
      </w:pPr>
      <w:r>
        <w:rPr>
          <w:rFonts w:hint="eastAsia" w:hAnsi="宋体" w:cs="宋体"/>
          <w:bCs/>
          <w:kern w:val="0"/>
          <w:szCs w:val="21"/>
        </w:rPr>
        <w:t>注：1.表中业绩参照“第四章 评标办法及评分标准”中要求提供，并附上每个业绩相关材料。</w:t>
      </w:r>
    </w:p>
    <w:p>
      <w:pPr>
        <w:pStyle w:val="28"/>
        <w:spacing w:line="360" w:lineRule="auto"/>
        <w:ind w:firstLine="420" w:firstLineChars="200"/>
        <w:rPr>
          <w:rFonts w:hAnsi="宋体" w:cs="宋体"/>
          <w:b/>
          <w:bCs/>
          <w:kern w:val="0"/>
          <w:szCs w:val="21"/>
        </w:rPr>
      </w:pPr>
      <w:r>
        <w:rPr>
          <w:rFonts w:hint="eastAsia" w:hAnsi="宋体" w:cs="宋体"/>
          <w:bCs/>
          <w:kern w:val="0"/>
          <w:szCs w:val="21"/>
        </w:rPr>
        <w:t>2.投标人承诺提供的上述业绩相关材料真实不假，否则作为投标文件提供虚假材料，按照采购文件相关条款处理，承担一切责任。</w:t>
      </w:r>
    </w:p>
    <w:p>
      <w:pPr>
        <w:spacing w:line="480" w:lineRule="auto"/>
        <w:ind w:right="840"/>
        <w:jc w:val="center"/>
        <w:rPr>
          <w:rFonts w:ascii="宋体" w:hAnsi="宋体" w:cs="宋体"/>
          <w:b/>
          <w:szCs w:val="21"/>
          <w:lang w:val="zh-CN"/>
        </w:rPr>
      </w:pPr>
    </w:p>
    <w:p>
      <w:pPr>
        <w:pStyle w:val="28"/>
        <w:spacing w:line="360" w:lineRule="auto"/>
        <w:ind w:firstLine="420" w:firstLineChars="200"/>
        <w:rPr>
          <w:rFonts w:hAnsi="宋体" w:cs="宋体"/>
          <w:bCs/>
          <w:kern w:val="0"/>
          <w:szCs w:val="21"/>
          <w:lang w:val="zh-CN"/>
        </w:rPr>
      </w:pPr>
      <w:r>
        <w:rPr>
          <w:rFonts w:hint="eastAsia" w:hAnsi="宋体" w:cs="宋体"/>
          <w:bCs/>
          <w:kern w:val="0"/>
          <w:szCs w:val="21"/>
          <w:lang w:val="zh-CN"/>
        </w:rPr>
        <w:t xml:space="preserve">  投标人（盖单位章）： </w:t>
      </w:r>
    </w:p>
    <w:p>
      <w:pPr>
        <w:pStyle w:val="28"/>
        <w:spacing w:line="360" w:lineRule="auto"/>
        <w:ind w:firstLine="420" w:firstLineChars="200"/>
        <w:jc w:val="center"/>
        <w:rPr>
          <w:rFonts w:hAnsi="宋体" w:cs="宋体"/>
          <w:bCs/>
          <w:kern w:val="0"/>
          <w:szCs w:val="21"/>
          <w:lang w:val="zh-CN"/>
        </w:rPr>
      </w:pPr>
      <w:r>
        <w:rPr>
          <w:rFonts w:hint="eastAsia" w:hAnsi="宋体" w:cs="宋体"/>
          <w:bCs/>
          <w:kern w:val="0"/>
          <w:szCs w:val="21"/>
          <w:lang w:val="zh-CN"/>
        </w:rPr>
        <w:t>日  期：</w:t>
      </w:r>
    </w:p>
    <w:p>
      <w:pPr>
        <w:spacing w:before="100" w:beforeAutospacing="1" w:line="360" w:lineRule="auto"/>
        <w:rPr>
          <w:rFonts w:ascii="宋体" w:hAnsi="宋体" w:cs="宋体"/>
          <w:b/>
          <w:bCs/>
          <w:color w:val="000000"/>
          <w:sz w:val="24"/>
        </w:rPr>
        <w:sectPr>
          <w:pgSz w:w="11906" w:h="16838"/>
          <w:pgMar w:top="1440" w:right="1587" w:bottom="1440" w:left="1587" w:header="851" w:footer="992" w:gutter="0"/>
          <w:cols w:space="720" w:num="1"/>
          <w:docGrid w:type="lines" w:linePitch="312" w:charSpace="0"/>
        </w:sectPr>
      </w:pPr>
    </w:p>
    <w:p>
      <w:pPr>
        <w:pStyle w:val="5"/>
        <w:spacing w:beforeLines="100"/>
        <w:jc w:val="center"/>
        <w:rPr>
          <w:rFonts w:ascii="宋体" w:hAnsi="宋体" w:eastAsia="宋体" w:cs="宋体"/>
          <w:lang w:val="zh-CN"/>
        </w:rPr>
      </w:pPr>
      <w:bookmarkStart w:id="48" w:name="_Toc528927457"/>
      <w:bookmarkStart w:id="49" w:name="_Toc528578415"/>
      <w:bookmarkStart w:id="50" w:name="_Toc29702"/>
      <w:r>
        <w:rPr>
          <w:rFonts w:hint="eastAsia" w:ascii="宋体" w:hAnsi="宋体" w:eastAsia="宋体" w:cs="宋体"/>
          <w:lang w:val="zh-CN"/>
        </w:rPr>
        <w:t>3、报价文件格式</w:t>
      </w:r>
      <w:bookmarkEnd w:id="48"/>
      <w:bookmarkEnd w:id="49"/>
      <w:bookmarkEnd w:id="50"/>
    </w:p>
    <w:p>
      <w:pPr>
        <w:spacing w:before="100" w:beforeAutospacing="1" w:line="360" w:lineRule="auto"/>
        <w:jc w:val="center"/>
        <w:rPr>
          <w:rFonts w:ascii="宋体" w:hAnsi="宋体" w:cs="宋体"/>
          <w:b/>
          <w:bCs/>
          <w:color w:val="000000"/>
          <w:sz w:val="28"/>
          <w:szCs w:val="28"/>
        </w:rPr>
      </w:pPr>
      <w:r>
        <w:rPr>
          <w:rFonts w:hint="eastAsia" w:ascii="宋体" w:hAnsi="宋体" w:cs="宋体"/>
          <w:b/>
          <w:bCs/>
          <w:color w:val="000000"/>
          <w:sz w:val="28"/>
          <w:szCs w:val="28"/>
        </w:rPr>
        <w:t>目   录</w:t>
      </w:r>
    </w:p>
    <w:p>
      <w:pPr>
        <w:spacing w:line="480" w:lineRule="auto"/>
        <w:jc w:val="center"/>
        <w:rPr>
          <w:rFonts w:ascii="宋体" w:hAnsi="宋体" w:cs="宋体"/>
          <w:sz w:val="24"/>
        </w:rPr>
      </w:pPr>
      <w:r>
        <w:rPr>
          <w:rFonts w:hint="eastAsia" w:ascii="宋体" w:hAnsi="宋体" w:cs="宋体"/>
          <w:sz w:val="24"/>
        </w:rPr>
        <w:t>（投标人可参考招标文件“第三章 投标人须知”报价文件组成要求编排）</w:t>
      </w:r>
    </w:p>
    <w:p>
      <w:pPr>
        <w:spacing w:before="100" w:beforeAutospacing="1" w:line="360" w:lineRule="auto"/>
        <w:rPr>
          <w:rFonts w:ascii="宋体" w:hAnsi="宋体" w:cs="宋体"/>
          <w:b/>
          <w:bCs/>
          <w:color w:val="000000"/>
          <w:sz w:val="24"/>
        </w:rPr>
        <w:sectPr>
          <w:pgSz w:w="11906" w:h="16838"/>
          <w:pgMar w:top="1440" w:right="1587" w:bottom="1440" w:left="1587" w:header="851" w:footer="992" w:gutter="0"/>
          <w:cols w:space="720" w:num="1"/>
          <w:docGrid w:type="lines" w:linePitch="312" w:charSpace="0"/>
        </w:sectPr>
      </w:pPr>
    </w:p>
    <w:p>
      <w:pPr>
        <w:spacing w:line="360" w:lineRule="auto"/>
        <w:rPr>
          <w:rFonts w:ascii="宋体" w:hAnsi="宋体" w:cs="宋体"/>
          <w:b/>
          <w:bCs/>
          <w:color w:val="000000"/>
          <w:sz w:val="24"/>
        </w:rPr>
      </w:pPr>
      <w:r>
        <w:rPr>
          <w:rFonts w:hint="eastAsia" w:ascii="宋体" w:hAnsi="宋体" w:cs="宋体"/>
          <w:b/>
          <w:bCs/>
          <w:color w:val="000000"/>
          <w:sz w:val="24"/>
        </w:rPr>
        <w:t>附件10：</w:t>
      </w:r>
      <w:bookmarkEnd w:id="47"/>
    </w:p>
    <w:p>
      <w:pPr>
        <w:spacing w:line="480" w:lineRule="auto"/>
        <w:jc w:val="center"/>
        <w:rPr>
          <w:rFonts w:ascii="宋体" w:hAnsi="宋体" w:cs="宋体"/>
          <w:b/>
          <w:sz w:val="28"/>
          <w:szCs w:val="28"/>
        </w:rPr>
      </w:pPr>
      <w:r>
        <w:rPr>
          <w:rFonts w:hint="eastAsia" w:ascii="宋体" w:hAnsi="宋体" w:cs="宋体"/>
          <w:b/>
          <w:sz w:val="28"/>
          <w:szCs w:val="28"/>
        </w:rPr>
        <w:t>开标一览表</w:t>
      </w:r>
    </w:p>
    <w:p>
      <w:pPr>
        <w:pStyle w:val="28"/>
        <w:spacing w:line="276" w:lineRule="auto"/>
        <w:rPr>
          <w:rFonts w:hint="eastAsia" w:hAnsi="宋体" w:eastAsia="宋体" w:cs="宋体"/>
          <w:szCs w:val="21"/>
          <w:lang w:eastAsia="zh-CN"/>
        </w:rPr>
      </w:pPr>
      <w:r>
        <w:rPr>
          <w:rFonts w:hint="eastAsia" w:hAnsi="宋体" w:cs="宋体"/>
          <w:szCs w:val="21"/>
        </w:rPr>
        <w:t>项目编号：</w:t>
      </w:r>
      <w:r>
        <w:rPr>
          <w:rFonts w:hint="eastAsia" w:hAnsi="宋体" w:cs="宋体"/>
          <w:szCs w:val="21"/>
          <w:lang w:eastAsia="zh-CN"/>
        </w:rPr>
        <w:t>GYTZ[2022]-021</w:t>
      </w:r>
    </w:p>
    <w:p>
      <w:pPr>
        <w:pStyle w:val="28"/>
        <w:spacing w:line="276" w:lineRule="auto"/>
        <w:rPr>
          <w:rFonts w:hAnsi="宋体" w:cs="宋体"/>
          <w:szCs w:val="21"/>
        </w:rPr>
      </w:pPr>
      <w:r>
        <w:rPr>
          <w:rFonts w:hint="eastAsia" w:hAnsi="宋体" w:cs="宋体"/>
          <w:szCs w:val="21"/>
        </w:rPr>
        <w:t>项目名称：仙居县基层矛调“五环智控”应用</w:t>
      </w:r>
    </w:p>
    <w:p>
      <w:pPr>
        <w:pStyle w:val="455"/>
        <w:wordWrap w:val="0"/>
        <w:spacing w:line="360" w:lineRule="auto"/>
        <w:ind w:right="480"/>
        <w:jc w:val="right"/>
        <w:rPr>
          <w:rFonts w:ascii="宋体" w:hAnsi="宋体" w:cs="宋体"/>
          <w:szCs w:val="21"/>
        </w:rPr>
      </w:pPr>
      <w:r>
        <w:rPr>
          <w:rFonts w:hint="eastAsia" w:ascii="宋体" w:hAnsi="宋体" w:cs="宋体"/>
          <w:szCs w:val="21"/>
        </w:rPr>
        <w:t xml:space="preserve">       [货币单位：人民币元]</w:t>
      </w:r>
    </w:p>
    <w:tbl>
      <w:tblPr>
        <w:tblStyle w:val="48"/>
        <w:tblW w:w="903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99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994"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994"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276" w:lineRule="auto"/>
        <w:jc w:val="left"/>
        <w:rPr>
          <w:rFonts w:ascii="宋体" w:hAnsi="宋体" w:cs="宋体"/>
          <w:bCs/>
          <w:szCs w:val="21"/>
        </w:rPr>
      </w:pPr>
      <w:r>
        <w:rPr>
          <w:rFonts w:hint="eastAsia" w:ascii="宋体" w:hAnsi="宋体" w:cs="宋体"/>
          <w:sz w:val="21"/>
          <w:szCs w:val="21"/>
        </w:rPr>
        <w:t>注: 1、投标报价指为完成本项目服务可能发生的全部费用包括但不限于货款、标准附件、备品备件、专用工具、包装、运输、装卸、保险、税金、货到就位以及安装、调试、培训、保修、采购代理费、完成合同所需的一切本身和不可缺的所有工作开支、政策性文件规定及合同包含的所有风险、责任等各项全部费用并承担一切风险责任。投标人在总价中应充分考虑作业期间成本投入的市场风险、政策性调整及其他不可预见因素，今后不再作调整。如发生不可抗拒力及突发性事件，中标方要无条件服从采购方指挥，配合采购方一切行动，相关费用包括在投标价内，采购方不再另行支付其它费用。</w:t>
      </w:r>
    </w:p>
    <w:p>
      <w:pPr>
        <w:spacing w:line="360" w:lineRule="auto"/>
        <w:jc w:val="left"/>
        <w:rPr>
          <w:rFonts w:ascii="宋体" w:hAnsi="宋体" w:cs="宋体"/>
          <w:sz w:val="21"/>
          <w:szCs w:val="21"/>
        </w:rPr>
      </w:pPr>
      <w:r>
        <w:rPr>
          <w:rFonts w:hint="eastAsia" w:ascii="宋体" w:hAnsi="宋体" w:cs="宋体"/>
          <w:sz w:val="21"/>
          <w:szCs w:val="21"/>
        </w:rPr>
        <w:t>2、报价一经涂改，应在涂改处加盖单位公章或者由法定代表人或授权委托人签字或盖章，否则其投标作无效标处理。</w:t>
      </w:r>
    </w:p>
    <w:p>
      <w:pPr>
        <w:spacing w:line="360" w:lineRule="auto"/>
        <w:ind w:firstLine="480" w:firstLineChars="200"/>
        <w:jc w:val="left"/>
        <w:rPr>
          <w:rFonts w:ascii="宋体" w:hAnsi="宋体" w:cs="宋体"/>
          <w:sz w:val="24"/>
        </w:rPr>
      </w:pPr>
    </w:p>
    <w:p>
      <w:pPr>
        <w:spacing w:line="480" w:lineRule="auto"/>
        <w:ind w:right="840"/>
        <w:jc w:val="center"/>
        <w:rPr>
          <w:rFonts w:ascii="宋体" w:hAnsi="宋体" w:cs="宋体"/>
          <w:b/>
          <w:sz w:val="21"/>
          <w:szCs w:val="21"/>
          <w:lang w:val="zh-CN"/>
        </w:rPr>
      </w:pPr>
      <w:bookmarkStart w:id="51" w:name="_Toc481505161"/>
      <w:r>
        <w:rPr>
          <w:rFonts w:hint="eastAsia" w:ascii="宋体" w:hAnsi="宋体" w:cs="宋体"/>
          <w:b/>
          <w:sz w:val="21"/>
          <w:szCs w:val="21"/>
          <w:lang w:val="zh-CN"/>
        </w:rPr>
        <w:t xml:space="preserve"> 投标人（盖单位章）： </w:t>
      </w:r>
    </w:p>
    <w:p>
      <w:pPr>
        <w:spacing w:line="480" w:lineRule="auto"/>
        <w:ind w:right="420" w:firstLine="5068" w:firstLineChars="2404"/>
        <w:rPr>
          <w:rFonts w:ascii="宋体" w:hAnsi="宋体" w:cs="宋体"/>
          <w:b/>
          <w:sz w:val="21"/>
          <w:szCs w:val="21"/>
          <w:lang w:val="zh-CN"/>
        </w:rPr>
        <w:sectPr>
          <w:pgSz w:w="11905" w:h="16838"/>
          <w:pgMar w:top="1417" w:right="1587" w:bottom="1417" w:left="1587" w:header="851" w:footer="992" w:gutter="0"/>
          <w:cols w:space="720" w:num="1"/>
          <w:docGrid w:type="lines" w:linePitch="297" w:charSpace="0"/>
        </w:sectPr>
      </w:pPr>
      <w:r>
        <w:rPr>
          <w:rFonts w:hint="eastAsia" w:ascii="宋体" w:hAnsi="宋体" w:cs="宋体"/>
          <w:b/>
          <w:sz w:val="21"/>
          <w:szCs w:val="21"/>
          <w:lang w:val="zh-CN"/>
        </w:rPr>
        <w:t>日  期：</w:t>
      </w:r>
    </w:p>
    <w:p>
      <w:pPr>
        <w:pStyle w:val="28"/>
        <w:spacing w:line="360" w:lineRule="auto"/>
        <w:outlineLvl w:val="1"/>
        <w:rPr>
          <w:rFonts w:hAnsi="宋体"/>
          <w:b/>
          <w:color w:val="000000"/>
          <w:sz w:val="24"/>
        </w:rPr>
      </w:pPr>
      <w:r>
        <w:rPr>
          <w:rFonts w:hAnsi="宋体"/>
          <w:b/>
          <w:color w:val="000000"/>
          <w:sz w:val="24"/>
        </w:rPr>
        <w:t>附件</w:t>
      </w:r>
      <w:r>
        <w:rPr>
          <w:rFonts w:hint="eastAsia" w:hAnsi="宋体"/>
          <w:b/>
          <w:color w:val="000000"/>
          <w:sz w:val="24"/>
        </w:rPr>
        <w:t>11：</w:t>
      </w:r>
    </w:p>
    <w:p>
      <w:pPr>
        <w:spacing w:line="360" w:lineRule="auto"/>
        <w:jc w:val="center"/>
        <w:rPr>
          <w:rFonts w:ascii="宋体" w:hAnsi="宋体" w:cs="宋体"/>
          <w:b/>
          <w:sz w:val="32"/>
          <w:szCs w:val="22"/>
          <w:lang w:val="zh-CN"/>
        </w:rPr>
      </w:pPr>
      <w:r>
        <w:rPr>
          <w:rFonts w:hint="eastAsia" w:ascii="宋体" w:hAnsi="宋体" w:cs="宋体"/>
          <w:b/>
          <w:sz w:val="32"/>
          <w:szCs w:val="22"/>
          <w:lang w:val="zh-CN"/>
        </w:rPr>
        <w:t>投标报价明细表</w:t>
      </w:r>
    </w:p>
    <w:p>
      <w:pPr>
        <w:pStyle w:val="28"/>
        <w:spacing w:line="276" w:lineRule="auto"/>
        <w:rPr>
          <w:rFonts w:hint="eastAsia" w:hAnsi="宋体" w:eastAsia="宋体" w:cs="宋体"/>
          <w:szCs w:val="21"/>
          <w:lang w:eastAsia="zh-CN"/>
        </w:rPr>
      </w:pPr>
      <w:r>
        <w:rPr>
          <w:rFonts w:hint="eastAsia" w:hAnsi="宋体" w:cs="宋体"/>
          <w:szCs w:val="21"/>
        </w:rPr>
        <w:t>项目编号：</w:t>
      </w:r>
      <w:r>
        <w:rPr>
          <w:rFonts w:hint="eastAsia" w:hAnsi="宋体" w:cs="宋体"/>
          <w:szCs w:val="21"/>
          <w:lang w:eastAsia="zh-CN"/>
        </w:rPr>
        <w:t>GYTZ[2022]-021</w:t>
      </w:r>
    </w:p>
    <w:p>
      <w:pPr>
        <w:pStyle w:val="24"/>
        <w:ind w:left="0" w:firstLine="0"/>
        <w:rPr>
          <w:rFonts w:eastAsia="宋体"/>
          <w:lang w:val="zh-CN"/>
        </w:rPr>
      </w:pPr>
      <w:r>
        <w:rPr>
          <w:rFonts w:hint="eastAsia" w:ascii="宋体" w:hAnsi="宋体" w:eastAsia="宋体" w:cs="宋体"/>
          <w:sz w:val="21"/>
          <w:szCs w:val="21"/>
        </w:rPr>
        <w:t>项目名称：仙居县基层矛调“五环智控”应用</w:t>
      </w:r>
    </w:p>
    <w:p>
      <w:pPr>
        <w:pStyle w:val="28"/>
        <w:spacing w:line="320" w:lineRule="exact"/>
        <w:ind w:right="480" w:firstLine="6000" w:firstLineChars="2500"/>
        <w:jc w:val="center"/>
        <w:rPr>
          <w:rFonts w:hAnsi="宋体"/>
          <w:color w:val="000000"/>
          <w:sz w:val="24"/>
        </w:rPr>
      </w:pPr>
      <w:r>
        <w:rPr>
          <w:rFonts w:hAnsi="宋体"/>
          <w:color w:val="000000"/>
          <w:sz w:val="24"/>
        </w:rPr>
        <w:t xml:space="preserve">   单位：元（人民币）</w:t>
      </w:r>
    </w:p>
    <w:tbl>
      <w:tblPr>
        <w:tblStyle w:val="48"/>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09"/>
        <w:gridCol w:w="1410"/>
        <w:gridCol w:w="900"/>
        <w:gridCol w:w="900"/>
        <w:gridCol w:w="1619"/>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28" w:type="dxa"/>
            <w:vAlign w:val="center"/>
          </w:tcPr>
          <w:p>
            <w:pPr>
              <w:jc w:val="center"/>
              <w:rPr>
                <w:rFonts w:ascii="宋体" w:hAnsi="宋体"/>
                <w:sz w:val="24"/>
              </w:rPr>
            </w:pPr>
            <w:r>
              <w:rPr>
                <w:rFonts w:hint="eastAsia" w:ascii="宋体" w:hAnsi="宋体"/>
                <w:sz w:val="24"/>
              </w:rPr>
              <w:t>序号</w:t>
            </w:r>
          </w:p>
        </w:tc>
        <w:tc>
          <w:tcPr>
            <w:tcW w:w="2009" w:type="dxa"/>
            <w:vAlign w:val="center"/>
          </w:tcPr>
          <w:p>
            <w:pPr>
              <w:jc w:val="center"/>
              <w:rPr>
                <w:rFonts w:ascii="宋体" w:hAnsi="宋体"/>
                <w:sz w:val="24"/>
              </w:rPr>
            </w:pPr>
            <w:r>
              <w:rPr>
                <w:rFonts w:hint="eastAsia" w:ascii="宋体" w:hAnsi="宋体"/>
                <w:sz w:val="24"/>
              </w:rPr>
              <w:t>产  品  名  称</w:t>
            </w:r>
          </w:p>
        </w:tc>
        <w:tc>
          <w:tcPr>
            <w:tcW w:w="1410" w:type="dxa"/>
            <w:vAlign w:val="center"/>
          </w:tcPr>
          <w:p>
            <w:pPr>
              <w:jc w:val="center"/>
              <w:rPr>
                <w:rFonts w:ascii="宋体" w:hAnsi="宋体"/>
                <w:sz w:val="24"/>
              </w:rPr>
            </w:pPr>
            <w:r>
              <w:rPr>
                <w:rFonts w:hint="eastAsia" w:ascii="宋体" w:hAnsi="宋体"/>
                <w:sz w:val="24"/>
              </w:rPr>
              <w:t>品牌型号</w:t>
            </w:r>
          </w:p>
        </w:tc>
        <w:tc>
          <w:tcPr>
            <w:tcW w:w="900" w:type="dxa"/>
            <w:vAlign w:val="center"/>
          </w:tcPr>
          <w:p>
            <w:pPr>
              <w:jc w:val="center"/>
              <w:rPr>
                <w:rFonts w:ascii="宋体" w:hAnsi="宋体"/>
                <w:sz w:val="24"/>
              </w:rPr>
            </w:pPr>
            <w:r>
              <w:rPr>
                <w:rFonts w:hint="eastAsia" w:ascii="宋体" w:hAnsi="宋体"/>
                <w:sz w:val="24"/>
              </w:rPr>
              <w:t>单位</w:t>
            </w:r>
          </w:p>
        </w:tc>
        <w:tc>
          <w:tcPr>
            <w:tcW w:w="900" w:type="dxa"/>
            <w:vAlign w:val="center"/>
          </w:tcPr>
          <w:p>
            <w:pPr>
              <w:jc w:val="center"/>
              <w:rPr>
                <w:rFonts w:ascii="宋体" w:hAnsi="宋体"/>
                <w:sz w:val="24"/>
              </w:rPr>
            </w:pPr>
            <w:r>
              <w:rPr>
                <w:rFonts w:hint="eastAsia" w:ascii="宋体" w:hAnsi="宋体"/>
                <w:sz w:val="24"/>
              </w:rPr>
              <w:t>数量</w:t>
            </w:r>
          </w:p>
        </w:tc>
        <w:tc>
          <w:tcPr>
            <w:tcW w:w="1619" w:type="dxa"/>
            <w:vAlign w:val="center"/>
          </w:tcPr>
          <w:p>
            <w:pPr>
              <w:jc w:val="center"/>
              <w:rPr>
                <w:rFonts w:ascii="宋体" w:hAnsi="宋体"/>
                <w:sz w:val="24"/>
              </w:rPr>
            </w:pPr>
            <w:r>
              <w:rPr>
                <w:rFonts w:hint="eastAsia" w:ascii="宋体" w:hAnsi="宋体"/>
                <w:sz w:val="24"/>
              </w:rPr>
              <w:t>单价</w:t>
            </w:r>
          </w:p>
        </w:tc>
        <w:tc>
          <w:tcPr>
            <w:tcW w:w="1682" w:type="dxa"/>
            <w:vAlign w:val="center"/>
          </w:tcPr>
          <w:p>
            <w:pPr>
              <w:jc w:val="center"/>
              <w:rPr>
                <w:rFonts w:ascii="宋体" w:hAnsi="宋体"/>
                <w:sz w:val="24"/>
              </w:rPr>
            </w:pPr>
            <w:r>
              <w:rPr>
                <w:rFonts w:hint="eastAsia" w:ascii="宋体" w:hAnsi="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right w:val="single" w:color="auto" w:sz="8" w:space="0"/>
            </w:tcBorders>
            <w:vAlign w:val="center"/>
          </w:tcPr>
          <w:p>
            <w:pPr>
              <w:jc w:val="center"/>
              <w:rPr>
                <w:rFonts w:ascii="宋体" w:hAnsi="宋体"/>
                <w:sz w:val="24"/>
                <w:szCs w:val="24"/>
              </w:rPr>
            </w:pPr>
            <w:r>
              <w:rPr>
                <w:rFonts w:hint="eastAsia" w:ascii="宋体" w:hAnsi="宋体"/>
                <w:sz w:val="24"/>
                <w:szCs w:val="24"/>
              </w:rPr>
              <w:t>1</w:t>
            </w:r>
          </w:p>
        </w:tc>
        <w:tc>
          <w:tcPr>
            <w:tcW w:w="2009" w:type="dxa"/>
            <w:tcBorders>
              <w:left w:val="single" w:color="auto" w:sz="8" w:space="0"/>
              <w:right w:val="single" w:color="auto" w:sz="4" w:space="0"/>
            </w:tcBorders>
            <w:vAlign w:val="center"/>
          </w:tcPr>
          <w:p>
            <w:pPr>
              <w:pStyle w:val="28"/>
              <w:spacing w:line="360" w:lineRule="auto"/>
              <w:jc w:val="center"/>
              <w:rPr>
                <w:rFonts w:hAnsi="宋体" w:cs="宋体"/>
                <w:kern w:val="0"/>
                <w:sz w:val="24"/>
                <w:szCs w:val="24"/>
              </w:rPr>
            </w:pPr>
          </w:p>
        </w:tc>
        <w:tc>
          <w:tcPr>
            <w:tcW w:w="1410" w:type="dxa"/>
            <w:tcBorders>
              <w:left w:val="single" w:color="auto" w:sz="4" w:space="0"/>
            </w:tcBorders>
            <w:vAlign w:val="center"/>
          </w:tcPr>
          <w:p>
            <w:pPr>
              <w:jc w:val="center"/>
              <w:rPr>
                <w:rFonts w:ascii="宋体" w:hAnsi="宋体" w:cs="宋体"/>
                <w:kern w:val="0"/>
                <w:sz w:val="24"/>
                <w:szCs w:val="24"/>
              </w:rPr>
            </w:pPr>
          </w:p>
        </w:tc>
        <w:tc>
          <w:tcPr>
            <w:tcW w:w="900" w:type="dxa"/>
            <w:vAlign w:val="center"/>
          </w:tcPr>
          <w:p>
            <w:pPr>
              <w:pStyle w:val="28"/>
              <w:spacing w:line="360" w:lineRule="auto"/>
              <w:jc w:val="center"/>
              <w:rPr>
                <w:rFonts w:hAnsi="Times New Roman"/>
                <w:sz w:val="24"/>
                <w:szCs w:val="24"/>
                <w:lang w:val="zh-CN"/>
              </w:rPr>
            </w:pPr>
          </w:p>
        </w:tc>
        <w:tc>
          <w:tcPr>
            <w:tcW w:w="900" w:type="dxa"/>
            <w:vAlign w:val="center"/>
          </w:tcPr>
          <w:p>
            <w:pPr>
              <w:pStyle w:val="28"/>
              <w:spacing w:line="360" w:lineRule="auto"/>
              <w:jc w:val="center"/>
              <w:rPr>
                <w:rFonts w:hAnsi="Times New Roman"/>
                <w:sz w:val="24"/>
                <w:szCs w:val="24"/>
                <w:lang w:val="zh-CN"/>
              </w:rPr>
            </w:pPr>
          </w:p>
        </w:tc>
        <w:tc>
          <w:tcPr>
            <w:tcW w:w="1619" w:type="dxa"/>
            <w:vAlign w:val="center"/>
          </w:tcPr>
          <w:p>
            <w:pPr>
              <w:widowControl/>
              <w:jc w:val="center"/>
              <w:rPr>
                <w:rFonts w:ascii="宋体" w:hAnsi="宋体"/>
                <w:sz w:val="24"/>
                <w:szCs w:val="24"/>
              </w:rPr>
            </w:pPr>
          </w:p>
        </w:tc>
        <w:tc>
          <w:tcPr>
            <w:tcW w:w="1682"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right w:val="single" w:color="auto" w:sz="8" w:space="0"/>
            </w:tcBorders>
            <w:vAlign w:val="center"/>
          </w:tcPr>
          <w:p>
            <w:pPr>
              <w:jc w:val="center"/>
              <w:rPr>
                <w:rFonts w:ascii="宋体" w:hAnsi="宋体"/>
                <w:sz w:val="24"/>
                <w:szCs w:val="24"/>
              </w:rPr>
            </w:pPr>
            <w:r>
              <w:rPr>
                <w:rFonts w:hint="eastAsia" w:ascii="宋体" w:hAnsi="宋体"/>
                <w:sz w:val="24"/>
                <w:szCs w:val="24"/>
              </w:rPr>
              <w:t>2</w:t>
            </w:r>
          </w:p>
        </w:tc>
        <w:tc>
          <w:tcPr>
            <w:tcW w:w="2009" w:type="dxa"/>
            <w:tcBorders>
              <w:left w:val="single" w:color="auto" w:sz="8" w:space="0"/>
              <w:right w:val="single" w:color="auto" w:sz="4" w:space="0"/>
            </w:tcBorders>
            <w:vAlign w:val="center"/>
          </w:tcPr>
          <w:p>
            <w:pPr>
              <w:pStyle w:val="28"/>
              <w:spacing w:line="360" w:lineRule="auto"/>
              <w:jc w:val="center"/>
              <w:rPr>
                <w:rFonts w:hAnsi="宋体" w:cs="宋体"/>
                <w:kern w:val="0"/>
                <w:sz w:val="24"/>
                <w:szCs w:val="24"/>
              </w:rPr>
            </w:pPr>
          </w:p>
        </w:tc>
        <w:tc>
          <w:tcPr>
            <w:tcW w:w="1410" w:type="dxa"/>
            <w:tcBorders>
              <w:left w:val="single" w:color="auto" w:sz="4" w:space="0"/>
            </w:tcBorders>
            <w:vAlign w:val="center"/>
          </w:tcPr>
          <w:p>
            <w:pPr>
              <w:jc w:val="center"/>
              <w:rPr>
                <w:rFonts w:ascii="宋体" w:hAnsi="宋体" w:cs="宋体"/>
                <w:kern w:val="0"/>
                <w:sz w:val="24"/>
                <w:szCs w:val="24"/>
              </w:rPr>
            </w:pPr>
          </w:p>
        </w:tc>
        <w:tc>
          <w:tcPr>
            <w:tcW w:w="900" w:type="dxa"/>
            <w:vAlign w:val="center"/>
          </w:tcPr>
          <w:p>
            <w:pPr>
              <w:pStyle w:val="28"/>
              <w:spacing w:line="360" w:lineRule="auto"/>
              <w:jc w:val="center"/>
              <w:rPr>
                <w:rFonts w:hAnsi="Times New Roman"/>
                <w:sz w:val="24"/>
                <w:szCs w:val="24"/>
                <w:lang w:val="zh-CN"/>
              </w:rPr>
            </w:pPr>
          </w:p>
        </w:tc>
        <w:tc>
          <w:tcPr>
            <w:tcW w:w="900" w:type="dxa"/>
            <w:vAlign w:val="center"/>
          </w:tcPr>
          <w:p>
            <w:pPr>
              <w:pStyle w:val="28"/>
              <w:spacing w:line="360" w:lineRule="auto"/>
              <w:jc w:val="center"/>
              <w:rPr>
                <w:rFonts w:hAnsi="Times New Roman"/>
                <w:sz w:val="24"/>
                <w:szCs w:val="24"/>
                <w:lang w:val="zh-CN"/>
              </w:rPr>
            </w:pPr>
          </w:p>
        </w:tc>
        <w:tc>
          <w:tcPr>
            <w:tcW w:w="1619" w:type="dxa"/>
            <w:vAlign w:val="center"/>
          </w:tcPr>
          <w:p>
            <w:pPr>
              <w:widowControl/>
              <w:jc w:val="center"/>
              <w:rPr>
                <w:rFonts w:ascii="宋体" w:hAnsi="宋体"/>
                <w:sz w:val="24"/>
                <w:szCs w:val="24"/>
              </w:rPr>
            </w:pPr>
          </w:p>
        </w:tc>
        <w:tc>
          <w:tcPr>
            <w:tcW w:w="1682"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right w:val="single" w:color="auto" w:sz="8" w:space="0"/>
            </w:tcBorders>
            <w:vAlign w:val="center"/>
          </w:tcPr>
          <w:p>
            <w:pPr>
              <w:jc w:val="center"/>
              <w:rPr>
                <w:rFonts w:ascii="宋体" w:hAnsi="宋体"/>
                <w:sz w:val="24"/>
                <w:szCs w:val="24"/>
              </w:rPr>
            </w:pPr>
            <w:r>
              <w:rPr>
                <w:rFonts w:hint="eastAsia" w:ascii="宋体" w:hAnsi="宋体"/>
                <w:sz w:val="24"/>
                <w:szCs w:val="24"/>
              </w:rPr>
              <w:t>3</w:t>
            </w:r>
          </w:p>
        </w:tc>
        <w:tc>
          <w:tcPr>
            <w:tcW w:w="2009" w:type="dxa"/>
            <w:tcBorders>
              <w:left w:val="single" w:color="auto" w:sz="8" w:space="0"/>
              <w:right w:val="single" w:color="auto" w:sz="4" w:space="0"/>
            </w:tcBorders>
            <w:vAlign w:val="center"/>
          </w:tcPr>
          <w:p>
            <w:pPr>
              <w:pStyle w:val="28"/>
              <w:spacing w:line="360" w:lineRule="auto"/>
              <w:jc w:val="center"/>
              <w:rPr>
                <w:rFonts w:hAnsi="宋体" w:cs="宋体"/>
                <w:kern w:val="0"/>
                <w:sz w:val="24"/>
                <w:szCs w:val="24"/>
              </w:rPr>
            </w:pPr>
          </w:p>
        </w:tc>
        <w:tc>
          <w:tcPr>
            <w:tcW w:w="1410" w:type="dxa"/>
            <w:tcBorders>
              <w:left w:val="single" w:color="auto" w:sz="4" w:space="0"/>
            </w:tcBorders>
            <w:vAlign w:val="center"/>
          </w:tcPr>
          <w:p>
            <w:pPr>
              <w:jc w:val="center"/>
              <w:rPr>
                <w:rFonts w:ascii="宋体" w:hAnsi="宋体" w:cs="宋体"/>
                <w:kern w:val="0"/>
                <w:sz w:val="24"/>
                <w:szCs w:val="24"/>
              </w:rPr>
            </w:pPr>
          </w:p>
        </w:tc>
        <w:tc>
          <w:tcPr>
            <w:tcW w:w="900" w:type="dxa"/>
            <w:vAlign w:val="center"/>
          </w:tcPr>
          <w:p>
            <w:pPr>
              <w:pStyle w:val="28"/>
              <w:spacing w:line="360" w:lineRule="auto"/>
              <w:jc w:val="center"/>
              <w:rPr>
                <w:rFonts w:hAnsi="Times New Roman"/>
                <w:sz w:val="24"/>
                <w:szCs w:val="24"/>
                <w:lang w:val="zh-CN"/>
              </w:rPr>
            </w:pPr>
          </w:p>
        </w:tc>
        <w:tc>
          <w:tcPr>
            <w:tcW w:w="900" w:type="dxa"/>
            <w:vAlign w:val="center"/>
          </w:tcPr>
          <w:p>
            <w:pPr>
              <w:pStyle w:val="28"/>
              <w:spacing w:line="360" w:lineRule="auto"/>
              <w:jc w:val="center"/>
              <w:rPr>
                <w:rFonts w:hAnsi="Times New Roman"/>
                <w:sz w:val="24"/>
                <w:szCs w:val="24"/>
                <w:lang w:val="zh-CN"/>
              </w:rPr>
            </w:pPr>
          </w:p>
        </w:tc>
        <w:tc>
          <w:tcPr>
            <w:tcW w:w="1619" w:type="dxa"/>
            <w:vAlign w:val="center"/>
          </w:tcPr>
          <w:p>
            <w:pPr>
              <w:widowControl/>
              <w:jc w:val="center"/>
              <w:rPr>
                <w:rFonts w:ascii="宋体" w:hAnsi="宋体"/>
                <w:sz w:val="24"/>
                <w:szCs w:val="24"/>
              </w:rPr>
            </w:pPr>
          </w:p>
        </w:tc>
        <w:tc>
          <w:tcPr>
            <w:tcW w:w="1682"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right w:val="single" w:color="auto" w:sz="8" w:space="0"/>
            </w:tcBorders>
            <w:vAlign w:val="center"/>
          </w:tcPr>
          <w:p>
            <w:pPr>
              <w:jc w:val="center"/>
              <w:rPr>
                <w:rFonts w:ascii="宋体" w:hAnsi="宋体"/>
                <w:sz w:val="24"/>
                <w:szCs w:val="24"/>
              </w:rPr>
            </w:pPr>
            <w:r>
              <w:rPr>
                <w:rFonts w:hint="eastAsia" w:ascii="宋体" w:hAnsi="宋体"/>
                <w:sz w:val="24"/>
                <w:szCs w:val="24"/>
              </w:rPr>
              <w:t>4</w:t>
            </w:r>
          </w:p>
        </w:tc>
        <w:tc>
          <w:tcPr>
            <w:tcW w:w="2009" w:type="dxa"/>
            <w:tcBorders>
              <w:left w:val="single" w:color="auto" w:sz="8" w:space="0"/>
              <w:right w:val="single" w:color="auto" w:sz="4" w:space="0"/>
            </w:tcBorders>
            <w:vAlign w:val="center"/>
          </w:tcPr>
          <w:p>
            <w:pPr>
              <w:pStyle w:val="28"/>
              <w:spacing w:line="360" w:lineRule="auto"/>
              <w:jc w:val="center"/>
              <w:rPr>
                <w:rFonts w:hAnsi="宋体" w:cs="宋体"/>
                <w:kern w:val="0"/>
                <w:sz w:val="24"/>
                <w:szCs w:val="24"/>
              </w:rPr>
            </w:pPr>
          </w:p>
        </w:tc>
        <w:tc>
          <w:tcPr>
            <w:tcW w:w="1410" w:type="dxa"/>
            <w:tcBorders>
              <w:left w:val="single" w:color="auto" w:sz="4" w:space="0"/>
            </w:tcBorders>
            <w:vAlign w:val="center"/>
          </w:tcPr>
          <w:p>
            <w:pPr>
              <w:jc w:val="center"/>
              <w:rPr>
                <w:rFonts w:ascii="宋体" w:hAnsi="宋体" w:cs="宋体"/>
                <w:kern w:val="0"/>
                <w:sz w:val="24"/>
                <w:szCs w:val="24"/>
              </w:rPr>
            </w:pPr>
          </w:p>
        </w:tc>
        <w:tc>
          <w:tcPr>
            <w:tcW w:w="900" w:type="dxa"/>
            <w:vAlign w:val="center"/>
          </w:tcPr>
          <w:p>
            <w:pPr>
              <w:pStyle w:val="28"/>
              <w:spacing w:line="360" w:lineRule="auto"/>
              <w:jc w:val="center"/>
              <w:rPr>
                <w:rFonts w:hAnsi="Times New Roman"/>
                <w:sz w:val="24"/>
                <w:szCs w:val="24"/>
                <w:lang w:val="zh-CN"/>
              </w:rPr>
            </w:pPr>
          </w:p>
        </w:tc>
        <w:tc>
          <w:tcPr>
            <w:tcW w:w="900" w:type="dxa"/>
            <w:vAlign w:val="center"/>
          </w:tcPr>
          <w:p>
            <w:pPr>
              <w:pStyle w:val="28"/>
              <w:spacing w:line="360" w:lineRule="auto"/>
              <w:jc w:val="center"/>
              <w:rPr>
                <w:rFonts w:hAnsi="Times New Roman"/>
                <w:sz w:val="24"/>
                <w:szCs w:val="24"/>
                <w:lang w:val="zh-CN"/>
              </w:rPr>
            </w:pPr>
          </w:p>
        </w:tc>
        <w:tc>
          <w:tcPr>
            <w:tcW w:w="1619" w:type="dxa"/>
            <w:vAlign w:val="center"/>
          </w:tcPr>
          <w:p>
            <w:pPr>
              <w:widowControl/>
              <w:jc w:val="center"/>
              <w:rPr>
                <w:rFonts w:ascii="宋体" w:hAnsi="宋体"/>
                <w:sz w:val="24"/>
                <w:szCs w:val="24"/>
              </w:rPr>
            </w:pPr>
          </w:p>
        </w:tc>
        <w:tc>
          <w:tcPr>
            <w:tcW w:w="1682"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right w:val="single" w:color="auto" w:sz="8" w:space="0"/>
            </w:tcBorders>
            <w:vAlign w:val="center"/>
          </w:tcPr>
          <w:p>
            <w:pPr>
              <w:jc w:val="center"/>
              <w:rPr>
                <w:rFonts w:ascii="宋体" w:hAnsi="宋体"/>
                <w:sz w:val="24"/>
                <w:szCs w:val="24"/>
              </w:rPr>
            </w:pPr>
            <w:r>
              <w:rPr>
                <w:rFonts w:hint="eastAsia" w:ascii="宋体" w:hAnsi="宋体"/>
                <w:sz w:val="24"/>
                <w:szCs w:val="24"/>
              </w:rPr>
              <w:t>5</w:t>
            </w:r>
          </w:p>
        </w:tc>
        <w:tc>
          <w:tcPr>
            <w:tcW w:w="2009" w:type="dxa"/>
            <w:tcBorders>
              <w:left w:val="single" w:color="auto" w:sz="8" w:space="0"/>
              <w:right w:val="single" w:color="auto" w:sz="4" w:space="0"/>
            </w:tcBorders>
            <w:vAlign w:val="center"/>
          </w:tcPr>
          <w:p>
            <w:pPr>
              <w:pStyle w:val="28"/>
              <w:spacing w:line="360" w:lineRule="auto"/>
              <w:jc w:val="center"/>
              <w:rPr>
                <w:rFonts w:hAnsi="宋体" w:cs="宋体"/>
                <w:kern w:val="0"/>
                <w:sz w:val="24"/>
                <w:szCs w:val="24"/>
              </w:rPr>
            </w:pPr>
          </w:p>
        </w:tc>
        <w:tc>
          <w:tcPr>
            <w:tcW w:w="1410" w:type="dxa"/>
            <w:tcBorders>
              <w:left w:val="single" w:color="auto" w:sz="4" w:space="0"/>
            </w:tcBorders>
            <w:vAlign w:val="center"/>
          </w:tcPr>
          <w:p>
            <w:pPr>
              <w:jc w:val="center"/>
              <w:rPr>
                <w:rFonts w:ascii="宋体" w:hAnsi="宋体" w:cs="宋体"/>
                <w:kern w:val="0"/>
                <w:sz w:val="24"/>
                <w:szCs w:val="24"/>
              </w:rPr>
            </w:pPr>
          </w:p>
        </w:tc>
        <w:tc>
          <w:tcPr>
            <w:tcW w:w="900" w:type="dxa"/>
            <w:vAlign w:val="center"/>
          </w:tcPr>
          <w:p>
            <w:pPr>
              <w:pStyle w:val="28"/>
              <w:spacing w:line="360" w:lineRule="auto"/>
              <w:jc w:val="center"/>
              <w:rPr>
                <w:rFonts w:hAnsi="Times New Roman"/>
                <w:sz w:val="24"/>
                <w:szCs w:val="24"/>
                <w:lang w:val="zh-CN"/>
              </w:rPr>
            </w:pPr>
          </w:p>
        </w:tc>
        <w:tc>
          <w:tcPr>
            <w:tcW w:w="900" w:type="dxa"/>
            <w:vAlign w:val="center"/>
          </w:tcPr>
          <w:p>
            <w:pPr>
              <w:pStyle w:val="28"/>
              <w:spacing w:line="360" w:lineRule="auto"/>
              <w:jc w:val="center"/>
              <w:rPr>
                <w:rFonts w:hAnsi="Times New Roman"/>
                <w:sz w:val="24"/>
                <w:szCs w:val="24"/>
                <w:lang w:val="zh-CN"/>
              </w:rPr>
            </w:pPr>
          </w:p>
        </w:tc>
        <w:tc>
          <w:tcPr>
            <w:tcW w:w="1619" w:type="dxa"/>
            <w:vAlign w:val="center"/>
          </w:tcPr>
          <w:p>
            <w:pPr>
              <w:widowControl/>
              <w:jc w:val="center"/>
              <w:rPr>
                <w:rFonts w:ascii="宋体" w:hAnsi="宋体"/>
                <w:sz w:val="24"/>
                <w:szCs w:val="24"/>
              </w:rPr>
            </w:pPr>
          </w:p>
        </w:tc>
        <w:tc>
          <w:tcPr>
            <w:tcW w:w="1682"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right w:val="single" w:color="auto" w:sz="8" w:space="0"/>
            </w:tcBorders>
            <w:vAlign w:val="center"/>
          </w:tcPr>
          <w:p>
            <w:pPr>
              <w:jc w:val="center"/>
              <w:rPr>
                <w:rFonts w:ascii="宋体" w:hAnsi="宋体"/>
                <w:sz w:val="24"/>
              </w:rPr>
            </w:pPr>
            <w:r>
              <w:rPr>
                <w:rFonts w:hint="eastAsia" w:ascii="宋体" w:hAnsi="宋体"/>
                <w:sz w:val="24"/>
                <w:szCs w:val="24"/>
              </w:rPr>
              <w:t>……</w:t>
            </w:r>
          </w:p>
        </w:tc>
        <w:tc>
          <w:tcPr>
            <w:tcW w:w="2009" w:type="dxa"/>
            <w:tcBorders>
              <w:left w:val="single" w:color="auto" w:sz="8" w:space="0"/>
              <w:right w:val="single" w:color="auto" w:sz="4" w:space="0"/>
            </w:tcBorders>
            <w:vAlign w:val="center"/>
          </w:tcPr>
          <w:p>
            <w:pPr>
              <w:pStyle w:val="28"/>
              <w:spacing w:line="360" w:lineRule="auto"/>
              <w:jc w:val="center"/>
              <w:rPr>
                <w:rFonts w:hAnsi="宋体" w:cs="宋体"/>
                <w:kern w:val="0"/>
                <w:sz w:val="20"/>
                <w:szCs w:val="24"/>
              </w:rPr>
            </w:pPr>
          </w:p>
        </w:tc>
        <w:tc>
          <w:tcPr>
            <w:tcW w:w="1410" w:type="dxa"/>
            <w:tcBorders>
              <w:left w:val="single" w:color="auto" w:sz="4" w:space="0"/>
            </w:tcBorders>
            <w:vAlign w:val="center"/>
          </w:tcPr>
          <w:p>
            <w:pPr>
              <w:jc w:val="center"/>
              <w:rPr>
                <w:rFonts w:ascii="宋体" w:hAnsi="宋体" w:cs="宋体"/>
                <w:kern w:val="0"/>
                <w:sz w:val="20"/>
              </w:rPr>
            </w:pPr>
          </w:p>
        </w:tc>
        <w:tc>
          <w:tcPr>
            <w:tcW w:w="900" w:type="dxa"/>
            <w:vAlign w:val="center"/>
          </w:tcPr>
          <w:p>
            <w:pPr>
              <w:pStyle w:val="28"/>
              <w:spacing w:line="360" w:lineRule="auto"/>
              <w:jc w:val="center"/>
              <w:rPr>
                <w:rFonts w:hAnsi="Times New Roman"/>
                <w:sz w:val="24"/>
                <w:szCs w:val="24"/>
                <w:lang w:val="zh-CN"/>
              </w:rPr>
            </w:pPr>
          </w:p>
        </w:tc>
        <w:tc>
          <w:tcPr>
            <w:tcW w:w="900" w:type="dxa"/>
            <w:vAlign w:val="center"/>
          </w:tcPr>
          <w:p>
            <w:pPr>
              <w:pStyle w:val="28"/>
              <w:spacing w:line="360" w:lineRule="auto"/>
              <w:jc w:val="center"/>
              <w:rPr>
                <w:rFonts w:hAnsi="Times New Roman"/>
                <w:sz w:val="24"/>
                <w:szCs w:val="24"/>
                <w:lang w:val="zh-CN"/>
              </w:rPr>
            </w:pPr>
          </w:p>
        </w:tc>
        <w:tc>
          <w:tcPr>
            <w:tcW w:w="1619" w:type="dxa"/>
            <w:vAlign w:val="center"/>
          </w:tcPr>
          <w:p>
            <w:pPr>
              <w:widowControl/>
              <w:jc w:val="center"/>
              <w:rPr>
                <w:rFonts w:ascii="宋体" w:hAnsi="宋体"/>
                <w:sz w:val="24"/>
              </w:rPr>
            </w:pPr>
          </w:p>
        </w:tc>
        <w:tc>
          <w:tcPr>
            <w:tcW w:w="168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66" w:type="dxa"/>
            <w:gridSpan w:val="6"/>
            <w:vAlign w:val="center"/>
          </w:tcPr>
          <w:p>
            <w:pPr>
              <w:jc w:val="center"/>
              <w:rPr>
                <w:rFonts w:ascii="宋体" w:hAnsi="宋体"/>
                <w:sz w:val="24"/>
              </w:rPr>
            </w:pPr>
            <w:r>
              <w:rPr>
                <w:rFonts w:hint="eastAsia" w:ascii="宋体" w:hAnsi="宋体"/>
                <w:sz w:val="24"/>
              </w:rPr>
              <w:t>合计投标总报价</w:t>
            </w:r>
          </w:p>
        </w:tc>
        <w:tc>
          <w:tcPr>
            <w:tcW w:w="1682" w:type="dxa"/>
            <w:vAlign w:val="center"/>
          </w:tcPr>
          <w:p>
            <w:pPr>
              <w:rPr>
                <w:rFonts w:ascii="宋体" w:hAnsi="宋体"/>
                <w:sz w:val="24"/>
              </w:rPr>
            </w:pPr>
            <w:r>
              <w:rPr>
                <w:rFonts w:hint="eastAsia" w:ascii="宋体" w:hAnsi="宋体"/>
                <w:b/>
                <w:sz w:val="24"/>
              </w:rPr>
              <w:t>￥</w:t>
            </w:r>
          </w:p>
        </w:tc>
      </w:tr>
    </w:tbl>
    <w:p>
      <w:pPr>
        <w:spacing w:line="360" w:lineRule="auto"/>
        <w:ind w:firstLine="420" w:firstLineChars="200"/>
        <w:rPr>
          <w:rFonts w:ascii="宋体"/>
          <w:color w:val="000000"/>
          <w:sz w:val="21"/>
          <w:szCs w:val="21"/>
          <w:lang w:val="zh-CN"/>
        </w:rPr>
      </w:pPr>
      <w:r>
        <w:rPr>
          <w:rFonts w:hint="eastAsia" w:ascii="宋体"/>
          <w:color w:val="000000"/>
          <w:sz w:val="21"/>
          <w:szCs w:val="21"/>
          <w:lang w:val="zh-CN"/>
        </w:rPr>
        <w:t>注：</w:t>
      </w:r>
    </w:p>
    <w:p>
      <w:pPr>
        <w:spacing w:line="360" w:lineRule="auto"/>
        <w:ind w:firstLine="420" w:firstLineChars="200"/>
        <w:rPr>
          <w:rFonts w:ascii="宋体"/>
          <w:color w:val="000000"/>
          <w:sz w:val="21"/>
          <w:szCs w:val="21"/>
          <w:lang w:val="zh-CN"/>
        </w:rPr>
      </w:pPr>
      <w:r>
        <w:rPr>
          <w:rFonts w:hint="eastAsia" w:ascii="宋体"/>
          <w:color w:val="000000"/>
          <w:sz w:val="21"/>
          <w:szCs w:val="21"/>
          <w:lang w:val="zh-CN"/>
        </w:rPr>
        <w:t>1</w:t>
      </w:r>
      <w:r>
        <w:rPr>
          <w:rFonts w:hint="eastAsia" w:ascii="宋体"/>
          <w:color w:val="000000"/>
          <w:sz w:val="21"/>
          <w:szCs w:val="21"/>
        </w:rPr>
        <w:t>.</w:t>
      </w:r>
      <w:r>
        <w:rPr>
          <w:rFonts w:hint="eastAsia" w:ascii="宋体"/>
          <w:color w:val="000000"/>
          <w:sz w:val="21"/>
          <w:szCs w:val="21"/>
          <w:lang w:val="zh-CN"/>
        </w:rPr>
        <w:t>“投标报价明细表”中的投标总报价应与“开标一览表”中的投标总报价相一致，不一致时，以开标一览表为准。</w:t>
      </w:r>
    </w:p>
    <w:p>
      <w:pPr>
        <w:spacing w:line="360" w:lineRule="auto"/>
        <w:ind w:firstLine="420" w:firstLineChars="200"/>
        <w:rPr>
          <w:rFonts w:ascii="宋体"/>
          <w:color w:val="000000"/>
          <w:sz w:val="21"/>
          <w:szCs w:val="21"/>
          <w:lang w:val="zh-CN"/>
        </w:rPr>
      </w:pPr>
      <w:r>
        <w:rPr>
          <w:rFonts w:hint="eastAsia" w:ascii="宋体"/>
          <w:color w:val="000000"/>
          <w:sz w:val="21"/>
          <w:szCs w:val="21"/>
          <w:lang w:val="zh-CN"/>
        </w:rPr>
        <w:t>2</w:t>
      </w:r>
      <w:r>
        <w:rPr>
          <w:rFonts w:hint="eastAsia" w:ascii="宋体"/>
          <w:color w:val="000000"/>
          <w:sz w:val="21"/>
          <w:szCs w:val="21"/>
        </w:rPr>
        <w:t>.</w:t>
      </w:r>
      <w:r>
        <w:rPr>
          <w:rFonts w:hint="eastAsia" w:ascii="宋体"/>
          <w:color w:val="000000"/>
          <w:sz w:val="21"/>
          <w:szCs w:val="21"/>
          <w:lang w:val="zh-CN"/>
        </w:rPr>
        <w:t>投标报价明细表所填内容按采购文件采购设备清单要求为准，如投标供应商对采购设备清单表内子项优化的，可自行调整清单内容。</w:t>
      </w:r>
      <w:r>
        <w:rPr>
          <w:rFonts w:hint="eastAsia" w:ascii="宋体"/>
          <w:b/>
          <w:color w:val="000000"/>
          <w:sz w:val="21"/>
          <w:szCs w:val="21"/>
          <w:lang w:val="zh-CN"/>
        </w:rPr>
        <w:t>有重大缺项的将作无效标处理。</w:t>
      </w:r>
    </w:p>
    <w:p>
      <w:pPr>
        <w:ind w:firstLine="420" w:firstLineChars="200"/>
        <w:rPr>
          <w:b/>
          <w:color w:val="000000"/>
          <w:sz w:val="21"/>
          <w:szCs w:val="21"/>
        </w:rPr>
      </w:pPr>
      <w:r>
        <w:rPr>
          <w:rFonts w:hint="eastAsia" w:ascii="宋体"/>
          <w:color w:val="000000"/>
          <w:sz w:val="21"/>
          <w:szCs w:val="21"/>
          <w:lang w:val="zh-CN"/>
        </w:rPr>
        <w:t>3</w:t>
      </w:r>
      <w:r>
        <w:rPr>
          <w:rFonts w:hint="eastAsia" w:ascii="宋体"/>
          <w:color w:val="000000"/>
          <w:sz w:val="21"/>
          <w:szCs w:val="21"/>
        </w:rPr>
        <w:t>.</w:t>
      </w:r>
      <w:r>
        <w:rPr>
          <w:rFonts w:hint="eastAsia" w:ascii="宋体"/>
          <w:color w:val="000000"/>
          <w:sz w:val="21"/>
          <w:szCs w:val="21"/>
          <w:lang w:val="zh-CN"/>
        </w:rPr>
        <w:t>此表可增行。</w:t>
      </w:r>
    </w:p>
    <w:p>
      <w:pPr>
        <w:spacing w:line="320" w:lineRule="exact"/>
        <w:ind w:left="420"/>
        <w:jc w:val="center"/>
        <w:rPr>
          <w:rFonts w:ascii="宋体" w:hAnsi="宋体" w:cs="宋体"/>
          <w:color w:val="000000"/>
          <w:sz w:val="24"/>
        </w:rPr>
      </w:pPr>
      <w:r>
        <w:rPr>
          <w:rFonts w:hint="eastAsia" w:ascii="宋体" w:hAnsi="宋体" w:cs="宋体"/>
          <w:color w:val="000000"/>
          <w:sz w:val="24"/>
        </w:rPr>
        <w:t>投标人名称（盖章）：</w:t>
      </w:r>
    </w:p>
    <w:p>
      <w:pPr>
        <w:pStyle w:val="338"/>
      </w:pPr>
    </w:p>
    <w:p>
      <w:pPr>
        <w:spacing w:line="320" w:lineRule="exact"/>
        <w:ind w:firstLine="435"/>
        <w:jc w:val="center"/>
        <w:rPr>
          <w:rFonts w:ascii="宋体" w:hAnsi="宋体" w:cs="宋体"/>
          <w:color w:val="000000"/>
          <w:sz w:val="24"/>
        </w:rPr>
      </w:pPr>
      <w:r>
        <w:rPr>
          <w:rFonts w:hint="eastAsia" w:ascii="宋体" w:hAnsi="宋体" w:cs="宋体"/>
          <w:color w:val="000000"/>
          <w:sz w:val="24"/>
        </w:rPr>
        <w:t>投标人代表签字或盖章：</w:t>
      </w:r>
    </w:p>
    <w:p>
      <w:pPr>
        <w:pStyle w:val="338"/>
      </w:pPr>
    </w:p>
    <w:p>
      <w:pPr>
        <w:widowControl/>
        <w:ind w:firstLine="480" w:firstLineChars="200"/>
        <w:jc w:val="center"/>
        <w:rPr>
          <w:rFonts w:ascii="宋体" w:hAnsi="宋体" w:cs="宋体"/>
          <w:color w:val="000000"/>
          <w:sz w:val="24"/>
        </w:rPr>
      </w:pPr>
      <w:r>
        <w:rPr>
          <w:rFonts w:hint="eastAsia" w:ascii="宋体" w:hAnsi="宋体" w:cs="宋体"/>
          <w:color w:val="000000"/>
          <w:sz w:val="24"/>
        </w:rPr>
        <w:t>日        期：</w:t>
      </w:r>
    </w:p>
    <w:p>
      <w:pPr>
        <w:widowControl/>
        <w:jc w:val="left"/>
        <w:rPr>
          <w:rFonts w:eastAsia="楷体_GB2312"/>
          <w:b/>
          <w:sz w:val="32"/>
        </w:rPr>
      </w:pPr>
      <w:r>
        <w:br w:type="page"/>
      </w:r>
    </w:p>
    <w:p>
      <w:pPr>
        <w:spacing w:line="360" w:lineRule="auto"/>
        <w:rPr>
          <w:rFonts w:ascii="宋体" w:hAnsi="宋体" w:cs="宋体"/>
          <w:b/>
          <w:bCs/>
          <w:color w:val="000000"/>
          <w:sz w:val="24"/>
        </w:rPr>
      </w:pPr>
      <w:r>
        <w:rPr>
          <w:rFonts w:hint="eastAsia" w:ascii="宋体" w:hAnsi="宋体" w:cs="宋体"/>
          <w:b/>
          <w:bCs/>
          <w:color w:val="000000"/>
          <w:sz w:val="24"/>
        </w:rPr>
        <w:t xml:space="preserve">附件12： </w:t>
      </w:r>
      <w:bookmarkEnd w:id="51"/>
    </w:p>
    <w:p>
      <w:pPr>
        <w:pStyle w:val="446"/>
        <w:snapToGrid w:val="0"/>
        <w:spacing w:line="500" w:lineRule="exact"/>
        <w:jc w:val="center"/>
        <w:rPr>
          <w:rFonts w:cs="宋体"/>
          <w:szCs w:val="21"/>
        </w:rPr>
      </w:pPr>
      <w:r>
        <w:rPr>
          <w:rFonts w:cs="宋体"/>
          <w:b/>
          <w:bCs/>
          <w:szCs w:val="21"/>
        </w:rPr>
        <w:t>政府采购活动现</w:t>
      </w:r>
      <w:r>
        <w:rPr>
          <w:rFonts w:cs="宋体"/>
          <w:b/>
          <w:szCs w:val="21"/>
        </w:rPr>
        <w:t>场确认声明书（被授权人）</w:t>
      </w:r>
      <w:r>
        <w:rPr>
          <w:rFonts w:cs="宋体"/>
          <w:b/>
          <w:i/>
          <w:iCs/>
          <w:color w:val="FF0000"/>
          <w:szCs w:val="21"/>
        </w:rPr>
        <w:t>（以下二选一）</w:t>
      </w:r>
    </w:p>
    <w:p>
      <w:pPr>
        <w:pStyle w:val="446"/>
        <w:snapToGrid w:val="0"/>
        <w:spacing w:line="500" w:lineRule="exact"/>
        <w:rPr>
          <w:rFonts w:cs="宋体"/>
          <w:b/>
          <w:szCs w:val="21"/>
        </w:rPr>
      </w:pPr>
      <w:r>
        <w:rPr>
          <w:rFonts w:hint="eastAsia" w:cs="宋体"/>
          <w:kern w:val="0"/>
          <w:szCs w:val="21"/>
          <w:u w:val="single"/>
        </w:rPr>
        <w:t>浙江华域高宇项目管理有限公司</w:t>
      </w:r>
      <w:r>
        <w:rPr>
          <w:rFonts w:cs="宋体"/>
          <w:kern w:val="0"/>
          <w:szCs w:val="21"/>
        </w:rPr>
        <w:t>（采购组织机构名称）：</w:t>
      </w:r>
    </w:p>
    <w:p>
      <w:pPr>
        <w:pStyle w:val="446"/>
        <w:snapToGrid w:val="0"/>
        <w:spacing w:line="500" w:lineRule="exact"/>
        <w:ind w:firstLine="444" w:firstLineChars="200"/>
        <w:rPr>
          <w:rFonts w:cs="宋体"/>
          <w:spacing w:val="6"/>
          <w:szCs w:val="21"/>
        </w:rPr>
      </w:pPr>
      <w:r>
        <w:rPr>
          <w:rFonts w:cs="宋体"/>
          <w:spacing w:val="6"/>
          <w:szCs w:val="21"/>
        </w:rPr>
        <w:t>本人</w:t>
      </w:r>
      <w:r>
        <w:rPr>
          <w:rFonts w:cs="宋体"/>
          <w:spacing w:val="6"/>
          <w:szCs w:val="21"/>
          <w:u w:val="single"/>
        </w:rPr>
        <w:t xml:space="preserve">        （姓名）</w:t>
      </w:r>
      <w:r>
        <w:rPr>
          <w:rFonts w:cs="宋体"/>
          <w:spacing w:val="6"/>
          <w:szCs w:val="21"/>
        </w:rPr>
        <w:t>经由</w:t>
      </w:r>
      <w:r>
        <w:rPr>
          <w:rFonts w:cs="宋体"/>
          <w:spacing w:val="6"/>
          <w:szCs w:val="21"/>
          <w:u w:val="single"/>
        </w:rPr>
        <w:t>（单位）</w:t>
      </w:r>
      <w:r>
        <w:rPr>
          <w:rFonts w:cs="宋体"/>
          <w:spacing w:val="6"/>
          <w:szCs w:val="21"/>
        </w:rPr>
        <w:t>负责人</w:t>
      </w:r>
      <w:r>
        <w:rPr>
          <w:rFonts w:cs="宋体"/>
          <w:spacing w:val="6"/>
          <w:szCs w:val="21"/>
          <w:u w:val="single"/>
        </w:rPr>
        <w:t xml:space="preserve">       （姓名）</w:t>
      </w:r>
      <w:r>
        <w:rPr>
          <w:rFonts w:cs="宋体"/>
          <w:spacing w:val="6"/>
          <w:szCs w:val="21"/>
        </w:rPr>
        <w:t xml:space="preserve">合法授权参加（编号：）政府采购活动，经与本单位法人代表（负责人）联系确认，现就有关公平竞争事项郑重声明如下： </w:t>
      </w:r>
    </w:p>
    <w:p>
      <w:pPr>
        <w:pStyle w:val="447"/>
        <w:widowControl/>
        <w:numPr>
          <w:ilvl w:val="0"/>
          <w:numId w:val="4"/>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p>
    <w:p>
      <w:pPr>
        <w:pStyle w:val="447"/>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pPr>
        <w:pStyle w:val="447"/>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pPr>
        <w:pStyle w:val="447"/>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现已清楚知道参加本项目采购活动的其他所有投标人名称，本单位 □与其他所有投标人之间均不存在利害关系 □与</w:t>
      </w:r>
      <w:r>
        <w:rPr>
          <w:rFonts w:hint="eastAsia" w:ascii="宋体" w:hAnsi="宋体" w:cs="宋体"/>
          <w:kern w:val="0"/>
          <w:szCs w:val="21"/>
          <w:u w:val="single"/>
        </w:rPr>
        <w:t xml:space="preserve">           （投标人名称）</w:t>
      </w:r>
      <w:r>
        <w:rPr>
          <w:rFonts w:hint="eastAsia" w:ascii="宋体" w:hAnsi="宋体" w:cs="宋体"/>
          <w:kern w:val="0"/>
          <w:szCs w:val="21"/>
        </w:rPr>
        <w:t>之间存在下列利害关系：</w:t>
      </w:r>
    </w:p>
    <w:p>
      <w:pPr>
        <w:pStyle w:val="446"/>
        <w:snapToGrid w:val="0"/>
        <w:spacing w:line="500" w:lineRule="exact"/>
        <w:rPr>
          <w:rFonts w:cs="宋体"/>
          <w:kern w:val="0"/>
          <w:szCs w:val="21"/>
        </w:rPr>
      </w:pPr>
      <w:r>
        <w:rPr>
          <w:rFonts w:cs="宋体"/>
          <w:kern w:val="0"/>
          <w:szCs w:val="21"/>
        </w:rPr>
        <w:t xml:space="preserve">  A.法定代表人或负责人或实际控制人是同一人</w:t>
      </w:r>
    </w:p>
    <w:p>
      <w:pPr>
        <w:pStyle w:val="446"/>
        <w:snapToGrid w:val="0"/>
        <w:spacing w:line="500" w:lineRule="exact"/>
        <w:rPr>
          <w:rFonts w:cs="宋体"/>
          <w:spacing w:val="6"/>
          <w:szCs w:val="21"/>
        </w:rPr>
      </w:pPr>
      <w:r>
        <w:rPr>
          <w:rFonts w:cs="宋体"/>
          <w:kern w:val="0"/>
          <w:szCs w:val="21"/>
        </w:rPr>
        <w:t xml:space="preserve">  B.法定代表人或负责人或实际控制人是夫妻关系</w:t>
      </w:r>
    </w:p>
    <w:p>
      <w:pPr>
        <w:pStyle w:val="446"/>
        <w:snapToGrid w:val="0"/>
        <w:spacing w:line="500" w:lineRule="exact"/>
        <w:rPr>
          <w:rFonts w:cs="宋体"/>
          <w:spacing w:val="6"/>
          <w:szCs w:val="21"/>
        </w:rPr>
      </w:pPr>
      <w:r>
        <w:rPr>
          <w:rFonts w:cs="宋体"/>
          <w:kern w:val="0"/>
          <w:szCs w:val="21"/>
        </w:rPr>
        <w:t xml:space="preserve">  C.法定代表人或负责人或实际控制人是直系血亲关系</w:t>
      </w:r>
    </w:p>
    <w:p>
      <w:pPr>
        <w:pStyle w:val="446"/>
        <w:snapToGrid w:val="0"/>
        <w:spacing w:line="500" w:lineRule="exact"/>
        <w:rPr>
          <w:rFonts w:cs="宋体"/>
          <w:spacing w:val="6"/>
          <w:szCs w:val="21"/>
        </w:rPr>
      </w:pPr>
      <w:r>
        <w:rPr>
          <w:rFonts w:cs="宋体"/>
          <w:kern w:val="0"/>
          <w:szCs w:val="21"/>
        </w:rPr>
        <w:t xml:space="preserve">  D.法定代表人或负责人或实际控制人存在三代以内旁系血亲关系</w:t>
      </w:r>
    </w:p>
    <w:p>
      <w:pPr>
        <w:pStyle w:val="446"/>
        <w:snapToGrid w:val="0"/>
        <w:spacing w:line="500" w:lineRule="exact"/>
        <w:rPr>
          <w:rFonts w:cs="宋体"/>
          <w:kern w:val="0"/>
          <w:szCs w:val="21"/>
        </w:rPr>
      </w:pPr>
      <w:r>
        <w:rPr>
          <w:rFonts w:cs="宋体"/>
          <w:kern w:val="0"/>
          <w:szCs w:val="21"/>
        </w:rPr>
        <w:t xml:space="preserve">  E.法定代表人或负责人或实际控制人存在近姻亲关系</w:t>
      </w:r>
    </w:p>
    <w:p>
      <w:pPr>
        <w:pStyle w:val="446"/>
        <w:snapToGrid w:val="0"/>
        <w:spacing w:line="500" w:lineRule="exact"/>
        <w:rPr>
          <w:rFonts w:cs="宋体"/>
          <w:kern w:val="0"/>
          <w:szCs w:val="21"/>
        </w:rPr>
      </w:pPr>
      <w:r>
        <w:rPr>
          <w:rFonts w:cs="宋体"/>
          <w:kern w:val="0"/>
          <w:szCs w:val="21"/>
        </w:rPr>
        <w:t xml:space="preserve">  F.法定代表人或负责人或实际控制人存在股份控制或实际控制关系</w:t>
      </w:r>
    </w:p>
    <w:p>
      <w:pPr>
        <w:pStyle w:val="446"/>
        <w:snapToGrid w:val="0"/>
        <w:spacing w:line="500" w:lineRule="exact"/>
        <w:outlineLvl w:val="0"/>
        <w:rPr>
          <w:rFonts w:cs="宋体"/>
          <w:kern w:val="0"/>
          <w:szCs w:val="21"/>
        </w:rPr>
      </w:pPr>
      <w:bookmarkStart w:id="52" w:name="_Toc9934"/>
      <w:bookmarkStart w:id="53" w:name="_Toc13822"/>
      <w:r>
        <w:rPr>
          <w:rFonts w:cs="宋体"/>
          <w:kern w:val="0"/>
          <w:szCs w:val="21"/>
        </w:rPr>
        <w:t>G.存在共同直接或间接投资设立子公司、联营企业和合营企业情况</w:t>
      </w:r>
      <w:bookmarkEnd w:id="52"/>
      <w:bookmarkEnd w:id="53"/>
    </w:p>
    <w:p>
      <w:pPr>
        <w:pStyle w:val="446"/>
        <w:snapToGrid w:val="0"/>
        <w:spacing w:line="500" w:lineRule="exact"/>
        <w:rPr>
          <w:rFonts w:cs="宋体"/>
          <w:szCs w:val="21"/>
        </w:rPr>
      </w:pPr>
      <w:r>
        <w:rPr>
          <w:rFonts w:cs="宋体"/>
          <w:kern w:val="0"/>
          <w:szCs w:val="21"/>
        </w:rPr>
        <w:t xml:space="preserve">  H.存在分级代理或代销关系、同一生产制造商关系、</w:t>
      </w:r>
      <w:r>
        <w:rPr>
          <w:rFonts w:cs="宋体"/>
          <w:szCs w:val="21"/>
        </w:rPr>
        <w:t>管理关系、重要业务（占主营业务收入50%以上）或重要财务往来关系（如融资）等其他实质性控制关系</w:t>
      </w:r>
    </w:p>
    <w:p>
      <w:pPr>
        <w:pStyle w:val="446"/>
        <w:snapToGrid w:val="0"/>
        <w:spacing w:line="500" w:lineRule="exact"/>
        <w:rPr>
          <w:rFonts w:cs="宋体"/>
          <w:spacing w:val="6"/>
          <w:szCs w:val="21"/>
        </w:rPr>
      </w:pPr>
      <w:r>
        <w:rPr>
          <w:rFonts w:cs="宋体"/>
          <w:szCs w:val="21"/>
        </w:rPr>
        <w:t xml:space="preserve">  I</w:t>
      </w:r>
      <w:r>
        <w:rPr>
          <w:rFonts w:cs="宋体"/>
          <w:kern w:val="0"/>
          <w:szCs w:val="21"/>
        </w:rPr>
        <w:t>.</w:t>
      </w:r>
      <w:r>
        <w:rPr>
          <w:rFonts w:cs="宋体"/>
          <w:szCs w:val="21"/>
        </w:rPr>
        <w:t>其他利害关系情况</w:t>
      </w:r>
      <w:r>
        <w:rPr>
          <w:rFonts w:cs="宋体"/>
          <w:kern w:val="0"/>
          <w:szCs w:val="21"/>
        </w:rPr>
        <w:t>。</w:t>
      </w:r>
    </w:p>
    <w:p>
      <w:pPr>
        <w:pStyle w:val="447"/>
        <w:widowControl/>
        <w:numPr>
          <w:ilvl w:val="0"/>
          <w:numId w:val="5"/>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pPr>
        <w:pStyle w:val="447"/>
        <w:widowControl/>
        <w:numPr>
          <w:ilvl w:val="0"/>
          <w:numId w:val="5"/>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我发现投标人之间存在或可能存在上述第二条第项利害关系。</w:t>
      </w:r>
    </w:p>
    <w:p>
      <w:pPr>
        <w:pStyle w:val="446"/>
        <w:snapToGrid w:val="0"/>
        <w:spacing w:line="500" w:lineRule="exact"/>
        <w:rPr>
          <w:rFonts w:cs="宋体"/>
          <w:szCs w:val="21"/>
        </w:rPr>
      </w:pPr>
      <w:r>
        <w:rPr>
          <w:rFonts w:hint="eastAsia" w:cs="宋体"/>
          <w:szCs w:val="21"/>
        </w:rPr>
        <w:t>投标人</w:t>
      </w:r>
      <w:r>
        <w:rPr>
          <w:rFonts w:cs="宋体"/>
          <w:szCs w:val="21"/>
        </w:rPr>
        <w:t>代表签名：</w:t>
      </w:r>
    </w:p>
    <w:p>
      <w:pPr>
        <w:spacing w:afterLines="100" w:line="600" w:lineRule="exact"/>
        <w:jc w:val="center"/>
        <w:rPr>
          <w:rFonts w:ascii="宋体" w:hAnsi="宋体" w:cs="宋体"/>
          <w:sz w:val="21"/>
          <w:szCs w:val="21"/>
        </w:rPr>
      </w:pPr>
      <w:r>
        <w:rPr>
          <w:rFonts w:hint="eastAsia" w:ascii="宋体" w:hAnsi="宋体" w:cs="宋体"/>
          <w:sz w:val="21"/>
          <w:szCs w:val="21"/>
        </w:rPr>
        <w:t xml:space="preserve">                         日期：    年   月   日</w:t>
      </w:r>
    </w:p>
    <w:p>
      <w:pPr>
        <w:pStyle w:val="446"/>
        <w:snapToGrid w:val="0"/>
        <w:spacing w:line="500" w:lineRule="exact"/>
        <w:jc w:val="center"/>
        <w:rPr>
          <w:rFonts w:cs="宋体"/>
          <w:b/>
          <w:bCs/>
          <w:szCs w:val="21"/>
        </w:rPr>
        <w:sectPr>
          <w:pgSz w:w="11905" w:h="16838"/>
          <w:pgMar w:top="1417" w:right="1587" w:bottom="1417" w:left="1587" w:header="851" w:footer="992" w:gutter="0"/>
          <w:cols w:space="720" w:num="1"/>
          <w:docGrid w:type="lines" w:linePitch="297" w:charSpace="0"/>
        </w:sectPr>
      </w:pPr>
    </w:p>
    <w:p>
      <w:pPr>
        <w:pStyle w:val="446"/>
        <w:spacing w:beforeLines="50" w:afterLines="50"/>
        <w:jc w:val="center"/>
        <w:rPr>
          <w:rFonts w:cs="宋体"/>
          <w:szCs w:val="21"/>
        </w:rPr>
      </w:pPr>
      <w:r>
        <w:rPr>
          <w:rFonts w:cs="宋体"/>
          <w:b/>
          <w:bCs/>
          <w:szCs w:val="21"/>
        </w:rPr>
        <w:t>政府采购活动现</w:t>
      </w:r>
      <w:r>
        <w:rPr>
          <w:rFonts w:cs="宋体"/>
          <w:b/>
          <w:szCs w:val="21"/>
        </w:rPr>
        <w:t>场确认声明书（法人）</w:t>
      </w:r>
    </w:p>
    <w:p>
      <w:pPr>
        <w:pStyle w:val="446"/>
        <w:snapToGrid w:val="0"/>
        <w:spacing w:line="500" w:lineRule="exact"/>
        <w:rPr>
          <w:rFonts w:cs="宋体"/>
          <w:b/>
          <w:szCs w:val="21"/>
        </w:rPr>
      </w:pPr>
      <w:r>
        <w:rPr>
          <w:rFonts w:hint="eastAsia" w:cs="宋体"/>
          <w:kern w:val="0"/>
          <w:szCs w:val="21"/>
          <w:u w:val="single"/>
        </w:rPr>
        <w:t>浙江华域高宇项目管理有限公司</w:t>
      </w:r>
      <w:r>
        <w:rPr>
          <w:rFonts w:cs="宋体"/>
          <w:kern w:val="0"/>
          <w:szCs w:val="21"/>
        </w:rPr>
        <w:t>（采购组织机构名称）：</w:t>
      </w:r>
    </w:p>
    <w:p>
      <w:pPr>
        <w:pStyle w:val="446"/>
        <w:snapToGrid w:val="0"/>
        <w:spacing w:line="500" w:lineRule="exact"/>
        <w:ind w:firstLine="444" w:firstLineChars="200"/>
        <w:rPr>
          <w:rFonts w:cs="宋体"/>
          <w:spacing w:val="6"/>
          <w:szCs w:val="21"/>
        </w:rPr>
      </w:pPr>
      <w:r>
        <w:rPr>
          <w:rFonts w:cs="宋体"/>
          <w:spacing w:val="6"/>
          <w:szCs w:val="21"/>
        </w:rPr>
        <w:t>本人</w:t>
      </w:r>
      <w:r>
        <w:rPr>
          <w:rFonts w:cs="宋体"/>
          <w:spacing w:val="6"/>
          <w:szCs w:val="21"/>
          <w:u w:val="single"/>
        </w:rPr>
        <w:t xml:space="preserve">        （姓名）</w:t>
      </w:r>
      <w:r>
        <w:rPr>
          <w:rFonts w:cs="宋体"/>
          <w:spacing w:val="6"/>
          <w:szCs w:val="21"/>
        </w:rPr>
        <w:t>为</w:t>
      </w:r>
      <w:r>
        <w:rPr>
          <w:rFonts w:cs="宋体"/>
          <w:spacing w:val="6"/>
          <w:szCs w:val="21"/>
          <w:u w:val="single"/>
        </w:rPr>
        <w:t>（单位）</w:t>
      </w:r>
      <w:r>
        <w:rPr>
          <w:rFonts w:cs="宋体"/>
          <w:spacing w:val="6"/>
          <w:szCs w:val="21"/>
        </w:rPr>
        <w:t xml:space="preserve">负责人参加（编号：）政府采购活动，现就有关公平竞争事项郑重声明如下： </w:t>
      </w:r>
    </w:p>
    <w:p>
      <w:pPr>
        <w:pStyle w:val="447"/>
        <w:widowControl/>
        <w:numPr>
          <w:ilvl w:val="0"/>
          <w:numId w:val="4"/>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p>
    <w:p>
      <w:pPr>
        <w:pStyle w:val="447"/>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pPr>
        <w:pStyle w:val="447"/>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pPr>
        <w:pStyle w:val="447"/>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现已清楚知道参加本项目采购活动的其他所有投标人名称，本单位 □与其他所有投标人之间均不存在利害关系 □与</w:t>
      </w:r>
      <w:r>
        <w:rPr>
          <w:rFonts w:hint="eastAsia" w:ascii="宋体" w:hAnsi="宋体" w:cs="宋体"/>
          <w:kern w:val="0"/>
          <w:szCs w:val="21"/>
          <w:u w:val="single"/>
        </w:rPr>
        <w:t xml:space="preserve">           （投标人名称）</w:t>
      </w:r>
      <w:r>
        <w:rPr>
          <w:rFonts w:hint="eastAsia" w:ascii="宋体" w:hAnsi="宋体" w:cs="宋体"/>
          <w:kern w:val="0"/>
          <w:szCs w:val="21"/>
        </w:rPr>
        <w:t>之间存在下列利害关系：</w:t>
      </w:r>
    </w:p>
    <w:p>
      <w:pPr>
        <w:pStyle w:val="446"/>
        <w:snapToGrid w:val="0"/>
        <w:spacing w:line="500" w:lineRule="exact"/>
        <w:rPr>
          <w:rFonts w:cs="宋体"/>
          <w:kern w:val="0"/>
          <w:szCs w:val="21"/>
        </w:rPr>
      </w:pPr>
      <w:r>
        <w:rPr>
          <w:rFonts w:cs="宋体"/>
          <w:kern w:val="0"/>
          <w:szCs w:val="21"/>
        </w:rPr>
        <w:t xml:space="preserve">  A.法定代表人或负责人或实际控制人是同一人</w:t>
      </w:r>
    </w:p>
    <w:p>
      <w:pPr>
        <w:pStyle w:val="446"/>
        <w:snapToGrid w:val="0"/>
        <w:spacing w:line="500" w:lineRule="exact"/>
        <w:rPr>
          <w:rFonts w:cs="宋体"/>
          <w:spacing w:val="6"/>
          <w:szCs w:val="21"/>
        </w:rPr>
      </w:pPr>
      <w:r>
        <w:rPr>
          <w:rFonts w:cs="宋体"/>
          <w:kern w:val="0"/>
          <w:szCs w:val="21"/>
        </w:rPr>
        <w:t xml:space="preserve">  B.法定代表人或负责人或实际控制人是夫妻关系</w:t>
      </w:r>
    </w:p>
    <w:p>
      <w:pPr>
        <w:pStyle w:val="446"/>
        <w:snapToGrid w:val="0"/>
        <w:spacing w:line="500" w:lineRule="exact"/>
        <w:rPr>
          <w:rFonts w:cs="宋体"/>
          <w:spacing w:val="6"/>
          <w:szCs w:val="21"/>
        </w:rPr>
      </w:pPr>
      <w:r>
        <w:rPr>
          <w:rFonts w:cs="宋体"/>
          <w:kern w:val="0"/>
          <w:szCs w:val="21"/>
        </w:rPr>
        <w:t xml:space="preserve">  C.法定代表人或负责人或实际控制人是直系血亲关系</w:t>
      </w:r>
    </w:p>
    <w:p>
      <w:pPr>
        <w:pStyle w:val="446"/>
        <w:snapToGrid w:val="0"/>
        <w:spacing w:line="500" w:lineRule="exact"/>
        <w:rPr>
          <w:rFonts w:cs="宋体"/>
          <w:spacing w:val="6"/>
          <w:szCs w:val="21"/>
        </w:rPr>
      </w:pPr>
      <w:r>
        <w:rPr>
          <w:rFonts w:cs="宋体"/>
          <w:kern w:val="0"/>
          <w:szCs w:val="21"/>
        </w:rPr>
        <w:t xml:space="preserve">  D.法定代表人或负责人或实际控制人存在三代以内旁系血亲关系</w:t>
      </w:r>
    </w:p>
    <w:p>
      <w:pPr>
        <w:pStyle w:val="446"/>
        <w:snapToGrid w:val="0"/>
        <w:spacing w:line="500" w:lineRule="exact"/>
        <w:rPr>
          <w:rFonts w:cs="宋体"/>
          <w:kern w:val="0"/>
          <w:szCs w:val="21"/>
        </w:rPr>
      </w:pPr>
      <w:r>
        <w:rPr>
          <w:rFonts w:cs="宋体"/>
          <w:kern w:val="0"/>
          <w:szCs w:val="21"/>
        </w:rPr>
        <w:t xml:space="preserve">  E.法定代表人或负责人或实际控制人存在近姻亲关系</w:t>
      </w:r>
    </w:p>
    <w:p>
      <w:pPr>
        <w:pStyle w:val="446"/>
        <w:snapToGrid w:val="0"/>
        <w:spacing w:line="500" w:lineRule="exact"/>
        <w:rPr>
          <w:rFonts w:cs="宋体"/>
          <w:kern w:val="0"/>
          <w:szCs w:val="21"/>
        </w:rPr>
      </w:pPr>
      <w:r>
        <w:rPr>
          <w:rFonts w:cs="宋体"/>
          <w:kern w:val="0"/>
          <w:szCs w:val="21"/>
        </w:rPr>
        <w:t xml:space="preserve">  F.法定代表人或负责人或实际控制人存在股份控制或实际控制关系</w:t>
      </w:r>
    </w:p>
    <w:p>
      <w:pPr>
        <w:pStyle w:val="446"/>
        <w:snapToGrid w:val="0"/>
        <w:spacing w:line="500" w:lineRule="exact"/>
        <w:outlineLvl w:val="0"/>
        <w:rPr>
          <w:rFonts w:cs="宋体"/>
          <w:kern w:val="0"/>
          <w:szCs w:val="21"/>
        </w:rPr>
      </w:pPr>
      <w:bookmarkStart w:id="54" w:name="_Toc4469"/>
      <w:bookmarkStart w:id="55" w:name="_Toc1661"/>
      <w:r>
        <w:rPr>
          <w:rFonts w:cs="宋体"/>
          <w:kern w:val="0"/>
          <w:szCs w:val="21"/>
        </w:rPr>
        <w:t>G.存在共同直接或间接投资设立子公司、联营企业和合营企业情况</w:t>
      </w:r>
      <w:bookmarkEnd w:id="54"/>
      <w:bookmarkEnd w:id="55"/>
    </w:p>
    <w:p>
      <w:pPr>
        <w:pStyle w:val="446"/>
        <w:snapToGrid w:val="0"/>
        <w:spacing w:line="500" w:lineRule="exact"/>
        <w:rPr>
          <w:rFonts w:cs="宋体"/>
          <w:szCs w:val="21"/>
        </w:rPr>
      </w:pPr>
      <w:r>
        <w:rPr>
          <w:rFonts w:cs="宋体"/>
          <w:kern w:val="0"/>
          <w:szCs w:val="21"/>
        </w:rPr>
        <w:t xml:space="preserve">  H.存在分级代理或代销关系、同一生产制造商关系、</w:t>
      </w:r>
      <w:r>
        <w:rPr>
          <w:rFonts w:cs="宋体"/>
          <w:szCs w:val="21"/>
        </w:rPr>
        <w:t>管理关系、重要业务（占主营业务收入50%以上）或重要财务往来关系（如融资）等其他实质性控制关系</w:t>
      </w:r>
    </w:p>
    <w:p>
      <w:pPr>
        <w:pStyle w:val="446"/>
        <w:snapToGrid w:val="0"/>
        <w:spacing w:line="500" w:lineRule="exact"/>
        <w:rPr>
          <w:rFonts w:cs="宋体"/>
          <w:spacing w:val="6"/>
          <w:szCs w:val="21"/>
        </w:rPr>
      </w:pPr>
      <w:r>
        <w:rPr>
          <w:rFonts w:cs="宋体"/>
          <w:szCs w:val="21"/>
        </w:rPr>
        <w:t xml:space="preserve">  I</w:t>
      </w:r>
      <w:r>
        <w:rPr>
          <w:rFonts w:cs="宋体"/>
          <w:kern w:val="0"/>
          <w:szCs w:val="21"/>
        </w:rPr>
        <w:t>.</w:t>
      </w:r>
      <w:r>
        <w:rPr>
          <w:rFonts w:cs="宋体"/>
          <w:szCs w:val="21"/>
        </w:rPr>
        <w:t>其他利害关系情况</w:t>
      </w:r>
      <w:r>
        <w:rPr>
          <w:rFonts w:cs="宋体"/>
          <w:kern w:val="0"/>
          <w:szCs w:val="21"/>
        </w:rPr>
        <w:t>。</w:t>
      </w:r>
    </w:p>
    <w:p>
      <w:pPr>
        <w:pStyle w:val="447"/>
        <w:widowControl/>
        <w:numPr>
          <w:ilvl w:val="0"/>
          <w:numId w:val="5"/>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pPr>
        <w:pStyle w:val="447"/>
        <w:widowControl/>
        <w:numPr>
          <w:ilvl w:val="0"/>
          <w:numId w:val="5"/>
        </w:numPr>
        <w:snapToGrid w:val="0"/>
        <w:spacing w:line="500" w:lineRule="exact"/>
        <w:ind w:firstLine="396" w:firstLineChars="189"/>
        <w:rPr>
          <w:rFonts w:ascii="宋体" w:hAnsi="宋体" w:cs="宋体"/>
          <w:kern w:val="0"/>
          <w:szCs w:val="21"/>
        </w:rPr>
      </w:pPr>
      <w:r>
        <w:rPr>
          <w:rFonts w:hint="eastAsia" w:ascii="宋体" w:hAnsi="宋体" w:cs="宋体"/>
          <w:kern w:val="0"/>
          <w:szCs w:val="21"/>
          <w:u w:val="single"/>
        </w:rPr>
        <w:t xml:space="preserve">我发现                    </w:t>
      </w:r>
      <w:r>
        <w:rPr>
          <w:rFonts w:hint="eastAsia" w:ascii="宋体" w:hAnsi="宋体" w:cs="宋体"/>
          <w:kern w:val="0"/>
          <w:szCs w:val="21"/>
        </w:rPr>
        <w:t>投标人之间存在或可能存在上述第二条第项利害关系。</w:t>
      </w:r>
    </w:p>
    <w:p>
      <w:pPr>
        <w:pStyle w:val="446"/>
        <w:snapToGrid w:val="0"/>
        <w:spacing w:line="500" w:lineRule="exact"/>
        <w:rPr>
          <w:rFonts w:cs="宋体"/>
          <w:szCs w:val="21"/>
        </w:rPr>
      </w:pPr>
      <w:r>
        <w:rPr>
          <w:rFonts w:hint="eastAsia" w:cs="宋体"/>
          <w:szCs w:val="21"/>
        </w:rPr>
        <w:t>投标人</w:t>
      </w:r>
      <w:r>
        <w:rPr>
          <w:rFonts w:cs="宋体"/>
          <w:szCs w:val="21"/>
        </w:rPr>
        <w:t>代表签名：</w:t>
      </w:r>
    </w:p>
    <w:p>
      <w:pPr>
        <w:spacing w:afterLines="50" w:line="360" w:lineRule="auto"/>
        <w:jc w:val="center"/>
        <w:rPr>
          <w:b/>
          <w:bCs/>
          <w:color w:val="FF0000"/>
          <w:sz w:val="21"/>
          <w:szCs w:val="21"/>
        </w:rPr>
      </w:pPr>
      <w:r>
        <w:rPr>
          <w:rFonts w:hint="eastAsia" w:ascii="宋体" w:hAnsi="宋体" w:cs="宋体"/>
          <w:sz w:val="21"/>
          <w:szCs w:val="21"/>
        </w:rPr>
        <w:t>日期：    年   月   日</w:t>
      </w:r>
    </w:p>
    <w:p>
      <w:pPr>
        <w:pStyle w:val="2"/>
        <w:rPr>
          <w:color w:val="FF0000"/>
          <w:sz w:val="18"/>
          <w:szCs w:val="18"/>
        </w:rPr>
      </w:pPr>
      <w:r>
        <w:rPr>
          <w:rFonts w:hint="eastAsia"/>
          <w:color w:val="FF0000"/>
          <w:sz w:val="18"/>
          <w:szCs w:val="18"/>
        </w:rPr>
        <w:t>注：本声明书非投标文件的组成内容，无须在投标文件中提供。</w:t>
      </w:r>
    </w:p>
    <w:p/>
    <w:p>
      <w:pPr>
        <w:spacing w:afterLines="100" w:line="600" w:lineRule="exact"/>
        <w:rPr>
          <w:rFonts w:hAnsi="宋体"/>
          <w:b/>
          <w:color w:val="000000"/>
          <w:sz w:val="24"/>
        </w:rPr>
      </w:pPr>
    </w:p>
    <w:p>
      <w:pPr>
        <w:spacing w:afterLines="100" w:line="600" w:lineRule="exact"/>
        <w:rPr>
          <w:rFonts w:hAnsi="宋体"/>
          <w:b/>
          <w:color w:val="000000"/>
          <w:sz w:val="24"/>
        </w:rPr>
      </w:pPr>
      <w:r>
        <w:rPr>
          <w:rFonts w:hint="eastAsia" w:hAnsi="宋体"/>
          <w:b/>
          <w:color w:val="000000"/>
          <w:sz w:val="24"/>
        </w:rPr>
        <w:t>附件13：</w:t>
      </w:r>
    </w:p>
    <w:p>
      <w:pPr>
        <w:spacing w:afterLines="100" w:line="600" w:lineRule="exact"/>
        <w:jc w:val="center"/>
        <w:rPr>
          <w:rFonts w:ascii="宋体" w:hAnsi="宋体"/>
          <w:color w:val="000000"/>
        </w:rPr>
      </w:pPr>
      <w:r>
        <w:rPr>
          <w:rFonts w:hint="eastAsia" w:ascii="宋体" w:hAnsi="宋体"/>
          <w:color w:val="000000"/>
        </w:rPr>
        <w:t>中标候选人公告内容</w:t>
      </w:r>
    </w:p>
    <w:p>
      <w:pPr>
        <w:spacing w:line="360" w:lineRule="auto"/>
        <w:rPr>
          <w:rFonts w:ascii="宋体"/>
          <w:sz w:val="24"/>
        </w:rPr>
      </w:pPr>
      <w:r>
        <w:rPr>
          <w:rFonts w:hint="eastAsia" w:ascii="宋体"/>
          <w:sz w:val="24"/>
        </w:rPr>
        <w:t>项目名称及编号：                                            标项：</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735"/>
        <w:gridCol w:w="1576"/>
        <w:gridCol w:w="115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pPr>
              <w:spacing w:line="360" w:lineRule="auto"/>
              <w:jc w:val="center"/>
              <w:rPr>
                <w:rFonts w:ascii="宋体"/>
                <w:sz w:val="24"/>
              </w:rPr>
            </w:pPr>
            <w:r>
              <w:rPr>
                <w:rFonts w:hint="eastAsia" w:ascii="宋体"/>
                <w:sz w:val="24"/>
              </w:rPr>
              <w:t>中标候选人名称</w:t>
            </w:r>
          </w:p>
        </w:tc>
        <w:tc>
          <w:tcPr>
            <w:tcW w:w="2310" w:type="dxa"/>
            <w:vAlign w:val="center"/>
          </w:tcPr>
          <w:p>
            <w:pPr>
              <w:spacing w:line="360" w:lineRule="auto"/>
              <w:jc w:val="center"/>
              <w:rPr>
                <w:rFonts w:ascii="宋体"/>
                <w:sz w:val="24"/>
              </w:rPr>
            </w:pPr>
          </w:p>
        </w:tc>
        <w:tc>
          <w:tcPr>
            <w:tcW w:w="2311" w:type="dxa"/>
            <w:gridSpan w:val="2"/>
            <w:vAlign w:val="center"/>
          </w:tcPr>
          <w:p>
            <w:pPr>
              <w:spacing w:line="360" w:lineRule="auto"/>
              <w:jc w:val="center"/>
              <w:rPr>
                <w:rFonts w:ascii="宋体"/>
                <w:sz w:val="24"/>
              </w:rPr>
            </w:pPr>
            <w:r>
              <w:rPr>
                <w:rFonts w:hint="eastAsia" w:ascii="宋体"/>
                <w:sz w:val="24"/>
              </w:rPr>
              <w:t>法定代表人（或营业执照中的负责人）</w:t>
            </w:r>
          </w:p>
        </w:tc>
        <w:tc>
          <w:tcPr>
            <w:tcW w:w="2311" w:type="dxa"/>
            <w:gridSpan w:val="2"/>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pPr>
              <w:spacing w:line="360" w:lineRule="auto"/>
              <w:jc w:val="center"/>
              <w:rPr>
                <w:rFonts w:ascii="宋体"/>
                <w:sz w:val="24"/>
              </w:rPr>
            </w:pPr>
            <w:r>
              <w:rPr>
                <w:rFonts w:hint="eastAsia" w:ascii="宋体"/>
                <w:sz w:val="24"/>
              </w:rPr>
              <w:t>投标人地址</w:t>
            </w:r>
          </w:p>
        </w:tc>
        <w:tc>
          <w:tcPr>
            <w:tcW w:w="6932" w:type="dxa"/>
            <w:gridSpan w:val="5"/>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vAlign w:val="center"/>
          </w:tcPr>
          <w:p>
            <w:pPr>
              <w:spacing w:line="360" w:lineRule="auto"/>
              <w:jc w:val="center"/>
              <w:rPr>
                <w:rFonts w:ascii="宋体"/>
                <w:sz w:val="24"/>
              </w:rPr>
            </w:pPr>
            <w:r>
              <w:rPr>
                <w:rFonts w:hint="eastAsia" w:ascii="宋体"/>
                <w:sz w:val="24"/>
              </w:rPr>
              <w:t>中标标的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vAlign w:val="center"/>
          </w:tcPr>
          <w:p>
            <w:pPr>
              <w:spacing w:line="360" w:lineRule="auto"/>
              <w:jc w:val="center"/>
              <w:rPr>
                <w:rFonts w:ascii="宋体"/>
                <w:sz w:val="24"/>
              </w:rPr>
            </w:pPr>
            <w:r>
              <w:rPr>
                <w:rFonts w:hint="eastAsia" w:ascii="宋体"/>
                <w:sz w:val="24"/>
              </w:rPr>
              <w:t>产品名称</w:t>
            </w:r>
          </w:p>
        </w:tc>
        <w:tc>
          <w:tcPr>
            <w:tcW w:w="3045" w:type="dxa"/>
            <w:gridSpan w:val="2"/>
            <w:vAlign w:val="center"/>
          </w:tcPr>
          <w:p>
            <w:pPr>
              <w:spacing w:line="360" w:lineRule="auto"/>
              <w:jc w:val="center"/>
              <w:rPr>
                <w:rFonts w:ascii="宋体"/>
                <w:sz w:val="24"/>
              </w:rPr>
            </w:pPr>
            <w:r>
              <w:rPr>
                <w:rFonts w:hint="eastAsia" w:ascii="宋体"/>
                <w:sz w:val="24"/>
              </w:rPr>
              <w:t>规格型号</w:t>
            </w:r>
          </w:p>
        </w:tc>
        <w:tc>
          <w:tcPr>
            <w:tcW w:w="1576" w:type="dxa"/>
            <w:vAlign w:val="center"/>
          </w:tcPr>
          <w:p>
            <w:pPr>
              <w:spacing w:line="360" w:lineRule="auto"/>
              <w:jc w:val="center"/>
              <w:rPr>
                <w:rFonts w:ascii="宋体"/>
                <w:sz w:val="24"/>
              </w:rPr>
            </w:pPr>
            <w:r>
              <w:rPr>
                <w:rFonts w:hint="eastAsia" w:ascii="宋体"/>
                <w:sz w:val="24"/>
              </w:rPr>
              <w:t>数量</w:t>
            </w:r>
          </w:p>
        </w:tc>
        <w:tc>
          <w:tcPr>
            <w:tcW w:w="1155" w:type="dxa"/>
            <w:vAlign w:val="center"/>
          </w:tcPr>
          <w:p>
            <w:pPr>
              <w:spacing w:line="360" w:lineRule="auto"/>
              <w:jc w:val="center"/>
              <w:rPr>
                <w:rFonts w:ascii="宋体"/>
                <w:sz w:val="24"/>
              </w:rPr>
            </w:pPr>
            <w:r>
              <w:rPr>
                <w:rFonts w:hint="eastAsia" w:ascii="宋体"/>
                <w:sz w:val="24"/>
              </w:rPr>
              <w:t>单价</w:t>
            </w:r>
          </w:p>
        </w:tc>
        <w:tc>
          <w:tcPr>
            <w:tcW w:w="1156" w:type="dxa"/>
            <w:vAlign w:val="center"/>
          </w:tcPr>
          <w:p>
            <w:pPr>
              <w:spacing w:line="360" w:lineRule="auto"/>
              <w:jc w:val="center"/>
              <w:rPr>
                <w:rFonts w:ascii="宋体"/>
                <w:sz w:val="24"/>
              </w:rPr>
            </w:pPr>
            <w:r>
              <w:rPr>
                <w:rFonts w:hint="eastAsia" w:ascii="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pPr>
              <w:spacing w:line="360" w:lineRule="auto"/>
              <w:jc w:val="center"/>
              <w:rPr>
                <w:rFonts w:ascii="宋体"/>
                <w:sz w:val="24"/>
              </w:rPr>
            </w:pPr>
          </w:p>
        </w:tc>
        <w:tc>
          <w:tcPr>
            <w:tcW w:w="3045" w:type="dxa"/>
            <w:gridSpan w:val="2"/>
            <w:vAlign w:val="center"/>
          </w:tcPr>
          <w:p>
            <w:pPr>
              <w:spacing w:line="360" w:lineRule="auto"/>
              <w:jc w:val="center"/>
              <w:rPr>
                <w:rFonts w:ascii="宋体"/>
                <w:sz w:val="24"/>
              </w:rPr>
            </w:pPr>
          </w:p>
        </w:tc>
        <w:tc>
          <w:tcPr>
            <w:tcW w:w="1576" w:type="dxa"/>
            <w:vAlign w:val="center"/>
          </w:tcPr>
          <w:p>
            <w:pPr>
              <w:spacing w:line="360" w:lineRule="auto"/>
              <w:jc w:val="center"/>
              <w:rPr>
                <w:rFonts w:ascii="宋体"/>
                <w:sz w:val="24"/>
              </w:rPr>
            </w:pPr>
          </w:p>
        </w:tc>
        <w:tc>
          <w:tcPr>
            <w:tcW w:w="1155" w:type="dxa"/>
            <w:vAlign w:val="center"/>
          </w:tcPr>
          <w:p>
            <w:pPr>
              <w:spacing w:line="360" w:lineRule="auto"/>
              <w:jc w:val="center"/>
              <w:rPr>
                <w:rFonts w:ascii="宋体"/>
                <w:sz w:val="24"/>
              </w:rPr>
            </w:pPr>
          </w:p>
        </w:tc>
        <w:tc>
          <w:tcPr>
            <w:tcW w:w="1156"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pPr>
              <w:spacing w:line="360" w:lineRule="auto"/>
              <w:jc w:val="center"/>
              <w:rPr>
                <w:rFonts w:ascii="宋体"/>
                <w:sz w:val="24"/>
              </w:rPr>
            </w:pPr>
          </w:p>
        </w:tc>
        <w:tc>
          <w:tcPr>
            <w:tcW w:w="3045" w:type="dxa"/>
            <w:gridSpan w:val="2"/>
            <w:vAlign w:val="center"/>
          </w:tcPr>
          <w:p>
            <w:pPr>
              <w:spacing w:line="360" w:lineRule="auto"/>
              <w:jc w:val="center"/>
              <w:rPr>
                <w:rFonts w:ascii="宋体"/>
                <w:sz w:val="24"/>
              </w:rPr>
            </w:pPr>
          </w:p>
        </w:tc>
        <w:tc>
          <w:tcPr>
            <w:tcW w:w="1576" w:type="dxa"/>
            <w:vAlign w:val="center"/>
          </w:tcPr>
          <w:p>
            <w:pPr>
              <w:spacing w:line="360" w:lineRule="auto"/>
              <w:jc w:val="center"/>
              <w:rPr>
                <w:rFonts w:ascii="宋体"/>
                <w:sz w:val="24"/>
              </w:rPr>
            </w:pPr>
          </w:p>
        </w:tc>
        <w:tc>
          <w:tcPr>
            <w:tcW w:w="1155" w:type="dxa"/>
            <w:vAlign w:val="center"/>
          </w:tcPr>
          <w:p>
            <w:pPr>
              <w:spacing w:line="360" w:lineRule="auto"/>
              <w:jc w:val="center"/>
              <w:rPr>
                <w:rFonts w:ascii="宋体"/>
                <w:sz w:val="24"/>
              </w:rPr>
            </w:pPr>
          </w:p>
        </w:tc>
        <w:tc>
          <w:tcPr>
            <w:tcW w:w="1156"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pPr>
              <w:spacing w:line="360" w:lineRule="auto"/>
              <w:jc w:val="center"/>
              <w:rPr>
                <w:rFonts w:ascii="宋体"/>
                <w:sz w:val="24"/>
              </w:rPr>
            </w:pPr>
          </w:p>
        </w:tc>
        <w:tc>
          <w:tcPr>
            <w:tcW w:w="3045" w:type="dxa"/>
            <w:gridSpan w:val="2"/>
            <w:vAlign w:val="center"/>
          </w:tcPr>
          <w:p>
            <w:pPr>
              <w:spacing w:line="360" w:lineRule="auto"/>
              <w:jc w:val="center"/>
              <w:rPr>
                <w:rFonts w:ascii="宋体"/>
                <w:sz w:val="24"/>
              </w:rPr>
            </w:pPr>
          </w:p>
        </w:tc>
        <w:tc>
          <w:tcPr>
            <w:tcW w:w="1576" w:type="dxa"/>
            <w:vAlign w:val="center"/>
          </w:tcPr>
          <w:p>
            <w:pPr>
              <w:spacing w:line="360" w:lineRule="auto"/>
              <w:jc w:val="center"/>
              <w:rPr>
                <w:rFonts w:ascii="宋体"/>
                <w:sz w:val="24"/>
              </w:rPr>
            </w:pPr>
          </w:p>
        </w:tc>
        <w:tc>
          <w:tcPr>
            <w:tcW w:w="1155" w:type="dxa"/>
            <w:vAlign w:val="center"/>
          </w:tcPr>
          <w:p>
            <w:pPr>
              <w:spacing w:line="360" w:lineRule="auto"/>
              <w:jc w:val="center"/>
              <w:rPr>
                <w:rFonts w:ascii="宋体"/>
                <w:sz w:val="24"/>
              </w:rPr>
            </w:pPr>
          </w:p>
        </w:tc>
        <w:tc>
          <w:tcPr>
            <w:tcW w:w="1156"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vAlign w:val="center"/>
          </w:tcPr>
          <w:p>
            <w:pPr>
              <w:spacing w:line="360" w:lineRule="auto"/>
              <w:jc w:val="center"/>
              <w:rPr>
                <w:rFonts w:ascii="宋体"/>
                <w:sz w:val="24"/>
              </w:rPr>
            </w:pPr>
          </w:p>
        </w:tc>
        <w:tc>
          <w:tcPr>
            <w:tcW w:w="3045" w:type="dxa"/>
            <w:gridSpan w:val="2"/>
            <w:vAlign w:val="center"/>
          </w:tcPr>
          <w:p>
            <w:pPr>
              <w:spacing w:line="360" w:lineRule="auto"/>
              <w:jc w:val="center"/>
              <w:rPr>
                <w:rFonts w:ascii="宋体"/>
                <w:sz w:val="24"/>
              </w:rPr>
            </w:pPr>
          </w:p>
        </w:tc>
        <w:tc>
          <w:tcPr>
            <w:tcW w:w="1576" w:type="dxa"/>
            <w:vAlign w:val="center"/>
          </w:tcPr>
          <w:p>
            <w:pPr>
              <w:spacing w:line="360" w:lineRule="auto"/>
              <w:jc w:val="center"/>
              <w:rPr>
                <w:rFonts w:ascii="宋体"/>
                <w:sz w:val="24"/>
              </w:rPr>
            </w:pPr>
          </w:p>
        </w:tc>
        <w:tc>
          <w:tcPr>
            <w:tcW w:w="1155" w:type="dxa"/>
            <w:vAlign w:val="center"/>
          </w:tcPr>
          <w:p>
            <w:pPr>
              <w:spacing w:line="360" w:lineRule="auto"/>
              <w:jc w:val="center"/>
              <w:rPr>
                <w:rFonts w:ascii="宋体"/>
                <w:sz w:val="24"/>
              </w:rPr>
            </w:pPr>
          </w:p>
        </w:tc>
        <w:tc>
          <w:tcPr>
            <w:tcW w:w="1156"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Align w:val="center"/>
          </w:tcPr>
          <w:p>
            <w:pPr>
              <w:spacing w:line="360" w:lineRule="auto"/>
              <w:jc w:val="center"/>
              <w:rPr>
                <w:rFonts w:ascii="宋体"/>
                <w:sz w:val="24"/>
              </w:rPr>
            </w:pPr>
          </w:p>
        </w:tc>
        <w:tc>
          <w:tcPr>
            <w:tcW w:w="3045" w:type="dxa"/>
            <w:gridSpan w:val="2"/>
            <w:vAlign w:val="center"/>
          </w:tcPr>
          <w:p>
            <w:pPr>
              <w:spacing w:line="360" w:lineRule="auto"/>
              <w:jc w:val="center"/>
              <w:rPr>
                <w:rFonts w:ascii="宋体"/>
                <w:sz w:val="24"/>
              </w:rPr>
            </w:pPr>
          </w:p>
        </w:tc>
        <w:tc>
          <w:tcPr>
            <w:tcW w:w="1576" w:type="dxa"/>
            <w:vAlign w:val="center"/>
          </w:tcPr>
          <w:p>
            <w:pPr>
              <w:spacing w:line="360" w:lineRule="auto"/>
              <w:jc w:val="center"/>
              <w:rPr>
                <w:rFonts w:ascii="宋体"/>
                <w:sz w:val="24"/>
              </w:rPr>
            </w:pPr>
          </w:p>
        </w:tc>
        <w:tc>
          <w:tcPr>
            <w:tcW w:w="1155" w:type="dxa"/>
            <w:vAlign w:val="center"/>
          </w:tcPr>
          <w:p>
            <w:pPr>
              <w:spacing w:line="360" w:lineRule="auto"/>
              <w:jc w:val="center"/>
              <w:rPr>
                <w:rFonts w:ascii="宋体"/>
                <w:sz w:val="24"/>
              </w:rPr>
            </w:pPr>
          </w:p>
        </w:tc>
        <w:tc>
          <w:tcPr>
            <w:tcW w:w="1156" w:type="dxa"/>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6" w:type="dxa"/>
            <w:gridSpan w:val="5"/>
            <w:vAlign w:val="center"/>
          </w:tcPr>
          <w:p>
            <w:pPr>
              <w:spacing w:line="360" w:lineRule="auto"/>
              <w:jc w:val="center"/>
              <w:rPr>
                <w:rFonts w:ascii="宋体"/>
                <w:sz w:val="24"/>
              </w:rPr>
            </w:pPr>
            <w:r>
              <w:rPr>
                <w:rFonts w:hint="eastAsia" w:ascii="宋体"/>
                <w:sz w:val="24"/>
              </w:rPr>
              <w:t>中标金额合计</w:t>
            </w:r>
          </w:p>
        </w:tc>
        <w:tc>
          <w:tcPr>
            <w:tcW w:w="1156" w:type="dxa"/>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9242" w:type="dxa"/>
            <w:gridSpan w:val="6"/>
          </w:tcPr>
          <w:p>
            <w:pPr>
              <w:spacing w:line="360" w:lineRule="auto"/>
              <w:rPr>
                <w:rFonts w:ascii="宋体"/>
                <w:sz w:val="24"/>
              </w:rPr>
            </w:pPr>
            <w:r>
              <w:rPr>
                <w:rFonts w:hint="eastAsia" w:ascii="宋体"/>
                <w:sz w:val="24"/>
              </w:rPr>
              <w:t>服务要求：</w:t>
            </w:r>
          </w:p>
          <w:p>
            <w:pPr>
              <w:spacing w:line="360" w:lineRule="auto"/>
              <w:rPr>
                <w:rFonts w:ascii="宋体"/>
                <w:sz w:val="24"/>
              </w:rPr>
            </w:pPr>
          </w:p>
          <w:p>
            <w:pPr>
              <w:spacing w:line="360" w:lineRule="auto"/>
              <w:rPr>
                <w:rFonts w:ascii="宋体"/>
                <w:sz w:val="24"/>
              </w:rPr>
            </w:pPr>
          </w:p>
        </w:tc>
      </w:tr>
    </w:tbl>
    <w:p>
      <w:pPr>
        <w:spacing w:line="360" w:lineRule="auto"/>
        <w:rPr>
          <w:rFonts w:ascii="宋体"/>
          <w:sz w:val="21"/>
        </w:rPr>
      </w:pPr>
      <w:r>
        <w:rPr>
          <w:rFonts w:hint="eastAsia" w:ascii="宋体"/>
          <w:sz w:val="21"/>
        </w:rPr>
        <w:t>注：1、投标人应根据其投标情况填写该表，并保证其与投标文件内容的一致性、正确性和真实性；</w:t>
      </w:r>
    </w:p>
    <w:p>
      <w:pPr>
        <w:spacing w:line="360" w:lineRule="auto"/>
        <w:ind w:firstLine="411" w:firstLineChars="196"/>
        <w:rPr>
          <w:rFonts w:ascii="宋体"/>
          <w:sz w:val="21"/>
        </w:rPr>
      </w:pPr>
      <w:r>
        <w:rPr>
          <w:rFonts w:hint="eastAsia" w:ascii="宋体"/>
          <w:sz w:val="21"/>
        </w:rPr>
        <w:t>2、填写该表不代表投标人已具有中标候选人资格。本表只作为中标结果公告内容的一部分，进行公告使用；</w:t>
      </w:r>
    </w:p>
    <w:p>
      <w:pPr>
        <w:spacing w:line="360" w:lineRule="auto"/>
        <w:ind w:firstLine="411" w:firstLineChars="196"/>
        <w:rPr>
          <w:rFonts w:ascii="宋体"/>
          <w:sz w:val="21"/>
        </w:rPr>
      </w:pPr>
      <w:r>
        <w:rPr>
          <w:rFonts w:hint="eastAsia" w:ascii="宋体"/>
          <w:sz w:val="21"/>
        </w:rPr>
        <w:t>3、本表内容涉及较多，投标人可以适当增减表格行数，以保证表格内容的完整；</w:t>
      </w:r>
    </w:p>
    <w:p>
      <w:pPr>
        <w:spacing w:line="360" w:lineRule="auto"/>
        <w:ind w:firstLine="411" w:firstLineChars="196"/>
        <w:rPr>
          <w:rFonts w:ascii="宋体"/>
          <w:sz w:val="21"/>
        </w:rPr>
      </w:pPr>
      <w:r>
        <w:rPr>
          <w:rFonts w:hint="eastAsia" w:ascii="宋体"/>
          <w:sz w:val="21"/>
        </w:rPr>
        <w:t>4、评审结果排名第一的中标候选人在评审结束后1个工作日内将招标文件附件《中标候选人公告内容》填写完整后，以电子文档形式提交给采购代理机构项目负责人（或者发送至电子邮箱：313195311@qq.com）。未按时提供所造成的后果由投标人自行承担。</w:t>
      </w:r>
    </w:p>
    <w:p>
      <w:pPr>
        <w:spacing w:line="360" w:lineRule="auto"/>
        <w:ind w:firstLine="420" w:firstLineChars="200"/>
        <w:jc w:val="left"/>
        <w:outlineLvl w:val="1"/>
        <w:rPr>
          <w:rFonts w:ascii="宋体"/>
          <w:sz w:val="21"/>
        </w:rPr>
      </w:pPr>
      <w:r>
        <w:rPr>
          <w:rFonts w:hint="eastAsia" w:ascii="宋体"/>
          <w:sz w:val="21"/>
        </w:rPr>
        <w:t>5、中标结果公告内容如涉及投标人的商业秘密等法律法规规定可以不予公告的情形，投标人应另附书面说明，如未事前书面说明造成的后果由投标人自行承担。</w:t>
      </w:r>
    </w:p>
    <w:p>
      <w:pPr>
        <w:spacing w:line="360" w:lineRule="auto"/>
        <w:ind w:firstLine="420" w:firstLineChars="200"/>
        <w:jc w:val="left"/>
        <w:outlineLvl w:val="1"/>
        <w:rPr>
          <w:rFonts w:ascii="宋体"/>
          <w:sz w:val="21"/>
        </w:rPr>
      </w:pPr>
    </w:p>
    <w:sectPr>
      <w:headerReference r:id="rId6" w:type="default"/>
      <w:footerReference r:id="rId7"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LF Song">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Frutiger 45 Light">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B Frutiger Bold">
    <w:altName w:val="Arial"/>
    <w:panose1 w:val="00000000000000000000"/>
    <w:charset w:val="00"/>
    <w:family w:val="swiss"/>
    <w:pitch w:val="default"/>
    <w:sig w:usb0="00000000" w:usb1="00000000" w:usb2="00000000" w:usb3="00000000" w:csb0="00000001" w:csb1="00000000"/>
  </w:font>
  <w:font w:name="Palatino">
    <w:altName w:val="Palatino Linotype"/>
    <w:panose1 w:val="00000000000000000000"/>
    <w:charset w:val="00"/>
    <w:family w:val="roman"/>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BatangChe">
    <w:panose1 w:val="02030609000101010101"/>
    <w:charset w:val="81"/>
    <w:family w:val="modern"/>
    <w:pitch w:val="default"/>
    <w:sig w:usb0="B00002AF" w:usb1="69D77CFB" w:usb2="00000030" w:usb3="00000000" w:csb0="4008009F" w:csb1="DFD70000"/>
  </w:font>
  <w:font w:name="Helvetica">
    <w:altName w:val="Arial"/>
    <w:panose1 w:val="020B0604020202020204"/>
    <w:charset w:val="00"/>
    <w:family w:val="swiss"/>
    <w:pitch w:val="default"/>
    <w:sig w:usb0="00000000"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源淏窪极潠极2.">
    <w:altName w:val="MingLiU-ExtB"/>
    <w:panose1 w:val="00000000000000000000"/>
    <w:charset w:val="88"/>
    <w:family w:val="swiss"/>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5"/>
      <w:ind w:right="360"/>
    </w:pPr>
    <w:r>
      <w:pict>
        <v:shape id="_x0000_s4097" o:spid="_x0000_s4097" o:spt="202" type="#_x0000_t202" style="position:absolute;left:0pt;margin-top:0pt;height:10.85pt;width:9.85pt;mso-position-horizontal:center;mso-position-horizontal-relative:margin;mso-wrap-style:none;z-index:251660288;mso-width-relative:page;mso-height-relative:page;" filled="f" stroked="f" coordsize="21600,21600" o:gfxdata="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lH6q3SAAAAAwEAAA8AAAAAAAAAAQAgAAAAIgAAAGRycy9kb3ducmV2LnhtbFBLAQIUABQA&#10;AAAIAIdO4kDNzylKLwIAAFMEAAAOAAAAAAAAAAEAIAAAACEBAABkcnMvZTJvRG9jLnhtbFBLBQYA&#10;AAAABgAGAFkBAADCBQAAAAA=&#10;">
          <v:path/>
          <v:fill on="f" focussize="0,0"/>
          <v:stroke on="f" weight="0.5pt" joinstyle="miter"/>
          <v:imagedata o:title=""/>
          <o:lock v:ext="edit"/>
          <v:textbox inset="0mm,0mm,0mm,0mm" style="mso-fit-shape-to-text:t;">
            <w:txbxContent>
              <w:p>
                <w:pPr>
                  <w:pStyle w:val="32"/>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5"/>
      <w:ind w:right="360"/>
      <w:jc w:val="both"/>
    </w:pPr>
    <w:r>
      <w:pict>
        <v:shape id="文本框 5" o:spid="_x0000_s4098"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ldDlzwAAAAMBAAAPAAAAAAAAAAEAIAAAACIAAABkcnMvZG93bnJldi54bWxQ&#10;SwECFAAUAAAACACHTuJAoKUENscBAACLAwAADgAAAAAAAAABACAAAAAeAQAAZHJzL2Uyb0RvYy54&#10;bWxQSwUGAAAAAAYABgBZAQAAVwUAAAAA&#10;">
          <v:path/>
          <v:fill on="f" focussize="0,0"/>
          <v:stroke on="f" joinstyle="miter"/>
          <v:imagedata o:title=""/>
          <o:lock v:ext="edit"/>
          <v:textbox inset="0mm,0mm,0mm,0mm" style="mso-fit-shape-to-text:t;">
            <w:txbxContent>
              <w:p>
                <w:pPr>
                  <w:pStyle w:val="205"/>
                  <w:rPr>
                    <w:rStyle w:val="220"/>
                  </w:rPr>
                </w:pPr>
                <w:r>
                  <w:fldChar w:fldCharType="begin"/>
                </w:r>
                <w:r>
                  <w:rPr>
                    <w:rStyle w:val="220"/>
                  </w:rPr>
                  <w:instrText xml:space="preserve">PAGE  </w:instrText>
                </w:r>
                <w:r>
                  <w:fldChar w:fldCharType="separate"/>
                </w:r>
                <w:r>
                  <w:rPr>
                    <w:rStyle w:val="220"/>
                  </w:rPr>
                  <w:t>70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jc w:val="right"/>
      <w:rPr>
        <w:rFonts w:ascii="Arial" w:hAnsi="Arial"/>
        <w:b/>
        <w:color w:val="000000"/>
        <w:kern w:val="0"/>
        <w:sz w:val="21"/>
      </w:rPr>
    </w:pPr>
    <w:r>
      <w:rPr>
        <w:rFonts w:hint="eastAsia"/>
      </w:rPr>
      <w:t>浙江华域高宇项目管理有限公司编制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E9179"/>
    <w:multiLevelType w:val="singleLevel"/>
    <w:tmpl w:val="39FE9179"/>
    <w:lvl w:ilvl="0" w:tentative="0">
      <w:start w:val="4"/>
      <w:numFmt w:val="chineseCounting"/>
      <w:suff w:val="nothing"/>
      <w:lvlText w:val="（%1）"/>
      <w:lvlJc w:val="left"/>
      <w:rPr>
        <w:rFonts w:hint="eastAsia"/>
      </w:rPr>
    </w:lvl>
  </w:abstractNum>
  <w:abstractNum w:abstractNumId="1">
    <w:nsid w:val="3B8EF7D8"/>
    <w:multiLevelType w:val="singleLevel"/>
    <w:tmpl w:val="3B8EF7D8"/>
    <w:lvl w:ilvl="0" w:tentative="0">
      <w:start w:val="1"/>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rPr>
        <w:rFonts w:cs="Times New Roman"/>
      </w:rPr>
    </w:lvl>
  </w:abstractNum>
  <w:abstractNum w:abstractNumId="3">
    <w:nsid w:val="557FD3DA"/>
    <w:multiLevelType w:val="singleLevel"/>
    <w:tmpl w:val="557FD3DA"/>
    <w:lvl w:ilvl="0" w:tentative="0">
      <w:start w:val="3"/>
      <w:numFmt w:val="chineseCounting"/>
      <w:suff w:val="nothing"/>
      <w:lvlText w:val="%1、"/>
      <w:lvlJc w:val="left"/>
      <w:rPr>
        <w:rFonts w:cs="Times New Roman"/>
      </w:rPr>
    </w:lvl>
  </w:abstractNum>
  <w:abstractNum w:abstractNumId="4">
    <w:nsid w:val="61B9B84B"/>
    <w:multiLevelType w:val="singleLevel"/>
    <w:tmpl w:val="61B9B84B"/>
    <w:lvl w:ilvl="0" w:tentative="0">
      <w:start w:val="1"/>
      <w:numFmt w:val="decimal"/>
      <w:lvlText w:val="%1"/>
      <w:lvlJc w:val="left"/>
      <w:pPr>
        <w:tabs>
          <w:tab w:val="left" w:pos="420"/>
        </w:tabs>
        <w:ind w:left="425" w:hanging="425"/>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A0MDBjMDNkMzFjZTNiNDRjYzcxNjkyMGQ2NDEzZjgifQ=="/>
  </w:docVars>
  <w:rsids>
    <w:rsidRoot w:val="00172A27"/>
    <w:rsid w:val="0000327A"/>
    <w:rsid w:val="0000568C"/>
    <w:rsid w:val="00006659"/>
    <w:rsid w:val="00006AAA"/>
    <w:rsid w:val="00015E50"/>
    <w:rsid w:val="00023246"/>
    <w:rsid w:val="00023BEC"/>
    <w:rsid w:val="00031241"/>
    <w:rsid w:val="00033B10"/>
    <w:rsid w:val="00034AD2"/>
    <w:rsid w:val="00043C58"/>
    <w:rsid w:val="0004687B"/>
    <w:rsid w:val="00046B93"/>
    <w:rsid w:val="00052227"/>
    <w:rsid w:val="0005648A"/>
    <w:rsid w:val="0005696B"/>
    <w:rsid w:val="0006627E"/>
    <w:rsid w:val="00071C30"/>
    <w:rsid w:val="00073F79"/>
    <w:rsid w:val="00074647"/>
    <w:rsid w:val="0007583C"/>
    <w:rsid w:val="00076906"/>
    <w:rsid w:val="00080619"/>
    <w:rsid w:val="00081662"/>
    <w:rsid w:val="00086AA1"/>
    <w:rsid w:val="00087EE1"/>
    <w:rsid w:val="000A00DB"/>
    <w:rsid w:val="000B14E2"/>
    <w:rsid w:val="000B6870"/>
    <w:rsid w:val="000B6B1E"/>
    <w:rsid w:val="000B720D"/>
    <w:rsid w:val="000B74DC"/>
    <w:rsid w:val="000C011E"/>
    <w:rsid w:val="000C0516"/>
    <w:rsid w:val="000C09A9"/>
    <w:rsid w:val="000C44A5"/>
    <w:rsid w:val="000C60CB"/>
    <w:rsid w:val="000C7CE6"/>
    <w:rsid w:val="000D60C4"/>
    <w:rsid w:val="000E1A48"/>
    <w:rsid w:val="000F5178"/>
    <w:rsid w:val="0011558E"/>
    <w:rsid w:val="00117CDC"/>
    <w:rsid w:val="00121AE0"/>
    <w:rsid w:val="00122C35"/>
    <w:rsid w:val="00124588"/>
    <w:rsid w:val="0012733B"/>
    <w:rsid w:val="00132CDA"/>
    <w:rsid w:val="00143C13"/>
    <w:rsid w:val="00143F24"/>
    <w:rsid w:val="00151C60"/>
    <w:rsid w:val="001522C1"/>
    <w:rsid w:val="00157DBF"/>
    <w:rsid w:val="00172A27"/>
    <w:rsid w:val="00174BB0"/>
    <w:rsid w:val="00177C40"/>
    <w:rsid w:val="0018000D"/>
    <w:rsid w:val="00181EAB"/>
    <w:rsid w:val="00183F38"/>
    <w:rsid w:val="00184832"/>
    <w:rsid w:val="001934B1"/>
    <w:rsid w:val="001A1FF7"/>
    <w:rsid w:val="001B111A"/>
    <w:rsid w:val="001B3A05"/>
    <w:rsid w:val="001B4FCD"/>
    <w:rsid w:val="001B6117"/>
    <w:rsid w:val="001C0494"/>
    <w:rsid w:val="001C4937"/>
    <w:rsid w:val="001D0896"/>
    <w:rsid w:val="001D635E"/>
    <w:rsid w:val="001F3440"/>
    <w:rsid w:val="001F4B4C"/>
    <w:rsid w:val="002073B5"/>
    <w:rsid w:val="0021515F"/>
    <w:rsid w:val="0022226C"/>
    <w:rsid w:val="0022575B"/>
    <w:rsid w:val="002275AF"/>
    <w:rsid w:val="00247F18"/>
    <w:rsid w:val="00260692"/>
    <w:rsid w:val="00264BCC"/>
    <w:rsid w:val="002746E2"/>
    <w:rsid w:val="00276625"/>
    <w:rsid w:val="002951A0"/>
    <w:rsid w:val="002A2275"/>
    <w:rsid w:val="002A32A3"/>
    <w:rsid w:val="002B22FD"/>
    <w:rsid w:val="002B61F1"/>
    <w:rsid w:val="002B6650"/>
    <w:rsid w:val="002B6F11"/>
    <w:rsid w:val="002C2155"/>
    <w:rsid w:val="002C30C1"/>
    <w:rsid w:val="002C3DFA"/>
    <w:rsid w:val="002C400C"/>
    <w:rsid w:val="002D3D51"/>
    <w:rsid w:val="002D3E7A"/>
    <w:rsid w:val="002D49A7"/>
    <w:rsid w:val="002E1805"/>
    <w:rsid w:val="002E23A4"/>
    <w:rsid w:val="002E2AEB"/>
    <w:rsid w:val="002E4DAF"/>
    <w:rsid w:val="002F7014"/>
    <w:rsid w:val="00300A29"/>
    <w:rsid w:val="00301B6F"/>
    <w:rsid w:val="0030396F"/>
    <w:rsid w:val="00304FE2"/>
    <w:rsid w:val="003070BD"/>
    <w:rsid w:val="00307D23"/>
    <w:rsid w:val="00311220"/>
    <w:rsid w:val="00325E5E"/>
    <w:rsid w:val="003333B5"/>
    <w:rsid w:val="00344588"/>
    <w:rsid w:val="00344854"/>
    <w:rsid w:val="0034599C"/>
    <w:rsid w:val="00346754"/>
    <w:rsid w:val="00351621"/>
    <w:rsid w:val="003533D0"/>
    <w:rsid w:val="0036221D"/>
    <w:rsid w:val="00363CC1"/>
    <w:rsid w:val="00371168"/>
    <w:rsid w:val="00371B5F"/>
    <w:rsid w:val="003741B7"/>
    <w:rsid w:val="00384C9C"/>
    <w:rsid w:val="00385A72"/>
    <w:rsid w:val="00397E62"/>
    <w:rsid w:val="003A1590"/>
    <w:rsid w:val="003A6F3C"/>
    <w:rsid w:val="003B193E"/>
    <w:rsid w:val="003B5472"/>
    <w:rsid w:val="003B6832"/>
    <w:rsid w:val="003C1985"/>
    <w:rsid w:val="003C1A6D"/>
    <w:rsid w:val="003C3C55"/>
    <w:rsid w:val="003C665A"/>
    <w:rsid w:val="003C7EA1"/>
    <w:rsid w:val="003D1B7D"/>
    <w:rsid w:val="003D29B0"/>
    <w:rsid w:val="003D3795"/>
    <w:rsid w:val="003D5894"/>
    <w:rsid w:val="003D5E5C"/>
    <w:rsid w:val="003E080F"/>
    <w:rsid w:val="003F123B"/>
    <w:rsid w:val="003F620E"/>
    <w:rsid w:val="00400316"/>
    <w:rsid w:val="0040065D"/>
    <w:rsid w:val="00404FE2"/>
    <w:rsid w:val="00413916"/>
    <w:rsid w:val="00417793"/>
    <w:rsid w:val="00422DA5"/>
    <w:rsid w:val="00423DB4"/>
    <w:rsid w:val="00430D81"/>
    <w:rsid w:val="00434190"/>
    <w:rsid w:val="00443491"/>
    <w:rsid w:val="0044397F"/>
    <w:rsid w:val="00445979"/>
    <w:rsid w:val="00454132"/>
    <w:rsid w:val="00455A41"/>
    <w:rsid w:val="004633D0"/>
    <w:rsid w:val="00463A61"/>
    <w:rsid w:val="00464AEF"/>
    <w:rsid w:val="00464D12"/>
    <w:rsid w:val="00466A0C"/>
    <w:rsid w:val="00470570"/>
    <w:rsid w:val="00474E25"/>
    <w:rsid w:val="004750B8"/>
    <w:rsid w:val="00483CE7"/>
    <w:rsid w:val="00486ECF"/>
    <w:rsid w:val="0049258A"/>
    <w:rsid w:val="004A005E"/>
    <w:rsid w:val="004B031C"/>
    <w:rsid w:val="004B4F19"/>
    <w:rsid w:val="004B7340"/>
    <w:rsid w:val="004C244B"/>
    <w:rsid w:val="004C3C6D"/>
    <w:rsid w:val="004C7A5F"/>
    <w:rsid w:val="004D1C97"/>
    <w:rsid w:val="004E0B07"/>
    <w:rsid w:val="004E51DB"/>
    <w:rsid w:val="004E53DF"/>
    <w:rsid w:val="004F0DAF"/>
    <w:rsid w:val="004F571E"/>
    <w:rsid w:val="004F7BD2"/>
    <w:rsid w:val="005011BC"/>
    <w:rsid w:val="005026A5"/>
    <w:rsid w:val="00502990"/>
    <w:rsid w:val="0050406C"/>
    <w:rsid w:val="00506BE3"/>
    <w:rsid w:val="0051313C"/>
    <w:rsid w:val="0051317C"/>
    <w:rsid w:val="00514CAA"/>
    <w:rsid w:val="00523C96"/>
    <w:rsid w:val="00523FF2"/>
    <w:rsid w:val="00541C7F"/>
    <w:rsid w:val="00544FEA"/>
    <w:rsid w:val="00547967"/>
    <w:rsid w:val="00554023"/>
    <w:rsid w:val="0056115A"/>
    <w:rsid w:val="00561FA5"/>
    <w:rsid w:val="00563FDB"/>
    <w:rsid w:val="0056732B"/>
    <w:rsid w:val="00567B5F"/>
    <w:rsid w:val="00567D1B"/>
    <w:rsid w:val="00575C8D"/>
    <w:rsid w:val="00582168"/>
    <w:rsid w:val="00586185"/>
    <w:rsid w:val="005976C9"/>
    <w:rsid w:val="005A0117"/>
    <w:rsid w:val="005A0ED6"/>
    <w:rsid w:val="005B1CFC"/>
    <w:rsid w:val="005B1FA6"/>
    <w:rsid w:val="005B4203"/>
    <w:rsid w:val="005B6830"/>
    <w:rsid w:val="005B7FEE"/>
    <w:rsid w:val="005C5A6D"/>
    <w:rsid w:val="005D0D59"/>
    <w:rsid w:val="005D5081"/>
    <w:rsid w:val="005D67EB"/>
    <w:rsid w:val="005E008B"/>
    <w:rsid w:val="005E1A69"/>
    <w:rsid w:val="005E27CD"/>
    <w:rsid w:val="005E4112"/>
    <w:rsid w:val="005F47D2"/>
    <w:rsid w:val="005F5D74"/>
    <w:rsid w:val="005F6696"/>
    <w:rsid w:val="00600059"/>
    <w:rsid w:val="00605C05"/>
    <w:rsid w:val="00606485"/>
    <w:rsid w:val="00612383"/>
    <w:rsid w:val="006146A7"/>
    <w:rsid w:val="0061484D"/>
    <w:rsid w:val="0061529F"/>
    <w:rsid w:val="00620BDD"/>
    <w:rsid w:val="00625EF2"/>
    <w:rsid w:val="0063311B"/>
    <w:rsid w:val="00645EB7"/>
    <w:rsid w:val="006557C3"/>
    <w:rsid w:val="006557F2"/>
    <w:rsid w:val="00661C6D"/>
    <w:rsid w:val="00665491"/>
    <w:rsid w:val="00670250"/>
    <w:rsid w:val="006744E5"/>
    <w:rsid w:val="00674EFF"/>
    <w:rsid w:val="00676A42"/>
    <w:rsid w:val="00676A5B"/>
    <w:rsid w:val="00677CF1"/>
    <w:rsid w:val="0069075E"/>
    <w:rsid w:val="006939A2"/>
    <w:rsid w:val="0069507D"/>
    <w:rsid w:val="00695A5E"/>
    <w:rsid w:val="0069611E"/>
    <w:rsid w:val="006A68EA"/>
    <w:rsid w:val="006A7376"/>
    <w:rsid w:val="006B3EC2"/>
    <w:rsid w:val="006C0F8F"/>
    <w:rsid w:val="006C6043"/>
    <w:rsid w:val="006D6257"/>
    <w:rsid w:val="006E02A5"/>
    <w:rsid w:val="006F00F0"/>
    <w:rsid w:val="006F613F"/>
    <w:rsid w:val="006F63A6"/>
    <w:rsid w:val="006F7276"/>
    <w:rsid w:val="0071048D"/>
    <w:rsid w:val="0071700B"/>
    <w:rsid w:val="00721DD9"/>
    <w:rsid w:val="007272EA"/>
    <w:rsid w:val="0073035E"/>
    <w:rsid w:val="0073306E"/>
    <w:rsid w:val="00734FF9"/>
    <w:rsid w:val="00736734"/>
    <w:rsid w:val="007369E4"/>
    <w:rsid w:val="00736D8C"/>
    <w:rsid w:val="00737642"/>
    <w:rsid w:val="00740A7E"/>
    <w:rsid w:val="00740CAA"/>
    <w:rsid w:val="007432E2"/>
    <w:rsid w:val="00744B01"/>
    <w:rsid w:val="0075045D"/>
    <w:rsid w:val="00751696"/>
    <w:rsid w:val="00761D89"/>
    <w:rsid w:val="007642F4"/>
    <w:rsid w:val="00764317"/>
    <w:rsid w:val="00764DEE"/>
    <w:rsid w:val="0077080C"/>
    <w:rsid w:val="00771153"/>
    <w:rsid w:val="00774E0C"/>
    <w:rsid w:val="0078201E"/>
    <w:rsid w:val="00784F9E"/>
    <w:rsid w:val="00787B61"/>
    <w:rsid w:val="0079148B"/>
    <w:rsid w:val="0079187F"/>
    <w:rsid w:val="00791DC0"/>
    <w:rsid w:val="00793271"/>
    <w:rsid w:val="00797413"/>
    <w:rsid w:val="007A2A67"/>
    <w:rsid w:val="007A50D0"/>
    <w:rsid w:val="007A53EF"/>
    <w:rsid w:val="007B10CB"/>
    <w:rsid w:val="007B493B"/>
    <w:rsid w:val="007B49A4"/>
    <w:rsid w:val="007C4FA7"/>
    <w:rsid w:val="007D269C"/>
    <w:rsid w:val="007D3928"/>
    <w:rsid w:val="007E1076"/>
    <w:rsid w:val="007E2C3A"/>
    <w:rsid w:val="007E4897"/>
    <w:rsid w:val="007F2A1D"/>
    <w:rsid w:val="0080364B"/>
    <w:rsid w:val="00805F68"/>
    <w:rsid w:val="00807642"/>
    <w:rsid w:val="008109AE"/>
    <w:rsid w:val="0081195D"/>
    <w:rsid w:val="00814CE1"/>
    <w:rsid w:val="00815125"/>
    <w:rsid w:val="00816507"/>
    <w:rsid w:val="0082493E"/>
    <w:rsid w:val="0083421D"/>
    <w:rsid w:val="00835B66"/>
    <w:rsid w:val="008431BF"/>
    <w:rsid w:val="00856DBC"/>
    <w:rsid w:val="008671EB"/>
    <w:rsid w:val="008727FC"/>
    <w:rsid w:val="008821F4"/>
    <w:rsid w:val="00882966"/>
    <w:rsid w:val="008A5AFA"/>
    <w:rsid w:val="008C01A1"/>
    <w:rsid w:val="008C5FF2"/>
    <w:rsid w:val="008D0C9C"/>
    <w:rsid w:val="008D1568"/>
    <w:rsid w:val="008D5878"/>
    <w:rsid w:val="008D756E"/>
    <w:rsid w:val="008E2FDE"/>
    <w:rsid w:val="008E6C58"/>
    <w:rsid w:val="008F00BC"/>
    <w:rsid w:val="008F6526"/>
    <w:rsid w:val="008F6BB2"/>
    <w:rsid w:val="009159CF"/>
    <w:rsid w:val="00920E95"/>
    <w:rsid w:val="00933D59"/>
    <w:rsid w:val="009369EC"/>
    <w:rsid w:val="009477CB"/>
    <w:rsid w:val="0095417E"/>
    <w:rsid w:val="00954564"/>
    <w:rsid w:val="00954988"/>
    <w:rsid w:val="009575C6"/>
    <w:rsid w:val="00957650"/>
    <w:rsid w:val="00960829"/>
    <w:rsid w:val="00960FC1"/>
    <w:rsid w:val="0096123C"/>
    <w:rsid w:val="00962CC6"/>
    <w:rsid w:val="00965A4E"/>
    <w:rsid w:val="0096652C"/>
    <w:rsid w:val="00972EA1"/>
    <w:rsid w:val="00984930"/>
    <w:rsid w:val="0098641E"/>
    <w:rsid w:val="009905D5"/>
    <w:rsid w:val="00995A8F"/>
    <w:rsid w:val="00996A66"/>
    <w:rsid w:val="0099736F"/>
    <w:rsid w:val="009A2F1A"/>
    <w:rsid w:val="009A40C3"/>
    <w:rsid w:val="009B337B"/>
    <w:rsid w:val="009B519A"/>
    <w:rsid w:val="009B64C3"/>
    <w:rsid w:val="009C2F82"/>
    <w:rsid w:val="009C4AC4"/>
    <w:rsid w:val="009D0347"/>
    <w:rsid w:val="009D4F0C"/>
    <w:rsid w:val="009E3BA5"/>
    <w:rsid w:val="009E4BBB"/>
    <w:rsid w:val="009F461E"/>
    <w:rsid w:val="009F4EB7"/>
    <w:rsid w:val="009F6138"/>
    <w:rsid w:val="00A00246"/>
    <w:rsid w:val="00A019EC"/>
    <w:rsid w:val="00A10929"/>
    <w:rsid w:val="00A12644"/>
    <w:rsid w:val="00A147A3"/>
    <w:rsid w:val="00A215A9"/>
    <w:rsid w:val="00A21F12"/>
    <w:rsid w:val="00A267C5"/>
    <w:rsid w:val="00A26E72"/>
    <w:rsid w:val="00A30B95"/>
    <w:rsid w:val="00A33265"/>
    <w:rsid w:val="00A3537E"/>
    <w:rsid w:val="00A3602B"/>
    <w:rsid w:val="00A405AA"/>
    <w:rsid w:val="00A40DFD"/>
    <w:rsid w:val="00A41E9E"/>
    <w:rsid w:val="00A4539C"/>
    <w:rsid w:val="00A52B3C"/>
    <w:rsid w:val="00A55A23"/>
    <w:rsid w:val="00A57920"/>
    <w:rsid w:val="00A6581E"/>
    <w:rsid w:val="00A65A3B"/>
    <w:rsid w:val="00A71AA8"/>
    <w:rsid w:val="00A756A4"/>
    <w:rsid w:val="00A77D04"/>
    <w:rsid w:val="00A83918"/>
    <w:rsid w:val="00A86274"/>
    <w:rsid w:val="00A9408F"/>
    <w:rsid w:val="00A96F5F"/>
    <w:rsid w:val="00AA75D7"/>
    <w:rsid w:val="00AB1210"/>
    <w:rsid w:val="00AE01A1"/>
    <w:rsid w:val="00AE1B95"/>
    <w:rsid w:val="00AE3AF3"/>
    <w:rsid w:val="00AE7359"/>
    <w:rsid w:val="00AF15CB"/>
    <w:rsid w:val="00AF78E1"/>
    <w:rsid w:val="00B001E8"/>
    <w:rsid w:val="00B00393"/>
    <w:rsid w:val="00B1595E"/>
    <w:rsid w:val="00B230AF"/>
    <w:rsid w:val="00B23167"/>
    <w:rsid w:val="00B2346E"/>
    <w:rsid w:val="00B27F41"/>
    <w:rsid w:val="00B44555"/>
    <w:rsid w:val="00B459EB"/>
    <w:rsid w:val="00B45A47"/>
    <w:rsid w:val="00B464B5"/>
    <w:rsid w:val="00B5232C"/>
    <w:rsid w:val="00B551AB"/>
    <w:rsid w:val="00B5784F"/>
    <w:rsid w:val="00B625D8"/>
    <w:rsid w:val="00B64E02"/>
    <w:rsid w:val="00B67324"/>
    <w:rsid w:val="00B6781B"/>
    <w:rsid w:val="00B7087D"/>
    <w:rsid w:val="00B73A16"/>
    <w:rsid w:val="00B84024"/>
    <w:rsid w:val="00B854F0"/>
    <w:rsid w:val="00B94086"/>
    <w:rsid w:val="00B95E25"/>
    <w:rsid w:val="00BA0200"/>
    <w:rsid w:val="00BA363E"/>
    <w:rsid w:val="00BA68A4"/>
    <w:rsid w:val="00BB4522"/>
    <w:rsid w:val="00BC383C"/>
    <w:rsid w:val="00BC4CF8"/>
    <w:rsid w:val="00BC70AA"/>
    <w:rsid w:val="00BE268C"/>
    <w:rsid w:val="00BE272A"/>
    <w:rsid w:val="00BE4071"/>
    <w:rsid w:val="00BE4767"/>
    <w:rsid w:val="00BE67A4"/>
    <w:rsid w:val="00BF0478"/>
    <w:rsid w:val="00BF3CD7"/>
    <w:rsid w:val="00BF7331"/>
    <w:rsid w:val="00C012E0"/>
    <w:rsid w:val="00C0299F"/>
    <w:rsid w:val="00C04F2C"/>
    <w:rsid w:val="00C115B7"/>
    <w:rsid w:val="00C13D5A"/>
    <w:rsid w:val="00C15B86"/>
    <w:rsid w:val="00C20BC7"/>
    <w:rsid w:val="00C2730B"/>
    <w:rsid w:val="00C30C0E"/>
    <w:rsid w:val="00C3187B"/>
    <w:rsid w:val="00C31C14"/>
    <w:rsid w:val="00C36368"/>
    <w:rsid w:val="00C40195"/>
    <w:rsid w:val="00C40A5B"/>
    <w:rsid w:val="00C425C9"/>
    <w:rsid w:val="00C42D17"/>
    <w:rsid w:val="00C5277E"/>
    <w:rsid w:val="00C52C7C"/>
    <w:rsid w:val="00C52D89"/>
    <w:rsid w:val="00C55C8B"/>
    <w:rsid w:val="00C57100"/>
    <w:rsid w:val="00C57F43"/>
    <w:rsid w:val="00C60700"/>
    <w:rsid w:val="00C6318C"/>
    <w:rsid w:val="00C63E35"/>
    <w:rsid w:val="00C66354"/>
    <w:rsid w:val="00C66C39"/>
    <w:rsid w:val="00C7478C"/>
    <w:rsid w:val="00C81AB2"/>
    <w:rsid w:val="00C90794"/>
    <w:rsid w:val="00C92CFF"/>
    <w:rsid w:val="00C92E2E"/>
    <w:rsid w:val="00C9384B"/>
    <w:rsid w:val="00C95048"/>
    <w:rsid w:val="00C95DEF"/>
    <w:rsid w:val="00CC3252"/>
    <w:rsid w:val="00CC4829"/>
    <w:rsid w:val="00CC7964"/>
    <w:rsid w:val="00CD68A6"/>
    <w:rsid w:val="00CD6DC6"/>
    <w:rsid w:val="00CD76E7"/>
    <w:rsid w:val="00CD76F3"/>
    <w:rsid w:val="00CE1890"/>
    <w:rsid w:val="00CE209D"/>
    <w:rsid w:val="00CE2CC8"/>
    <w:rsid w:val="00CE7C6A"/>
    <w:rsid w:val="00CF61FD"/>
    <w:rsid w:val="00D005FE"/>
    <w:rsid w:val="00D15C75"/>
    <w:rsid w:val="00D16318"/>
    <w:rsid w:val="00D16E62"/>
    <w:rsid w:val="00D17B79"/>
    <w:rsid w:val="00D2313C"/>
    <w:rsid w:val="00D3175D"/>
    <w:rsid w:val="00D34918"/>
    <w:rsid w:val="00D353B8"/>
    <w:rsid w:val="00D40076"/>
    <w:rsid w:val="00D400BF"/>
    <w:rsid w:val="00D4472F"/>
    <w:rsid w:val="00D46CF5"/>
    <w:rsid w:val="00D55BE0"/>
    <w:rsid w:val="00D61A54"/>
    <w:rsid w:val="00D62FAF"/>
    <w:rsid w:val="00D700D0"/>
    <w:rsid w:val="00D7020D"/>
    <w:rsid w:val="00D8031F"/>
    <w:rsid w:val="00D80C08"/>
    <w:rsid w:val="00DA5FAA"/>
    <w:rsid w:val="00DA786B"/>
    <w:rsid w:val="00DB1136"/>
    <w:rsid w:val="00DB552D"/>
    <w:rsid w:val="00DC04F7"/>
    <w:rsid w:val="00DC0A5F"/>
    <w:rsid w:val="00DC2A28"/>
    <w:rsid w:val="00DC2E4D"/>
    <w:rsid w:val="00DC7EBC"/>
    <w:rsid w:val="00DE243B"/>
    <w:rsid w:val="00DE7F55"/>
    <w:rsid w:val="00E04983"/>
    <w:rsid w:val="00E108D1"/>
    <w:rsid w:val="00E13310"/>
    <w:rsid w:val="00E16B1F"/>
    <w:rsid w:val="00E25CB6"/>
    <w:rsid w:val="00E33A64"/>
    <w:rsid w:val="00E33D26"/>
    <w:rsid w:val="00E33E2F"/>
    <w:rsid w:val="00E33F97"/>
    <w:rsid w:val="00E35279"/>
    <w:rsid w:val="00E402A9"/>
    <w:rsid w:val="00E4207E"/>
    <w:rsid w:val="00E43419"/>
    <w:rsid w:val="00E50DF9"/>
    <w:rsid w:val="00E53641"/>
    <w:rsid w:val="00E55B10"/>
    <w:rsid w:val="00E6301D"/>
    <w:rsid w:val="00E63C38"/>
    <w:rsid w:val="00E667DE"/>
    <w:rsid w:val="00E66E25"/>
    <w:rsid w:val="00E67BA6"/>
    <w:rsid w:val="00E746E9"/>
    <w:rsid w:val="00E753EA"/>
    <w:rsid w:val="00E90AD7"/>
    <w:rsid w:val="00EA6FFE"/>
    <w:rsid w:val="00EA7B82"/>
    <w:rsid w:val="00EB0170"/>
    <w:rsid w:val="00EB123A"/>
    <w:rsid w:val="00EB6486"/>
    <w:rsid w:val="00EB74C9"/>
    <w:rsid w:val="00ED0DE4"/>
    <w:rsid w:val="00ED1CBF"/>
    <w:rsid w:val="00ED211E"/>
    <w:rsid w:val="00ED3EB8"/>
    <w:rsid w:val="00ED4E73"/>
    <w:rsid w:val="00EE1C5F"/>
    <w:rsid w:val="00EE2C16"/>
    <w:rsid w:val="00EE4C84"/>
    <w:rsid w:val="00F0362B"/>
    <w:rsid w:val="00F07422"/>
    <w:rsid w:val="00F11629"/>
    <w:rsid w:val="00F13FAE"/>
    <w:rsid w:val="00F140F1"/>
    <w:rsid w:val="00F14354"/>
    <w:rsid w:val="00F25149"/>
    <w:rsid w:val="00F333C1"/>
    <w:rsid w:val="00F34AF9"/>
    <w:rsid w:val="00F414C5"/>
    <w:rsid w:val="00F42CB4"/>
    <w:rsid w:val="00F43DFD"/>
    <w:rsid w:val="00F508C7"/>
    <w:rsid w:val="00F541F4"/>
    <w:rsid w:val="00F6014B"/>
    <w:rsid w:val="00F60E4B"/>
    <w:rsid w:val="00F63B31"/>
    <w:rsid w:val="00F679CB"/>
    <w:rsid w:val="00F70E38"/>
    <w:rsid w:val="00F81936"/>
    <w:rsid w:val="00F85BF6"/>
    <w:rsid w:val="00F85F01"/>
    <w:rsid w:val="00F862CF"/>
    <w:rsid w:val="00F90D50"/>
    <w:rsid w:val="00F91BBC"/>
    <w:rsid w:val="00F92405"/>
    <w:rsid w:val="00FA59E5"/>
    <w:rsid w:val="00FB0EDC"/>
    <w:rsid w:val="00FB191B"/>
    <w:rsid w:val="00FB2733"/>
    <w:rsid w:val="00FB35C1"/>
    <w:rsid w:val="00FC634A"/>
    <w:rsid w:val="00FD1946"/>
    <w:rsid w:val="00FD555F"/>
    <w:rsid w:val="00FE261F"/>
    <w:rsid w:val="00FE397F"/>
    <w:rsid w:val="00FE4B96"/>
    <w:rsid w:val="00FE63B9"/>
    <w:rsid w:val="00FF1212"/>
    <w:rsid w:val="00FF216B"/>
    <w:rsid w:val="00FF220E"/>
    <w:rsid w:val="00FF317C"/>
    <w:rsid w:val="00FF36A3"/>
    <w:rsid w:val="00FF459E"/>
    <w:rsid w:val="00FF729B"/>
    <w:rsid w:val="01DB420E"/>
    <w:rsid w:val="02304F35"/>
    <w:rsid w:val="027E436B"/>
    <w:rsid w:val="03F01540"/>
    <w:rsid w:val="040556EB"/>
    <w:rsid w:val="07D55BD7"/>
    <w:rsid w:val="07DD7F4D"/>
    <w:rsid w:val="080B0C48"/>
    <w:rsid w:val="08633543"/>
    <w:rsid w:val="0998619B"/>
    <w:rsid w:val="09C74A78"/>
    <w:rsid w:val="09F16570"/>
    <w:rsid w:val="0A0E15B1"/>
    <w:rsid w:val="0B4A7001"/>
    <w:rsid w:val="0BB90842"/>
    <w:rsid w:val="0D930DEF"/>
    <w:rsid w:val="0FCF253E"/>
    <w:rsid w:val="10462881"/>
    <w:rsid w:val="124C1C0D"/>
    <w:rsid w:val="12C233DD"/>
    <w:rsid w:val="13AA128B"/>
    <w:rsid w:val="14171709"/>
    <w:rsid w:val="149E1142"/>
    <w:rsid w:val="14D114A8"/>
    <w:rsid w:val="14E242BE"/>
    <w:rsid w:val="14E70E2E"/>
    <w:rsid w:val="178559E9"/>
    <w:rsid w:val="17DD4E93"/>
    <w:rsid w:val="19B0682D"/>
    <w:rsid w:val="1B6230D4"/>
    <w:rsid w:val="1BB76A39"/>
    <w:rsid w:val="1CF7673F"/>
    <w:rsid w:val="1D5D156C"/>
    <w:rsid w:val="1EF21E49"/>
    <w:rsid w:val="1FC201C2"/>
    <w:rsid w:val="204E5247"/>
    <w:rsid w:val="20531446"/>
    <w:rsid w:val="207272D9"/>
    <w:rsid w:val="2187788D"/>
    <w:rsid w:val="22785C62"/>
    <w:rsid w:val="27685C24"/>
    <w:rsid w:val="27C72617"/>
    <w:rsid w:val="280B18B7"/>
    <w:rsid w:val="28140947"/>
    <w:rsid w:val="2846366B"/>
    <w:rsid w:val="293F5C16"/>
    <w:rsid w:val="29CF3726"/>
    <w:rsid w:val="2A7B6CFD"/>
    <w:rsid w:val="2BD8097F"/>
    <w:rsid w:val="2C545135"/>
    <w:rsid w:val="2CC942D6"/>
    <w:rsid w:val="2CFC67E5"/>
    <w:rsid w:val="2E1A3214"/>
    <w:rsid w:val="2E9B31DD"/>
    <w:rsid w:val="2E9E019A"/>
    <w:rsid w:val="2ECB719D"/>
    <w:rsid w:val="2FA93AE8"/>
    <w:rsid w:val="2FAA08EC"/>
    <w:rsid w:val="2FF24A7A"/>
    <w:rsid w:val="3270496B"/>
    <w:rsid w:val="32ED747E"/>
    <w:rsid w:val="339C09C3"/>
    <w:rsid w:val="346E1AC1"/>
    <w:rsid w:val="34A86AEA"/>
    <w:rsid w:val="34E604E3"/>
    <w:rsid w:val="35246EBF"/>
    <w:rsid w:val="353A1090"/>
    <w:rsid w:val="36FD274A"/>
    <w:rsid w:val="37BC7885"/>
    <w:rsid w:val="387434F2"/>
    <w:rsid w:val="3883231F"/>
    <w:rsid w:val="3895375B"/>
    <w:rsid w:val="38ED3E0F"/>
    <w:rsid w:val="396A456C"/>
    <w:rsid w:val="3C8A0DF9"/>
    <w:rsid w:val="3E5A1D3F"/>
    <w:rsid w:val="3ED93EF4"/>
    <w:rsid w:val="3FC809C7"/>
    <w:rsid w:val="408D45BF"/>
    <w:rsid w:val="408D4CF3"/>
    <w:rsid w:val="40F0619D"/>
    <w:rsid w:val="412070D7"/>
    <w:rsid w:val="41BB0130"/>
    <w:rsid w:val="41D83043"/>
    <w:rsid w:val="42182F3F"/>
    <w:rsid w:val="42D61B52"/>
    <w:rsid w:val="44DD4BEF"/>
    <w:rsid w:val="44EA77D1"/>
    <w:rsid w:val="459D2B60"/>
    <w:rsid w:val="46A44B25"/>
    <w:rsid w:val="46FC20C6"/>
    <w:rsid w:val="47C22A2B"/>
    <w:rsid w:val="47F0143D"/>
    <w:rsid w:val="481814BD"/>
    <w:rsid w:val="48BF595C"/>
    <w:rsid w:val="48DD2C27"/>
    <w:rsid w:val="49ED2C76"/>
    <w:rsid w:val="4A433CF0"/>
    <w:rsid w:val="4B2D4502"/>
    <w:rsid w:val="4B2E1340"/>
    <w:rsid w:val="4D187972"/>
    <w:rsid w:val="4D2A28AB"/>
    <w:rsid w:val="509B77DF"/>
    <w:rsid w:val="50D10FB6"/>
    <w:rsid w:val="510C6A8A"/>
    <w:rsid w:val="51872232"/>
    <w:rsid w:val="53683B19"/>
    <w:rsid w:val="55B06953"/>
    <w:rsid w:val="561F516A"/>
    <w:rsid w:val="565C3EBD"/>
    <w:rsid w:val="56FA1319"/>
    <w:rsid w:val="58147EE4"/>
    <w:rsid w:val="59B06758"/>
    <w:rsid w:val="5AF81196"/>
    <w:rsid w:val="5C3560F0"/>
    <w:rsid w:val="5CCE3BBD"/>
    <w:rsid w:val="5D304A43"/>
    <w:rsid w:val="5F640FBC"/>
    <w:rsid w:val="5FB23426"/>
    <w:rsid w:val="60B312F3"/>
    <w:rsid w:val="614572B4"/>
    <w:rsid w:val="61503FEA"/>
    <w:rsid w:val="6241613A"/>
    <w:rsid w:val="629920AC"/>
    <w:rsid w:val="63746DFE"/>
    <w:rsid w:val="63B03905"/>
    <w:rsid w:val="643D0C04"/>
    <w:rsid w:val="65036419"/>
    <w:rsid w:val="65073BF8"/>
    <w:rsid w:val="68E463F5"/>
    <w:rsid w:val="68EF2FCD"/>
    <w:rsid w:val="69EA2BC2"/>
    <w:rsid w:val="6CC14671"/>
    <w:rsid w:val="6CD45554"/>
    <w:rsid w:val="6DD62C04"/>
    <w:rsid w:val="6F0B412C"/>
    <w:rsid w:val="71465AE8"/>
    <w:rsid w:val="71611D74"/>
    <w:rsid w:val="71DD7A24"/>
    <w:rsid w:val="74306678"/>
    <w:rsid w:val="74625203"/>
    <w:rsid w:val="74F96281"/>
    <w:rsid w:val="75E1258C"/>
    <w:rsid w:val="76C630F5"/>
    <w:rsid w:val="776429E5"/>
    <w:rsid w:val="78C1030A"/>
    <w:rsid w:val="7A7935CE"/>
    <w:rsid w:val="7B20710A"/>
    <w:rsid w:val="7B7F01E2"/>
    <w:rsid w:val="7C6C448A"/>
    <w:rsid w:val="7CB66F82"/>
    <w:rsid w:val="7E7768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6"/>
      <w:lang w:val="en-US" w:eastAsia="zh-CN" w:bidi="ar-SA"/>
    </w:rPr>
  </w:style>
  <w:style w:type="paragraph" w:styleId="4">
    <w:name w:val="heading 1"/>
    <w:basedOn w:val="2"/>
    <w:next w:val="2"/>
    <w:link w:val="60"/>
    <w:qFormat/>
    <w:uiPriority w:val="0"/>
    <w:pPr>
      <w:keepNext/>
      <w:keepLines/>
      <w:spacing w:line="576" w:lineRule="auto"/>
      <w:outlineLvl w:val="0"/>
    </w:pPr>
    <w:rPr>
      <w:b/>
      <w:kern w:val="44"/>
      <w:sz w:val="44"/>
    </w:rPr>
  </w:style>
  <w:style w:type="paragraph" w:styleId="5">
    <w:name w:val="heading 2"/>
    <w:basedOn w:val="1"/>
    <w:next w:val="1"/>
    <w:link w:val="61"/>
    <w:qFormat/>
    <w:uiPriority w:val="0"/>
    <w:pPr>
      <w:keepNext/>
      <w:keepLines/>
      <w:spacing w:line="413" w:lineRule="auto"/>
      <w:outlineLvl w:val="1"/>
    </w:pPr>
    <w:rPr>
      <w:rFonts w:ascii="Arial" w:hAnsi="Arial" w:eastAsia="黑体"/>
      <w:b/>
      <w:sz w:val="32"/>
    </w:rPr>
  </w:style>
  <w:style w:type="paragraph" w:styleId="6">
    <w:name w:val="heading 3"/>
    <w:basedOn w:val="1"/>
    <w:next w:val="1"/>
    <w:link w:val="62"/>
    <w:qFormat/>
    <w:uiPriority w:val="0"/>
    <w:pPr>
      <w:keepNext/>
      <w:keepLines/>
      <w:spacing w:line="413" w:lineRule="auto"/>
      <w:jc w:val="center"/>
      <w:outlineLvl w:val="2"/>
    </w:pPr>
    <w:rPr>
      <w:rFonts w:eastAsia="楷体_GB2312"/>
      <w:b/>
      <w:sz w:val="32"/>
    </w:rPr>
  </w:style>
  <w:style w:type="paragraph" w:styleId="7">
    <w:name w:val="heading 4"/>
    <w:basedOn w:val="1"/>
    <w:next w:val="1"/>
    <w:link w:val="63"/>
    <w:qFormat/>
    <w:uiPriority w:val="0"/>
    <w:pPr>
      <w:keepNext/>
      <w:keepLines/>
      <w:spacing w:line="372" w:lineRule="auto"/>
      <w:outlineLvl w:val="3"/>
    </w:pPr>
    <w:rPr>
      <w:rFonts w:ascii="Cambria" w:hAnsi="Cambria"/>
      <w:b/>
      <w:sz w:val="28"/>
    </w:rPr>
  </w:style>
  <w:style w:type="paragraph" w:styleId="8">
    <w:name w:val="heading 5"/>
    <w:basedOn w:val="1"/>
    <w:next w:val="1"/>
    <w:link w:val="64"/>
    <w:qFormat/>
    <w:uiPriority w:val="0"/>
    <w:pPr>
      <w:keepNext/>
      <w:keepLines/>
      <w:spacing w:line="372" w:lineRule="auto"/>
      <w:outlineLvl w:val="4"/>
    </w:pPr>
    <w:rPr>
      <w:b/>
      <w:sz w:val="28"/>
    </w:rPr>
  </w:style>
  <w:style w:type="paragraph" w:styleId="9">
    <w:name w:val="heading 6"/>
    <w:basedOn w:val="1"/>
    <w:next w:val="1"/>
    <w:link w:val="65"/>
    <w:qFormat/>
    <w:uiPriority w:val="0"/>
    <w:pPr>
      <w:keepNext/>
      <w:keepLines/>
      <w:tabs>
        <w:tab w:val="left" w:pos="1152"/>
      </w:tabs>
      <w:spacing w:line="319" w:lineRule="auto"/>
      <w:ind w:left="1152" w:hanging="1152"/>
      <w:outlineLvl w:val="5"/>
    </w:pPr>
    <w:rPr>
      <w:rFonts w:ascii="Arial" w:hAnsi="Arial" w:eastAsia="黑体"/>
      <w:b/>
      <w:sz w:val="24"/>
    </w:rPr>
  </w:style>
  <w:style w:type="paragraph" w:styleId="10">
    <w:name w:val="heading 7"/>
    <w:basedOn w:val="1"/>
    <w:next w:val="1"/>
    <w:link w:val="66"/>
    <w:qFormat/>
    <w:uiPriority w:val="0"/>
    <w:pPr>
      <w:keepNext/>
      <w:keepLines/>
      <w:spacing w:line="319" w:lineRule="auto"/>
      <w:outlineLvl w:val="6"/>
    </w:pPr>
    <w:rPr>
      <w:b/>
      <w:sz w:val="24"/>
    </w:rPr>
  </w:style>
  <w:style w:type="paragraph" w:styleId="11">
    <w:name w:val="heading 8"/>
    <w:basedOn w:val="1"/>
    <w:next w:val="1"/>
    <w:link w:val="67"/>
    <w:qFormat/>
    <w:uiPriority w:val="0"/>
    <w:pPr>
      <w:keepNext/>
      <w:keepLines/>
      <w:tabs>
        <w:tab w:val="left" w:pos="1440"/>
      </w:tabs>
      <w:spacing w:line="319" w:lineRule="auto"/>
      <w:ind w:left="1440" w:hanging="1440"/>
      <w:outlineLvl w:val="7"/>
    </w:pPr>
    <w:rPr>
      <w:rFonts w:ascii="Arial" w:hAnsi="Arial" w:eastAsia="黑体"/>
      <w:sz w:val="24"/>
    </w:rPr>
  </w:style>
  <w:style w:type="paragraph" w:styleId="12">
    <w:name w:val="heading 9"/>
    <w:basedOn w:val="1"/>
    <w:next w:val="1"/>
    <w:link w:val="68"/>
    <w:qFormat/>
    <w:uiPriority w:val="0"/>
    <w:pPr>
      <w:keepNext/>
      <w:keepLines/>
      <w:tabs>
        <w:tab w:val="left" w:pos="1584"/>
      </w:tabs>
      <w:spacing w:line="319" w:lineRule="auto"/>
      <w:ind w:left="1584" w:hanging="1584"/>
      <w:outlineLvl w:val="8"/>
    </w:pPr>
    <w:rPr>
      <w:rFonts w:ascii="Arial" w:hAnsi="Arial" w:eastAsia="黑体"/>
      <w:sz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3"/>
    <w:qFormat/>
    <w:uiPriority w:val="0"/>
    <w:rPr>
      <w:rFonts w:ascii="Calibri" w:hAnsi="Calibri"/>
      <w:sz w:val="21"/>
    </w:rPr>
  </w:style>
  <w:style w:type="paragraph" w:styleId="3">
    <w:name w:val="toc 8"/>
    <w:basedOn w:val="1"/>
    <w:next w:val="1"/>
    <w:qFormat/>
    <w:uiPriority w:val="0"/>
    <w:pPr>
      <w:ind w:left="1470"/>
      <w:jc w:val="left"/>
    </w:pPr>
    <w:rPr>
      <w:sz w:val="18"/>
    </w:rPr>
  </w:style>
  <w:style w:type="paragraph" w:styleId="13">
    <w:name w:val="toc 7"/>
    <w:basedOn w:val="1"/>
    <w:next w:val="1"/>
    <w:qFormat/>
    <w:uiPriority w:val="0"/>
    <w:pPr>
      <w:ind w:left="1260"/>
      <w:jc w:val="left"/>
    </w:pPr>
    <w:rPr>
      <w:sz w:val="18"/>
    </w:rPr>
  </w:style>
  <w:style w:type="paragraph" w:styleId="14">
    <w:name w:val="List Number"/>
    <w:basedOn w:val="1"/>
    <w:qFormat/>
    <w:uiPriority w:val="0"/>
    <w:pPr>
      <w:widowControl/>
      <w:tabs>
        <w:tab w:val="left" w:pos="454"/>
        <w:tab w:val="left" w:pos="720"/>
        <w:tab w:val="left" w:pos="1200"/>
      </w:tabs>
      <w:spacing w:afterLines="50"/>
      <w:ind w:left="454" w:hanging="284"/>
      <w:jc w:val="left"/>
    </w:pPr>
    <w:rPr>
      <w:kern w:val="0"/>
      <w:sz w:val="24"/>
    </w:rPr>
  </w:style>
  <w:style w:type="paragraph" w:styleId="15">
    <w:name w:val="Normal Indent"/>
    <w:basedOn w:val="1"/>
    <w:next w:val="1"/>
    <w:link w:val="59"/>
    <w:qFormat/>
    <w:uiPriority w:val="0"/>
    <w:pPr>
      <w:ind w:firstLine="420" w:firstLineChars="200"/>
    </w:pPr>
    <w:rPr>
      <w:sz w:val="21"/>
    </w:rPr>
  </w:style>
  <w:style w:type="paragraph" w:styleId="16">
    <w:name w:val="caption"/>
    <w:basedOn w:val="1"/>
    <w:next w:val="1"/>
    <w:qFormat/>
    <w:uiPriority w:val="0"/>
    <w:rPr>
      <w:rFonts w:ascii="Arial" w:hAnsi="Arial" w:eastAsia="黑体"/>
      <w:sz w:val="20"/>
    </w:rPr>
  </w:style>
  <w:style w:type="paragraph" w:styleId="17">
    <w:name w:val="List Bullet"/>
    <w:basedOn w:val="1"/>
    <w:qFormat/>
    <w:uiPriority w:val="0"/>
    <w:pPr>
      <w:widowControl/>
      <w:spacing w:before="240" w:line="260" w:lineRule="atLeast"/>
      <w:ind w:left="1080" w:hanging="345"/>
    </w:pPr>
    <w:rPr>
      <w:rFonts w:eastAsia="LF Song"/>
      <w:i/>
      <w:kern w:val="0"/>
      <w:sz w:val="24"/>
      <w:lang w:val="en-GB"/>
    </w:rPr>
  </w:style>
  <w:style w:type="paragraph" w:styleId="18">
    <w:name w:val="envelope address"/>
    <w:basedOn w:val="1"/>
    <w:qFormat/>
    <w:uiPriority w:val="0"/>
    <w:pPr>
      <w:framePr w:w="7920" w:h="1980" w:hRule="exact" w:hSpace="180" w:wrap="around" w:vAnchor="margin" w:hAnchor="page" w:xAlign="center" w:yAlign="bottom"/>
      <w:widowControl/>
      <w:ind w:left="2880"/>
    </w:pPr>
    <w:rPr>
      <w:kern w:val="0"/>
      <w:sz w:val="22"/>
      <w:lang w:val="en-GB" w:eastAsia="en-US"/>
    </w:rPr>
  </w:style>
  <w:style w:type="paragraph" w:styleId="19">
    <w:name w:val="Document Map"/>
    <w:basedOn w:val="1"/>
    <w:link w:val="69"/>
    <w:qFormat/>
    <w:uiPriority w:val="0"/>
    <w:pPr>
      <w:shd w:val="clear" w:color="auto" w:fill="000080"/>
    </w:pPr>
  </w:style>
  <w:style w:type="paragraph" w:styleId="20">
    <w:name w:val="annotation text"/>
    <w:basedOn w:val="1"/>
    <w:link w:val="70"/>
    <w:qFormat/>
    <w:uiPriority w:val="0"/>
    <w:pPr>
      <w:jc w:val="left"/>
    </w:pPr>
  </w:style>
  <w:style w:type="paragraph" w:styleId="21">
    <w:name w:val="Salutation"/>
    <w:basedOn w:val="1"/>
    <w:next w:val="1"/>
    <w:link w:val="71"/>
    <w:qFormat/>
    <w:uiPriority w:val="0"/>
    <w:pPr>
      <w:widowControl/>
      <w:jc w:val="left"/>
    </w:pPr>
    <w:rPr>
      <w:kern w:val="0"/>
      <w:sz w:val="16"/>
      <w:szCs w:val="16"/>
    </w:rPr>
  </w:style>
  <w:style w:type="paragraph" w:styleId="22">
    <w:name w:val="Body Text 3"/>
    <w:basedOn w:val="1"/>
    <w:link w:val="72"/>
    <w:qFormat/>
    <w:uiPriority w:val="0"/>
    <w:pPr>
      <w:spacing w:after="120"/>
    </w:pPr>
    <w:rPr>
      <w:sz w:val="16"/>
      <w:szCs w:val="16"/>
    </w:rPr>
  </w:style>
  <w:style w:type="paragraph" w:styleId="23">
    <w:name w:val="Body Text Indent"/>
    <w:basedOn w:val="1"/>
    <w:next w:val="1"/>
    <w:link w:val="74"/>
    <w:qFormat/>
    <w:uiPriority w:val="0"/>
    <w:pPr>
      <w:ind w:left="420" w:leftChars="200"/>
    </w:pPr>
    <w:rPr>
      <w:rFonts w:ascii="仿宋_GB2312" w:eastAsia="仿宋_GB2312"/>
      <w:kern w:val="0"/>
      <w:sz w:val="24"/>
    </w:rPr>
  </w:style>
  <w:style w:type="paragraph" w:styleId="24">
    <w:name w:val="Block Text"/>
    <w:basedOn w:val="1"/>
    <w:qFormat/>
    <w:uiPriority w:val="99"/>
    <w:pPr>
      <w:ind w:left="1200" w:right="-72" w:hanging="30"/>
    </w:pPr>
    <w:rPr>
      <w:rFonts w:ascii="Arial" w:hAnsi="Arial" w:eastAsia="幼圆" w:cs="Arial"/>
      <w:sz w:val="22"/>
    </w:rPr>
  </w:style>
  <w:style w:type="paragraph" w:styleId="25">
    <w:name w:val="List Bullet 2"/>
    <w:basedOn w:val="1"/>
    <w:qFormat/>
    <w:uiPriority w:val="0"/>
    <w:pPr>
      <w:widowControl/>
      <w:tabs>
        <w:tab w:val="left" w:pos="454"/>
      </w:tabs>
      <w:spacing w:before="240" w:line="260" w:lineRule="atLeast"/>
      <w:ind w:left="1620" w:hanging="720"/>
    </w:pPr>
    <w:rPr>
      <w:rFonts w:eastAsia="LF Song"/>
      <w:i/>
      <w:kern w:val="0"/>
      <w:sz w:val="24"/>
    </w:rPr>
  </w:style>
  <w:style w:type="paragraph" w:styleId="26">
    <w:name w:val="toc 5"/>
    <w:basedOn w:val="1"/>
    <w:next w:val="1"/>
    <w:qFormat/>
    <w:uiPriority w:val="0"/>
    <w:pPr>
      <w:ind w:left="840"/>
      <w:jc w:val="left"/>
    </w:pPr>
    <w:rPr>
      <w:sz w:val="18"/>
    </w:rPr>
  </w:style>
  <w:style w:type="paragraph" w:styleId="27">
    <w:name w:val="toc 3"/>
    <w:basedOn w:val="1"/>
    <w:next w:val="1"/>
    <w:qFormat/>
    <w:uiPriority w:val="0"/>
    <w:pPr>
      <w:ind w:left="840" w:leftChars="400"/>
    </w:pPr>
  </w:style>
  <w:style w:type="paragraph" w:styleId="28">
    <w:name w:val="Plain Text"/>
    <w:basedOn w:val="1"/>
    <w:next w:val="29"/>
    <w:link w:val="75"/>
    <w:qFormat/>
    <w:uiPriority w:val="99"/>
    <w:rPr>
      <w:rFonts w:ascii="宋体" w:hAnsi="Courier New"/>
      <w:sz w:val="21"/>
    </w:rPr>
  </w:style>
  <w:style w:type="paragraph" w:styleId="29">
    <w:name w:val="Date"/>
    <w:basedOn w:val="1"/>
    <w:next w:val="1"/>
    <w:qFormat/>
    <w:uiPriority w:val="0"/>
    <w:pPr>
      <w:ind w:left="100" w:leftChars="2500"/>
    </w:pPr>
  </w:style>
  <w:style w:type="paragraph" w:styleId="30">
    <w:name w:val="Body Text Indent 2"/>
    <w:basedOn w:val="1"/>
    <w:link w:val="76"/>
    <w:qFormat/>
    <w:uiPriority w:val="0"/>
    <w:pPr>
      <w:spacing w:line="480" w:lineRule="auto"/>
      <w:ind w:left="420" w:leftChars="200"/>
    </w:pPr>
  </w:style>
  <w:style w:type="paragraph" w:styleId="31">
    <w:name w:val="Balloon Text"/>
    <w:basedOn w:val="1"/>
    <w:link w:val="77"/>
    <w:qFormat/>
    <w:uiPriority w:val="0"/>
    <w:rPr>
      <w:sz w:val="18"/>
    </w:rPr>
  </w:style>
  <w:style w:type="paragraph" w:styleId="32">
    <w:name w:val="footer"/>
    <w:basedOn w:val="1"/>
    <w:link w:val="78"/>
    <w:qFormat/>
    <w:uiPriority w:val="99"/>
    <w:pPr>
      <w:tabs>
        <w:tab w:val="center" w:pos="4153"/>
        <w:tab w:val="right" w:pos="8306"/>
      </w:tabs>
      <w:snapToGrid w:val="0"/>
      <w:jc w:val="left"/>
    </w:pPr>
    <w:rPr>
      <w:rFonts w:ascii="Tahoma" w:hAnsi="Tahoma" w:eastAsia="黑体"/>
      <w:snapToGrid w:val="0"/>
      <w:kern w:val="0"/>
      <w:sz w:val="18"/>
      <w:szCs w:val="18"/>
    </w:rPr>
  </w:style>
  <w:style w:type="paragraph" w:styleId="33">
    <w:name w:val="envelope return"/>
    <w:basedOn w:val="1"/>
    <w:qFormat/>
    <w:uiPriority w:val="0"/>
    <w:pPr>
      <w:widowControl/>
    </w:pPr>
    <w:rPr>
      <w:kern w:val="0"/>
      <w:sz w:val="22"/>
      <w:lang w:val="en-GB" w:eastAsia="en-US"/>
    </w:rPr>
  </w:style>
  <w:style w:type="paragraph" w:styleId="34">
    <w:name w:val="header"/>
    <w:basedOn w:val="1"/>
    <w:link w:val="7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5">
    <w:name w:val="toc 1"/>
    <w:basedOn w:val="1"/>
    <w:next w:val="1"/>
    <w:qFormat/>
    <w:uiPriority w:val="39"/>
    <w:pPr>
      <w:tabs>
        <w:tab w:val="right" w:leader="dot" w:pos="9628"/>
      </w:tabs>
      <w:jc w:val="center"/>
    </w:pPr>
    <w:rPr>
      <w:b/>
      <w:sz w:val="52"/>
    </w:rPr>
  </w:style>
  <w:style w:type="paragraph" w:styleId="36">
    <w:name w:val="toc 4"/>
    <w:basedOn w:val="1"/>
    <w:next w:val="1"/>
    <w:qFormat/>
    <w:uiPriority w:val="0"/>
    <w:pPr>
      <w:ind w:left="630"/>
      <w:jc w:val="left"/>
    </w:pPr>
    <w:rPr>
      <w:sz w:val="18"/>
    </w:rPr>
  </w:style>
  <w:style w:type="paragraph" w:styleId="37">
    <w:name w:val="toc 6"/>
    <w:basedOn w:val="1"/>
    <w:next w:val="1"/>
    <w:qFormat/>
    <w:uiPriority w:val="0"/>
    <w:pPr>
      <w:ind w:left="1050"/>
      <w:jc w:val="left"/>
    </w:pPr>
    <w:rPr>
      <w:sz w:val="18"/>
    </w:rPr>
  </w:style>
  <w:style w:type="paragraph" w:styleId="38">
    <w:name w:val="Body Text Indent 3"/>
    <w:basedOn w:val="1"/>
    <w:link w:val="80"/>
    <w:qFormat/>
    <w:uiPriority w:val="0"/>
    <w:pPr>
      <w:ind w:left="420" w:leftChars="200"/>
    </w:pPr>
    <w:rPr>
      <w:kern w:val="0"/>
      <w:sz w:val="16"/>
    </w:rPr>
  </w:style>
  <w:style w:type="paragraph" w:styleId="39">
    <w:name w:val="toc 2"/>
    <w:basedOn w:val="1"/>
    <w:next w:val="1"/>
    <w:qFormat/>
    <w:uiPriority w:val="39"/>
    <w:pPr>
      <w:ind w:left="420" w:leftChars="200"/>
    </w:pPr>
  </w:style>
  <w:style w:type="paragraph" w:styleId="40">
    <w:name w:val="toc 9"/>
    <w:basedOn w:val="1"/>
    <w:next w:val="1"/>
    <w:qFormat/>
    <w:uiPriority w:val="0"/>
    <w:pPr>
      <w:ind w:left="1680"/>
      <w:jc w:val="left"/>
    </w:pPr>
    <w:rPr>
      <w:sz w:val="18"/>
    </w:rPr>
  </w:style>
  <w:style w:type="paragraph" w:styleId="41">
    <w:name w:val="Body Text 2"/>
    <w:basedOn w:val="1"/>
    <w:link w:val="81"/>
    <w:qFormat/>
    <w:uiPriority w:val="0"/>
    <w:pPr>
      <w:spacing w:after="120" w:line="480" w:lineRule="auto"/>
    </w:pPr>
  </w:style>
  <w:style w:type="paragraph" w:styleId="42">
    <w:name w:val="Normal (Web)"/>
    <w:basedOn w:val="1"/>
    <w:next w:val="39"/>
    <w:link w:val="82"/>
    <w:qFormat/>
    <w:uiPriority w:val="0"/>
    <w:pPr>
      <w:widowControl/>
      <w:spacing w:before="100" w:beforeAutospacing="1" w:after="100" w:afterAutospacing="1"/>
      <w:jc w:val="left"/>
    </w:pPr>
    <w:rPr>
      <w:rFonts w:ascii="宋体" w:hAnsi="宋体"/>
      <w:kern w:val="0"/>
      <w:sz w:val="24"/>
      <w:szCs w:val="24"/>
    </w:rPr>
  </w:style>
  <w:style w:type="paragraph" w:styleId="43">
    <w:name w:val="index 1"/>
    <w:basedOn w:val="1"/>
    <w:next w:val="1"/>
    <w:qFormat/>
    <w:uiPriority w:val="0"/>
    <w:rPr>
      <w:sz w:val="21"/>
      <w:szCs w:val="24"/>
    </w:rPr>
  </w:style>
  <w:style w:type="paragraph" w:styleId="44">
    <w:name w:val="Title"/>
    <w:basedOn w:val="1"/>
    <w:next w:val="1"/>
    <w:link w:val="83"/>
    <w:qFormat/>
    <w:uiPriority w:val="0"/>
    <w:pPr>
      <w:widowControl/>
      <w:spacing w:before="240"/>
      <w:jc w:val="center"/>
      <w:outlineLvl w:val="0"/>
    </w:pPr>
    <w:rPr>
      <w:rFonts w:ascii="Frutiger 45 Light" w:hAnsi="Frutiger 45 Light"/>
      <w:b/>
      <w:kern w:val="0"/>
      <w:sz w:val="22"/>
      <w:lang w:val="en-AU"/>
    </w:rPr>
  </w:style>
  <w:style w:type="paragraph" w:styleId="45">
    <w:name w:val="annotation subject"/>
    <w:basedOn w:val="20"/>
    <w:next w:val="20"/>
    <w:link w:val="84"/>
    <w:qFormat/>
    <w:uiPriority w:val="0"/>
    <w:rPr>
      <w:b/>
    </w:rPr>
  </w:style>
  <w:style w:type="paragraph" w:styleId="46">
    <w:name w:val="Body Text First Indent"/>
    <w:basedOn w:val="2"/>
    <w:next w:val="1"/>
    <w:link w:val="85"/>
    <w:qFormat/>
    <w:uiPriority w:val="0"/>
    <w:pPr>
      <w:ind w:firstLine="420" w:firstLineChars="100"/>
    </w:pPr>
  </w:style>
  <w:style w:type="paragraph" w:styleId="47">
    <w:name w:val="Body Text First Indent 2"/>
    <w:basedOn w:val="23"/>
    <w:qFormat/>
    <w:uiPriority w:val="99"/>
    <w:pPr>
      <w:autoSpaceDE w:val="0"/>
      <w:autoSpaceDN w:val="0"/>
      <w:adjustRightInd w:val="0"/>
      <w:spacing w:after="120"/>
      <w:ind w:firstLine="420" w:firstLineChars="200"/>
      <w:jc w:val="left"/>
      <w:textAlignment w:val="baseline"/>
    </w:pPr>
    <w:rPr>
      <w:rFonts w:ascii="宋体"/>
      <w:sz w:val="34"/>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22"/>
    <w:rPr>
      <w:b/>
    </w:rPr>
  </w:style>
  <w:style w:type="character" w:styleId="52">
    <w:name w:val="page number"/>
    <w:basedOn w:val="50"/>
    <w:qFormat/>
    <w:uiPriority w:val="0"/>
  </w:style>
  <w:style w:type="character" w:styleId="53">
    <w:name w:val="FollowedHyperlink"/>
    <w:basedOn w:val="50"/>
    <w:qFormat/>
    <w:uiPriority w:val="0"/>
    <w:rPr>
      <w:color w:val="800080"/>
      <w:u w:val="single"/>
    </w:rPr>
  </w:style>
  <w:style w:type="character" w:styleId="54">
    <w:name w:val="Emphasis"/>
    <w:basedOn w:val="50"/>
    <w:qFormat/>
    <w:uiPriority w:val="0"/>
  </w:style>
  <w:style w:type="character" w:styleId="55">
    <w:name w:val="line number"/>
    <w:basedOn w:val="50"/>
    <w:unhideWhenUsed/>
    <w:qFormat/>
    <w:uiPriority w:val="99"/>
    <w:rPr>
      <w:rFonts w:hint="default"/>
      <w:sz w:val="22"/>
      <w:szCs w:val="24"/>
    </w:rPr>
  </w:style>
  <w:style w:type="character" w:styleId="56">
    <w:name w:val="Hyperlink"/>
    <w:basedOn w:val="50"/>
    <w:qFormat/>
    <w:uiPriority w:val="99"/>
    <w:rPr>
      <w:color w:val="0000FF"/>
      <w:u w:val="single"/>
    </w:rPr>
  </w:style>
  <w:style w:type="character" w:styleId="57">
    <w:name w:val="annotation reference"/>
    <w:basedOn w:val="50"/>
    <w:qFormat/>
    <w:uiPriority w:val="0"/>
    <w:rPr>
      <w:sz w:val="21"/>
      <w:szCs w:val="21"/>
    </w:rPr>
  </w:style>
  <w:style w:type="paragraph" w:customStyle="1" w:styleId="58">
    <w:name w:val="首行缩进"/>
    <w:basedOn w:val="1"/>
    <w:qFormat/>
    <w:uiPriority w:val="0"/>
    <w:rPr>
      <w:lang w:val="zh-CN"/>
    </w:rPr>
  </w:style>
  <w:style w:type="character" w:customStyle="1" w:styleId="59">
    <w:name w:val="正文缩进 Char"/>
    <w:link w:val="15"/>
    <w:qFormat/>
    <w:uiPriority w:val="0"/>
    <w:rPr>
      <w:rFonts w:eastAsia="宋体"/>
      <w:kern w:val="2"/>
      <w:sz w:val="21"/>
      <w:lang w:val="en-US" w:eastAsia="zh-CN"/>
    </w:rPr>
  </w:style>
  <w:style w:type="character" w:customStyle="1" w:styleId="60">
    <w:name w:val="标题 1 Char1"/>
    <w:link w:val="4"/>
    <w:qFormat/>
    <w:uiPriority w:val="0"/>
    <w:rPr>
      <w:rFonts w:eastAsia="宋体"/>
      <w:b/>
      <w:kern w:val="44"/>
      <w:sz w:val="44"/>
      <w:lang w:val="en-US" w:eastAsia="zh-CN"/>
    </w:rPr>
  </w:style>
  <w:style w:type="character" w:customStyle="1" w:styleId="61">
    <w:name w:val="标题 2 Char1"/>
    <w:link w:val="5"/>
    <w:qFormat/>
    <w:uiPriority w:val="0"/>
    <w:rPr>
      <w:rFonts w:ascii="Arial" w:hAnsi="Arial" w:eastAsia="黑体"/>
      <w:b/>
      <w:kern w:val="2"/>
      <w:sz w:val="32"/>
      <w:lang w:val="en-US" w:eastAsia="zh-CN"/>
    </w:rPr>
  </w:style>
  <w:style w:type="character" w:customStyle="1" w:styleId="62">
    <w:name w:val="标题 3 Char1"/>
    <w:link w:val="6"/>
    <w:qFormat/>
    <w:uiPriority w:val="0"/>
    <w:rPr>
      <w:rFonts w:eastAsia="楷体_GB2312"/>
      <w:b/>
      <w:kern w:val="2"/>
      <w:sz w:val="32"/>
      <w:lang w:val="en-US" w:eastAsia="zh-CN"/>
    </w:rPr>
  </w:style>
  <w:style w:type="character" w:customStyle="1" w:styleId="63">
    <w:name w:val="标题 4 Char1"/>
    <w:link w:val="7"/>
    <w:qFormat/>
    <w:uiPriority w:val="0"/>
    <w:rPr>
      <w:rFonts w:ascii="Cambria" w:hAnsi="Cambria" w:eastAsia="宋体"/>
      <w:b/>
      <w:kern w:val="2"/>
      <w:sz w:val="28"/>
      <w:lang w:val="en-US" w:eastAsia="zh-CN"/>
    </w:rPr>
  </w:style>
  <w:style w:type="character" w:customStyle="1" w:styleId="64">
    <w:name w:val="标题 5 Char"/>
    <w:link w:val="8"/>
    <w:qFormat/>
    <w:uiPriority w:val="0"/>
    <w:rPr>
      <w:rFonts w:eastAsia="宋体"/>
      <w:b/>
      <w:kern w:val="2"/>
      <w:sz w:val="28"/>
      <w:lang w:val="en-US" w:eastAsia="zh-CN"/>
    </w:rPr>
  </w:style>
  <w:style w:type="character" w:customStyle="1" w:styleId="65">
    <w:name w:val="标题 6 Char"/>
    <w:link w:val="9"/>
    <w:qFormat/>
    <w:uiPriority w:val="0"/>
    <w:rPr>
      <w:rFonts w:ascii="Arial" w:hAnsi="Arial" w:eastAsia="黑体"/>
      <w:b/>
      <w:kern w:val="2"/>
      <w:sz w:val="24"/>
      <w:lang w:val="en-US" w:eastAsia="zh-CN"/>
    </w:rPr>
  </w:style>
  <w:style w:type="character" w:customStyle="1" w:styleId="66">
    <w:name w:val="标题 7 Char"/>
    <w:link w:val="10"/>
    <w:qFormat/>
    <w:uiPriority w:val="0"/>
    <w:rPr>
      <w:rFonts w:eastAsia="宋体"/>
      <w:b/>
      <w:kern w:val="2"/>
      <w:sz w:val="24"/>
      <w:lang w:val="en-US" w:eastAsia="zh-CN"/>
    </w:rPr>
  </w:style>
  <w:style w:type="character" w:customStyle="1" w:styleId="67">
    <w:name w:val="标题 8 Char"/>
    <w:link w:val="11"/>
    <w:qFormat/>
    <w:uiPriority w:val="0"/>
    <w:rPr>
      <w:rFonts w:ascii="Arial" w:hAnsi="Arial" w:eastAsia="黑体"/>
      <w:kern w:val="2"/>
      <w:sz w:val="24"/>
      <w:lang w:val="en-US" w:eastAsia="zh-CN"/>
    </w:rPr>
  </w:style>
  <w:style w:type="character" w:customStyle="1" w:styleId="68">
    <w:name w:val="标题 9 Char"/>
    <w:link w:val="12"/>
    <w:qFormat/>
    <w:uiPriority w:val="0"/>
    <w:rPr>
      <w:rFonts w:ascii="Arial" w:hAnsi="Arial" w:eastAsia="黑体"/>
      <w:kern w:val="2"/>
      <w:sz w:val="21"/>
      <w:lang w:val="en-US" w:eastAsia="zh-CN"/>
    </w:rPr>
  </w:style>
  <w:style w:type="character" w:customStyle="1" w:styleId="69">
    <w:name w:val="文档结构图 Char"/>
    <w:link w:val="19"/>
    <w:qFormat/>
    <w:uiPriority w:val="0"/>
    <w:rPr>
      <w:rFonts w:eastAsia="宋体"/>
      <w:kern w:val="2"/>
      <w:sz w:val="36"/>
      <w:lang w:val="en-US" w:eastAsia="zh-CN"/>
    </w:rPr>
  </w:style>
  <w:style w:type="character" w:customStyle="1" w:styleId="70">
    <w:name w:val="批注文字 Char"/>
    <w:link w:val="20"/>
    <w:qFormat/>
    <w:uiPriority w:val="0"/>
    <w:rPr>
      <w:rFonts w:eastAsia="宋体"/>
      <w:kern w:val="2"/>
      <w:sz w:val="36"/>
      <w:lang w:val="en-US" w:eastAsia="zh-CN"/>
    </w:rPr>
  </w:style>
  <w:style w:type="character" w:customStyle="1" w:styleId="71">
    <w:name w:val="称呼 Char1"/>
    <w:basedOn w:val="50"/>
    <w:link w:val="21"/>
    <w:qFormat/>
    <w:uiPriority w:val="0"/>
    <w:rPr>
      <w:kern w:val="2"/>
      <w:sz w:val="36"/>
    </w:rPr>
  </w:style>
  <w:style w:type="character" w:customStyle="1" w:styleId="72">
    <w:name w:val="正文文本 3 Char"/>
    <w:basedOn w:val="50"/>
    <w:link w:val="22"/>
    <w:qFormat/>
    <w:uiPriority w:val="0"/>
    <w:rPr>
      <w:kern w:val="2"/>
      <w:sz w:val="16"/>
      <w:szCs w:val="16"/>
    </w:rPr>
  </w:style>
  <w:style w:type="character" w:customStyle="1" w:styleId="73">
    <w:name w:val="正文文本 Char"/>
    <w:link w:val="2"/>
    <w:qFormat/>
    <w:uiPriority w:val="0"/>
    <w:rPr>
      <w:rFonts w:ascii="Calibri" w:hAnsi="Calibri" w:eastAsia="宋体"/>
      <w:kern w:val="2"/>
      <w:sz w:val="21"/>
      <w:lang w:val="en-US" w:eastAsia="zh-CN"/>
    </w:rPr>
  </w:style>
  <w:style w:type="character" w:customStyle="1" w:styleId="74">
    <w:name w:val="正文文本缩进 Char"/>
    <w:link w:val="23"/>
    <w:qFormat/>
    <w:uiPriority w:val="0"/>
    <w:rPr>
      <w:rFonts w:ascii="仿宋_GB2312" w:eastAsia="仿宋_GB2312"/>
      <w:sz w:val="24"/>
      <w:lang w:val="en-US" w:eastAsia="zh-CN"/>
    </w:rPr>
  </w:style>
  <w:style w:type="character" w:customStyle="1" w:styleId="75">
    <w:name w:val="纯文本 Char1"/>
    <w:link w:val="28"/>
    <w:qFormat/>
    <w:locked/>
    <w:uiPriority w:val="99"/>
    <w:rPr>
      <w:rFonts w:ascii="宋体" w:hAnsi="Courier New" w:eastAsia="宋体"/>
      <w:kern w:val="2"/>
      <w:sz w:val="21"/>
      <w:lang w:val="en-US" w:eastAsia="zh-CN" w:bidi="ar-SA"/>
    </w:rPr>
  </w:style>
  <w:style w:type="character" w:customStyle="1" w:styleId="76">
    <w:name w:val="正文文本缩进 2 Char"/>
    <w:link w:val="30"/>
    <w:qFormat/>
    <w:uiPriority w:val="0"/>
    <w:rPr>
      <w:rFonts w:eastAsia="宋体"/>
      <w:kern w:val="2"/>
      <w:sz w:val="36"/>
      <w:lang w:val="en-US" w:eastAsia="zh-CN"/>
    </w:rPr>
  </w:style>
  <w:style w:type="character" w:customStyle="1" w:styleId="77">
    <w:name w:val="批注框文本 Char"/>
    <w:link w:val="31"/>
    <w:qFormat/>
    <w:uiPriority w:val="0"/>
    <w:rPr>
      <w:rFonts w:eastAsia="宋体"/>
      <w:kern w:val="2"/>
      <w:sz w:val="18"/>
      <w:lang w:val="en-US" w:eastAsia="zh-CN"/>
    </w:rPr>
  </w:style>
  <w:style w:type="character" w:customStyle="1" w:styleId="78">
    <w:name w:val="页脚 Char1"/>
    <w:basedOn w:val="50"/>
    <w:link w:val="32"/>
    <w:qFormat/>
    <w:uiPriority w:val="0"/>
    <w:rPr>
      <w:kern w:val="2"/>
      <w:sz w:val="18"/>
      <w:szCs w:val="18"/>
    </w:rPr>
  </w:style>
  <w:style w:type="character" w:customStyle="1" w:styleId="79">
    <w:name w:val="页眉 Char"/>
    <w:link w:val="34"/>
    <w:qFormat/>
    <w:uiPriority w:val="0"/>
    <w:rPr>
      <w:rFonts w:eastAsia="宋体"/>
      <w:kern w:val="2"/>
      <w:sz w:val="18"/>
      <w:lang w:val="en-US" w:eastAsia="zh-CN"/>
    </w:rPr>
  </w:style>
  <w:style w:type="character" w:customStyle="1" w:styleId="80">
    <w:name w:val="正文文本缩进 3 Char"/>
    <w:link w:val="38"/>
    <w:qFormat/>
    <w:uiPriority w:val="0"/>
    <w:rPr>
      <w:rFonts w:ascii="Times New Roman" w:hAnsi="Times New Roman" w:eastAsia="宋体"/>
      <w:sz w:val="16"/>
    </w:rPr>
  </w:style>
  <w:style w:type="character" w:customStyle="1" w:styleId="81">
    <w:name w:val="正文文本 2 Char1"/>
    <w:basedOn w:val="50"/>
    <w:link w:val="41"/>
    <w:qFormat/>
    <w:uiPriority w:val="0"/>
    <w:rPr>
      <w:kern w:val="2"/>
      <w:sz w:val="36"/>
    </w:rPr>
  </w:style>
  <w:style w:type="character" w:customStyle="1" w:styleId="82">
    <w:name w:val="普通(网站) Char1"/>
    <w:link w:val="42"/>
    <w:qFormat/>
    <w:locked/>
    <w:uiPriority w:val="0"/>
    <w:rPr>
      <w:rFonts w:ascii="宋体" w:hAnsi="宋体" w:eastAsia="宋体"/>
      <w:sz w:val="24"/>
      <w:szCs w:val="24"/>
      <w:lang w:val="en-US" w:eastAsia="zh-CN" w:bidi="ar-SA"/>
    </w:rPr>
  </w:style>
  <w:style w:type="character" w:customStyle="1" w:styleId="83">
    <w:name w:val="标题 Char"/>
    <w:basedOn w:val="50"/>
    <w:link w:val="44"/>
    <w:qFormat/>
    <w:uiPriority w:val="0"/>
    <w:rPr>
      <w:rFonts w:ascii="Frutiger 45 Light" w:hAnsi="Frutiger 45 Light"/>
      <w:b/>
      <w:sz w:val="22"/>
      <w:lang w:val="en-AU"/>
    </w:rPr>
  </w:style>
  <w:style w:type="character" w:customStyle="1" w:styleId="84">
    <w:name w:val="批注主题 Char"/>
    <w:link w:val="45"/>
    <w:qFormat/>
    <w:uiPriority w:val="0"/>
    <w:rPr>
      <w:rFonts w:eastAsia="宋体"/>
      <w:b/>
      <w:kern w:val="2"/>
      <w:sz w:val="36"/>
      <w:lang w:val="en-US" w:eastAsia="zh-CN"/>
    </w:rPr>
  </w:style>
  <w:style w:type="character" w:customStyle="1" w:styleId="85">
    <w:name w:val="正文首行缩进 Char"/>
    <w:basedOn w:val="86"/>
    <w:link w:val="46"/>
    <w:qFormat/>
    <w:uiPriority w:val="0"/>
    <w:rPr>
      <w:rFonts w:ascii="Calibri" w:hAnsi="Calibri" w:eastAsia="宋体"/>
      <w:kern w:val="2"/>
      <w:sz w:val="21"/>
      <w:lang w:val="en-US" w:eastAsia="zh-CN"/>
    </w:rPr>
  </w:style>
  <w:style w:type="character" w:customStyle="1" w:styleId="86">
    <w:name w:val="正文文本 Char Char"/>
    <w:qFormat/>
    <w:uiPriority w:val="0"/>
    <w:rPr>
      <w:rFonts w:ascii="Calibri" w:hAnsi="Calibri" w:eastAsia="宋体"/>
      <w:kern w:val="2"/>
      <w:sz w:val="21"/>
      <w:lang w:val="en-US" w:eastAsia="zh-CN"/>
    </w:rPr>
  </w:style>
  <w:style w:type="paragraph" w:customStyle="1" w:styleId="87">
    <w:name w:val="正文缩进1"/>
    <w:basedOn w:val="1"/>
    <w:link w:val="88"/>
    <w:qFormat/>
    <w:uiPriority w:val="0"/>
    <w:pPr>
      <w:ind w:firstLine="420"/>
    </w:pPr>
    <w:rPr>
      <w:sz w:val="21"/>
    </w:rPr>
  </w:style>
  <w:style w:type="character" w:customStyle="1" w:styleId="88">
    <w:name w:val="正文缩进 Char1"/>
    <w:link w:val="87"/>
    <w:qFormat/>
    <w:uiPriority w:val="0"/>
    <w:rPr>
      <w:rFonts w:eastAsia="宋体"/>
      <w:kern w:val="2"/>
      <w:sz w:val="21"/>
      <w:lang w:val="en-US" w:eastAsia="zh-CN"/>
    </w:rPr>
  </w:style>
  <w:style w:type="character" w:customStyle="1" w:styleId="89">
    <w:name w:val="批注文字 Char Char"/>
    <w:qFormat/>
    <w:uiPriority w:val="0"/>
    <w:rPr>
      <w:rFonts w:eastAsia="宋体"/>
      <w:kern w:val="2"/>
      <w:sz w:val="36"/>
      <w:lang w:val="en-US" w:eastAsia="zh-CN"/>
    </w:rPr>
  </w:style>
  <w:style w:type="character" w:customStyle="1" w:styleId="90">
    <w:name w:val="文档结构图 Char1"/>
    <w:link w:val="91"/>
    <w:qFormat/>
    <w:uiPriority w:val="0"/>
    <w:rPr>
      <w:rFonts w:eastAsia="宋体"/>
      <w:kern w:val="2"/>
      <w:sz w:val="36"/>
      <w:lang w:val="en-US" w:eastAsia="zh-CN"/>
    </w:rPr>
  </w:style>
  <w:style w:type="paragraph" w:customStyle="1" w:styleId="91">
    <w:name w:val="文档结构图1"/>
    <w:basedOn w:val="1"/>
    <w:link w:val="90"/>
    <w:qFormat/>
    <w:uiPriority w:val="0"/>
    <w:pPr>
      <w:shd w:val="clear" w:color="auto" w:fill="000080"/>
    </w:pPr>
  </w:style>
  <w:style w:type="character" w:customStyle="1" w:styleId="92">
    <w:name w:val="内容文本 Char"/>
    <w:link w:val="93"/>
    <w:qFormat/>
    <w:uiPriority w:val="0"/>
    <w:rPr>
      <w:rFonts w:ascii="宋体" w:hAnsi="宋体" w:eastAsia="宋体"/>
      <w:kern w:val="2"/>
      <w:sz w:val="24"/>
    </w:rPr>
  </w:style>
  <w:style w:type="paragraph" w:customStyle="1" w:styleId="93">
    <w:name w:val="内容文本"/>
    <w:basedOn w:val="1"/>
    <w:link w:val="92"/>
    <w:qFormat/>
    <w:uiPriority w:val="0"/>
    <w:pPr>
      <w:autoSpaceDE w:val="0"/>
      <w:autoSpaceDN w:val="0"/>
      <w:spacing w:line="360" w:lineRule="auto"/>
      <w:ind w:firstLine="480" w:firstLineChars="200"/>
      <w:jc w:val="left"/>
    </w:pPr>
    <w:rPr>
      <w:rFonts w:ascii="宋体" w:hAnsi="宋体"/>
      <w:sz w:val="24"/>
    </w:rPr>
  </w:style>
  <w:style w:type="character" w:customStyle="1" w:styleId="94">
    <w:name w:val="*正文 Char"/>
    <w:link w:val="95"/>
    <w:qFormat/>
    <w:uiPriority w:val="0"/>
    <w:rPr>
      <w:rFonts w:ascii="Arial" w:hAnsi="Arial" w:eastAsia="宋体"/>
      <w:kern w:val="2"/>
      <w:sz w:val="24"/>
    </w:rPr>
  </w:style>
  <w:style w:type="paragraph" w:customStyle="1" w:styleId="95">
    <w:name w:val="*正文"/>
    <w:basedOn w:val="1"/>
    <w:link w:val="94"/>
    <w:qFormat/>
    <w:uiPriority w:val="0"/>
    <w:pPr>
      <w:spacing w:line="360" w:lineRule="auto"/>
      <w:ind w:firstLine="480" w:firstLineChars="200"/>
    </w:pPr>
    <w:rPr>
      <w:rFonts w:ascii="Arial" w:hAnsi="Arial"/>
      <w:sz w:val="24"/>
    </w:rPr>
  </w:style>
  <w:style w:type="character" w:customStyle="1" w:styleId="96">
    <w:name w:val="样式 正文（首行缩进两字） + 宋体 Char"/>
    <w:qFormat/>
    <w:uiPriority w:val="0"/>
    <w:rPr>
      <w:rFonts w:ascii="宋体" w:hAnsi="宋体" w:eastAsia="宋体"/>
      <w:spacing w:val="6"/>
      <w:kern w:val="24"/>
      <w:sz w:val="24"/>
      <w:lang w:val="en-US" w:eastAsia="zh-CN"/>
    </w:rPr>
  </w:style>
  <w:style w:type="character" w:customStyle="1" w:styleId="97">
    <w:name w:val="t"/>
    <w:basedOn w:val="50"/>
    <w:qFormat/>
    <w:uiPriority w:val="0"/>
    <w:rPr>
      <w:color w:val="DD8324"/>
    </w:rPr>
  </w:style>
  <w:style w:type="character" w:customStyle="1" w:styleId="98">
    <w:name w:val="批注引用1"/>
    <w:qFormat/>
    <w:uiPriority w:val="0"/>
    <w:rPr>
      <w:sz w:val="21"/>
    </w:rPr>
  </w:style>
  <w:style w:type="character" w:customStyle="1" w:styleId="99">
    <w:name w:val="product_detail_name"/>
    <w:basedOn w:val="50"/>
    <w:qFormat/>
    <w:uiPriority w:val="0"/>
  </w:style>
  <w:style w:type="character" w:customStyle="1" w:styleId="100">
    <w:name w:val="标题 1 Char"/>
    <w:qFormat/>
    <w:uiPriority w:val="0"/>
    <w:rPr>
      <w:rFonts w:eastAsia="宋体"/>
      <w:b/>
      <w:kern w:val="44"/>
      <w:sz w:val="44"/>
      <w:lang w:val="en-US" w:eastAsia="zh-CN"/>
    </w:rPr>
  </w:style>
  <w:style w:type="character" w:customStyle="1" w:styleId="101">
    <w:name w:val="Char Char12"/>
    <w:qFormat/>
    <w:uiPriority w:val="0"/>
    <w:rPr>
      <w:rFonts w:ascii="Arial" w:hAnsi="Arial" w:eastAsia="黑体"/>
      <w:b/>
      <w:kern w:val="2"/>
      <w:sz w:val="32"/>
      <w:lang w:val="en-US" w:eastAsia="zh-CN"/>
    </w:rPr>
  </w:style>
  <w:style w:type="character" w:customStyle="1" w:styleId="102">
    <w:name w:val="已访问的超链接1"/>
    <w:basedOn w:val="50"/>
    <w:qFormat/>
    <w:uiPriority w:val="0"/>
    <w:rPr>
      <w:color w:val="800080"/>
      <w:u w:val="single"/>
    </w:rPr>
  </w:style>
  <w:style w:type="character" w:customStyle="1" w:styleId="103">
    <w:name w:val="Char Char22"/>
    <w:qFormat/>
    <w:uiPriority w:val="0"/>
    <w:rPr>
      <w:rFonts w:ascii="Arial" w:hAnsi="Arial" w:eastAsia="黑体"/>
      <w:b/>
      <w:sz w:val="32"/>
    </w:rPr>
  </w:style>
  <w:style w:type="character" w:customStyle="1" w:styleId="104">
    <w:name w:val="apple-converted-space"/>
    <w:basedOn w:val="50"/>
    <w:qFormat/>
    <w:uiPriority w:val="0"/>
  </w:style>
  <w:style w:type="character" w:customStyle="1" w:styleId="105">
    <w:name w:val="纯文本 Char"/>
    <w:basedOn w:val="50"/>
    <w:link w:val="106"/>
    <w:qFormat/>
    <w:uiPriority w:val="0"/>
    <w:rPr>
      <w:rFonts w:ascii="宋体" w:hAnsi="Courier New" w:eastAsia="宋体"/>
      <w:kern w:val="2"/>
      <w:sz w:val="21"/>
      <w:lang w:val="en-US" w:eastAsia="zh-CN"/>
    </w:rPr>
  </w:style>
  <w:style w:type="paragraph" w:customStyle="1" w:styleId="106">
    <w:name w:val="纯文本1"/>
    <w:basedOn w:val="1"/>
    <w:link w:val="105"/>
    <w:qFormat/>
    <w:uiPriority w:val="99"/>
    <w:pPr>
      <w:spacing w:beforeLines="50" w:afterLines="50" w:line="400" w:lineRule="exact"/>
    </w:pPr>
    <w:rPr>
      <w:rFonts w:ascii="宋体" w:hAnsi="Courier New"/>
      <w:sz w:val="21"/>
    </w:rPr>
  </w:style>
  <w:style w:type="character" w:customStyle="1" w:styleId="107">
    <w:name w:val="标书的标题3 Char"/>
    <w:qFormat/>
    <w:uiPriority w:val="0"/>
    <w:rPr>
      <w:rFonts w:ascii="宋体" w:hAnsi="宋体" w:eastAsia="宋体"/>
      <w:b/>
      <w:color w:val="000000"/>
      <w:kern w:val="2"/>
      <w:sz w:val="24"/>
      <w:lang w:val="en-US" w:eastAsia="zh-CN"/>
    </w:rPr>
  </w:style>
  <w:style w:type="character" w:customStyle="1" w:styleId="108">
    <w:name w:val="font21"/>
    <w:basedOn w:val="50"/>
    <w:qFormat/>
    <w:uiPriority w:val="0"/>
    <w:rPr>
      <w:rFonts w:hint="eastAsia" w:ascii="宋体" w:hAnsi="宋体" w:eastAsia="宋体"/>
      <w:color w:val="000000"/>
      <w:sz w:val="21"/>
      <w:u w:val="none"/>
    </w:rPr>
  </w:style>
  <w:style w:type="character" w:customStyle="1" w:styleId="109">
    <w:name w:val="标题 4 Char"/>
    <w:qFormat/>
    <w:uiPriority w:val="0"/>
    <w:rPr>
      <w:rFonts w:ascii="Cambria" w:hAnsi="Cambria" w:eastAsia="宋体"/>
      <w:b/>
      <w:kern w:val="2"/>
      <w:sz w:val="28"/>
      <w:lang w:val="en-US" w:eastAsia="zh-CN"/>
    </w:rPr>
  </w:style>
  <w:style w:type="character" w:customStyle="1" w:styleId="110">
    <w:name w:val="Heading 3 Char"/>
    <w:basedOn w:val="50"/>
    <w:qFormat/>
    <w:uiPriority w:val="0"/>
    <w:rPr>
      <w:b/>
      <w:sz w:val="32"/>
    </w:rPr>
  </w:style>
  <w:style w:type="character" w:customStyle="1" w:styleId="111">
    <w:name w:val="正文首行缩进 2 Char"/>
    <w:basedOn w:val="112"/>
    <w:link w:val="114"/>
    <w:qFormat/>
    <w:uiPriority w:val="99"/>
    <w:rPr>
      <w:rFonts w:ascii="仿宋_GB2312" w:eastAsia="仿宋_GB2312"/>
      <w:kern w:val="2"/>
      <w:sz w:val="36"/>
      <w:lang w:val="en-US" w:eastAsia="zh-CN"/>
    </w:rPr>
  </w:style>
  <w:style w:type="character" w:customStyle="1" w:styleId="112">
    <w:name w:val="正文文本缩进 Char1"/>
    <w:link w:val="113"/>
    <w:qFormat/>
    <w:uiPriority w:val="0"/>
    <w:rPr>
      <w:rFonts w:ascii="仿宋_GB2312" w:eastAsia="仿宋_GB2312"/>
      <w:sz w:val="24"/>
      <w:lang w:val="en-US" w:eastAsia="zh-CN"/>
    </w:rPr>
  </w:style>
  <w:style w:type="paragraph" w:customStyle="1" w:styleId="113">
    <w:name w:val="正文文本缩进1"/>
    <w:basedOn w:val="1"/>
    <w:link w:val="112"/>
    <w:qFormat/>
    <w:uiPriority w:val="0"/>
    <w:pPr>
      <w:adjustRightInd w:val="0"/>
      <w:spacing w:line="500" w:lineRule="atLeast"/>
      <w:ind w:firstLine="210"/>
      <w:textAlignment w:val="baseline"/>
    </w:pPr>
    <w:rPr>
      <w:rFonts w:ascii="仿宋_GB2312" w:eastAsia="仿宋_GB2312"/>
      <w:kern w:val="0"/>
      <w:sz w:val="24"/>
    </w:rPr>
  </w:style>
  <w:style w:type="paragraph" w:customStyle="1" w:styleId="114">
    <w:name w:val="正文首行缩进 21"/>
    <w:basedOn w:val="113"/>
    <w:link w:val="111"/>
    <w:qFormat/>
    <w:uiPriority w:val="0"/>
    <w:pPr>
      <w:adjustRightInd/>
      <w:spacing w:line="240" w:lineRule="auto"/>
      <w:ind w:left="420" w:leftChars="200" w:firstLine="420" w:firstLineChars="200"/>
      <w:textAlignment w:val="auto"/>
    </w:pPr>
    <w:rPr>
      <w:kern w:val="2"/>
      <w:sz w:val="36"/>
    </w:rPr>
  </w:style>
  <w:style w:type="character" w:customStyle="1" w:styleId="115">
    <w:name w:val="页眉 Char2"/>
    <w:qFormat/>
    <w:uiPriority w:val="0"/>
    <w:rPr>
      <w:rFonts w:eastAsia="宋体"/>
      <w:kern w:val="2"/>
      <w:sz w:val="18"/>
      <w:lang w:val="en-US" w:eastAsia="zh-CN"/>
    </w:rPr>
  </w:style>
  <w:style w:type="character" w:customStyle="1" w:styleId="116">
    <w:name w:val="hover21"/>
    <w:basedOn w:val="50"/>
    <w:qFormat/>
    <w:uiPriority w:val="0"/>
    <w:rPr>
      <w:b/>
      <w:color w:val="005A9E"/>
    </w:rPr>
  </w:style>
  <w:style w:type="character" w:customStyle="1" w:styleId="117">
    <w:name w:val="Body Text Indent 3 Char"/>
    <w:qFormat/>
    <w:uiPriority w:val="0"/>
    <w:rPr>
      <w:sz w:val="16"/>
    </w:rPr>
  </w:style>
  <w:style w:type="character" w:customStyle="1" w:styleId="118">
    <w:name w:val="Heading 1 Char"/>
    <w:basedOn w:val="50"/>
    <w:qFormat/>
    <w:uiPriority w:val="0"/>
    <w:rPr>
      <w:b/>
      <w:kern w:val="44"/>
      <w:sz w:val="44"/>
    </w:rPr>
  </w:style>
  <w:style w:type="character" w:customStyle="1" w:styleId="119">
    <w:name w:val="FrutigerBold"/>
    <w:basedOn w:val="50"/>
    <w:qFormat/>
    <w:uiPriority w:val="0"/>
    <w:rPr>
      <w:rFonts w:ascii="Frutiger 45 Light" w:hAnsi="Frutiger 45 Light"/>
      <w:b/>
    </w:rPr>
  </w:style>
  <w:style w:type="character" w:customStyle="1" w:styleId="120">
    <w:name w:val="文档结构图 Char Char"/>
    <w:qFormat/>
    <w:uiPriority w:val="0"/>
    <w:rPr>
      <w:rFonts w:eastAsia="宋体"/>
      <w:kern w:val="2"/>
      <w:sz w:val="36"/>
      <w:lang w:val="en-US" w:eastAsia="zh-CN"/>
    </w:rPr>
  </w:style>
  <w:style w:type="character" w:customStyle="1" w:styleId="121">
    <w:name w:val="投标正文 Char"/>
    <w:link w:val="122"/>
    <w:qFormat/>
    <w:uiPriority w:val="0"/>
    <w:rPr>
      <w:rFonts w:ascii="Calibri" w:hAnsi="Calibri"/>
      <w:sz w:val="24"/>
    </w:rPr>
  </w:style>
  <w:style w:type="paragraph" w:customStyle="1" w:styleId="122">
    <w:name w:val="投标正文"/>
    <w:basedOn w:val="1"/>
    <w:link w:val="121"/>
    <w:qFormat/>
    <w:uiPriority w:val="0"/>
    <w:pPr>
      <w:spacing w:line="360" w:lineRule="auto"/>
      <w:ind w:left="100" w:firstLine="480" w:firstLineChars="200"/>
    </w:pPr>
    <w:rPr>
      <w:rFonts w:ascii="Calibri" w:hAnsi="Calibri"/>
      <w:kern w:val="0"/>
      <w:sz w:val="24"/>
    </w:rPr>
  </w:style>
  <w:style w:type="character" w:customStyle="1" w:styleId="123">
    <w:name w:val="标准正文格式 Char Char"/>
    <w:link w:val="124"/>
    <w:qFormat/>
    <w:uiPriority w:val="0"/>
    <w:rPr>
      <w:rFonts w:eastAsia="仿宋_GB2312"/>
      <w:kern w:val="2"/>
      <w:sz w:val="28"/>
      <w:lang w:val="en-US" w:eastAsia="zh-CN"/>
    </w:rPr>
  </w:style>
  <w:style w:type="paragraph" w:customStyle="1" w:styleId="124">
    <w:name w:val="标准正文格式"/>
    <w:basedOn w:val="1"/>
    <w:link w:val="123"/>
    <w:qFormat/>
    <w:uiPriority w:val="0"/>
    <w:pPr>
      <w:widowControl/>
      <w:adjustRightInd w:val="0"/>
      <w:spacing w:line="360" w:lineRule="auto"/>
      <w:ind w:firstLine="200" w:firstLineChars="200"/>
      <w:textAlignment w:val="baseline"/>
    </w:pPr>
    <w:rPr>
      <w:rFonts w:eastAsia="仿宋_GB2312"/>
      <w:sz w:val="28"/>
    </w:rPr>
  </w:style>
  <w:style w:type="character" w:customStyle="1" w:styleId="125">
    <w:name w:val="标题 2 Char"/>
    <w:qFormat/>
    <w:uiPriority w:val="0"/>
    <w:rPr>
      <w:rFonts w:ascii="Arial" w:hAnsi="Arial" w:eastAsia="黑体"/>
      <w:b/>
      <w:kern w:val="2"/>
      <w:sz w:val="32"/>
      <w:lang w:val="en-US" w:eastAsia="zh-CN"/>
    </w:rPr>
  </w:style>
  <w:style w:type="character" w:customStyle="1" w:styleId="126">
    <w:name w:val="num"/>
    <w:basedOn w:val="50"/>
    <w:qFormat/>
    <w:uiPriority w:val="0"/>
    <w:rPr>
      <w:color w:val="FFFFFF"/>
      <w:bdr w:val="single" w:color="005EA3" w:sz="6" w:space="0"/>
      <w:shd w:val="clear" w:color="auto" w:fill="005EA3"/>
    </w:rPr>
  </w:style>
  <w:style w:type="character" w:customStyle="1" w:styleId="127">
    <w:name w:val="HTML 引文1"/>
    <w:basedOn w:val="50"/>
    <w:qFormat/>
    <w:uiPriority w:val="0"/>
  </w:style>
  <w:style w:type="character" w:customStyle="1" w:styleId="128">
    <w:name w:val="标书的正文 Char Char"/>
    <w:link w:val="129"/>
    <w:qFormat/>
    <w:uiPriority w:val="0"/>
    <w:rPr>
      <w:rFonts w:ascii="宋体" w:hAnsi="宋体" w:eastAsia="宋体"/>
      <w:b/>
      <w:color w:val="000000"/>
      <w:kern w:val="2"/>
      <w:sz w:val="24"/>
      <w:lang w:val="en-US" w:eastAsia="zh-CN"/>
    </w:rPr>
  </w:style>
  <w:style w:type="paragraph" w:customStyle="1" w:styleId="129">
    <w:name w:val="标书的正文"/>
    <w:basedOn w:val="1"/>
    <w:link w:val="128"/>
    <w:qFormat/>
    <w:uiPriority w:val="0"/>
    <w:pPr>
      <w:widowControl/>
      <w:adjustRightInd w:val="0"/>
      <w:spacing w:line="360" w:lineRule="auto"/>
      <w:ind w:firstLine="200" w:firstLineChars="200"/>
    </w:pPr>
    <w:rPr>
      <w:rFonts w:ascii="宋体" w:hAnsi="宋体"/>
      <w:b/>
      <w:color w:val="000000"/>
      <w:sz w:val="24"/>
    </w:rPr>
  </w:style>
  <w:style w:type="character" w:customStyle="1" w:styleId="130">
    <w:name w:val="Char Char16"/>
    <w:qFormat/>
    <w:uiPriority w:val="0"/>
    <w:rPr>
      <w:rFonts w:eastAsia="宋体"/>
      <w:b/>
      <w:kern w:val="44"/>
      <w:sz w:val="44"/>
      <w:lang w:val="en-US" w:eastAsia="zh-CN"/>
    </w:rPr>
  </w:style>
  <w:style w:type="character" w:customStyle="1" w:styleId="131">
    <w:name w:val="Char Char23"/>
    <w:qFormat/>
    <w:uiPriority w:val="0"/>
    <w:rPr>
      <w:rFonts w:ascii="Times New Roman" w:hAnsi="Times New Roman" w:eastAsia="宋体"/>
      <w:b/>
      <w:kern w:val="44"/>
      <w:sz w:val="44"/>
    </w:rPr>
  </w:style>
  <w:style w:type="character" w:customStyle="1" w:styleId="132">
    <w:name w:val="批注框文本 Char Char"/>
    <w:qFormat/>
    <w:uiPriority w:val="0"/>
    <w:rPr>
      <w:rFonts w:eastAsia="宋体"/>
      <w:kern w:val="2"/>
      <w:sz w:val="18"/>
      <w:lang w:val="en-US" w:eastAsia="zh-CN"/>
    </w:rPr>
  </w:style>
  <w:style w:type="character" w:customStyle="1" w:styleId="133">
    <w:name w:val="hps"/>
    <w:basedOn w:val="50"/>
    <w:qFormat/>
    <w:uiPriority w:val="0"/>
  </w:style>
  <w:style w:type="character" w:customStyle="1" w:styleId="134">
    <w:name w:val="正文首行缩进 Char2"/>
    <w:basedOn w:val="135"/>
    <w:link w:val="137"/>
    <w:qFormat/>
    <w:uiPriority w:val="0"/>
    <w:rPr>
      <w:rFonts w:ascii="Calibri" w:hAnsi="Calibri" w:eastAsia="宋体"/>
      <w:kern w:val="2"/>
      <w:sz w:val="21"/>
      <w:lang w:val="en-US" w:eastAsia="zh-CN"/>
    </w:rPr>
  </w:style>
  <w:style w:type="character" w:customStyle="1" w:styleId="135">
    <w:name w:val="正文文本 Char1"/>
    <w:link w:val="136"/>
    <w:qFormat/>
    <w:uiPriority w:val="0"/>
    <w:rPr>
      <w:rFonts w:ascii="Calibri" w:hAnsi="Calibri" w:eastAsia="宋体"/>
      <w:kern w:val="2"/>
      <w:sz w:val="21"/>
      <w:lang w:val="en-US" w:eastAsia="zh-CN"/>
    </w:rPr>
  </w:style>
  <w:style w:type="paragraph" w:customStyle="1" w:styleId="136">
    <w:name w:val="正文文本1"/>
    <w:basedOn w:val="1"/>
    <w:link w:val="135"/>
    <w:qFormat/>
    <w:uiPriority w:val="0"/>
    <w:rPr>
      <w:rFonts w:ascii="Calibri" w:hAnsi="Calibri"/>
      <w:sz w:val="21"/>
    </w:rPr>
  </w:style>
  <w:style w:type="paragraph" w:customStyle="1" w:styleId="137">
    <w:name w:val="正文首行缩进1"/>
    <w:basedOn w:val="136"/>
    <w:link w:val="134"/>
    <w:qFormat/>
    <w:uiPriority w:val="0"/>
    <w:pPr>
      <w:ind w:firstLine="420" w:firstLineChars="100"/>
    </w:pPr>
  </w:style>
  <w:style w:type="character" w:customStyle="1" w:styleId="138">
    <w:name w:val="正文文本缩进 Char Char"/>
    <w:qFormat/>
    <w:uiPriority w:val="0"/>
    <w:rPr>
      <w:rFonts w:ascii="仿宋_GB2312" w:eastAsia="仿宋_GB2312"/>
      <w:sz w:val="24"/>
      <w:lang w:val="en-US" w:eastAsia="zh-CN"/>
    </w:rPr>
  </w:style>
  <w:style w:type="character" w:customStyle="1" w:styleId="139">
    <w:name w:val="正文文本缩进 3 Char2"/>
    <w:link w:val="140"/>
    <w:qFormat/>
    <w:uiPriority w:val="0"/>
    <w:rPr>
      <w:kern w:val="2"/>
      <w:sz w:val="16"/>
    </w:rPr>
  </w:style>
  <w:style w:type="paragraph" w:customStyle="1" w:styleId="140">
    <w:name w:val="正文文本缩进 31"/>
    <w:basedOn w:val="1"/>
    <w:link w:val="139"/>
    <w:qFormat/>
    <w:uiPriority w:val="0"/>
    <w:pPr>
      <w:ind w:left="420" w:leftChars="200"/>
    </w:pPr>
    <w:rPr>
      <w:sz w:val="16"/>
    </w:rPr>
  </w:style>
  <w:style w:type="character" w:customStyle="1" w:styleId="141">
    <w:name w:val="disabled"/>
    <w:basedOn w:val="50"/>
    <w:qFormat/>
    <w:uiPriority w:val="0"/>
    <w:rPr>
      <w:bdr w:val="single" w:color="CCCCCC" w:sz="6" w:space="0"/>
    </w:rPr>
  </w:style>
  <w:style w:type="character" w:customStyle="1" w:styleId="142">
    <w:name w:val="cucd-0 Char"/>
    <w:basedOn w:val="50"/>
    <w:link w:val="143"/>
    <w:qFormat/>
    <w:uiPriority w:val="0"/>
    <w:rPr>
      <w:kern w:val="2"/>
      <w:sz w:val="24"/>
      <w:lang w:val="en-US" w:eastAsia="zh-CN" w:bidi="ar-SA"/>
    </w:rPr>
  </w:style>
  <w:style w:type="paragraph" w:customStyle="1" w:styleId="143">
    <w:name w:val="cucd-0"/>
    <w:link w:val="142"/>
    <w:qFormat/>
    <w:uiPriority w:val="0"/>
    <w:pPr>
      <w:spacing w:line="360" w:lineRule="auto"/>
      <w:ind w:firstLine="480" w:firstLineChars="200"/>
    </w:pPr>
    <w:rPr>
      <w:rFonts w:ascii="Times New Roman" w:hAnsi="Times New Roman" w:eastAsia="宋体" w:cs="Times New Roman"/>
      <w:kern w:val="2"/>
      <w:sz w:val="24"/>
      <w:lang w:val="en-US" w:eastAsia="zh-CN" w:bidi="ar-SA"/>
    </w:rPr>
  </w:style>
  <w:style w:type="character" w:customStyle="1" w:styleId="144">
    <w:name w:val="页眉 Char Char"/>
    <w:qFormat/>
    <w:uiPriority w:val="0"/>
    <w:rPr>
      <w:rFonts w:eastAsia="宋体"/>
      <w:kern w:val="2"/>
      <w:sz w:val="18"/>
      <w:lang w:val="en-US" w:eastAsia="zh-CN"/>
    </w:rPr>
  </w:style>
  <w:style w:type="character" w:customStyle="1" w:styleId="145">
    <w:name w:val="金保标题2 Char Char"/>
    <w:link w:val="146"/>
    <w:qFormat/>
    <w:uiPriority w:val="0"/>
    <w:rPr>
      <w:rFonts w:ascii="宋体" w:hAnsi="宋体" w:eastAsia="宋体"/>
      <w:b/>
      <w:sz w:val="24"/>
      <w:lang w:val="en-US" w:eastAsia="zh-CN"/>
    </w:rPr>
  </w:style>
  <w:style w:type="paragraph" w:customStyle="1" w:styleId="146">
    <w:name w:val="金保标题2"/>
    <w:basedOn w:val="5"/>
    <w:next w:val="1"/>
    <w:link w:val="145"/>
    <w:qFormat/>
    <w:uiPriority w:val="0"/>
    <w:pPr>
      <w:tabs>
        <w:tab w:val="left" w:pos="709"/>
      </w:tabs>
      <w:spacing w:line="360" w:lineRule="auto"/>
    </w:pPr>
    <w:rPr>
      <w:rFonts w:ascii="宋体" w:hAnsi="宋体" w:eastAsia="宋体"/>
      <w:kern w:val="0"/>
      <w:sz w:val="24"/>
    </w:rPr>
  </w:style>
  <w:style w:type="character" w:customStyle="1" w:styleId="147">
    <w:name w:val="标书的标题3 Char Char"/>
    <w:link w:val="148"/>
    <w:qFormat/>
    <w:uiPriority w:val="0"/>
    <w:rPr>
      <w:rFonts w:ascii="宋体" w:hAnsi="宋体" w:eastAsia="宋体"/>
      <w:b/>
      <w:color w:val="000000"/>
      <w:kern w:val="2"/>
      <w:sz w:val="24"/>
      <w:lang w:val="en-US" w:eastAsia="zh-CN"/>
    </w:rPr>
  </w:style>
  <w:style w:type="paragraph" w:customStyle="1" w:styleId="148">
    <w:name w:val="标书的标题3"/>
    <w:basedOn w:val="87"/>
    <w:link w:val="147"/>
    <w:qFormat/>
    <w:uiPriority w:val="0"/>
    <w:pPr>
      <w:widowControl/>
      <w:adjustRightInd w:val="0"/>
      <w:spacing w:line="360" w:lineRule="auto"/>
      <w:ind w:firstLine="0"/>
      <w:outlineLvl w:val="2"/>
    </w:pPr>
    <w:rPr>
      <w:rFonts w:ascii="宋体" w:hAnsi="宋体"/>
      <w:b/>
      <w:color w:val="000000"/>
      <w:sz w:val="24"/>
    </w:rPr>
  </w:style>
  <w:style w:type="character" w:customStyle="1" w:styleId="149">
    <w:name w:val="纯文本 Char2"/>
    <w:link w:val="150"/>
    <w:qFormat/>
    <w:uiPriority w:val="99"/>
    <w:rPr>
      <w:rFonts w:ascii="宋体" w:hAnsi="Courier New" w:eastAsia="宋体"/>
      <w:kern w:val="2"/>
      <w:sz w:val="21"/>
      <w:lang w:val="en-US" w:eastAsia="zh-CN"/>
    </w:rPr>
  </w:style>
  <w:style w:type="paragraph" w:customStyle="1" w:styleId="150">
    <w:name w:val="纯文本2"/>
    <w:basedOn w:val="1"/>
    <w:link w:val="149"/>
    <w:qFormat/>
    <w:uiPriority w:val="99"/>
    <w:rPr>
      <w:rFonts w:ascii="宋体" w:hAnsi="Courier New"/>
      <w:sz w:val="21"/>
    </w:rPr>
  </w:style>
  <w:style w:type="character" w:customStyle="1" w:styleId="151">
    <w:name w:val="s8"/>
    <w:basedOn w:val="50"/>
    <w:qFormat/>
    <w:uiPriority w:val="0"/>
    <w:rPr>
      <w:b/>
      <w:color w:val="005A9E"/>
    </w:rPr>
  </w:style>
  <w:style w:type="character" w:customStyle="1" w:styleId="152">
    <w:name w:val="正文文本缩进 2 Char Char"/>
    <w:qFormat/>
    <w:uiPriority w:val="0"/>
    <w:rPr>
      <w:rFonts w:eastAsia="宋体"/>
      <w:kern w:val="2"/>
      <w:sz w:val="36"/>
      <w:lang w:val="en-US" w:eastAsia="zh-CN"/>
    </w:rPr>
  </w:style>
  <w:style w:type="character" w:customStyle="1" w:styleId="153">
    <w:name w:val="标题 4 Char Char"/>
    <w:qFormat/>
    <w:uiPriority w:val="0"/>
    <w:rPr>
      <w:rFonts w:ascii="Cambria" w:hAnsi="Cambria" w:eastAsia="宋体"/>
      <w:b/>
      <w:kern w:val="2"/>
      <w:sz w:val="28"/>
      <w:lang w:val="en-US" w:eastAsia="zh-CN"/>
    </w:rPr>
  </w:style>
  <w:style w:type="character" w:customStyle="1" w:styleId="154">
    <w:name w:val="普通(Web)1 Char"/>
    <w:qFormat/>
    <w:uiPriority w:val="0"/>
    <w:rPr>
      <w:rFonts w:ascii="宋体" w:hAnsi="宋体" w:cs="宋体"/>
      <w:sz w:val="24"/>
      <w:szCs w:val="24"/>
    </w:rPr>
  </w:style>
  <w:style w:type="character" w:customStyle="1" w:styleId="155">
    <w:name w:val="正文文本 2 Char"/>
    <w:basedOn w:val="50"/>
    <w:link w:val="156"/>
    <w:qFormat/>
    <w:uiPriority w:val="0"/>
    <w:rPr>
      <w:rFonts w:ascii="宋体" w:hAnsi="宋体"/>
      <w:color w:val="000000"/>
      <w:kern w:val="2"/>
      <w:sz w:val="24"/>
    </w:rPr>
  </w:style>
  <w:style w:type="paragraph" w:customStyle="1" w:styleId="156">
    <w:name w:val="正文文本 21"/>
    <w:basedOn w:val="1"/>
    <w:link w:val="155"/>
    <w:qFormat/>
    <w:uiPriority w:val="0"/>
    <w:pPr>
      <w:widowControl/>
      <w:snapToGrid w:val="0"/>
      <w:spacing w:afterLines="50" w:line="400" w:lineRule="exact"/>
      <w:jc w:val="left"/>
    </w:pPr>
    <w:rPr>
      <w:rFonts w:ascii="宋体" w:hAnsi="宋体"/>
      <w:color w:val="000000"/>
      <w:sz w:val="24"/>
    </w:rPr>
  </w:style>
  <w:style w:type="character" w:customStyle="1" w:styleId="157">
    <w:name w:val="Char Char15"/>
    <w:qFormat/>
    <w:uiPriority w:val="0"/>
    <w:rPr>
      <w:rFonts w:ascii="Arial" w:hAnsi="Arial" w:eastAsia="黑体"/>
      <w:b/>
      <w:kern w:val="2"/>
      <w:sz w:val="32"/>
      <w:lang w:val="en-US" w:eastAsia="zh-CN"/>
    </w:rPr>
  </w:style>
  <w:style w:type="character" w:customStyle="1" w:styleId="158">
    <w:name w:val="h Char Char1"/>
    <w:qFormat/>
    <w:uiPriority w:val="0"/>
    <w:rPr>
      <w:sz w:val="18"/>
    </w:rPr>
  </w:style>
  <w:style w:type="character" w:customStyle="1" w:styleId="159">
    <w:name w:val="普通文字 Char Char"/>
    <w:qFormat/>
    <w:uiPriority w:val="0"/>
    <w:rPr>
      <w:rFonts w:ascii="宋体" w:hAnsi="Courier New" w:eastAsia="宋体"/>
      <w:kern w:val="2"/>
      <w:sz w:val="21"/>
      <w:lang w:val="en-US" w:eastAsia="zh-CN"/>
    </w:rPr>
  </w:style>
  <w:style w:type="character" w:customStyle="1" w:styleId="160">
    <w:name w:val="fl2"/>
    <w:basedOn w:val="50"/>
    <w:qFormat/>
    <w:uiPriority w:val="0"/>
    <w:rPr>
      <w:color w:val="908E8E"/>
    </w:rPr>
  </w:style>
  <w:style w:type="character" w:customStyle="1" w:styleId="161">
    <w:name w:val="标题 3 Char Char"/>
    <w:qFormat/>
    <w:uiPriority w:val="0"/>
    <w:rPr>
      <w:rFonts w:eastAsia="楷体_GB2312"/>
      <w:b/>
      <w:kern w:val="2"/>
      <w:sz w:val="32"/>
      <w:lang w:val="en-US" w:eastAsia="zh-CN"/>
    </w:rPr>
  </w:style>
  <w:style w:type="character" w:customStyle="1" w:styleId="162">
    <w:name w:val="正文1 Char Char"/>
    <w:link w:val="163"/>
    <w:qFormat/>
    <w:uiPriority w:val="0"/>
    <w:rPr>
      <w:rFonts w:ascii="宋体" w:hAnsi="宋体"/>
      <w:color w:val="000000"/>
      <w:sz w:val="24"/>
    </w:rPr>
  </w:style>
  <w:style w:type="paragraph" w:customStyle="1" w:styleId="163">
    <w:name w:val="正文1"/>
    <w:basedOn w:val="1"/>
    <w:link w:val="162"/>
    <w:qFormat/>
    <w:uiPriority w:val="0"/>
    <w:pPr>
      <w:spacing w:line="360" w:lineRule="auto"/>
      <w:ind w:firstLine="200" w:firstLineChars="200"/>
      <w:jc w:val="left"/>
    </w:pPr>
    <w:rPr>
      <w:rFonts w:ascii="宋体" w:hAnsi="宋体"/>
      <w:color w:val="000000"/>
      <w:kern w:val="0"/>
      <w:sz w:val="24"/>
    </w:rPr>
  </w:style>
  <w:style w:type="character" w:customStyle="1" w:styleId="164">
    <w:name w:val="金保标题2 Char"/>
    <w:qFormat/>
    <w:uiPriority w:val="0"/>
    <w:rPr>
      <w:rFonts w:ascii="宋体" w:hAnsi="宋体" w:eastAsia="宋体"/>
      <w:b/>
      <w:sz w:val="24"/>
      <w:lang w:val="en-US" w:eastAsia="zh-CN"/>
    </w:rPr>
  </w:style>
  <w:style w:type="character" w:customStyle="1" w:styleId="165">
    <w:name w:val="next"/>
    <w:basedOn w:val="50"/>
    <w:qFormat/>
    <w:uiPriority w:val="0"/>
    <w:rPr>
      <w:shd w:val="clear" w:color="auto" w:fill="FFFFFF"/>
    </w:rPr>
  </w:style>
  <w:style w:type="character" w:customStyle="1" w:styleId="166">
    <w:name w:val="标书标题3 Char"/>
    <w:qFormat/>
    <w:uiPriority w:val="0"/>
    <w:rPr>
      <w:rFonts w:ascii="宋体" w:hAnsi="宋体" w:eastAsia="宋体"/>
      <w:b/>
      <w:sz w:val="24"/>
      <w:lang w:val="en-US" w:eastAsia="zh-CN"/>
    </w:rPr>
  </w:style>
  <w:style w:type="character" w:customStyle="1" w:styleId="167">
    <w:name w:val="批注框文本 Char1"/>
    <w:qFormat/>
    <w:uiPriority w:val="0"/>
    <w:rPr>
      <w:rFonts w:eastAsia="宋体"/>
      <w:kern w:val="2"/>
      <w:sz w:val="18"/>
      <w:lang w:val="en-US" w:eastAsia="zh-CN"/>
    </w:rPr>
  </w:style>
  <w:style w:type="character" w:customStyle="1" w:styleId="168">
    <w:name w:val="无间隔 Char"/>
    <w:basedOn w:val="50"/>
    <w:link w:val="169"/>
    <w:qFormat/>
    <w:uiPriority w:val="0"/>
    <w:rPr>
      <w:rFonts w:ascii="Calibri" w:hAnsi="Calibri"/>
      <w:sz w:val="22"/>
      <w:lang w:val="en-US" w:eastAsia="en-US" w:bidi="ar-SA"/>
    </w:rPr>
  </w:style>
  <w:style w:type="paragraph" w:customStyle="1" w:styleId="169">
    <w:name w:val="No Spacing1"/>
    <w:link w:val="168"/>
    <w:qFormat/>
    <w:uiPriority w:val="0"/>
    <w:rPr>
      <w:rFonts w:ascii="Calibri" w:hAnsi="Calibri" w:eastAsia="宋体" w:cs="Times New Roman"/>
      <w:sz w:val="22"/>
      <w:lang w:val="en-US" w:eastAsia="en-US" w:bidi="ar-SA"/>
    </w:rPr>
  </w:style>
  <w:style w:type="character" w:customStyle="1" w:styleId="170">
    <w:name w:val="prev"/>
    <w:basedOn w:val="50"/>
    <w:qFormat/>
    <w:uiPriority w:val="0"/>
    <w:rPr>
      <w:shd w:val="clear" w:color="auto" w:fill="FFFFFF"/>
    </w:rPr>
  </w:style>
  <w:style w:type="character" w:customStyle="1" w:styleId="171">
    <w:name w:val="NormalCharacter"/>
    <w:qFormat/>
    <w:uiPriority w:val="0"/>
    <w:rPr>
      <w:kern w:val="2"/>
      <w:sz w:val="28"/>
      <w:lang w:val="en-US" w:eastAsia="zh-CN"/>
    </w:rPr>
  </w:style>
  <w:style w:type="character" w:customStyle="1" w:styleId="172">
    <w:name w:val="HTML 打字机1"/>
    <w:qFormat/>
    <w:uiPriority w:val="0"/>
    <w:rPr>
      <w:rFonts w:ascii="Arial Unicode MS" w:hAnsi="Arial Unicode MS" w:eastAsia="Courier New"/>
      <w:sz w:val="18"/>
    </w:rPr>
  </w:style>
  <w:style w:type="character" w:customStyle="1" w:styleId="173">
    <w:name w:val="第三层条 Char1"/>
    <w:qFormat/>
    <w:uiPriority w:val="0"/>
    <w:rPr>
      <w:rFonts w:ascii="Cambria" w:hAnsi="Cambria" w:eastAsia="宋体"/>
      <w:b/>
      <w:kern w:val="2"/>
      <w:sz w:val="28"/>
      <w:lang w:val="en-US" w:eastAsia="zh-CN"/>
    </w:rPr>
  </w:style>
  <w:style w:type="character" w:customStyle="1" w:styleId="174">
    <w:name w:val="称呼 Char"/>
    <w:link w:val="175"/>
    <w:qFormat/>
    <w:uiPriority w:val="99"/>
    <w:rPr>
      <w:sz w:val="16"/>
    </w:rPr>
  </w:style>
  <w:style w:type="paragraph" w:customStyle="1" w:styleId="175">
    <w:name w:val="称呼1"/>
    <w:basedOn w:val="1"/>
    <w:next w:val="1"/>
    <w:link w:val="174"/>
    <w:qFormat/>
    <w:uiPriority w:val="99"/>
    <w:pPr>
      <w:widowControl/>
      <w:jc w:val="left"/>
    </w:pPr>
    <w:rPr>
      <w:kern w:val="0"/>
      <w:sz w:val="16"/>
    </w:rPr>
  </w:style>
  <w:style w:type="character" w:customStyle="1" w:styleId="176">
    <w:name w:val="表格 Char Char"/>
    <w:link w:val="177"/>
    <w:qFormat/>
    <w:uiPriority w:val="0"/>
    <w:rPr>
      <w:rFonts w:ascii="宋体" w:hAnsi="宋体" w:eastAsia="宋体"/>
      <w:lang w:val="en-US" w:eastAsia="zh-CN"/>
    </w:rPr>
  </w:style>
  <w:style w:type="paragraph" w:customStyle="1" w:styleId="177">
    <w:name w:val="表格"/>
    <w:basedOn w:val="1"/>
    <w:link w:val="176"/>
    <w:qFormat/>
    <w:uiPriority w:val="0"/>
    <w:pPr>
      <w:snapToGrid w:val="0"/>
      <w:ind w:firstLine="42" w:firstLineChars="21"/>
    </w:pPr>
    <w:rPr>
      <w:rFonts w:ascii="宋体" w:hAnsi="宋体"/>
      <w:kern w:val="0"/>
      <w:sz w:val="20"/>
    </w:rPr>
  </w:style>
  <w:style w:type="character" w:customStyle="1" w:styleId="178">
    <w:name w:val="current"/>
    <w:basedOn w:val="50"/>
    <w:qFormat/>
    <w:uiPriority w:val="0"/>
    <w:rPr>
      <w:b/>
      <w:color w:val="FFFFFF"/>
      <w:bdr w:val="single" w:color="C3C3C3" w:sz="6" w:space="0"/>
      <w:shd w:val="clear" w:color="auto" w:fill="CCCCCC"/>
    </w:rPr>
  </w:style>
  <w:style w:type="character" w:customStyle="1" w:styleId="179">
    <w:name w:val="Char Char4"/>
    <w:basedOn w:val="50"/>
    <w:qFormat/>
    <w:uiPriority w:val="0"/>
    <w:rPr>
      <w:rFonts w:ascii="宋体"/>
      <w:kern w:val="2"/>
      <w:sz w:val="18"/>
    </w:rPr>
  </w:style>
  <w:style w:type="character" w:customStyle="1" w:styleId="180">
    <w:name w:val="blue"/>
    <w:basedOn w:val="50"/>
    <w:qFormat/>
    <w:uiPriority w:val="0"/>
  </w:style>
  <w:style w:type="character" w:customStyle="1" w:styleId="181">
    <w:name w:val="hover9"/>
    <w:basedOn w:val="50"/>
    <w:qFormat/>
    <w:uiPriority w:val="0"/>
  </w:style>
  <w:style w:type="character" w:customStyle="1" w:styleId="182">
    <w:name w:val="标书的正文 Char"/>
    <w:qFormat/>
    <w:uiPriority w:val="0"/>
    <w:rPr>
      <w:rFonts w:ascii="宋体" w:hAnsi="宋体" w:eastAsia="宋体"/>
      <w:b/>
      <w:color w:val="000000"/>
      <w:kern w:val="2"/>
      <w:sz w:val="24"/>
      <w:lang w:val="en-US" w:eastAsia="zh-CN"/>
    </w:rPr>
  </w:style>
  <w:style w:type="character" w:customStyle="1" w:styleId="183">
    <w:name w:val="Normal Indent Char"/>
    <w:qFormat/>
    <w:uiPriority w:val="0"/>
    <w:rPr>
      <w:rFonts w:eastAsia="宋体"/>
    </w:rPr>
  </w:style>
  <w:style w:type="character" w:customStyle="1" w:styleId="184">
    <w:name w:val="h3 Char1"/>
    <w:qFormat/>
    <w:uiPriority w:val="0"/>
    <w:rPr>
      <w:rFonts w:eastAsia="楷体_GB2312"/>
      <w:b/>
      <w:kern w:val="2"/>
      <w:sz w:val="32"/>
      <w:lang w:val="en-US" w:eastAsia="zh-CN"/>
    </w:rPr>
  </w:style>
  <w:style w:type="character" w:customStyle="1" w:styleId="185">
    <w:name w:val="标题 1 Char Char Char"/>
    <w:qFormat/>
    <w:uiPriority w:val="0"/>
    <w:rPr>
      <w:rFonts w:eastAsia="宋体"/>
      <w:b/>
      <w:kern w:val="44"/>
      <w:sz w:val="44"/>
      <w:lang w:val="en-US" w:eastAsia="zh-CN"/>
    </w:rPr>
  </w:style>
  <w:style w:type="character" w:customStyle="1" w:styleId="186">
    <w:name w:val="h Char Char"/>
    <w:qFormat/>
    <w:uiPriority w:val="0"/>
    <w:rPr>
      <w:sz w:val="18"/>
    </w:rPr>
  </w:style>
  <w:style w:type="character" w:customStyle="1" w:styleId="187">
    <w:name w:val="正文文本缩进 3 Char1"/>
    <w:basedOn w:val="50"/>
    <w:link w:val="188"/>
    <w:qFormat/>
    <w:uiPriority w:val="0"/>
    <w:rPr>
      <w:sz w:val="16"/>
    </w:rPr>
  </w:style>
  <w:style w:type="paragraph" w:customStyle="1" w:styleId="188">
    <w:name w:val="正文文本缩进 311"/>
    <w:basedOn w:val="1"/>
    <w:link w:val="187"/>
    <w:qFormat/>
    <w:uiPriority w:val="0"/>
    <w:pPr>
      <w:snapToGrid w:val="0"/>
      <w:ind w:firstLine="480" w:firstLineChars="200"/>
      <w:jc w:val="left"/>
    </w:pPr>
    <w:rPr>
      <w:sz w:val="16"/>
    </w:rPr>
  </w:style>
  <w:style w:type="character" w:customStyle="1" w:styleId="189">
    <w:name w:val="c1"/>
    <w:basedOn w:val="50"/>
    <w:qFormat/>
    <w:uiPriority w:val="0"/>
    <w:rPr>
      <w:color w:val="005EA3"/>
    </w:rPr>
  </w:style>
  <w:style w:type="character" w:customStyle="1" w:styleId="190">
    <w:name w:val="正文文本缩进 2 Char1"/>
    <w:link w:val="191"/>
    <w:qFormat/>
    <w:uiPriority w:val="0"/>
    <w:rPr>
      <w:rFonts w:eastAsia="宋体"/>
      <w:kern w:val="2"/>
      <w:sz w:val="36"/>
      <w:lang w:val="en-US" w:eastAsia="zh-CN"/>
    </w:rPr>
  </w:style>
  <w:style w:type="paragraph" w:customStyle="1" w:styleId="191">
    <w:name w:val="正文文本缩进 21"/>
    <w:basedOn w:val="1"/>
    <w:link w:val="190"/>
    <w:qFormat/>
    <w:uiPriority w:val="0"/>
    <w:pPr>
      <w:spacing w:line="480" w:lineRule="auto"/>
      <w:ind w:left="420" w:leftChars="200"/>
    </w:pPr>
  </w:style>
  <w:style w:type="character" w:customStyle="1" w:styleId="192">
    <w:name w:val="样式 黑体 二号"/>
    <w:qFormat/>
    <w:uiPriority w:val="0"/>
    <w:rPr>
      <w:rFonts w:hint="default" w:ascii="Arial" w:hAnsi="Arial" w:eastAsia="黑体"/>
      <w:sz w:val="44"/>
    </w:rPr>
  </w:style>
  <w:style w:type="character" w:customStyle="1" w:styleId="193">
    <w:name w:val="c"/>
    <w:basedOn w:val="50"/>
    <w:qFormat/>
    <w:uiPriority w:val="0"/>
    <w:rPr>
      <w:color w:val="005EA3"/>
    </w:rPr>
  </w:style>
  <w:style w:type="character" w:customStyle="1" w:styleId="194">
    <w:name w:val="标准正文格式 Char"/>
    <w:qFormat/>
    <w:uiPriority w:val="0"/>
    <w:rPr>
      <w:rFonts w:eastAsia="仿宋_GB2312"/>
      <w:kern w:val="2"/>
      <w:sz w:val="28"/>
      <w:lang w:val="en-US" w:eastAsia="zh-CN"/>
    </w:rPr>
  </w:style>
  <w:style w:type="character" w:customStyle="1" w:styleId="195">
    <w:name w:val="批注文字 Char1"/>
    <w:link w:val="196"/>
    <w:qFormat/>
    <w:uiPriority w:val="0"/>
    <w:rPr>
      <w:rFonts w:eastAsia="宋体"/>
      <w:kern w:val="2"/>
      <w:sz w:val="36"/>
      <w:lang w:val="en-US" w:eastAsia="zh-CN"/>
    </w:rPr>
  </w:style>
  <w:style w:type="paragraph" w:customStyle="1" w:styleId="196">
    <w:name w:val="批注文字1"/>
    <w:basedOn w:val="1"/>
    <w:link w:val="195"/>
    <w:qFormat/>
    <w:uiPriority w:val="0"/>
    <w:pPr>
      <w:jc w:val="left"/>
    </w:pPr>
  </w:style>
  <w:style w:type="character" w:customStyle="1" w:styleId="197">
    <w:name w:val="Char Char21"/>
    <w:qFormat/>
    <w:uiPriority w:val="0"/>
    <w:rPr>
      <w:rFonts w:ascii="Times New Roman" w:hAnsi="Times New Roman" w:eastAsia="楷体_GB2312"/>
      <w:b/>
      <w:sz w:val="32"/>
    </w:rPr>
  </w:style>
  <w:style w:type="character" w:customStyle="1" w:styleId="198">
    <w:name w:val="3zw1"/>
    <w:basedOn w:val="50"/>
    <w:qFormat/>
    <w:uiPriority w:val="0"/>
    <w:rPr>
      <w:color w:val="000000"/>
      <w:spacing w:val="360"/>
      <w:sz w:val="21"/>
    </w:rPr>
  </w:style>
  <w:style w:type="character" w:customStyle="1" w:styleId="199">
    <w:name w:val="Heading 2 Char"/>
    <w:basedOn w:val="50"/>
    <w:qFormat/>
    <w:uiPriority w:val="0"/>
    <w:rPr>
      <w:rFonts w:ascii="Calibri Light" w:hAnsi="Calibri Light" w:eastAsia="宋体"/>
      <w:b/>
      <w:sz w:val="32"/>
    </w:rPr>
  </w:style>
  <w:style w:type="character" w:customStyle="1" w:styleId="200">
    <w:name w:val="普通(网站) Char"/>
    <w:link w:val="201"/>
    <w:qFormat/>
    <w:uiPriority w:val="0"/>
    <w:rPr>
      <w:rFonts w:ascii="宋体" w:hAnsi="宋体"/>
      <w:sz w:val="24"/>
    </w:rPr>
  </w:style>
  <w:style w:type="paragraph" w:customStyle="1" w:styleId="201">
    <w:name w:val="普通(网站)1"/>
    <w:basedOn w:val="1"/>
    <w:link w:val="200"/>
    <w:qFormat/>
    <w:uiPriority w:val="0"/>
    <w:pPr>
      <w:widowControl/>
      <w:spacing w:beforeAutospacing="1" w:afterAutospacing="1"/>
      <w:jc w:val="left"/>
    </w:pPr>
    <w:rPr>
      <w:rFonts w:ascii="宋体" w:hAnsi="宋体"/>
      <w:kern w:val="0"/>
      <w:sz w:val="24"/>
    </w:rPr>
  </w:style>
  <w:style w:type="character" w:customStyle="1" w:styleId="202">
    <w:name w:val="标题 2 Char Char"/>
    <w:qFormat/>
    <w:uiPriority w:val="0"/>
    <w:rPr>
      <w:rFonts w:ascii="Arial" w:hAnsi="Arial" w:eastAsia="黑体"/>
      <w:b/>
      <w:kern w:val="2"/>
      <w:sz w:val="32"/>
      <w:lang w:val="en-US" w:eastAsia="zh-CN"/>
    </w:rPr>
  </w:style>
  <w:style w:type="character" w:customStyle="1" w:styleId="203">
    <w:name w:val="标题 3 Char"/>
    <w:qFormat/>
    <w:uiPriority w:val="0"/>
    <w:rPr>
      <w:rFonts w:eastAsia="楷体_GB2312"/>
      <w:b/>
      <w:kern w:val="2"/>
      <w:sz w:val="32"/>
      <w:lang w:val="en-US" w:eastAsia="zh-CN"/>
    </w:rPr>
  </w:style>
  <w:style w:type="character" w:customStyle="1" w:styleId="204">
    <w:name w:val="页脚 Char"/>
    <w:basedOn w:val="50"/>
    <w:link w:val="205"/>
    <w:qFormat/>
    <w:uiPriority w:val="99"/>
    <w:rPr>
      <w:rFonts w:eastAsia="宋体"/>
      <w:kern w:val="2"/>
      <w:sz w:val="18"/>
      <w:lang w:val="en-US" w:eastAsia="zh-CN"/>
    </w:rPr>
  </w:style>
  <w:style w:type="paragraph" w:customStyle="1" w:styleId="205">
    <w:name w:val="页脚1"/>
    <w:basedOn w:val="1"/>
    <w:link w:val="204"/>
    <w:qFormat/>
    <w:uiPriority w:val="0"/>
    <w:pPr>
      <w:tabs>
        <w:tab w:val="center" w:pos="4153"/>
        <w:tab w:val="right" w:pos="8306"/>
      </w:tabs>
      <w:snapToGrid w:val="0"/>
      <w:jc w:val="left"/>
    </w:pPr>
    <w:rPr>
      <w:sz w:val="18"/>
    </w:rPr>
  </w:style>
  <w:style w:type="character" w:customStyle="1" w:styleId="206">
    <w:name w:val="Char Char14"/>
    <w:qFormat/>
    <w:uiPriority w:val="0"/>
    <w:rPr>
      <w:rFonts w:eastAsia="楷体_GB2312"/>
      <w:b/>
      <w:kern w:val="2"/>
      <w:sz w:val="32"/>
      <w:lang w:val="en-US" w:eastAsia="zh-CN"/>
    </w:rPr>
  </w:style>
  <w:style w:type="character" w:customStyle="1" w:styleId="207">
    <w:name w:val="页眉 Char1"/>
    <w:qFormat/>
    <w:uiPriority w:val="0"/>
    <w:rPr>
      <w:rFonts w:eastAsia="宋体"/>
      <w:kern w:val="2"/>
      <w:sz w:val="18"/>
      <w:lang w:val="en-US" w:eastAsia="zh-CN"/>
    </w:rPr>
  </w:style>
  <w:style w:type="character" w:customStyle="1" w:styleId="208">
    <w:name w:val="bsharetext"/>
    <w:basedOn w:val="50"/>
    <w:qFormat/>
    <w:uiPriority w:val="0"/>
  </w:style>
  <w:style w:type="character" w:customStyle="1" w:styleId="209">
    <w:name w:val="c2"/>
    <w:basedOn w:val="50"/>
    <w:qFormat/>
    <w:uiPriority w:val="0"/>
    <w:rPr>
      <w:color w:val="005EA3"/>
    </w:rPr>
  </w:style>
  <w:style w:type="character" w:customStyle="1" w:styleId="210">
    <w:name w:val="列出段落 Char"/>
    <w:link w:val="211"/>
    <w:qFormat/>
    <w:uiPriority w:val="0"/>
    <w:rPr>
      <w:rFonts w:ascii="Calibri" w:hAnsi="Calibri" w:eastAsia="宋体"/>
      <w:kern w:val="2"/>
      <w:sz w:val="21"/>
      <w:lang w:val="en-US" w:eastAsia="zh-CN"/>
    </w:rPr>
  </w:style>
  <w:style w:type="paragraph" w:customStyle="1" w:styleId="211">
    <w:name w:val="列出段落2"/>
    <w:basedOn w:val="1"/>
    <w:link w:val="210"/>
    <w:qFormat/>
    <w:uiPriority w:val="0"/>
    <w:pPr>
      <w:ind w:firstLine="420" w:firstLineChars="200"/>
    </w:pPr>
    <w:rPr>
      <w:rFonts w:ascii="Calibri" w:hAnsi="Calibri"/>
      <w:sz w:val="21"/>
    </w:rPr>
  </w:style>
  <w:style w:type="character" w:customStyle="1" w:styleId="212">
    <w:name w:val="标题 1 Char Char"/>
    <w:qFormat/>
    <w:uiPriority w:val="0"/>
    <w:rPr>
      <w:rFonts w:eastAsia="宋体"/>
      <w:b/>
      <w:spacing w:val="-2"/>
      <w:sz w:val="24"/>
      <w:lang w:val="en-US" w:eastAsia="zh-CN"/>
    </w:rPr>
  </w:style>
  <w:style w:type="character" w:customStyle="1" w:styleId="213">
    <w:name w:val="Char Char Char Char Char Char Char Char Char Char"/>
    <w:qFormat/>
    <w:uiPriority w:val="0"/>
    <w:rPr>
      <w:kern w:val="2"/>
      <w:sz w:val="16"/>
    </w:rPr>
  </w:style>
  <w:style w:type="character" w:customStyle="1" w:styleId="214">
    <w:name w:val="批注主题 Char Char"/>
    <w:qFormat/>
    <w:uiPriority w:val="0"/>
    <w:rPr>
      <w:rFonts w:eastAsia="宋体"/>
      <w:b/>
      <w:kern w:val="2"/>
      <w:sz w:val="36"/>
      <w:lang w:val="en-US" w:eastAsia="zh-CN"/>
    </w:rPr>
  </w:style>
  <w:style w:type="character" w:customStyle="1" w:styleId="215">
    <w:name w:val="hover22"/>
    <w:basedOn w:val="50"/>
    <w:qFormat/>
    <w:uiPriority w:val="0"/>
    <w:rPr>
      <w:b/>
      <w:color w:val="005A9E"/>
    </w:rPr>
  </w:style>
  <w:style w:type="character" w:customStyle="1" w:styleId="216">
    <w:name w:val="脚注文本 Char"/>
    <w:link w:val="217"/>
    <w:qFormat/>
    <w:uiPriority w:val="0"/>
    <w:rPr>
      <w:kern w:val="2"/>
      <w:sz w:val="16"/>
    </w:rPr>
  </w:style>
  <w:style w:type="paragraph" w:customStyle="1" w:styleId="217">
    <w:name w:val="脚注文本1"/>
    <w:basedOn w:val="1"/>
    <w:link w:val="216"/>
    <w:qFormat/>
    <w:uiPriority w:val="0"/>
    <w:pPr>
      <w:snapToGrid w:val="0"/>
      <w:jc w:val="left"/>
    </w:pPr>
    <w:rPr>
      <w:sz w:val="16"/>
    </w:rPr>
  </w:style>
  <w:style w:type="character" w:customStyle="1" w:styleId="218">
    <w:name w:val="普通文字 Char2"/>
    <w:qFormat/>
    <w:uiPriority w:val="0"/>
    <w:rPr>
      <w:rFonts w:ascii="宋体" w:hAnsi="Courier New" w:eastAsia="宋体"/>
      <w:kern w:val="2"/>
      <w:sz w:val="21"/>
      <w:lang w:val="en-US" w:eastAsia="zh-CN"/>
    </w:rPr>
  </w:style>
  <w:style w:type="character" w:customStyle="1" w:styleId="219">
    <w:name w:val="bookmark-item uuid-1588129097073 code-23007 addword single-line-text-input-box-cls readonly"/>
    <w:basedOn w:val="50"/>
    <w:qFormat/>
    <w:uiPriority w:val="0"/>
  </w:style>
  <w:style w:type="character" w:customStyle="1" w:styleId="220">
    <w:name w:val="页码1"/>
    <w:basedOn w:val="50"/>
    <w:qFormat/>
    <w:uiPriority w:val="0"/>
  </w:style>
  <w:style w:type="character" w:customStyle="1" w:styleId="221">
    <w:name w:val="正文首行缩进（绿盟科技） Char"/>
    <w:link w:val="222"/>
    <w:qFormat/>
    <w:uiPriority w:val="0"/>
    <w:rPr>
      <w:rFonts w:ascii="Arial" w:hAnsi="Arial" w:eastAsia="宋体"/>
      <w:sz w:val="21"/>
    </w:rPr>
  </w:style>
  <w:style w:type="paragraph" w:customStyle="1" w:styleId="222">
    <w:name w:val="正文首行缩进（绿盟科技）"/>
    <w:basedOn w:val="1"/>
    <w:link w:val="221"/>
    <w:qFormat/>
    <w:uiPriority w:val="0"/>
    <w:pPr>
      <w:widowControl/>
      <w:spacing w:line="300" w:lineRule="auto"/>
      <w:ind w:firstLine="200" w:firstLineChars="200"/>
      <w:jc w:val="left"/>
    </w:pPr>
    <w:rPr>
      <w:rFonts w:ascii="Arial" w:hAnsi="Arial"/>
      <w:kern w:val="0"/>
      <w:sz w:val="21"/>
    </w:rPr>
  </w:style>
  <w:style w:type="character" w:customStyle="1" w:styleId="223">
    <w:name w:val="正文2 Char Char"/>
    <w:link w:val="224"/>
    <w:qFormat/>
    <w:uiPriority w:val="0"/>
    <w:rPr>
      <w:kern w:val="2"/>
      <w:sz w:val="24"/>
    </w:rPr>
  </w:style>
  <w:style w:type="paragraph" w:customStyle="1" w:styleId="224">
    <w:name w:val="正文2"/>
    <w:basedOn w:val="1"/>
    <w:link w:val="223"/>
    <w:qFormat/>
    <w:uiPriority w:val="0"/>
    <w:pPr>
      <w:spacing w:line="360" w:lineRule="auto"/>
      <w:ind w:firstLine="510" w:firstLineChars="200"/>
    </w:pPr>
    <w:rPr>
      <w:sz w:val="24"/>
    </w:rPr>
  </w:style>
  <w:style w:type="character" w:customStyle="1" w:styleId="225">
    <w:name w:val="正文首行缩进 Char1"/>
    <w:qFormat/>
    <w:uiPriority w:val="0"/>
    <w:rPr>
      <w:rFonts w:ascii="Calibri" w:hAnsi="Calibri" w:eastAsia="宋体"/>
      <w:kern w:val="2"/>
      <w:sz w:val="21"/>
      <w:lang w:val="en-US" w:eastAsia="zh-CN"/>
    </w:rPr>
  </w:style>
  <w:style w:type="character" w:customStyle="1" w:styleId="226">
    <w:name w:val="正文2 Char"/>
    <w:qFormat/>
    <w:uiPriority w:val="0"/>
    <w:rPr>
      <w:kern w:val="2"/>
      <w:sz w:val="24"/>
    </w:rPr>
  </w:style>
  <w:style w:type="character" w:customStyle="1" w:styleId="227">
    <w:name w:val="批注主题 Char1"/>
    <w:link w:val="228"/>
    <w:qFormat/>
    <w:uiPriority w:val="0"/>
    <w:rPr>
      <w:rFonts w:eastAsia="宋体"/>
      <w:b/>
      <w:kern w:val="2"/>
      <w:sz w:val="36"/>
      <w:lang w:val="en-US" w:eastAsia="zh-CN"/>
    </w:rPr>
  </w:style>
  <w:style w:type="paragraph" w:customStyle="1" w:styleId="228">
    <w:name w:val="批注主题1"/>
    <w:basedOn w:val="196"/>
    <w:next w:val="196"/>
    <w:link w:val="227"/>
    <w:qFormat/>
    <w:uiPriority w:val="0"/>
    <w:rPr>
      <w:b/>
    </w:rPr>
  </w:style>
  <w:style w:type="character" w:customStyle="1" w:styleId="229">
    <w:name w:val="cp_test"/>
    <w:basedOn w:val="50"/>
    <w:qFormat/>
    <w:uiPriority w:val="0"/>
  </w:style>
  <w:style w:type="character" w:customStyle="1" w:styleId="230">
    <w:name w:val="标书正文 Char1"/>
    <w:link w:val="231"/>
    <w:qFormat/>
    <w:uiPriority w:val="0"/>
    <w:rPr>
      <w:rFonts w:ascii="宋体" w:hAnsi="宋体" w:eastAsia="宋体"/>
      <w:spacing w:val="8"/>
      <w:sz w:val="24"/>
      <w:lang w:val="en-US" w:eastAsia="zh-CN"/>
    </w:rPr>
  </w:style>
  <w:style w:type="paragraph" w:customStyle="1" w:styleId="231">
    <w:name w:val="标书正文"/>
    <w:basedOn w:val="136"/>
    <w:link w:val="230"/>
    <w:qFormat/>
    <w:uiPriority w:val="0"/>
    <w:pPr>
      <w:adjustRightInd w:val="0"/>
      <w:snapToGrid w:val="0"/>
      <w:spacing w:line="360" w:lineRule="auto"/>
      <w:ind w:firstLine="672" w:firstLineChars="200"/>
    </w:pPr>
    <w:rPr>
      <w:rFonts w:ascii="宋体" w:hAnsi="宋体"/>
      <w:spacing w:val="8"/>
      <w:kern w:val="0"/>
      <w:sz w:val="24"/>
    </w:rPr>
  </w:style>
  <w:style w:type="character" w:customStyle="1" w:styleId="232">
    <w:name w:val="批注框文本 Char2"/>
    <w:link w:val="233"/>
    <w:qFormat/>
    <w:uiPriority w:val="0"/>
    <w:rPr>
      <w:rFonts w:eastAsia="宋体"/>
      <w:kern w:val="2"/>
      <w:sz w:val="18"/>
      <w:lang w:val="en-US" w:eastAsia="zh-CN"/>
    </w:rPr>
  </w:style>
  <w:style w:type="paragraph" w:customStyle="1" w:styleId="233">
    <w:name w:val="批注框文本1"/>
    <w:basedOn w:val="1"/>
    <w:link w:val="232"/>
    <w:qFormat/>
    <w:uiPriority w:val="0"/>
    <w:rPr>
      <w:sz w:val="18"/>
    </w:rPr>
  </w:style>
  <w:style w:type="character" w:customStyle="1" w:styleId="234">
    <w:name w:val="HTML 代码1"/>
    <w:basedOn w:val="50"/>
    <w:qFormat/>
    <w:uiPriority w:val="0"/>
    <w:rPr>
      <w:rFonts w:ascii="Courier New" w:hAnsi="Courier New"/>
      <w:sz w:val="20"/>
    </w:rPr>
  </w:style>
  <w:style w:type="character" w:customStyle="1" w:styleId="235">
    <w:name w:val="编号，小四 Char"/>
    <w:link w:val="236"/>
    <w:qFormat/>
    <w:uiPriority w:val="0"/>
    <w:rPr>
      <w:rFonts w:ascii="Arial" w:hAnsi="Arial"/>
      <w:kern w:val="2"/>
      <w:sz w:val="24"/>
    </w:rPr>
  </w:style>
  <w:style w:type="paragraph" w:customStyle="1" w:styleId="236">
    <w:name w:val="编号，小四"/>
    <w:basedOn w:val="1"/>
    <w:link w:val="235"/>
    <w:qFormat/>
    <w:uiPriority w:val="0"/>
    <w:pPr>
      <w:spacing w:line="360" w:lineRule="auto"/>
      <w:ind w:firstLine="420"/>
    </w:pPr>
    <w:rPr>
      <w:rFonts w:ascii="Arial" w:hAnsi="Arial"/>
      <w:sz w:val="24"/>
    </w:rPr>
  </w:style>
  <w:style w:type="character" w:customStyle="1" w:styleId="237">
    <w:name w:val="textcontents"/>
    <w:basedOn w:val="50"/>
    <w:qFormat/>
    <w:uiPriority w:val="0"/>
  </w:style>
  <w:style w:type="character" w:customStyle="1" w:styleId="238">
    <w:name w:val="Header Char"/>
    <w:qFormat/>
    <w:uiPriority w:val="0"/>
    <w:rPr>
      <w:rFonts w:eastAsia="仿宋_GB2312"/>
      <w:kern w:val="2"/>
      <w:sz w:val="18"/>
      <w:lang w:val="en-US" w:eastAsia="zh-CN"/>
    </w:rPr>
  </w:style>
  <w:style w:type="character" w:customStyle="1" w:styleId="239">
    <w:name w:val="Char Char20"/>
    <w:qFormat/>
    <w:uiPriority w:val="0"/>
    <w:rPr>
      <w:rFonts w:ascii="Cambria" w:hAnsi="Cambria" w:eastAsia="宋体"/>
      <w:b/>
      <w:sz w:val="28"/>
    </w:rPr>
  </w:style>
  <w:style w:type="character" w:customStyle="1" w:styleId="240">
    <w:name w:val="Body Text Indent 3 Char1"/>
    <w:basedOn w:val="50"/>
    <w:qFormat/>
    <w:uiPriority w:val="0"/>
    <w:rPr>
      <w:sz w:val="16"/>
    </w:rPr>
  </w:style>
  <w:style w:type="character" w:customStyle="1" w:styleId="241">
    <w:name w:val="Char Char11"/>
    <w:qFormat/>
    <w:uiPriority w:val="0"/>
    <w:rPr>
      <w:b/>
      <w:sz w:val="36"/>
    </w:rPr>
  </w:style>
  <w:style w:type="character" w:customStyle="1" w:styleId="242">
    <w:name w:val="普通文字 Char1"/>
    <w:qFormat/>
    <w:uiPriority w:val="0"/>
    <w:rPr>
      <w:rFonts w:ascii="宋体" w:hAnsi="Courier New" w:eastAsia="宋体"/>
      <w:kern w:val="2"/>
      <w:sz w:val="21"/>
      <w:lang w:val="en-US" w:eastAsia="zh-CN"/>
    </w:rPr>
  </w:style>
  <w:style w:type="character" w:customStyle="1" w:styleId="243">
    <w:name w:val="标书标题3 Char Char"/>
    <w:link w:val="244"/>
    <w:qFormat/>
    <w:uiPriority w:val="0"/>
    <w:rPr>
      <w:rFonts w:ascii="宋体" w:hAnsi="宋体" w:eastAsia="宋体"/>
      <w:b/>
      <w:sz w:val="24"/>
      <w:lang w:val="en-US" w:eastAsia="zh-CN"/>
    </w:rPr>
  </w:style>
  <w:style w:type="paragraph" w:customStyle="1" w:styleId="244">
    <w:name w:val="标书标题3"/>
    <w:basedOn w:val="6"/>
    <w:link w:val="243"/>
    <w:qFormat/>
    <w:uiPriority w:val="0"/>
    <w:pPr>
      <w:keepNext w:val="0"/>
      <w:keepLines w:val="0"/>
      <w:tabs>
        <w:tab w:val="left" w:pos="709"/>
      </w:tabs>
      <w:adjustRightInd w:val="0"/>
      <w:snapToGrid w:val="0"/>
      <w:spacing w:line="360" w:lineRule="auto"/>
      <w:jc w:val="left"/>
    </w:pPr>
    <w:rPr>
      <w:rFonts w:ascii="宋体" w:hAnsi="宋体" w:eastAsia="宋体"/>
      <w:kern w:val="0"/>
      <w:sz w:val="24"/>
    </w:rPr>
  </w:style>
  <w:style w:type="character" w:customStyle="1" w:styleId="245">
    <w:name w:val="正文缩进 Char Char"/>
    <w:qFormat/>
    <w:uiPriority w:val="0"/>
    <w:rPr>
      <w:rFonts w:eastAsia="宋体"/>
      <w:kern w:val="2"/>
      <w:sz w:val="21"/>
      <w:lang w:val="en-US" w:eastAsia="zh-CN"/>
    </w:rPr>
  </w:style>
  <w:style w:type="character" w:customStyle="1" w:styleId="246">
    <w:name w:val="Char Char13"/>
    <w:qFormat/>
    <w:uiPriority w:val="0"/>
    <w:rPr>
      <w:rFonts w:ascii="Cambria" w:hAnsi="Cambria" w:eastAsia="宋体"/>
      <w:b/>
      <w:kern w:val="2"/>
      <w:sz w:val="28"/>
      <w:lang w:val="en-US" w:eastAsia="zh-CN"/>
    </w:rPr>
  </w:style>
  <w:style w:type="character" w:customStyle="1" w:styleId="247">
    <w:name w:val="bookmark-item uuid-1591619842642 code-23011 addword date-time-selection-cls"/>
    <w:basedOn w:val="50"/>
    <w:qFormat/>
    <w:uiPriority w:val="0"/>
  </w:style>
  <w:style w:type="character" w:customStyle="1" w:styleId="248">
    <w:name w:val="正文文本缩进 2 Char Char Char Char Char Char Char Char Char Char1"/>
    <w:qFormat/>
    <w:uiPriority w:val="0"/>
    <w:rPr>
      <w:rFonts w:eastAsia="宋体"/>
      <w:kern w:val="2"/>
      <w:sz w:val="36"/>
      <w:lang w:val="en-US" w:eastAsia="zh-CN"/>
    </w:rPr>
  </w:style>
  <w:style w:type="character" w:customStyle="1" w:styleId="249">
    <w:name w:val="Plain Text Char"/>
    <w:basedOn w:val="50"/>
    <w:qFormat/>
    <w:uiPriority w:val="0"/>
    <w:rPr>
      <w:rFonts w:ascii="宋体" w:hAnsi="Courier New" w:eastAsia="宋体"/>
      <w:sz w:val="24"/>
    </w:rPr>
  </w:style>
  <w:style w:type="character" w:customStyle="1" w:styleId="250">
    <w:name w:val="AOHidden"/>
    <w:basedOn w:val="50"/>
    <w:qFormat/>
    <w:uiPriority w:val="0"/>
    <w:rPr>
      <w:vanish/>
      <w:color w:val="auto"/>
    </w:rPr>
  </w:style>
  <w:style w:type="character" w:customStyle="1" w:styleId="251">
    <w:name w:val="页眉 Char3"/>
    <w:link w:val="252"/>
    <w:qFormat/>
    <w:uiPriority w:val="0"/>
    <w:rPr>
      <w:rFonts w:eastAsia="宋体"/>
      <w:kern w:val="2"/>
      <w:sz w:val="18"/>
      <w:lang w:val="en-US" w:eastAsia="zh-CN"/>
    </w:rPr>
  </w:style>
  <w:style w:type="paragraph" w:customStyle="1" w:styleId="252">
    <w:name w:val="页眉1"/>
    <w:basedOn w:val="1"/>
    <w:link w:val="251"/>
    <w:qFormat/>
    <w:uiPriority w:val="0"/>
    <w:pPr>
      <w:pBdr>
        <w:bottom w:val="single" w:color="auto" w:sz="6" w:space="1"/>
      </w:pBdr>
      <w:tabs>
        <w:tab w:val="center" w:pos="4153"/>
        <w:tab w:val="right" w:pos="8306"/>
      </w:tabs>
      <w:snapToGrid w:val="0"/>
      <w:jc w:val="center"/>
    </w:pPr>
    <w:rPr>
      <w:sz w:val="18"/>
    </w:rPr>
  </w:style>
  <w:style w:type="paragraph" w:customStyle="1" w:styleId="253">
    <w:name w:val="AOTitle"/>
    <w:basedOn w:val="254"/>
    <w:next w:val="258"/>
    <w:qFormat/>
    <w:uiPriority w:val="0"/>
    <w:pPr>
      <w:jc w:val="center"/>
    </w:pPr>
    <w:rPr>
      <w:b/>
      <w:caps/>
    </w:rPr>
  </w:style>
  <w:style w:type="paragraph" w:customStyle="1" w:styleId="254">
    <w:name w:val="AOHeadings"/>
    <w:basedOn w:val="255"/>
    <w:next w:val="257"/>
    <w:qFormat/>
    <w:uiPriority w:val="0"/>
  </w:style>
  <w:style w:type="paragraph" w:customStyle="1" w:styleId="255">
    <w:name w:val="AOBodyTxt"/>
    <w:basedOn w:val="256"/>
    <w:next w:val="257"/>
    <w:qFormat/>
    <w:uiPriority w:val="0"/>
  </w:style>
  <w:style w:type="paragraph" w:customStyle="1" w:styleId="256">
    <w:name w:val="AONormal"/>
    <w:qFormat/>
    <w:uiPriority w:val="0"/>
    <w:pPr>
      <w:spacing w:line="260" w:lineRule="atLeast"/>
      <w:jc w:val="both"/>
    </w:pPr>
    <w:rPr>
      <w:rFonts w:ascii="Times New Roman" w:hAnsi="Times New Roman" w:eastAsia="宋体" w:cs="Times New Roman"/>
      <w:sz w:val="22"/>
      <w:lang w:val="en-US" w:eastAsia="en-US" w:bidi="ar-SA"/>
    </w:rPr>
  </w:style>
  <w:style w:type="paragraph" w:customStyle="1" w:styleId="257">
    <w:name w:val="AODocTxt"/>
    <w:basedOn w:val="255"/>
    <w:qFormat/>
    <w:uiPriority w:val="0"/>
  </w:style>
  <w:style w:type="paragraph" w:customStyle="1" w:styleId="258">
    <w:name w:val="AOTOCHeading"/>
    <w:basedOn w:val="254"/>
    <w:next w:val="257"/>
    <w:qFormat/>
    <w:uiPriority w:val="0"/>
    <w:pPr>
      <w:tabs>
        <w:tab w:val="right" w:pos="9000"/>
      </w:tabs>
    </w:pPr>
    <w:rPr>
      <w:b/>
    </w:rPr>
  </w:style>
  <w:style w:type="paragraph" w:customStyle="1" w:styleId="259">
    <w:name w:val="5、正文"/>
    <w:basedOn w:val="150"/>
    <w:qFormat/>
    <w:uiPriority w:val="0"/>
    <w:pPr>
      <w:spacing w:line="360" w:lineRule="auto"/>
      <w:ind w:firstLine="510"/>
    </w:pPr>
    <w:rPr>
      <w:rFonts w:ascii="Times New Roman" w:hAnsi="Times New Roman"/>
    </w:rPr>
  </w:style>
  <w:style w:type="paragraph" w:customStyle="1" w:styleId="260">
    <w:name w:val="xl67"/>
    <w:basedOn w:val="1"/>
    <w:qFormat/>
    <w:uiPriority w:val="0"/>
    <w:pPr>
      <w:widowControl/>
      <w:pBdr>
        <w:top w:val="single" w:color="auto" w:sz="4" w:space="0"/>
        <w:bottom w:val="single" w:color="auto" w:sz="4" w:space="0"/>
        <w:right w:val="single" w:color="auto" w:sz="8" w:space="0"/>
      </w:pBdr>
      <w:spacing w:beforeAutospacing="1" w:afterAutospacing="1"/>
      <w:jc w:val="center"/>
    </w:pPr>
    <w:rPr>
      <w:rFonts w:ascii="宋体" w:hAnsi="宋体"/>
      <w:b/>
      <w:i/>
      <w:kern w:val="0"/>
      <w:sz w:val="24"/>
    </w:rPr>
  </w:style>
  <w:style w:type="paragraph" w:customStyle="1" w:styleId="261">
    <w:name w:val="收信人地址1"/>
    <w:basedOn w:val="1"/>
    <w:qFormat/>
    <w:uiPriority w:val="0"/>
    <w:pPr>
      <w:widowControl/>
      <w:ind w:left="2880"/>
    </w:pPr>
    <w:rPr>
      <w:kern w:val="0"/>
      <w:sz w:val="22"/>
      <w:lang w:eastAsia="en-US"/>
    </w:rPr>
  </w:style>
  <w:style w:type="paragraph" w:customStyle="1" w:styleId="26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63">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264">
    <w:name w:val="Table of Contents"/>
    <w:basedOn w:val="265"/>
    <w:qFormat/>
    <w:uiPriority w:val="0"/>
    <w:pPr>
      <w:overflowPunct/>
      <w:autoSpaceDE/>
      <w:autoSpaceDN/>
      <w:adjustRightInd/>
      <w:textAlignment w:val="auto"/>
      <w:outlineLvl w:val="0"/>
    </w:pPr>
    <w:rPr>
      <w:rFonts w:ascii="B Frutiger Bold" w:hAnsi="B Frutiger Bold"/>
    </w:rPr>
  </w:style>
  <w:style w:type="paragraph" w:customStyle="1" w:styleId="265">
    <w:name w:val="标题1"/>
    <w:basedOn w:val="1"/>
    <w:qFormat/>
    <w:uiPriority w:val="0"/>
    <w:pPr>
      <w:widowControl/>
      <w:overflowPunct w:val="0"/>
      <w:autoSpaceDE w:val="0"/>
      <w:autoSpaceDN w:val="0"/>
      <w:adjustRightInd w:val="0"/>
      <w:jc w:val="center"/>
      <w:textAlignment w:val="baseline"/>
    </w:pPr>
    <w:rPr>
      <w:b/>
      <w:kern w:val="0"/>
      <w:sz w:val="24"/>
    </w:rPr>
  </w:style>
  <w:style w:type="paragraph" w:customStyle="1" w:styleId="266">
    <w:name w:val="索引 11"/>
    <w:basedOn w:val="1"/>
    <w:next w:val="1"/>
    <w:qFormat/>
    <w:uiPriority w:val="0"/>
    <w:rPr>
      <w:sz w:val="21"/>
    </w:rPr>
  </w:style>
  <w:style w:type="paragraph" w:customStyle="1" w:styleId="267">
    <w:name w:val="AOFPTxt"/>
    <w:basedOn w:val="268"/>
    <w:qFormat/>
    <w:uiPriority w:val="0"/>
    <w:pPr>
      <w:jc w:val="center"/>
    </w:pPr>
    <w:rPr>
      <w:b/>
    </w:rPr>
  </w:style>
  <w:style w:type="paragraph" w:customStyle="1" w:styleId="268">
    <w:name w:val="AOFPBP"/>
    <w:basedOn w:val="256"/>
    <w:next w:val="267"/>
    <w:qFormat/>
    <w:uiPriority w:val="0"/>
  </w:style>
  <w:style w:type="paragraph" w:customStyle="1" w:styleId="269">
    <w:name w:val="样式 正文2 + 首行缩进:  2 字符"/>
    <w:basedOn w:val="1"/>
    <w:qFormat/>
    <w:uiPriority w:val="0"/>
    <w:pPr>
      <w:spacing w:line="500" w:lineRule="exact"/>
      <w:ind w:firstLine="200" w:firstLineChars="200"/>
    </w:pPr>
    <w:rPr>
      <w:rFonts w:ascii="仿宋_GB2312" w:eastAsia="仿宋_GB2312"/>
      <w:sz w:val="30"/>
    </w:rPr>
  </w:style>
  <w:style w:type="paragraph" w:customStyle="1" w:styleId="270">
    <w:name w:val="Footer 1"/>
    <w:basedOn w:val="1"/>
    <w:next w:val="1"/>
    <w:qFormat/>
    <w:uiPriority w:val="0"/>
    <w:pPr>
      <w:widowControl/>
      <w:pBdr>
        <w:top w:val="single" w:color="auto" w:sz="4" w:space="1"/>
      </w:pBdr>
    </w:pPr>
    <w:rPr>
      <w:kern w:val="0"/>
      <w:sz w:val="16"/>
      <w:lang w:eastAsia="en-US"/>
    </w:rPr>
  </w:style>
  <w:style w:type="paragraph" w:customStyle="1" w:styleId="271">
    <w:name w:val="日期1"/>
    <w:basedOn w:val="1"/>
    <w:next w:val="1"/>
    <w:qFormat/>
    <w:uiPriority w:val="0"/>
    <w:pPr>
      <w:ind w:left="100" w:leftChars="2500"/>
    </w:pPr>
  </w:style>
  <w:style w:type="paragraph" w:customStyle="1" w:styleId="272">
    <w:name w:val="AOSchHead"/>
    <w:basedOn w:val="273"/>
    <w:next w:val="274"/>
    <w:qFormat/>
    <w:uiPriority w:val="0"/>
    <w:pPr>
      <w:pageBreakBefore/>
      <w:tabs>
        <w:tab w:val="left" w:pos="720"/>
      </w:tabs>
      <w:ind w:left="720" w:hanging="720"/>
      <w:outlineLvl w:val="0"/>
    </w:pPr>
  </w:style>
  <w:style w:type="paragraph" w:customStyle="1" w:styleId="273">
    <w:name w:val="AOAttachments"/>
    <w:basedOn w:val="255"/>
    <w:next w:val="257"/>
    <w:qFormat/>
    <w:uiPriority w:val="0"/>
    <w:pPr>
      <w:jc w:val="center"/>
    </w:pPr>
    <w:rPr>
      <w:caps/>
    </w:rPr>
  </w:style>
  <w:style w:type="paragraph" w:customStyle="1" w:styleId="274">
    <w:name w:val="AOSchTitle"/>
    <w:basedOn w:val="273"/>
    <w:next w:val="257"/>
    <w:qFormat/>
    <w:uiPriority w:val="0"/>
    <w:pPr>
      <w:outlineLvl w:val="1"/>
    </w:pPr>
    <w:rPr>
      <w:b/>
    </w:rPr>
  </w:style>
  <w:style w:type="paragraph" w:customStyle="1" w:styleId="275">
    <w:name w:val="AOAltHead5"/>
    <w:basedOn w:val="276"/>
    <w:next w:val="278"/>
    <w:qFormat/>
    <w:uiPriority w:val="0"/>
    <w:pPr>
      <w:tabs>
        <w:tab w:val="left" w:pos="720"/>
        <w:tab w:val="left" w:pos="2160"/>
      </w:tabs>
      <w:ind w:left="2160" w:hanging="360"/>
    </w:pPr>
    <w:rPr>
      <w:rFonts w:eastAsia="LF Song"/>
      <w:sz w:val="24"/>
      <w:lang w:eastAsia="zh-CN"/>
    </w:rPr>
  </w:style>
  <w:style w:type="paragraph" w:customStyle="1" w:styleId="276">
    <w:name w:val="AOHead5"/>
    <w:basedOn w:val="254"/>
    <w:next w:val="277"/>
    <w:qFormat/>
    <w:uiPriority w:val="0"/>
    <w:pPr>
      <w:outlineLvl w:val="4"/>
    </w:pPr>
  </w:style>
  <w:style w:type="paragraph" w:customStyle="1" w:styleId="277">
    <w:name w:val="AODocTxtL4"/>
    <w:basedOn w:val="257"/>
    <w:qFormat/>
    <w:uiPriority w:val="0"/>
    <w:pPr>
      <w:tabs>
        <w:tab w:val="left" w:pos="2605"/>
      </w:tabs>
      <w:ind w:left="2605" w:hanging="420"/>
    </w:pPr>
  </w:style>
  <w:style w:type="paragraph" w:customStyle="1" w:styleId="278">
    <w:name w:val="AODocTxtL3"/>
    <w:basedOn w:val="257"/>
    <w:qFormat/>
    <w:uiPriority w:val="0"/>
    <w:pPr>
      <w:tabs>
        <w:tab w:val="left" w:pos="2185"/>
      </w:tabs>
      <w:ind w:left="2185" w:hanging="420"/>
    </w:pPr>
  </w:style>
  <w:style w:type="paragraph" w:customStyle="1" w:styleId="279">
    <w:name w:val="AOHeaderR"/>
    <w:basedOn w:val="280"/>
    <w:qFormat/>
    <w:uiPriority w:val="0"/>
    <w:pPr>
      <w:jc w:val="right"/>
    </w:pPr>
  </w:style>
  <w:style w:type="paragraph" w:customStyle="1" w:styleId="280">
    <w:name w:val="AOHeaderL"/>
    <w:basedOn w:val="256"/>
    <w:qFormat/>
    <w:uiPriority w:val="0"/>
    <w:pPr>
      <w:jc w:val="left"/>
    </w:pPr>
    <w:rPr>
      <w:sz w:val="16"/>
    </w:rPr>
  </w:style>
  <w:style w:type="paragraph" w:customStyle="1" w:styleId="281">
    <w:name w:val="a1"/>
    <w:basedOn w:val="1"/>
    <w:qFormat/>
    <w:uiPriority w:val="0"/>
    <w:pPr>
      <w:widowControl/>
      <w:spacing w:beforeAutospacing="1" w:afterAutospacing="1"/>
      <w:jc w:val="left"/>
    </w:pPr>
    <w:rPr>
      <w:rFonts w:ascii="宋体" w:hAnsi="宋体"/>
      <w:kern w:val="0"/>
      <w:sz w:val="24"/>
    </w:rPr>
  </w:style>
  <w:style w:type="paragraph" w:customStyle="1" w:styleId="282">
    <w:name w:val="Level 1.1"/>
    <w:basedOn w:val="1"/>
    <w:next w:val="283"/>
    <w:qFormat/>
    <w:uiPriority w:val="0"/>
    <w:pPr>
      <w:widowControl/>
      <w:tabs>
        <w:tab w:val="left" w:pos="720"/>
      </w:tabs>
      <w:ind w:left="720" w:hanging="720"/>
      <w:jc w:val="left"/>
      <w:outlineLvl w:val="2"/>
    </w:pPr>
    <w:rPr>
      <w:rFonts w:ascii="Palatino" w:hAnsi="Palatino"/>
      <w:kern w:val="0"/>
      <w:sz w:val="22"/>
    </w:rPr>
  </w:style>
  <w:style w:type="paragraph" w:customStyle="1" w:styleId="283">
    <w:name w:val="Level 1.1fo"/>
    <w:basedOn w:val="1"/>
    <w:qFormat/>
    <w:uiPriority w:val="0"/>
    <w:pPr>
      <w:widowControl/>
      <w:ind w:left="720"/>
      <w:jc w:val="left"/>
    </w:pPr>
    <w:rPr>
      <w:rFonts w:ascii="Palatino" w:hAnsi="Palatino"/>
      <w:kern w:val="0"/>
      <w:sz w:val="22"/>
    </w:rPr>
  </w:style>
  <w:style w:type="paragraph" w:customStyle="1" w:styleId="284">
    <w:name w:val="AOGenNum1Para"/>
    <w:basedOn w:val="285"/>
    <w:next w:val="286"/>
    <w:qFormat/>
    <w:uiPriority w:val="0"/>
    <w:pPr>
      <w:tabs>
        <w:tab w:val="left" w:pos="360"/>
      </w:tabs>
    </w:pPr>
    <w:rPr>
      <w:caps w:val="0"/>
    </w:rPr>
  </w:style>
  <w:style w:type="paragraph" w:customStyle="1" w:styleId="285">
    <w:name w:val="AOGenNum1"/>
    <w:basedOn w:val="255"/>
    <w:next w:val="284"/>
    <w:qFormat/>
    <w:uiPriority w:val="0"/>
    <w:pPr>
      <w:keepNext/>
    </w:pPr>
    <w:rPr>
      <w:b/>
      <w:caps/>
    </w:rPr>
  </w:style>
  <w:style w:type="paragraph" w:customStyle="1" w:styleId="286">
    <w:name w:val="AOGenNum1List"/>
    <w:basedOn w:val="285"/>
    <w:qFormat/>
    <w:uiPriority w:val="0"/>
    <w:pPr>
      <w:keepNext w:val="0"/>
      <w:tabs>
        <w:tab w:val="left" w:pos="360"/>
      </w:tabs>
    </w:pPr>
    <w:rPr>
      <w:b w:val="0"/>
      <w:caps w:val="0"/>
    </w:rPr>
  </w:style>
  <w:style w:type="paragraph" w:customStyle="1" w:styleId="287">
    <w:name w:val="金保标题1"/>
    <w:basedOn w:val="4"/>
    <w:next w:val="1"/>
    <w:qFormat/>
    <w:uiPriority w:val="0"/>
    <w:pPr>
      <w:pageBreakBefore/>
      <w:tabs>
        <w:tab w:val="left" w:pos="720"/>
      </w:tabs>
      <w:spacing w:line="240" w:lineRule="auto"/>
      <w:ind w:left="144" w:hanging="144"/>
      <w:jc w:val="center"/>
    </w:pPr>
    <w:rPr>
      <w:rFonts w:ascii="黑体" w:hAnsi="Tahoma" w:eastAsia="黑体"/>
      <w:b w:val="0"/>
    </w:rPr>
  </w:style>
  <w:style w:type="paragraph" w:customStyle="1" w:styleId="288">
    <w:name w:val="正文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9">
    <w:name w:val="AOBullet"/>
    <w:basedOn w:val="255"/>
    <w:qFormat/>
    <w:uiPriority w:val="0"/>
    <w:pPr>
      <w:tabs>
        <w:tab w:val="left" w:pos="720"/>
      </w:tabs>
      <w:ind w:left="720" w:hanging="720"/>
    </w:pPr>
  </w:style>
  <w:style w:type="paragraph" w:customStyle="1" w:styleId="2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91">
    <w:name w:val="段"/>
    <w:basedOn w:val="1"/>
    <w:qFormat/>
    <w:uiPriority w:val="0"/>
    <w:pPr>
      <w:adjustRightInd w:val="0"/>
      <w:snapToGrid w:val="0"/>
      <w:spacing w:line="360" w:lineRule="auto"/>
      <w:ind w:firstLine="410"/>
    </w:pPr>
    <w:rPr>
      <w:sz w:val="24"/>
    </w:rPr>
  </w:style>
  <w:style w:type="paragraph" w:customStyle="1" w:styleId="292">
    <w:name w:val="AOAnxPartHead"/>
    <w:basedOn w:val="293"/>
    <w:next w:val="295"/>
    <w:qFormat/>
    <w:uiPriority w:val="0"/>
    <w:pPr>
      <w:pageBreakBefore w:val="0"/>
      <w:tabs>
        <w:tab w:val="left" w:pos="1492"/>
      </w:tabs>
      <w:ind w:left="1492" w:hanging="360"/>
    </w:pPr>
  </w:style>
  <w:style w:type="paragraph" w:customStyle="1" w:styleId="293">
    <w:name w:val="AOAnxHead"/>
    <w:basedOn w:val="273"/>
    <w:next w:val="294"/>
    <w:qFormat/>
    <w:uiPriority w:val="0"/>
    <w:pPr>
      <w:pageBreakBefore/>
      <w:ind w:left="720"/>
      <w:outlineLvl w:val="0"/>
    </w:pPr>
  </w:style>
  <w:style w:type="paragraph" w:customStyle="1" w:styleId="294">
    <w:name w:val="AOAnxTitle"/>
    <w:basedOn w:val="273"/>
    <w:next w:val="257"/>
    <w:qFormat/>
    <w:uiPriority w:val="0"/>
    <w:pPr>
      <w:outlineLvl w:val="1"/>
    </w:pPr>
    <w:rPr>
      <w:b/>
    </w:rPr>
  </w:style>
  <w:style w:type="paragraph" w:customStyle="1" w:styleId="295">
    <w:name w:val="AOAnxPartTitle"/>
    <w:basedOn w:val="294"/>
    <w:next w:val="257"/>
    <w:qFormat/>
    <w:uiPriority w:val="0"/>
  </w:style>
  <w:style w:type="paragraph" w:customStyle="1" w:styleId="296">
    <w:name w:val="标书的标题4"/>
    <w:basedOn w:val="4"/>
    <w:qFormat/>
    <w:uiPriority w:val="0"/>
    <w:pPr>
      <w:keepNext w:val="0"/>
      <w:keepLines w:val="0"/>
      <w:widowControl/>
      <w:spacing w:line="360" w:lineRule="auto"/>
      <w:jc w:val="center"/>
      <w:outlineLvl w:val="1"/>
    </w:pPr>
    <w:rPr>
      <w:rFonts w:ascii="宋体" w:hAnsi="宋体"/>
      <w:color w:val="000000"/>
      <w:sz w:val="32"/>
    </w:rPr>
  </w:style>
  <w:style w:type="paragraph" w:customStyle="1" w:styleId="297">
    <w:name w:val="标书的标题2"/>
    <w:basedOn w:val="4"/>
    <w:qFormat/>
    <w:uiPriority w:val="0"/>
    <w:pPr>
      <w:keepNext w:val="0"/>
      <w:keepLines w:val="0"/>
      <w:widowControl/>
      <w:adjustRightInd w:val="0"/>
      <w:spacing w:line="360" w:lineRule="auto"/>
      <w:jc w:val="center"/>
      <w:outlineLvl w:val="1"/>
    </w:pPr>
    <w:rPr>
      <w:rFonts w:eastAsia="黑体"/>
      <w:color w:val="000000"/>
      <w:sz w:val="30"/>
    </w:rPr>
  </w:style>
  <w:style w:type="paragraph" w:customStyle="1" w:styleId="298">
    <w:name w:val="一层"/>
    <w:basedOn w:val="4"/>
    <w:qFormat/>
    <w:uiPriority w:val="0"/>
    <w:pPr>
      <w:keepNext w:val="0"/>
      <w:keepLines w:val="0"/>
      <w:spacing w:line="360" w:lineRule="auto"/>
      <w:jc w:val="center"/>
      <w:outlineLvl w:val="9"/>
    </w:pPr>
    <w:rPr>
      <w:rFonts w:ascii="黑体" w:hAnsi="Arial" w:eastAsia="黑体"/>
      <w:b w:val="0"/>
      <w:kern w:val="2"/>
      <w:sz w:val="24"/>
    </w:rPr>
  </w:style>
  <w:style w:type="paragraph" w:customStyle="1" w:styleId="299">
    <w:name w:val="AOGenNum3"/>
    <w:basedOn w:val="255"/>
    <w:next w:val="300"/>
    <w:qFormat/>
    <w:uiPriority w:val="0"/>
    <w:pPr>
      <w:ind w:left="5040"/>
    </w:pPr>
  </w:style>
  <w:style w:type="paragraph" w:customStyle="1" w:styleId="300">
    <w:name w:val="AOGenNum3List"/>
    <w:basedOn w:val="299"/>
    <w:qFormat/>
    <w:uiPriority w:val="0"/>
    <w:pPr>
      <w:tabs>
        <w:tab w:val="left" w:pos="360"/>
      </w:tabs>
      <w:ind w:left="0"/>
    </w:pPr>
  </w:style>
  <w:style w:type="paragraph" w:customStyle="1" w:styleId="301">
    <w:name w:val="样式 标题 4四 + 段前: 0 磅 段后: 0 磅 行距: 1.5 倍行距"/>
    <w:basedOn w:val="7"/>
    <w:qFormat/>
    <w:uiPriority w:val="0"/>
    <w:pPr>
      <w:tabs>
        <w:tab w:val="left" w:pos="420"/>
      </w:tabs>
      <w:spacing w:line="360" w:lineRule="auto"/>
      <w:ind w:left="420" w:hanging="420"/>
    </w:pPr>
    <w:rPr>
      <w:rFonts w:ascii="Arial" w:hAnsi="Arial"/>
    </w:rPr>
  </w:style>
  <w:style w:type="paragraph" w:customStyle="1" w:styleId="302">
    <w:name w:val="3级"/>
    <w:basedOn w:val="1"/>
    <w:qFormat/>
    <w:uiPriority w:val="0"/>
    <w:pPr>
      <w:spacing w:line="360" w:lineRule="auto"/>
      <w:jc w:val="left"/>
      <w:outlineLvl w:val="2"/>
    </w:pPr>
    <w:rPr>
      <w:rFonts w:ascii="宋体" w:hAnsi="宋体"/>
      <w:b/>
      <w:sz w:val="24"/>
    </w:rPr>
  </w:style>
  <w:style w:type="paragraph" w:styleId="303">
    <w:name w:val="List Paragraph"/>
    <w:basedOn w:val="1"/>
    <w:qFormat/>
    <w:uiPriority w:val="34"/>
    <w:pPr>
      <w:ind w:left="720"/>
      <w:contextualSpacing/>
    </w:pPr>
    <w:rPr>
      <w:sz w:val="21"/>
      <w:szCs w:val="24"/>
    </w:rPr>
  </w:style>
  <w:style w:type="paragraph" w:customStyle="1" w:styleId="304">
    <w:name w:val="AOSchPartHead"/>
    <w:basedOn w:val="272"/>
    <w:next w:val="305"/>
    <w:qFormat/>
    <w:uiPriority w:val="0"/>
    <w:pPr>
      <w:pageBreakBefore w:val="0"/>
      <w:tabs>
        <w:tab w:val="left" w:pos="360"/>
        <w:tab w:val="clear" w:pos="720"/>
      </w:tabs>
      <w:ind w:left="0" w:firstLine="0"/>
    </w:pPr>
  </w:style>
  <w:style w:type="paragraph" w:customStyle="1" w:styleId="305">
    <w:name w:val="AOSchPartTitle"/>
    <w:basedOn w:val="274"/>
    <w:next w:val="257"/>
    <w:qFormat/>
    <w:uiPriority w:val="0"/>
  </w:style>
  <w:style w:type="paragraph" w:customStyle="1" w:styleId="306">
    <w:name w:val="Header 1"/>
    <w:basedOn w:val="1"/>
    <w:qFormat/>
    <w:uiPriority w:val="0"/>
    <w:pPr>
      <w:widowControl/>
      <w:pBdr>
        <w:bottom w:val="single" w:color="auto" w:sz="4" w:space="1"/>
      </w:pBdr>
      <w:tabs>
        <w:tab w:val="right" w:pos="9029"/>
      </w:tabs>
    </w:pPr>
    <w:rPr>
      <w:kern w:val="0"/>
      <w:sz w:val="16"/>
      <w:lang w:eastAsia="en-US"/>
    </w:rPr>
  </w:style>
  <w:style w:type="paragraph" w:customStyle="1" w:styleId="307">
    <w:name w:val="AOFPDate"/>
    <w:basedOn w:val="267"/>
    <w:qFormat/>
    <w:uiPriority w:val="0"/>
  </w:style>
  <w:style w:type="paragraph" w:customStyle="1" w:styleId="308">
    <w:name w:val="AODocTxtL2"/>
    <w:basedOn w:val="257"/>
    <w:qFormat/>
    <w:uiPriority w:val="0"/>
    <w:pPr>
      <w:tabs>
        <w:tab w:val="left" w:pos="1765"/>
      </w:tabs>
      <w:ind w:left="1765" w:hanging="420"/>
    </w:pPr>
  </w:style>
  <w:style w:type="paragraph" w:customStyle="1" w:styleId="309">
    <w:name w:val="列表内容"/>
    <w:basedOn w:val="1"/>
    <w:next w:val="1"/>
    <w:qFormat/>
    <w:uiPriority w:val="0"/>
    <w:pPr>
      <w:widowControl/>
      <w:tabs>
        <w:tab w:val="left" w:pos="840"/>
      </w:tabs>
      <w:ind w:left="865" w:hanging="360"/>
      <w:jc w:val="left"/>
    </w:pPr>
    <w:rPr>
      <w:kern w:val="0"/>
      <w:sz w:val="18"/>
    </w:rPr>
  </w:style>
  <w:style w:type="paragraph" w:customStyle="1" w:styleId="310">
    <w:name w:val="yu"/>
    <w:basedOn w:val="1"/>
    <w:qFormat/>
    <w:uiPriority w:val="0"/>
    <w:pPr>
      <w:autoSpaceDE w:val="0"/>
      <w:autoSpaceDN w:val="0"/>
      <w:adjustRightInd w:val="0"/>
      <w:spacing w:line="360" w:lineRule="atLeast"/>
      <w:ind w:left="720" w:firstLine="533"/>
    </w:pPr>
    <w:rPr>
      <w:rFonts w:ascii="宋体"/>
      <w:kern w:val="0"/>
      <w:sz w:val="24"/>
    </w:rPr>
  </w:style>
  <w:style w:type="paragraph" w:customStyle="1" w:styleId="311">
    <w:name w:val="Level (A)fo"/>
    <w:basedOn w:val="1"/>
    <w:qFormat/>
    <w:uiPriority w:val="0"/>
    <w:pPr>
      <w:widowControl/>
      <w:ind w:left="2880"/>
      <w:jc w:val="left"/>
    </w:pPr>
    <w:rPr>
      <w:rFonts w:ascii="Palatino" w:hAnsi="Palatino"/>
      <w:kern w:val="0"/>
      <w:sz w:val="22"/>
    </w:rPr>
  </w:style>
  <w:style w:type="paragraph" w:customStyle="1" w:styleId="312">
    <w:name w:val="AOAltHead1"/>
    <w:basedOn w:val="313"/>
    <w:next w:val="314"/>
    <w:qFormat/>
    <w:uiPriority w:val="0"/>
    <w:pPr>
      <w:keepNext w:val="0"/>
    </w:pPr>
    <w:rPr>
      <w:b w:val="0"/>
      <w:caps w:val="0"/>
    </w:rPr>
  </w:style>
  <w:style w:type="paragraph" w:customStyle="1" w:styleId="313">
    <w:name w:val="AOHead1"/>
    <w:basedOn w:val="254"/>
    <w:next w:val="314"/>
    <w:qFormat/>
    <w:uiPriority w:val="0"/>
    <w:pPr>
      <w:keepNext/>
      <w:spacing w:afterAutospacing="1" w:line="360" w:lineRule="auto"/>
      <w:jc w:val="center"/>
      <w:outlineLvl w:val="0"/>
    </w:pPr>
    <w:rPr>
      <w:rFonts w:ascii="黑体" w:hAnsi="宋体" w:eastAsia="黑体"/>
      <w:b/>
      <w:caps/>
      <w:color w:val="000000"/>
      <w:kern w:val="28"/>
      <w:sz w:val="30"/>
      <w:lang w:eastAsia="zh-CN"/>
    </w:rPr>
  </w:style>
  <w:style w:type="paragraph" w:customStyle="1" w:styleId="314">
    <w:name w:val="AODocTxtL1"/>
    <w:basedOn w:val="257"/>
    <w:qFormat/>
    <w:uiPriority w:val="0"/>
    <w:pPr>
      <w:widowControl w:val="0"/>
      <w:tabs>
        <w:tab w:val="left" w:pos="0"/>
      </w:tabs>
      <w:spacing w:line="360" w:lineRule="auto"/>
      <w:ind w:left="359" w:leftChars="171" w:right="100" w:rightChars="100"/>
      <w:jc w:val="left"/>
    </w:pPr>
    <w:rPr>
      <w:rFonts w:ascii="宋体"/>
      <w:color w:val="000000"/>
      <w:kern w:val="2"/>
      <w:sz w:val="24"/>
      <w:lang w:eastAsia="zh-CN"/>
    </w:rPr>
  </w:style>
  <w:style w:type="paragraph" w:customStyle="1" w:styleId="315">
    <w:name w:val="AOHead2"/>
    <w:basedOn w:val="254"/>
    <w:next w:val="314"/>
    <w:qFormat/>
    <w:uiPriority w:val="0"/>
    <w:pPr>
      <w:keepNext/>
      <w:spacing w:line="360" w:lineRule="auto"/>
      <w:ind w:left="2929" w:right="100" w:rightChars="100"/>
      <w:jc w:val="left"/>
      <w:outlineLvl w:val="1"/>
    </w:pPr>
    <w:rPr>
      <w:rFonts w:ascii="黑体" w:hAnsi="宋体" w:eastAsia="黑体"/>
      <w:color w:val="000000"/>
      <w:kern w:val="28"/>
      <w:sz w:val="30"/>
      <w:lang w:eastAsia="zh-CN"/>
    </w:rPr>
  </w:style>
  <w:style w:type="paragraph" w:customStyle="1" w:styleId="316">
    <w:name w:val="heading"/>
    <w:basedOn w:val="1"/>
    <w:next w:val="1"/>
    <w:qFormat/>
    <w:uiPriority w:val="0"/>
    <w:pPr>
      <w:keepNext/>
      <w:keepLines/>
      <w:tabs>
        <w:tab w:val="left" w:pos="840"/>
        <w:tab w:val="left" w:pos="1320"/>
      </w:tabs>
      <w:spacing w:line="415" w:lineRule="auto"/>
      <w:ind w:left="1320" w:hanging="420"/>
      <w:outlineLvl w:val="1"/>
    </w:pPr>
    <w:rPr>
      <w:rFonts w:ascii="Arial" w:hAnsi="Arial" w:eastAsia="黑体"/>
      <w:b/>
      <w:sz w:val="32"/>
    </w:rPr>
  </w:style>
  <w:style w:type="paragraph" w:customStyle="1" w:styleId="317">
    <w:name w:val="Char Char Char"/>
    <w:basedOn w:val="1"/>
    <w:qFormat/>
    <w:uiPriority w:val="0"/>
    <w:rPr>
      <w:rFonts w:ascii="Tahoma" w:hAnsi="Tahoma"/>
      <w:sz w:val="24"/>
    </w:rPr>
  </w:style>
  <w:style w:type="paragraph" w:customStyle="1" w:styleId="318">
    <w:name w:val="p0"/>
    <w:basedOn w:val="1"/>
    <w:qFormat/>
    <w:uiPriority w:val="0"/>
    <w:pPr>
      <w:widowControl/>
      <w:jc w:val="left"/>
    </w:pPr>
    <w:rPr>
      <w:rFonts w:ascii="宋体" w:hAnsi="宋体"/>
      <w:kern w:val="0"/>
      <w:sz w:val="20"/>
    </w:rPr>
  </w:style>
  <w:style w:type="paragraph" w:customStyle="1" w:styleId="319">
    <w:name w:val="中等深浅网格 1 - 强调文字颜色 21"/>
    <w:basedOn w:val="1"/>
    <w:qFormat/>
    <w:uiPriority w:val="0"/>
    <w:pPr>
      <w:ind w:firstLine="420" w:firstLineChars="200"/>
    </w:pPr>
    <w:rPr>
      <w:kern w:val="0"/>
      <w:sz w:val="20"/>
    </w:rPr>
  </w:style>
  <w:style w:type="paragraph" w:customStyle="1" w:styleId="320">
    <w:name w:val="部分1"/>
    <w:basedOn w:val="1"/>
    <w:qFormat/>
    <w:uiPriority w:val="0"/>
    <w:pPr>
      <w:keepNext/>
      <w:pageBreakBefore/>
      <w:tabs>
        <w:tab w:val="left" w:pos="720"/>
      </w:tabs>
      <w:spacing w:line="360" w:lineRule="auto"/>
      <w:jc w:val="center"/>
      <w:outlineLvl w:val="0"/>
    </w:pPr>
    <w:rPr>
      <w:rFonts w:eastAsia="黑体"/>
      <w:b/>
      <w:kern w:val="44"/>
    </w:rPr>
  </w:style>
  <w:style w:type="paragraph" w:customStyle="1" w:styleId="321">
    <w:name w:val="默认段落字体 Para Char Char Char Char"/>
    <w:basedOn w:val="1"/>
    <w:qFormat/>
    <w:uiPriority w:val="0"/>
    <w:rPr>
      <w:sz w:val="21"/>
    </w:rPr>
  </w:style>
  <w:style w:type="paragraph" w:customStyle="1" w:styleId="322">
    <w:name w:val="Header 2"/>
    <w:basedOn w:val="306"/>
    <w:qFormat/>
    <w:uiPriority w:val="0"/>
    <w:pPr>
      <w:pBdr>
        <w:bottom w:val="none" w:color="auto" w:sz="0" w:space="0"/>
      </w:pBdr>
    </w:pPr>
  </w:style>
  <w:style w:type="paragraph" w:customStyle="1" w:styleId="323">
    <w:name w:val="AOFPTitle"/>
    <w:basedOn w:val="267"/>
    <w:qFormat/>
    <w:uiPriority w:val="0"/>
    <w:rPr>
      <w:caps/>
      <w:sz w:val="32"/>
    </w:rPr>
  </w:style>
  <w:style w:type="paragraph" w:customStyle="1" w:styleId="324">
    <w:name w:val="列表 21"/>
    <w:basedOn w:val="1"/>
    <w:qFormat/>
    <w:uiPriority w:val="0"/>
    <w:pPr>
      <w:ind w:left="100" w:leftChars="200" w:hanging="200" w:hangingChars="200"/>
    </w:pPr>
    <w:rPr>
      <w:sz w:val="28"/>
    </w:rPr>
  </w:style>
  <w:style w:type="paragraph" w:customStyle="1" w:styleId="325">
    <w:name w:val="AODocTxtL8"/>
    <w:basedOn w:val="257"/>
    <w:qFormat/>
    <w:uiPriority w:val="0"/>
    <w:pPr>
      <w:tabs>
        <w:tab w:val="left" w:pos="360"/>
      </w:tabs>
    </w:pPr>
  </w:style>
  <w:style w:type="paragraph" w:customStyle="1" w:styleId="326">
    <w:name w:val="AOFooterR"/>
    <w:basedOn w:val="327"/>
    <w:qFormat/>
    <w:uiPriority w:val="0"/>
    <w:pPr>
      <w:jc w:val="right"/>
    </w:pPr>
  </w:style>
  <w:style w:type="paragraph" w:customStyle="1" w:styleId="327">
    <w:name w:val="AOFooterL"/>
    <w:basedOn w:val="256"/>
    <w:qFormat/>
    <w:uiPriority w:val="0"/>
    <w:pPr>
      <w:jc w:val="left"/>
    </w:pPr>
    <w:rPr>
      <w:sz w:val="16"/>
    </w:rPr>
  </w:style>
  <w:style w:type="paragraph" w:customStyle="1" w:styleId="328">
    <w:name w:val="图"/>
    <w:basedOn w:val="1"/>
    <w:qFormat/>
    <w:uiPriority w:val="0"/>
    <w:pPr>
      <w:keepNext/>
      <w:adjustRightInd w:val="0"/>
      <w:snapToGrid w:val="0"/>
      <w:spacing w:line="300" w:lineRule="auto"/>
      <w:jc w:val="center"/>
    </w:pPr>
    <w:rPr>
      <w:spacing w:val="20"/>
      <w:kern w:val="0"/>
      <w:sz w:val="24"/>
    </w:rPr>
  </w:style>
  <w:style w:type="paragraph" w:customStyle="1" w:styleId="329">
    <w:name w:val="AOLocation"/>
    <w:basedOn w:val="268"/>
    <w:qFormat/>
    <w:uiPriority w:val="0"/>
    <w:pPr>
      <w:jc w:val="center"/>
    </w:pPr>
  </w:style>
  <w:style w:type="paragraph" w:customStyle="1" w:styleId="330">
    <w:name w:val="默认段落字体 Para Char Char Char Char Char Char Char Char Char1 Char Char Char Char"/>
    <w:basedOn w:val="1"/>
    <w:qFormat/>
    <w:uiPriority w:val="0"/>
    <w:rPr>
      <w:rFonts w:ascii="Tahoma" w:hAnsi="Tahoma"/>
      <w:sz w:val="24"/>
    </w:rPr>
  </w:style>
  <w:style w:type="paragraph" w:customStyle="1" w:styleId="331">
    <w:name w:val="Char Char Char Char1"/>
    <w:basedOn w:val="1"/>
    <w:qFormat/>
    <w:uiPriority w:val="0"/>
    <w:rPr>
      <w:rFonts w:ascii="Tahoma" w:hAnsi="Tahoma"/>
      <w:sz w:val="24"/>
    </w:rPr>
  </w:style>
  <w:style w:type="paragraph" w:customStyle="1" w:styleId="332">
    <w:name w:val="Level (a)"/>
    <w:basedOn w:val="1"/>
    <w:next w:val="333"/>
    <w:qFormat/>
    <w:uiPriority w:val="0"/>
    <w:pPr>
      <w:widowControl/>
      <w:tabs>
        <w:tab w:val="left" w:pos="1440"/>
      </w:tabs>
      <w:ind w:left="1440" w:hanging="720"/>
      <w:jc w:val="left"/>
      <w:outlineLvl w:val="3"/>
    </w:pPr>
    <w:rPr>
      <w:rFonts w:ascii="Palatino" w:hAnsi="Palatino"/>
      <w:kern w:val="0"/>
      <w:sz w:val="22"/>
    </w:rPr>
  </w:style>
  <w:style w:type="paragraph" w:customStyle="1" w:styleId="333">
    <w:name w:val="Level (a)fo"/>
    <w:basedOn w:val="1"/>
    <w:qFormat/>
    <w:uiPriority w:val="0"/>
    <w:pPr>
      <w:widowControl/>
      <w:ind w:left="1440"/>
      <w:jc w:val="left"/>
    </w:pPr>
    <w:rPr>
      <w:rFonts w:ascii="Palatino" w:hAnsi="Palatino"/>
      <w:kern w:val="0"/>
      <w:sz w:val="22"/>
    </w:rPr>
  </w:style>
  <w:style w:type="paragraph" w:customStyle="1" w:styleId="334">
    <w:name w:val="AOHeaderC"/>
    <w:basedOn w:val="280"/>
    <w:qFormat/>
    <w:uiPriority w:val="0"/>
    <w:pPr>
      <w:jc w:val="center"/>
    </w:pPr>
  </w:style>
  <w:style w:type="paragraph" w:customStyle="1" w:styleId="335">
    <w:name w:val="AODefPara"/>
    <w:basedOn w:val="336"/>
    <w:qFormat/>
    <w:uiPriority w:val="0"/>
    <w:pPr>
      <w:tabs>
        <w:tab w:val="left" w:pos="360"/>
        <w:tab w:val="left" w:pos="720"/>
        <w:tab w:val="left" w:pos="960"/>
      </w:tabs>
      <w:ind w:left="960"/>
      <w:outlineLvl w:val="6"/>
    </w:pPr>
  </w:style>
  <w:style w:type="paragraph" w:customStyle="1" w:styleId="336">
    <w:name w:val="AODefHead"/>
    <w:basedOn w:val="255"/>
    <w:next w:val="335"/>
    <w:qFormat/>
    <w:uiPriority w:val="0"/>
    <w:pPr>
      <w:tabs>
        <w:tab w:val="left" w:pos="720"/>
      </w:tabs>
      <w:ind w:left="720" w:hanging="720"/>
      <w:outlineLvl w:val="5"/>
    </w:pPr>
  </w:style>
  <w:style w:type="paragraph" w:customStyle="1" w:styleId="337">
    <w:name w:val="aoSpecial"/>
    <w:basedOn w:val="1"/>
    <w:qFormat/>
    <w:uiPriority w:val="0"/>
    <w:pPr>
      <w:widowControl/>
    </w:pPr>
    <w:rPr>
      <w:b/>
      <w:caps/>
      <w:kern w:val="0"/>
      <w:sz w:val="22"/>
      <w:lang w:eastAsia="en-US"/>
    </w:rPr>
  </w:style>
  <w:style w:type="paragraph" w:customStyle="1" w:styleId="338">
    <w:name w:val="无间隔1"/>
    <w:basedOn w:val="1"/>
    <w:qFormat/>
    <w:uiPriority w:val="0"/>
    <w:pPr>
      <w:widowControl/>
      <w:adjustRightInd w:val="0"/>
      <w:snapToGrid w:val="0"/>
      <w:jc w:val="left"/>
    </w:pPr>
    <w:rPr>
      <w:rFonts w:ascii="Tahoma" w:hAnsi="Tahoma" w:eastAsia="微软雅黑"/>
      <w:kern w:val="0"/>
      <w:sz w:val="22"/>
    </w:rPr>
  </w:style>
  <w:style w:type="paragraph" w:customStyle="1" w:styleId="339">
    <w:name w:val="样式1"/>
    <w:basedOn w:val="1"/>
    <w:qFormat/>
    <w:uiPriority w:val="0"/>
    <w:pPr>
      <w:spacing w:line="360" w:lineRule="auto"/>
      <w:jc w:val="center"/>
    </w:pPr>
    <w:rPr>
      <w:rFonts w:ascii="Arial" w:hAnsi="Arial" w:eastAsia="黑体"/>
      <w:color w:val="000000"/>
      <w:w w:val="80"/>
      <w:sz w:val="52"/>
    </w:rPr>
  </w:style>
  <w:style w:type="paragraph" w:customStyle="1" w:styleId="340">
    <w:name w:val="AOGenNum2Para"/>
    <w:basedOn w:val="341"/>
    <w:next w:val="342"/>
    <w:qFormat/>
    <w:uiPriority w:val="0"/>
    <w:pPr>
      <w:keepNext w:val="0"/>
      <w:tabs>
        <w:tab w:val="left" w:pos="360"/>
      </w:tabs>
    </w:pPr>
    <w:rPr>
      <w:b w:val="0"/>
    </w:rPr>
  </w:style>
  <w:style w:type="paragraph" w:customStyle="1" w:styleId="341">
    <w:name w:val="AOGenNum2"/>
    <w:basedOn w:val="255"/>
    <w:next w:val="340"/>
    <w:qFormat/>
    <w:uiPriority w:val="0"/>
    <w:pPr>
      <w:keepNext/>
    </w:pPr>
    <w:rPr>
      <w:b/>
    </w:rPr>
  </w:style>
  <w:style w:type="paragraph" w:customStyle="1" w:styleId="342">
    <w:name w:val="AOGenNum2List"/>
    <w:basedOn w:val="341"/>
    <w:qFormat/>
    <w:uiPriority w:val="0"/>
    <w:pPr>
      <w:keepNext w:val="0"/>
      <w:tabs>
        <w:tab w:val="left" w:pos="360"/>
      </w:tabs>
    </w:pPr>
    <w:rPr>
      <w:b w:val="0"/>
    </w:rPr>
  </w:style>
  <w:style w:type="paragraph" w:customStyle="1" w:styleId="343">
    <w:name w:val="Char Char Char Char"/>
    <w:basedOn w:val="1"/>
    <w:qFormat/>
    <w:uiPriority w:val="0"/>
    <w:pPr>
      <w:widowControl/>
      <w:jc w:val="left"/>
    </w:pPr>
  </w:style>
  <w:style w:type="paragraph" w:customStyle="1" w:styleId="344">
    <w:name w:val="样式8"/>
    <w:basedOn w:val="39"/>
    <w:qFormat/>
    <w:uiPriority w:val="0"/>
    <w:pPr>
      <w:tabs>
        <w:tab w:val="left" w:pos="1050"/>
        <w:tab w:val="right" w:leader="dot" w:pos="8778"/>
        <w:tab w:val="right" w:leader="dot" w:pos="9060"/>
      </w:tabs>
      <w:spacing w:line="360" w:lineRule="auto"/>
      <w:ind w:left="210" w:leftChars="0"/>
      <w:jc w:val="left"/>
    </w:pPr>
    <w:rPr>
      <w:smallCaps/>
      <w:sz w:val="20"/>
    </w:rPr>
  </w:style>
  <w:style w:type="paragraph" w:customStyle="1" w:styleId="345">
    <w:name w:val="Char3 Char Char Char Char Char Char Char Char Char"/>
    <w:basedOn w:val="1"/>
    <w:qFormat/>
    <w:uiPriority w:val="0"/>
    <w:pPr>
      <w:widowControl/>
      <w:tabs>
        <w:tab w:val="left" w:pos="960"/>
      </w:tabs>
      <w:ind w:left="960" w:hanging="420"/>
      <w:jc w:val="left"/>
    </w:pPr>
    <w:rPr>
      <w:rFonts w:ascii="宋体" w:hAnsi="宋体"/>
      <w:kern w:val="0"/>
      <w:sz w:val="24"/>
    </w:rPr>
  </w:style>
  <w:style w:type="paragraph" w:customStyle="1" w:styleId="346">
    <w:name w:val="ct"/>
    <w:basedOn w:val="1"/>
    <w:qFormat/>
    <w:uiPriority w:val="0"/>
    <w:pPr>
      <w:jc w:val="center"/>
    </w:pPr>
    <w:rPr>
      <w:rFonts w:ascii="Palatino" w:hAnsi="Palatino"/>
      <w:b/>
      <w:kern w:val="0"/>
      <w:sz w:val="28"/>
    </w:rPr>
  </w:style>
  <w:style w:type="paragraph" w:customStyle="1" w:styleId="347">
    <w:name w:val="Level (i)"/>
    <w:basedOn w:val="1"/>
    <w:next w:val="348"/>
    <w:qFormat/>
    <w:uiPriority w:val="0"/>
    <w:pPr>
      <w:widowControl/>
      <w:tabs>
        <w:tab w:val="left" w:pos="2160"/>
      </w:tabs>
      <w:ind w:left="2160" w:hanging="720"/>
      <w:jc w:val="left"/>
      <w:outlineLvl w:val="4"/>
    </w:pPr>
    <w:rPr>
      <w:rFonts w:ascii="Palatino" w:hAnsi="Palatino"/>
      <w:kern w:val="0"/>
      <w:sz w:val="22"/>
    </w:rPr>
  </w:style>
  <w:style w:type="paragraph" w:customStyle="1" w:styleId="348">
    <w:name w:val="Level (i)fo"/>
    <w:basedOn w:val="1"/>
    <w:qFormat/>
    <w:uiPriority w:val="0"/>
    <w:pPr>
      <w:widowControl/>
      <w:ind w:left="2160"/>
      <w:jc w:val="left"/>
    </w:pPr>
    <w:rPr>
      <w:rFonts w:ascii="Palatino" w:hAnsi="Palatino"/>
      <w:kern w:val="0"/>
      <w:sz w:val="22"/>
    </w:rPr>
  </w:style>
  <w:style w:type="paragraph" w:customStyle="1" w:styleId="349">
    <w:name w:val="AOTOCs"/>
    <w:basedOn w:val="256"/>
    <w:next w:val="35"/>
    <w:qFormat/>
    <w:uiPriority w:val="0"/>
    <w:pPr>
      <w:jc w:val="left"/>
    </w:pPr>
  </w:style>
  <w:style w:type="paragraph" w:customStyle="1" w:styleId="35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351">
    <w:name w:val="p15"/>
    <w:basedOn w:val="1"/>
    <w:qFormat/>
    <w:uiPriority w:val="0"/>
    <w:pPr>
      <w:widowControl/>
      <w:spacing w:line="400" w:lineRule="atLeast"/>
    </w:pPr>
    <w:rPr>
      <w:rFonts w:ascii="宋体" w:hAnsi="宋体"/>
      <w:kern w:val="0"/>
      <w:sz w:val="24"/>
    </w:rPr>
  </w:style>
  <w:style w:type="paragraph" w:customStyle="1" w:styleId="352">
    <w:name w:val="正文段"/>
    <w:basedOn w:val="1"/>
    <w:qFormat/>
    <w:uiPriority w:val="0"/>
    <w:pPr>
      <w:widowControl/>
      <w:snapToGrid w:val="0"/>
      <w:spacing w:afterLines="50"/>
      <w:ind w:firstLine="200" w:firstLineChars="200"/>
    </w:pPr>
    <w:rPr>
      <w:kern w:val="0"/>
      <w:sz w:val="24"/>
    </w:rPr>
  </w:style>
  <w:style w:type="paragraph" w:customStyle="1" w:styleId="353">
    <w:name w:val="样式 表格文字 Char + 段前: 0.5 行"/>
    <w:basedOn w:val="1"/>
    <w:qFormat/>
    <w:uiPriority w:val="0"/>
    <w:pPr>
      <w:spacing w:beforeLines="50"/>
      <w:jc w:val="center"/>
    </w:pPr>
    <w:rPr>
      <w:sz w:val="24"/>
    </w:rPr>
  </w:style>
  <w:style w:type="paragraph" w:customStyle="1" w:styleId="354">
    <w:name w:val="样式6"/>
    <w:basedOn w:val="1"/>
    <w:qFormat/>
    <w:uiPriority w:val="0"/>
    <w:pPr>
      <w:spacing w:line="360" w:lineRule="auto"/>
    </w:pPr>
    <w:rPr>
      <w:rFonts w:ascii="Arial" w:hAnsi="Arial" w:eastAsia="仿宋_GB2312"/>
      <w:color w:val="000000"/>
      <w:sz w:val="24"/>
    </w:rPr>
  </w:style>
  <w:style w:type="paragraph" w:customStyle="1" w:styleId="355">
    <w:name w:val="列表项目符号 21"/>
    <w:basedOn w:val="1"/>
    <w:qFormat/>
    <w:uiPriority w:val="0"/>
    <w:pPr>
      <w:widowControl/>
      <w:tabs>
        <w:tab w:val="left" w:pos="454"/>
      </w:tabs>
      <w:spacing w:line="260" w:lineRule="atLeast"/>
      <w:ind w:left="1620" w:hanging="720"/>
    </w:pPr>
    <w:rPr>
      <w:rFonts w:eastAsia="LF Song"/>
      <w:i/>
      <w:kern w:val="0"/>
      <w:sz w:val="24"/>
    </w:rPr>
  </w:style>
  <w:style w:type="paragraph" w:customStyle="1" w:styleId="356">
    <w:name w:val="p16"/>
    <w:basedOn w:val="1"/>
    <w:qFormat/>
    <w:uiPriority w:val="0"/>
    <w:pPr>
      <w:widowControl/>
      <w:ind w:left="5250"/>
    </w:pPr>
    <w:rPr>
      <w:rFonts w:ascii="Calibri" w:hAnsi="Calibri" w:cs="宋体"/>
      <w:kern w:val="0"/>
      <w:sz w:val="32"/>
      <w:szCs w:val="32"/>
    </w:rPr>
  </w:style>
  <w:style w:type="paragraph" w:customStyle="1" w:styleId="357">
    <w:name w:val="AOBPTitle"/>
    <w:basedOn w:val="358"/>
    <w:qFormat/>
    <w:uiPriority w:val="0"/>
    <w:pPr>
      <w:jc w:val="center"/>
    </w:pPr>
    <w:rPr>
      <w:b/>
      <w:caps/>
    </w:rPr>
  </w:style>
  <w:style w:type="paragraph" w:customStyle="1" w:styleId="358">
    <w:name w:val="AOBPTxtL"/>
    <w:basedOn w:val="268"/>
    <w:qFormat/>
    <w:uiPriority w:val="0"/>
    <w:pPr>
      <w:jc w:val="left"/>
    </w:pPr>
  </w:style>
  <w:style w:type="paragraph" w:customStyle="1" w:styleId="359">
    <w:name w:val="AOSignatory"/>
    <w:basedOn w:val="255"/>
    <w:next w:val="257"/>
    <w:qFormat/>
    <w:uiPriority w:val="0"/>
    <w:pPr>
      <w:pageBreakBefore/>
      <w:jc w:val="center"/>
    </w:pPr>
    <w:rPr>
      <w:b/>
      <w:caps/>
    </w:rPr>
  </w:style>
  <w:style w:type="paragraph" w:customStyle="1" w:styleId="360">
    <w:name w:val="样式7"/>
    <w:basedOn w:val="5"/>
    <w:qFormat/>
    <w:uiPriority w:val="0"/>
    <w:pPr>
      <w:tabs>
        <w:tab w:val="left" w:pos="720"/>
      </w:tabs>
      <w:spacing w:line="360" w:lineRule="auto"/>
      <w:ind w:left="720" w:firstLine="476"/>
    </w:pPr>
    <w:rPr>
      <w:rFonts w:ascii="Times New Roman" w:hAnsi="Times New Roman" w:eastAsia="宋体"/>
      <w:sz w:val="28"/>
    </w:rPr>
  </w:style>
  <w:style w:type="paragraph" w:customStyle="1" w:styleId="361">
    <w:name w:val="Level(A)"/>
    <w:basedOn w:val="1"/>
    <w:next w:val="311"/>
    <w:qFormat/>
    <w:uiPriority w:val="0"/>
    <w:pPr>
      <w:widowControl/>
      <w:tabs>
        <w:tab w:val="left" w:pos="2880"/>
      </w:tabs>
      <w:ind w:left="2880" w:hanging="720"/>
      <w:jc w:val="left"/>
      <w:outlineLvl w:val="5"/>
    </w:pPr>
    <w:rPr>
      <w:rFonts w:ascii="Palatino" w:hAnsi="Palatino"/>
      <w:kern w:val="0"/>
      <w:sz w:val="22"/>
    </w:rPr>
  </w:style>
  <w:style w:type="paragraph" w:customStyle="1" w:styleId="362">
    <w:name w:val="样式 正文首行缩进 + 首行缩进:  1 字符"/>
    <w:basedOn w:val="1"/>
    <w:next w:val="1"/>
    <w:qFormat/>
    <w:uiPriority w:val="0"/>
    <w:pPr>
      <w:spacing w:line="360" w:lineRule="auto"/>
      <w:ind w:firstLine="200" w:firstLineChars="200"/>
    </w:pPr>
    <w:rPr>
      <w:sz w:val="24"/>
    </w:rPr>
  </w:style>
  <w:style w:type="paragraph" w:customStyle="1" w:styleId="363">
    <w:name w:val="AOHead"/>
    <w:basedOn w:val="254"/>
    <w:next w:val="313"/>
    <w:qFormat/>
    <w:uiPriority w:val="0"/>
    <w:pPr>
      <w:keepNext/>
      <w:pageBreakBefore/>
      <w:ind w:left="3600"/>
      <w:jc w:val="center"/>
      <w:outlineLvl w:val="0"/>
    </w:pPr>
    <w:rPr>
      <w:b/>
      <w:caps/>
      <w:kern w:val="28"/>
    </w:rPr>
  </w:style>
  <w:style w:type="paragraph" w:customStyle="1" w:styleId="364">
    <w:name w:val="Char1"/>
    <w:basedOn w:val="1"/>
    <w:qFormat/>
    <w:uiPriority w:val="0"/>
    <w:rPr>
      <w:rFonts w:ascii="仿宋_GB2312" w:eastAsia="仿宋_GB2312"/>
      <w:b/>
      <w:sz w:val="32"/>
    </w:rPr>
  </w:style>
  <w:style w:type="paragraph" w:customStyle="1" w:styleId="365">
    <w:name w:val="Char"/>
    <w:basedOn w:val="1"/>
    <w:link w:val="366"/>
    <w:qFormat/>
    <w:uiPriority w:val="0"/>
    <w:pPr>
      <w:widowControl/>
      <w:spacing w:line="240" w:lineRule="exact"/>
      <w:jc w:val="left"/>
    </w:pPr>
    <w:rPr>
      <w:rFonts w:ascii="Verdana" w:hAnsi="Verdana" w:eastAsia="楷体_GB2312"/>
      <w:b/>
      <w:i/>
      <w:color w:val="000000"/>
      <w:kern w:val="0"/>
      <w:sz w:val="20"/>
      <w:lang w:eastAsia="en-US"/>
    </w:rPr>
  </w:style>
  <w:style w:type="character" w:customStyle="1" w:styleId="366">
    <w:name w:val="Char Char"/>
    <w:basedOn w:val="50"/>
    <w:link w:val="365"/>
    <w:qFormat/>
    <w:uiPriority w:val="0"/>
    <w:rPr>
      <w:rFonts w:ascii="Verdana" w:hAnsi="Verdana" w:eastAsia="楷体_GB2312"/>
      <w:b/>
      <w:i/>
      <w:color w:val="000000"/>
      <w:lang w:eastAsia="en-US"/>
    </w:rPr>
  </w:style>
  <w:style w:type="paragraph" w:customStyle="1" w:styleId="367">
    <w:name w:val="xl59"/>
    <w:basedOn w:val="1"/>
    <w:qFormat/>
    <w:uiPriority w:val="0"/>
    <w:pPr>
      <w:widowControl/>
      <w:pBdr>
        <w:top w:val="single" w:color="auto" w:sz="4" w:space="0"/>
        <w:left w:val="single" w:color="auto" w:sz="4" w:space="0"/>
        <w:bottom w:val="double" w:color="auto" w:sz="6" w:space="0"/>
        <w:right w:val="single" w:color="auto" w:sz="8" w:space="0"/>
      </w:pBdr>
      <w:spacing w:beforeAutospacing="1" w:afterAutospacing="1"/>
      <w:jc w:val="left"/>
    </w:pPr>
    <w:rPr>
      <w:b/>
      <w:kern w:val="0"/>
      <w:sz w:val="20"/>
    </w:rPr>
  </w:style>
  <w:style w:type="paragraph" w:customStyle="1" w:styleId="368">
    <w:name w:val="aoBodyDocumentReference"/>
    <w:basedOn w:val="1"/>
    <w:qFormat/>
    <w:uiPriority w:val="0"/>
    <w:pPr>
      <w:widowControl/>
    </w:pPr>
    <w:rPr>
      <w:caps/>
      <w:kern w:val="0"/>
      <w:sz w:val="16"/>
      <w:lang w:eastAsia="en-US"/>
    </w:rPr>
  </w:style>
  <w:style w:type="paragraph" w:customStyle="1" w:styleId="369">
    <w:name w:val="_Style 42"/>
    <w:basedOn w:val="1"/>
    <w:qFormat/>
    <w:uiPriority w:val="0"/>
    <w:pPr>
      <w:tabs>
        <w:tab w:val="left" w:pos="360"/>
      </w:tabs>
      <w:spacing w:line="360" w:lineRule="auto"/>
      <w:ind w:left="482" w:firstLine="200" w:firstLineChars="200"/>
    </w:pPr>
    <w:rPr>
      <w:rFonts w:ascii="仿宋_GB2312" w:hAnsi="宋体" w:eastAsia="仿宋_GB2312"/>
      <w:color w:val="000000"/>
      <w:sz w:val="24"/>
    </w:rPr>
  </w:style>
  <w:style w:type="paragraph" w:customStyle="1" w:styleId="370">
    <w:name w:val="pbullet2cmt"/>
    <w:basedOn w:val="1"/>
    <w:qFormat/>
    <w:uiPriority w:val="0"/>
    <w:pPr>
      <w:widowControl/>
      <w:spacing w:beforeAutospacing="1" w:afterAutospacing="1"/>
      <w:jc w:val="left"/>
    </w:pPr>
    <w:rPr>
      <w:rFonts w:ascii="宋体" w:hAnsi="宋体"/>
      <w:kern w:val="0"/>
      <w:sz w:val="24"/>
    </w:rPr>
  </w:style>
  <w:style w:type="paragraph" w:customStyle="1" w:styleId="371">
    <w:name w:val="Char3 Char Char Char"/>
    <w:basedOn w:val="1"/>
    <w:qFormat/>
    <w:uiPriority w:val="0"/>
    <w:pPr>
      <w:widowControl/>
      <w:spacing w:line="240" w:lineRule="exact"/>
      <w:jc w:val="left"/>
    </w:pPr>
  </w:style>
  <w:style w:type="paragraph" w:customStyle="1" w:styleId="372">
    <w:name w:val="cucd-1"/>
    <w:next w:val="373"/>
    <w:qFormat/>
    <w:uiPriority w:val="0"/>
    <w:pPr>
      <w:pageBreakBefore/>
      <w:tabs>
        <w:tab w:val="left" w:pos="425"/>
      </w:tabs>
      <w:spacing w:beforeLines="100" w:afterLines="50" w:line="360" w:lineRule="auto"/>
      <w:jc w:val="center"/>
      <w:outlineLvl w:val="0"/>
    </w:pPr>
    <w:rPr>
      <w:rFonts w:ascii="Times New Roman" w:hAnsi="Times New Roman" w:eastAsia="黑体" w:cs="Times New Roman"/>
      <w:b/>
      <w:kern w:val="2"/>
      <w:sz w:val="36"/>
      <w:lang w:val="en-US" w:eastAsia="zh-CN" w:bidi="ar-SA"/>
    </w:rPr>
  </w:style>
  <w:style w:type="paragraph" w:customStyle="1" w:styleId="373">
    <w:name w:val="cucd-2"/>
    <w:next w:val="374"/>
    <w:qFormat/>
    <w:uiPriority w:val="0"/>
    <w:pPr>
      <w:tabs>
        <w:tab w:val="left" w:pos="567"/>
      </w:tabs>
      <w:spacing w:line="360" w:lineRule="auto"/>
      <w:outlineLvl w:val="1"/>
    </w:pPr>
    <w:rPr>
      <w:rFonts w:ascii="Times New Roman" w:hAnsi="Times New Roman" w:eastAsia="黑体" w:cs="Times New Roman"/>
      <w:b/>
      <w:kern w:val="2"/>
      <w:sz w:val="30"/>
      <w:lang w:val="en-US" w:eastAsia="zh-CN" w:bidi="ar-SA"/>
    </w:rPr>
  </w:style>
  <w:style w:type="paragraph" w:customStyle="1" w:styleId="374">
    <w:name w:val="cucd-3"/>
    <w:next w:val="375"/>
    <w:qFormat/>
    <w:uiPriority w:val="0"/>
    <w:pPr>
      <w:tabs>
        <w:tab w:val="left" w:pos="709"/>
      </w:tabs>
      <w:spacing w:line="360" w:lineRule="auto"/>
      <w:outlineLvl w:val="2"/>
    </w:pPr>
    <w:rPr>
      <w:rFonts w:ascii="Times New Roman" w:hAnsi="Times New Roman" w:eastAsia="宋体" w:cs="Times New Roman"/>
      <w:b/>
      <w:kern w:val="2"/>
      <w:sz w:val="28"/>
      <w:lang w:val="en-US" w:eastAsia="zh-CN" w:bidi="ar-SA"/>
    </w:rPr>
  </w:style>
  <w:style w:type="paragraph" w:customStyle="1" w:styleId="375">
    <w:name w:val="cucd-4"/>
    <w:next w:val="143"/>
    <w:qFormat/>
    <w:uiPriority w:val="0"/>
    <w:pPr>
      <w:tabs>
        <w:tab w:val="left" w:pos="851"/>
      </w:tabs>
      <w:spacing w:line="360" w:lineRule="auto"/>
      <w:outlineLvl w:val="3"/>
    </w:pPr>
    <w:rPr>
      <w:rFonts w:ascii="Times New Roman" w:hAnsi="Times New Roman" w:eastAsia="宋体" w:cs="Times New Roman"/>
      <w:b/>
      <w:kern w:val="2"/>
      <w:sz w:val="24"/>
      <w:lang w:val="en-US" w:eastAsia="zh-CN" w:bidi="ar-SA"/>
    </w:rPr>
  </w:style>
  <w:style w:type="paragraph" w:customStyle="1" w:styleId="376">
    <w:name w:val="1"/>
    <w:basedOn w:val="1"/>
    <w:next w:val="156"/>
    <w:qFormat/>
    <w:uiPriority w:val="0"/>
    <w:pPr>
      <w:spacing w:line="480" w:lineRule="auto"/>
    </w:pPr>
    <w:rPr>
      <w:sz w:val="21"/>
    </w:rPr>
  </w:style>
  <w:style w:type="paragraph" w:customStyle="1" w:styleId="377">
    <w:name w:val="Char Char1 Char Char Char Char1 Char Char Char"/>
    <w:basedOn w:val="1"/>
    <w:qFormat/>
    <w:uiPriority w:val="0"/>
    <w:pPr>
      <w:adjustRightInd w:val="0"/>
      <w:spacing w:line="360" w:lineRule="atLeast"/>
    </w:pPr>
    <w:rPr>
      <w:rFonts w:ascii="Tahoma" w:hAnsi="Tahoma"/>
      <w:sz w:val="24"/>
    </w:rPr>
  </w:style>
  <w:style w:type="paragraph" w:customStyle="1" w:styleId="378">
    <w:name w:val="列表1"/>
    <w:basedOn w:val="1"/>
    <w:qFormat/>
    <w:uiPriority w:val="0"/>
    <w:pPr>
      <w:ind w:left="200" w:hanging="200" w:hangingChars="200"/>
    </w:pPr>
    <w:rPr>
      <w:sz w:val="28"/>
    </w:rPr>
  </w:style>
  <w:style w:type="paragraph" w:customStyle="1" w:styleId="379">
    <w:name w:val="AOAltHead3"/>
    <w:basedOn w:val="380"/>
    <w:next w:val="314"/>
    <w:qFormat/>
    <w:uiPriority w:val="0"/>
    <w:pPr>
      <w:ind w:left="720"/>
    </w:pPr>
  </w:style>
  <w:style w:type="paragraph" w:customStyle="1" w:styleId="380">
    <w:name w:val="AOHead3"/>
    <w:basedOn w:val="254"/>
    <w:next w:val="308"/>
    <w:qFormat/>
    <w:uiPriority w:val="0"/>
    <w:pPr>
      <w:spacing w:line="360" w:lineRule="auto"/>
      <w:ind w:left="420" w:leftChars="100" w:right="100" w:rightChars="100"/>
      <w:outlineLvl w:val="2"/>
    </w:pPr>
    <w:rPr>
      <w:rFonts w:ascii="宋体" w:hAnsi="宋体"/>
      <w:color w:val="000000"/>
      <w:sz w:val="24"/>
      <w:lang w:eastAsia="zh-CN"/>
    </w:rPr>
  </w:style>
  <w:style w:type="paragraph" w:customStyle="1" w:styleId="381">
    <w:name w:val="AOFPCopyright"/>
    <w:basedOn w:val="267"/>
    <w:qFormat/>
    <w:uiPriority w:val="0"/>
    <w:pPr>
      <w:jc w:val="left"/>
    </w:pPr>
    <w:rPr>
      <w:caps/>
    </w:rPr>
  </w:style>
  <w:style w:type="paragraph" w:customStyle="1" w:styleId="382">
    <w:name w:val="AOTOCTitle"/>
    <w:basedOn w:val="254"/>
    <w:next w:val="258"/>
    <w:qFormat/>
    <w:uiPriority w:val="0"/>
    <w:pPr>
      <w:jc w:val="center"/>
    </w:pPr>
    <w:rPr>
      <w:b/>
      <w:caps/>
    </w:rPr>
  </w:style>
  <w:style w:type="paragraph" w:customStyle="1" w:styleId="383">
    <w:name w:val="Style First line:  1.71 ch"/>
    <w:basedOn w:val="1"/>
    <w:qFormat/>
    <w:uiPriority w:val="0"/>
    <w:pPr>
      <w:spacing w:line="360" w:lineRule="auto"/>
      <w:ind w:firstLine="359" w:firstLineChars="171"/>
    </w:pPr>
    <w:rPr>
      <w:sz w:val="24"/>
    </w:rPr>
  </w:style>
  <w:style w:type="paragraph" w:customStyle="1" w:styleId="384">
    <w:name w:val="AOBPTxtC"/>
    <w:basedOn w:val="358"/>
    <w:qFormat/>
    <w:uiPriority w:val="0"/>
    <w:pPr>
      <w:jc w:val="center"/>
    </w:pPr>
  </w:style>
  <w:style w:type="paragraph" w:customStyle="1" w:styleId="385">
    <w:name w:val="AOFPTxtCaps"/>
    <w:basedOn w:val="267"/>
    <w:qFormat/>
    <w:uiPriority w:val="0"/>
    <w:rPr>
      <w:caps/>
    </w:rPr>
  </w:style>
  <w:style w:type="paragraph" w:customStyle="1" w:styleId="386">
    <w:name w:val="正文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7">
    <w:name w:val="tableheading"/>
    <w:basedOn w:val="1"/>
    <w:qFormat/>
    <w:uiPriority w:val="0"/>
    <w:pPr>
      <w:widowControl/>
      <w:spacing w:beforeAutospacing="1" w:afterAutospacing="1"/>
      <w:jc w:val="left"/>
    </w:pPr>
    <w:rPr>
      <w:rFonts w:ascii="宋体" w:hAnsi="宋体"/>
      <w:kern w:val="0"/>
      <w:sz w:val="24"/>
    </w:rPr>
  </w:style>
  <w:style w:type="paragraph" w:customStyle="1" w:styleId="388">
    <w:name w:val="样式4"/>
    <w:basedOn w:val="1"/>
    <w:qFormat/>
    <w:uiPriority w:val="0"/>
    <w:pPr>
      <w:widowControl/>
      <w:spacing w:line="360" w:lineRule="auto"/>
      <w:jc w:val="center"/>
      <w:outlineLvl w:val="1"/>
    </w:pPr>
    <w:rPr>
      <w:rFonts w:ascii="宋体" w:hAnsi="宋体"/>
      <w:b/>
      <w:color w:val="000000"/>
      <w:kern w:val="44"/>
      <w:sz w:val="32"/>
    </w:rPr>
  </w:style>
  <w:style w:type="paragraph" w:customStyle="1" w:styleId="389">
    <w:name w:val="Char3 Char Char Char Char Char Char"/>
    <w:basedOn w:val="91"/>
    <w:qFormat/>
    <w:uiPriority w:val="0"/>
    <w:rPr>
      <w:rFonts w:ascii="Tahoma" w:hAnsi="Tahoma"/>
      <w:sz w:val="24"/>
    </w:rPr>
  </w:style>
  <w:style w:type="paragraph" w:customStyle="1" w:styleId="390">
    <w:name w:val="AOHead6"/>
    <w:basedOn w:val="254"/>
    <w:next w:val="391"/>
    <w:qFormat/>
    <w:uiPriority w:val="0"/>
    <w:pPr>
      <w:outlineLvl w:val="5"/>
    </w:pPr>
  </w:style>
  <w:style w:type="paragraph" w:customStyle="1" w:styleId="391">
    <w:name w:val="AODocTxtL5"/>
    <w:basedOn w:val="257"/>
    <w:qFormat/>
    <w:uiPriority w:val="0"/>
    <w:pPr>
      <w:tabs>
        <w:tab w:val="left" w:pos="360"/>
      </w:tabs>
    </w:pPr>
  </w:style>
  <w:style w:type="paragraph" w:customStyle="1" w:styleId="392">
    <w:name w:val="tabletext"/>
    <w:basedOn w:val="1"/>
    <w:qFormat/>
    <w:uiPriority w:val="0"/>
    <w:pPr>
      <w:widowControl/>
      <w:spacing w:beforeAutospacing="1" w:afterAutospacing="1"/>
      <w:jc w:val="left"/>
    </w:pPr>
    <w:rPr>
      <w:rFonts w:ascii="宋体" w:hAnsi="宋体"/>
      <w:kern w:val="0"/>
      <w:sz w:val="24"/>
    </w:rPr>
  </w:style>
  <w:style w:type="paragraph" w:customStyle="1" w:styleId="393">
    <w:name w:val="Level 1.fo"/>
    <w:basedOn w:val="1"/>
    <w:qFormat/>
    <w:uiPriority w:val="0"/>
    <w:pPr>
      <w:widowControl/>
      <w:ind w:left="720"/>
      <w:jc w:val="left"/>
    </w:pPr>
    <w:rPr>
      <w:rFonts w:ascii="Palatino" w:hAnsi="Palatino"/>
      <w:kern w:val="0"/>
      <w:sz w:val="22"/>
    </w:rPr>
  </w:style>
  <w:style w:type="paragraph" w:customStyle="1" w:styleId="394">
    <w:name w:val="hea"/>
    <w:basedOn w:val="1"/>
    <w:next w:val="1"/>
    <w:qFormat/>
    <w:uiPriority w:val="0"/>
    <w:pPr>
      <w:keepNext/>
      <w:keepLines/>
      <w:tabs>
        <w:tab w:val="left" w:pos="865"/>
        <w:tab w:val="left" w:pos="1200"/>
      </w:tabs>
      <w:spacing w:line="576" w:lineRule="auto"/>
      <w:ind w:left="865" w:hanging="360"/>
      <w:outlineLvl w:val="0"/>
    </w:pPr>
    <w:rPr>
      <w:b/>
      <w:kern w:val="44"/>
      <w:sz w:val="44"/>
    </w:rPr>
  </w:style>
  <w:style w:type="paragraph" w:customStyle="1" w:styleId="395">
    <w:name w:val="AOListNumber"/>
    <w:basedOn w:val="255"/>
    <w:qFormat/>
    <w:uiPriority w:val="0"/>
  </w:style>
  <w:style w:type="paragraph" w:customStyle="1" w:styleId="396">
    <w:name w:val="Style2"/>
    <w:basedOn w:val="1"/>
    <w:qFormat/>
    <w:uiPriority w:val="0"/>
    <w:pPr>
      <w:keepNext/>
      <w:widowControl/>
      <w:ind w:left="720"/>
    </w:pPr>
    <w:rPr>
      <w:rFonts w:eastAsia="BatangChe"/>
      <w:b/>
      <w:kern w:val="0"/>
      <w:sz w:val="22"/>
      <w:lang w:eastAsia="ko-KR"/>
    </w:rPr>
  </w:style>
  <w:style w:type="paragraph" w:customStyle="1" w:styleId="397">
    <w:name w:val="AO(1)"/>
    <w:basedOn w:val="255"/>
    <w:next w:val="257"/>
    <w:qFormat/>
    <w:uiPriority w:val="0"/>
    <w:pPr>
      <w:tabs>
        <w:tab w:val="left" w:pos="360"/>
      </w:tabs>
      <w:ind w:left="360" w:hanging="360" w:hangingChars="200"/>
    </w:pPr>
  </w:style>
  <w:style w:type="paragraph" w:customStyle="1" w:styleId="398">
    <w:name w:val="Level(I)"/>
    <w:basedOn w:val="1"/>
    <w:next w:val="399"/>
    <w:qFormat/>
    <w:uiPriority w:val="0"/>
    <w:pPr>
      <w:widowControl/>
      <w:tabs>
        <w:tab w:val="left" w:pos="2160"/>
      </w:tabs>
      <w:ind w:left="2160" w:hanging="720"/>
      <w:jc w:val="left"/>
      <w:outlineLvl w:val="6"/>
    </w:pPr>
    <w:rPr>
      <w:rFonts w:ascii="Palatino" w:hAnsi="Palatino"/>
      <w:kern w:val="0"/>
      <w:sz w:val="22"/>
    </w:rPr>
  </w:style>
  <w:style w:type="paragraph" w:customStyle="1" w:styleId="399">
    <w:name w:val="Level (I)fo"/>
    <w:basedOn w:val="1"/>
    <w:qFormat/>
    <w:uiPriority w:val="0"/>
    <w:pPr>
      <w:widowControl/>
      <w:ind w:left="3600"/>
      <w:jc w:val="left"/>
    </w:pPr>
    <w:rPr>
      <w:rFonts w:ascii="Palatino" w:hAnsi="Palatino"/>
      <w:kern w:val="0"/>
      <w:sz w:val="22"/>
    </w:rPr>
  </w:style>
  <w:style w:type="paragraph" w:customStyle="1" w:styleId="400">
    <w:name w:val="Level 1."/>
    <w:basedOn w:val="1"/>
    <w:next w:val="393"/>
    <w:qFormat/>
    <w:uiPriority w:val="0"/>
    <w:pPr>
      <w:widowControl/>
      <w:tabs>
        <w:tab w:val="left" w:pos="720"/>
      </w:tabs>
      <w:ind w:left="720" w:hanging="720"/>
      <w:jc w:val="left"/>
      <w:outlineLvl w:val="1"/>
    </w:pPr>
    <w:rPr>
      <w:rFonts w:ascii="Palatino" w:hAnsi="Palatino"/>
      <w:kern w:val="0"/>
      <w:sz w:val="22"/>
    </w:rPr>
  </w:style>
  <w:style w:type="paragraph" w:customStyle="1" w:styleId="401">
    <w:name w:val="xl26"/>
    <w:basedOn w:val="1"/>
    <w:qFormat/>
    <w:uiPriority w:val="0"/>
    <w:pPr>
      <w:widowControl/>
      <w:spacing w:beforeAutospacing="1" w:afterAutospacing="1"/>
      <w:jc w:val="center"/>
    </w:pPr>
    <w:rPr>
      <w:rFonts w:ascii="仿宋_GB2312" w:hAnsi="宋体" w:eastAsia="仿宋_GB2312"/>
      <w:b/>
      <w:kern w:val="0"/>
      <w:sz w:val="24"/>
    </w:rPr>
  </w:style>
  <w:style w:type="paragraph" w:customStyle="1" w:styleId="402">
    <w:name w:val="f1"/>
    <w:basedOn w:val="1"/>
    <w:qFormat/>
    <w:uiPriority w:val="0"/>
    <w:pPr>
      <w:widowControl/>
      <w:spacing w:beforeAutospacing="1" w:afterAutospacing="1"/>
      <w:jc w:val="center"/>
    </w:pPr>
    <w:rPr>
      <w:rFonts w:ascii="Helvetica" w:hAnsi="Helvetica"/>
      <w:b/>
      <w:color w:val="FF8080"/>
      <w:spacing w:val="160"/>
      <w:kern w:val="0"/>
      <w:sz w:val="80"/>
    </w:rPr>
  </w:style>
  <w:style w:type="paragraph" w:customStyle="1" w:styleId="403">
    <w:name w:val="AOAltHead4"/>
    <w:basedOn w:val="404"/>
    <w:next w:val="308"/>
    <w:qFormat/>
    <w:uiPriority w:val="0"/>
    <w:pPr>
      <w:ind w:left="1440"/>
    </w:pPr>
  </w:style>
  <w:style w:type="paragraph" w:customStyle="1" w:styleId="404">
    <w:name w:val="AOHead4"/>
    <w:basedOn w:val="254"/>
    <w:next w:val="278"/>
    <w:qFormat/>
    <w:uiPriority w:val="0"/>
    <w:pPr>
      <w:outlineLvl w:val="3"/>
    </w:pPr>
  </w:style>
  <w:style w:type="paragraph" w:customStyle="1" w:styleId="405">
    <w:name w:val="AOAltHead6"/>
    <w:basedOn w:val="390"/>
    <w:next w:val="277"/>
    <w:qFormat/>
    <w:uiPriority w:val="0"/>
  </w:style>
  <w:style w:type="paragraph" w:customStyle="1" w:styleId="406">
    <w:name w:val="样式3"/>
    <w:basedOn w:val="1"/>
    <w:qFormat/>
    <w:uiPriority w:val="0"/>
    <w:pPr>
      <w:widowControl/>
      <w:adjustRightInd w:val="0"/>
      <w:spacing w:line="360" w:lineRule="auto"/>
      <w:outlineLvl w:val="2"/>
    </w:pPr>
    <w:rPr>
      <w:rFonts w:ascii="宋体" w:hAnsi="宋体"/>
      <w:b/>
      <w:color w:val="000000"/>
      <w:sz w:val="24"/>
    </w:rPr>
  </w:style>
  <w:style w:type="paragraph" w:customStyle="1" w:styleId="407">
    <w:name w:val="Char Char1 Char"/>
    <w:basedOn w:val="1"/>
    <w:qFormat/>
    <w:uiPriority w:val="0"/>
    <w:pPr>
      <w:widowControl/>
      <w:spacing w:line="240" w:lineRule="exact"/>
      <w:jc w:val="left"/>
    </w:pPr>
    <w:rPr>
      <w:rFonts w:ascii="Verdana" w:hAnsi="Verdana" w:eastAsia="Times New Roman"/>
      <w:kern w:val="0"/>
      <w:sz w:val="24"/>
      <w:lang w:eastAsia="en-US"/>
    </w:rPr>
  </w:style>
  <w:style w:type="paragraph" w:customStyle="1" w:styleId="408">
    <w:name w:val="列出段落1"/>
    <w:basedOn w:val="1"/>
    <w:qFormat/>
    <w:uiPriority w:val="0"/>
    <w:pPr>
      <w:ind w:firstLine="420" w:firstLineChars="200"/>
    </w:pPr>
    <w:rPr>
      <w:rFonts w:ascii="Calibri" w:hAnsi="Calibri"/>
      <w:sz w:val="21"/>
    </w:rPr>
  </w:style>
  <w:style w:type="paragraph" w:customStyle="1" w:styleId="409">
    <w:name w:val="xl107"/>
    <w:basedOn w:val="1"/>
    <w:qFormat/>
    <w:uiPriority w:val="0"/>
    <w:pPr>
      <w:widowControl/>
      <w:spacing w:beforeAutospacing="1" w:afterAutospacing="1"/>
      <w:jc w:val="left"/>
    </w:pPr>
    <w:rPr>
      <w:rFonts w:ascii="宋体" w:hAnsi="宋体"/>
      <w:b/>
      <w:kern w:val="0"/>
      <w:sz w:val="20"/>
    </w:rPr>
  </w:style>
  <w:style w:type="paragraph" w:customStyle="1" w:styleId="410">
    <w:name w:val="List Paragraph1"/>
    <w:basedOn w:val="1"/>
    <w:qFormat/>
    <w:uiPriority w:val="0"/>
    <w:pPr>
      <w:ind w:firstLine="420" w:firstLineChars="200"/>
    </w:pPr>
    <w:rPr>
      <w:rFonts w:ascii="Calibri" w:hAnsi="Calibri"/>
      <w:sz w:val="21"/>
    </w:rPr>
  </w:style>
  <w:style w:type="paragraph" w:customStyle="1" w:styleId="411">
    <w:name w:val="p17"/>
    <w:basedOn w:val="1"/>
    <w:qFormat/>
    <w:uiPriority w:val="0"/>
    <w:pPr>
      <w:widowControl/>
      <w:spacing w:before="152" w:after="160"/>
    </w:pPr>
    <w:rPr>
      <w:rFonts w:ascii="Arial" w:hAnsi="Arial" w:cs="Arial"/>
      <w:kern w:val="0"/>
      <w:sz w:val="21"/>
      <w:szCs w:val="21"/>
    </w:rPr>
  </w:style>
  <w:style w:type="paragraph" w:customStyle="1" w:styleId="412">
    <w:name w:val="修订1"/>
    <w:qFormat/>
    <w:uiPriority w:val="0"/>
    <w:rPr>
      <w:rFonts w:ascii="Times New Roman" w:hAnsi="Times New Roman" w:eastAsia="宋体" w:cs="Times New Roman"/>
      <w:kern w:val="2"/>
      <w:sz w:val="21"/>
      <w:lang w:val="en-US" w:eastAsia="zh-CN" w:bidi="ar-SA"/>
    </w:rPr>
  </w:style>
  <w:style w:type="paragraph" w:customStyle="1" w:styleId="413">
    <w:name w:val="AO(A)"/>
    <w:basedOn w:val="255"/>
    <w:next w:val="257"/>
    <w:qFormat/>
    <w:uiPriority w:val="0"/>
    <w:pPr>
      <w:tabs>
        <w:tab w:val="left" w:pos="780"/>
      </w:tabs>
      <w:ind w:left="780" w:leftChars="200" w:hanging="360" w:hangingChars="200"/>
    </w:pPr>
  </w:style>
  <w:style w:type="paragraph" w:customStyle="1" w:styleId="414">
    <w:name w:val="AOAltHead2"/>
    <w:basedOn w:val="315"/>
    <w:next w:val="314"/>
    <w:qFormat/>
    <w:uiPriority w:val="0"/>
    <w:pPr>
      <w:keepNext w:val="0"/>
    </w:pPr>
    <w:rPr>
      <w:b/>
    </w:rPr>
  </w:style>
  <w:style w:type="paragraph" w:customStyle="1" w:styleId="415">
    <w:name w:val="AOAppPartHead"/>
    <w:basedOn w:val="416"/>
    <w:next w:val="418"/>
    <w:qFormat/>
    <w:uiPriority w:val="0"/>
    <w:pPr>
      <w:pageBreakBefore w:val="0"/>
      <w:tabs>
        <w:tab w:val="left" w:pos="360"/>
        <w:tab w:val="left" w:pos="720"/>
      </w:tabs>
      <w:ind w:left="360" w:hanging="360"/>
    </w:pPr>
  </w:style>
  <w:style w:type="paragraph" w:customStyle="1" w:styleId="416">
    <w:name w:val="AOAppHead"/>
    <w:basedOn w:val="273"/>
    <w:next w:val="417"/>
    <w:qFormat/>
    <w:uiPriority w:val="0"/>
    <w:pPr>
      <w:pageBreakBefore/>
      <w:tabs>
        <w:tab w:val="left" w:pos="720"/>
      </w:tabs>
      <w:ind w:left="720" w:hanging="720"/>
      <w:outlineLvl w:val="0"/>
    </w:pPr>
  </w:style>
  <w:style w:type="paragraph" w:customStyle="1" w:styleId="417">
    <w:name w:val="AOAppTitle"/>
    <w:basedOn w:val="273"/>
    <w:next w:val="257"/>
    <w:qFormat/>
    <w:uiPriority w:val="0"/>
    <w:pPr>
      <w:outlineLvl w:val="1"/>
    </w:pPr>
    <w:rPr>
      <w:b/>
    </w:rPr>
  </w:style>
  <w:style w:type="paragraph" w:customStyle="1" w:styleId="418">
    <w:name w:val="AOAppPartTitle"/>
    <w:basedOn w:val="417"/>
    <w:next w:val="257"/>
    <w:qFormat/>
    <w:uiPriority w:val="0"/>
  </w:style>
  <w:style w:type="paragraph" w:customStyle="1" w:styleId="419">
    <w:name w:val="表说明"/>
    <w:basedOn w:val="1"/>
    <w:qFormat/>
    <w:uiPriority w:val="0"/>
    <w:pPr>
      <w:suppressAutoHyphens/>
      <w:autoSpaceDE w:val="0"/>
      <w:spacing w:line="400" w:lineRule="exact"/>
      <w:ind w:firstLine="200" w:firstLineChars="200"/>
      <w:jc w:val="left"/>
    </w:pPr>
    <w:rPr>
      <w:sz w:val="24"/>
    </w:rPr>
  </w:style>
  <w:style w:type="paragraph" w:customStyle="1" w:styleId="420">
    <w:name w:val="AODocTxtL6"/>
    <w:basedOn w:val="257"/>
    <w:qFormat/>
    <w:uiPriority w:val="0"/>
    <w:pPr>
      <w:tabs>
        <w:tab w:val="left" w:pos="360"/>
      </w:tabs>
    </w:pPr>
  </w:style>
  <w:style w:type="paragraph" w:customStyle="1" w:styleId="421">
    <w:name w:val="列表项目符号1"/>
    <w:basedOn w:val="1"/>
    <w:qFormat/>
    <w:uiPriority w:val="0"/>
    <w:pPr>
      <w:widowControl/>
      <w:spacing w:line="260" w:lineRule="atLeast"/>
      <w:ind w:left="1080" w:hanging="345"/>
    </w:pPr>
    <w:rPr>
      <w:rFonts w:eastAsia="LF Song"/>
      <w:i/>
      <w:kern w:val="0"/>
      <w:sz w:val="24"/>
    </w:rPr>
  </w:style>
  <w:style w:type="paragraph" w:customStyle="1" w:styleId="422">
    <w:name w:val="1.1.1"/>
    <w:basedOn w:val="6"/>
    <w:qFormat/>
    <w:uiPriority w:val="0"/>
    <w:pPr>
      <w:tabs>
        <w:tab w:val="left" w:pos="1080"/>
        <w:tab w:val="left" w:pos="1260"/>
      </w:tabs>
      <w:adjustRightInd w:val="0"/>
      <w:spacing w:line="440" w:lineRule="exact"/>
      <w:ind w:left="1140" w:hanging="1140"/>
      <w:jc w:val="both"/>
      <w:textAlignment w:val="baseline"/>
    </w:pPr>
    <w:rPr>
      <w:rFonts w:eastAsia="宋体"/>
      <w:sz w:val="24"/>
    </w:rPr>
  </w:style>
  <w:style w:type="paragraph" w:customStyle="1" w:styleId="423">
    <w:name w:val="AOFooterC"/>
    <w:basedOn w:val="327"/>
    <w:qFormat/>
    <w:uiPriority w:val="0"/>
    <w:pPr>
      <w:jc w:val="center"/>
    </w:pPr>
  </w:style>
  <w:style w:type="paragraph" w:customStyle="1" w:styleId="424">
    <w:name w:val="样式2"/>
    <w:basedOn w:val="1"/>
    <w:qFormat/>
    <w:uiPriority w:val="0"/>
    <w:pPr>
      <w:tabs>
        <w:tab w:val="left" w:pos="482"/>
      </w:tabs>
      <w:spacing w:line="360" w:lineRule="auto"/>
      <w:ind w:firstLine="420"/>
    </w:pPr>
    <w:rPr>
      <w:rFonts w:ascii="黑体" w:hAnsi="Arial" w:eastAsia="黑体"/>
      <w:color w:val="000000"/>
      <w:sz w:val="24"/>
    </w:rPr>
  </w:style>
  <w:style w:type="paragraph" w:customStyle="1" w:styleId="425">
    <w:name w:val="AOBPTxtR"/>
    <w:basedOn w:val="358"/>
    <w:qFormat/>
    <w:uiPriority w:val="0"/>
    <w:pPr>
      <w:jc w:val="right"/>
    </w:pPr>
  </w:style>
  <w:style w:type="paragraph" w:customStyle="1" w:styleId="426">
    <w:name w:val="表文"/>
    <w:basedOn w:val="1"/>
    <w:qFormat/>
    <w:uiPriority w:val="0"/>
    <w:pPr>
      <w:keepLines/>
      <w:widowControl/>
      <w:tabs>
        <w:tab w:val="right" w:pos="9660"/>
      </w:tabs>
      <w:topLinePunct/>
      <w:jc w:val="center"/>
      <w:textAlignment w:val="center"/>
    </w:pPr>
    <w:rPr>
      <w:rFonts w:ascii="等线" w:hAnsi="Calibri" w:eastAsia="等线"/>
      <w:sz w:val="21"/>
    </w:rPr>
  </w:style>
  <w:style w:type="paragraph" w:customStyle="1" w:styleId="427">
    <w:name w:val="AODocTxtL7"/>
    <w:basedOn w:val="257"/>
    <w:qFormat/>
    <w:uiPriority w:val="0"/>
    <w:pPr>
      <w:tabs>
        <w:tab w:val="left" w:pos="360"/>
      </w:tabs>
    </w:pPr>
  </w:style>
  <w:style w:type="paragraph" w:customStyle="1" w:styleId="428">
    <w:name w:val="寄信人地址1"/>
    <w:basedOn w:val="1"/>
    <w:qFormat/>
    <w:uiPriority w:val="0"/>
    <w:pPr>
      <w:widowControl/>
    </w:pPr>
    <w:rPr>
      <w:kern w:val="0"/>
      <w:sz w:val="22"/>
      <w:lang w:eastAsia="en-US"/>
    </w:rPr>
  </w:style>
  <w:style w:type="paragraph" w:customStyle="1" w:styleId="429">
    <w:name w:val="AOPlainFooter"/>
    <w:basedOn w:val="1"/>
    <w:next w:val="1"/>
    <w:qFormat/>
    <w:uiPriority w:val="0"/>
    <w:pPr>
      <w:widowControl/>
      <w:jc w:val="right"/>
    </w:pPr>
    <w:rPr>
      <w:kern w:val="0"/>
      <w:sz w:val="16"/>
      <w:lang w:eastAsia="en-US"/>
    </w:rPr>
  </w:style>
  <w:style w:type="paragraph" w:customStyle="1" w:styleId="430">
    <w:name w:val="样式 宋体 首行缩进:  0.87 厘米"/>
    <w:basedOn w:val="1"/>
    <w:qFormat/>
    <w:uiPriority w:val="0"/>
    <w:pPr>
      <w:spacing w:line="480" w:lineRule="exact"/>
      <w:ind w:firstLine="493"/>
    </w:pPr>
    <w:rPr>
      <w:rFonts w:ascii="宋体" w:hAnsi="宋体"/>
      <w:spacing w:val="6"/>
      <w:sz w:val="24"/>
    </w:rPr>
  </w:style>
  <w:style w:type="paragraph" w:customStyle="1" w:styleId="431">
    <w:name w:val="表格文字 Char"/>
    <w:basedOn w:val="87"/>
    <w:qFormat/>
    <w:uiPriority w:val="0"/>
    <w:pPr>
      <w:spacing w:beforeLines="50"/>
      <w:ind w:firstLine="0"/>
      <w:jc w:val="center"/>
    </w:pPr>
    <w:rPr>
      <w:sz w:val="24"/>
    </w:rPr>
  </w:style>
  <w:style w:type="paragraph" w:customStyle="1" w:styleId="432">
    <w:name w:val="Body Text 21"/>
    <w:basedOn w:val="1"/>
    <w:next w:val="1"/>
    <w:qFormat/>
    <w:uiPriority w:val="99"/>
    <w:pPr>
      <w:widowControl/>
      <w:spacing w:line="300" w:lineRule="auto"/>
      <w:jc w:val="center"/>
    </w:pPr>
    <w:rPr>
      <w:rFonts w:ascii="宋体"/>
      <w:color w:val="000000"/>
      <w:sz w:val="24"/>
    </w:rPr>
  </w:style>
  <w:style w:type="paragraph" w:customStyle="1" w:styleId="433">
    <w:name w:val="toc3"/>
    <w:basedOn w:val="1"/>
    <w:qFormat/>
    <w:uiPriority w:val="0"/>
    <w:pPr>
      <w:widowControl/>
      <w:tabs>
        <w:tab w:val="left" w:pos="720"/>
        <w:tab w:val="right" w:pos="9029"/>
      </w:tabs>
    </w:pPr>
    <w:rPr>
      <w:rFonts w:eastAsia="LF Song"/>
      <w:kern w:val="0"/>
      <w:sz w:val="24"/>
    </w:rPr>
  </w:style>
  <w:style w:type="paragraph" w:customStyle="1" w:styleId="434">
    <w:name w:val="列表编号 31"/>
    <w:basedOn w:val="1"/>
    <w:qFormat/>
    <w:uiPriority w:val="0"/>
    <w:pPr>
      <w:tabs>
        <w:tab w:val="left" w:pos="865"/>
        <w:tab w:val="left" w:pos="1200"/>
      </w:tabs>
      <w:ind w:left="865" w:hanging="360"/>
    </w:pPr>
    <w:rPr>
      <w:sz w:val="21"/>
    </w:rPr>
  </w:style>
  <w:style w:type="paragraph" w:customStyle="1" w:styleId="435">
    <w:name w:val="Default"/>
    <w:qFormat/>
    <w:uiPriority w:val="0"/>
    <w:pPr>
      <w:widowControl w:val="0"/>
      <w:autoSpaceDE w:val="0"/>
      <w:autoSpaceDN w:val="0"/>
      <w:adjustRightInd w:val="0"/>
    </w:pPr>
    <w:rPr>
      <w:rFonts w:ascii="源淏窪极潠极2." w:hAnsi="Times New Roman" w:eastAsia="源淏窪极潠极2." w:cs="Times New Roman"/>
      <w:color w:val="000000"/>
      <w:sz w:val="24"/>
      <w:lang w:val="en-US" w:eastAsia="zh-CN" w:bidi="ar-SA"/>
    </w:rPr>
  </w:style>
  <w:style w:type="paragraph" w:customStyle="1" w:styleId="436">
    <w:name w:val="条"/>
    <w:basedOn w:val="4"/>
    <w:qFormat/>
    <w:uiPriority w:val="0"/>
    <w:pPr>
      <w:tabs>
        <w:tab w:val="left" w:pos="1680"/>
      </w:tabs>
      <w:spacing w:line="240" w:lineRule="auto"/>
      <w:jc w:val="center"/>
    </w:pPr>
    <w:rPr>
      <w:rFonts w:ascii="Arial" w:hAnsi="宋体" w:eastAsia="黑体"/>
      <w:b w:val="0"/>
      <w:sz w:val="28"/>
    </w:rPr>
  </w:style>
  <w:style w:type="paragraph" w:customStyle="1" w:styleId="437">
    <w:name w:val="列表11"/>
    <w:basedOn w:val="1"/>
    <w:qFormat/>
    <w:uiPriority w:val="0"/>
    <w:rPr>
      <w:sz w:val="21"/>
    </w:rPr>
  </w:style>
  <w:style w:type="paragraph" w:customStyle="1" w:styleId="438">
    <w:name w:val="列表编号1"/>
    <w:basedOn w:val="1"/>
    <w:qFormat/>
    <w:uiPriority w:val="0"/>
    <w:pPr>
      <w:widowControl/>
      <w:tabs>
        <w:tab w:val="left" w:pos="454"/>
        <w:tab w:val="left" w:pos="720"/>
      </w:tabs>
      <w:spacing w:afterLines="50"/>
      <w:ind w:left="454" w:hanging="284"/>
      <w:jc w:val="left"/>
    </w:pPr>
    <w:rPr>
      <w:kern w:val="0"/>
      <w:sz w:val="24"/>
    </w:rPr>
  </w:style>
  <w:style w:type="paragraph" w:customStyle="1" w:styleId="439">
    <w:name w:val="金保标题正文"/>
    <w:qFormat/>
    <w:uiPriority w:val="0"/>
    <w:pPr>
      <w:spacing w:line="360" w:lineRule="auto"/>
      <w:ind w:firstLine="200" w:firstLineChars="200"/>
    </w:pPr>
    <w:rPr>
      <w:rFonts w:ascii="Calibri" w:hAnsi="Calibri" w:eastAsia="宋体" w:cs="Times New Roman"/>
      <w:kern w:val="2"/>
      <w:sz w:val="24"/>
      <w:lang w:val="en-US" w:eastAsia="zh-CN" w:bidi="ar-SA"/>
    </w:rPr>
  </w:style>
  <w:style w:type="paragraph" w:customStyle="1" w:styleId="440">
    <w:name w:val="正文文本 31"/>
    <w:basedOn w:val="1"/>
    <w:qFormat/>
    <w:uiPriority w:val="0"/>
    <w:rPr>
      <w:sz w:val="16"/>
    </w:rPr>
  </w:style>
  <w:style w:type="paragraph" w:customStyle="1" w:styleId="441">
    <w:name w:val="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442">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443">
    <w:name w:val="彩色列表 - 着色 11"/>
    <w:basedOn w:val="1"/>
    <w:qFormat/>
    <w:uiPriority w:val="0"/>
    <w:pPr>
      <w:ind w:firstLine="420" w:firstLineChars="200"/>
    </w:pPr>
    <w:rPr>
      <w:rFonts w:ascii="Calibri" w:hAnsi="Calibri"/>
      <w:sz w:val="21"/>
    </w:rPr>
  </w:style>
  <w:style w:type="paragraph" w:customStyle="1" w:styleId="44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6">
    <w:name w:val="Plain Text1"/>
    <w:basedOn w:val="447"/>
    <w:qFormat/>
    <w:uiPriority w:val="99"/>
    <w:pPr>
      <w:widowControl/>
      <w:jc w:val="left"/>
    </w:pPr>
    <w:rPr>
      <w:rFonts w:ascii="宋体" w:hAnsi="Courier New"/>
    </w:rPr>
  </w:style>
  <w:style w:type="paragraph" w:customStyle="1" w:styleId="447">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8">
    <w:name w:val="正文缩进11"/>
    <w:basedOn w:val="1"/>
    <w:qFormat/>
    <w:uiPriority w:val="0"/>
    <w:pPr>
      <w:widowControl/>
      <w:ind w:firstLine="420"/>
      <w:jc w:val="left"/>
    </w:pPr>
    <w:rPr>
      <w:rFonts w:eastAsia="仿宋_GB2312"/>
      <w:b/>
      <w:color w:val="000000"/>
      <w:kern w:val="0"/>
      <w:sz w:val="21"/>
    </w:rPr>
  </w:style>
  <w:style w:type="paragraph" w:customStyle="1" w:styleId="449">
    <w:name w:val="_Style 446"/>
    <w:semiHidden/>
    <w:qFormat/>
    <w:uiPriority w:val="99"/>
    <w:rPr>
      <w:rFonts w:ascii="Times New Roman" w:hAnsi="Times New Roman" w:eastAsia="宋体" w:cs="Times New Roman"/>
      <w:kern w:val="2"/>
      <w:sz w:val="21"/>
      <w:szCs w:val="24"/>
      <w:lang w:val="en-US" w:eastAsia="zh-CN" w:bidi="ar-SA"/>
    </w:rPr>
  </w:style>
  <w:style w:type="paragraph" w:customStyle="1" w:styleId="450">
    <w:name w:val="Char Char Char Char Char Char Char"/>
    <w:basedOn w:val="1"/>
    <w:qFormat/>
    <w:uiPriority w:val="0"/>
    <w:rPr>
      <w:sz w:val="21"/>
      <w:szCs w:val="24"/>
    </w:rPr>
  </w:style>
  <w:style w:type="paragraph" w:styleId="451">
    <w:name w:val="No Spacing"/>
    <w:qFormat/>
    <w:uiPriority w:val="1"/>
    <w:rPr>
      <w:rFonts w:ascii="Calibri" w:hAnsi="Calibri" w:eastAsia="宋体" w:cs="Times New Roman"/>
      <w:sz w:val="22"/>
      <w:szCs w:val="22"/>
      <w:lang w:val="en-US" w:eastAsia="zh-CN" w:bidi="ar-SA"/>
    </w:rPr>
  </w:style>
  <w:style w:type="paragraph" w:customStyle="1" w:styleId="452">
    <w:name w:val="表格文字"/>
    <w:basedOn w:val="1"/>
    <w:next w:val="2"/>
    <w:qFormat/>
    <w:uiPriority w:val="0"/>
    <w:pPr>
      <w:spacing w:before="25" w:after="25"/>
      <w:jc w:val="left"/>
    </w:pPr>
    <w:rPr>
      <w:bCs/>
      <w:spacing w:val="10"/>
      <w:kern w:val="0"/>
      <w:sz w:val="24"/>
    </w:rPr>
  </w:style>
  <w:style w:type="paragraph" w:customStyle="1" w:styleId="453">
    <w:name w:val="[Normal]"/>
    <w:qFormat/>
    <w:uiPriority w:val="0"/>
    <w:rPr>
      <w:rFonts w:ascii="宋体" w:hAnsi="宋体" w:eastAsia="宋体" w:cs="Times New Roman"/>
      <w:sz w:val="24"/>
      <w:szCs w:val="22"/>
      <w:lang w:val="zh-CN" w:eastAsia="zh-CN" w:bidi="ar-SA"/>
    </w:rPr>
  </w:style>
  <w:style w:type="paragraph" w:customStyle="1" w:styleId="454">
    <w:name w:val="正文（首行缩进2字符）"/>
    <w:basedOn w:val="1"/>
    <w:qFormat/>
    <w:uiPriority w:val="0"/>
    <w:pPr>
      <w:spacing w:line="360" w:lineRule="auto"/>
      <w:ind w:firstLine="420" w:firstLineChars="200"/>
    </w:pPr>
    <w:rPr>
      <w:szCs w:val="21"/>
    </w:rPr>
  </w:style>
  <w:style w:type="paragraph" w:customStyle="1" w:styleId="455">
    <w:name w:val="正文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7">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58">
    <w:name w:val="font1"/>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459">
    <w:name w:val="font2"/>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60">
    <w:name w:val="font3"/>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461">
    <w:name w:val="font4"/>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462">
    <w:name w:val="font5"/>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463">
    <w:name w:val="font6"/>
    <w:basedOn w:val="1"/>
    <w:qFormat/>
    <w:uiPriority w:val="0"/>
    <w:pPr>
      <w:widowControl/>
      <w:spacing w:before="100" w:beforeAutospacing="1" w:after="100" w:afterAutospacing="1"/>
      <w:jc w:val="left"/>
    </w:pPr>
    <w:rPr>
      <w:rFonts w:ascii="宋体" w:hAnsi="宋体" w:cs="宋体"/>
      <w:color w:val="000000"/>
      <w:kern w:val="0"/>
      <w:sz w:val="20"/>
      <w:vertAlign w:val="superscript"/>
    </w:rPr>
  </w:style>
  <w:style w:type="paragraph" w:customStyle="1" w:styleId="464">
    <w:name w:val="font7"/>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465">
    <w:name w:val="font8"/>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466">
    <w:name w:val="font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67">
    <w:name w:val="font10"/>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468">
    <w:name w:val="font1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69">
    <w:name w:val="font12"/>
    <w:basedOn w:val="1"/>
    <w:qFormat/>
    <w:uiPriority w:val="0"/>
    <w:pPr>
      <w:widowControl/>
      <w:spacing w:before="100" w:beforeAutospacing="1" w:after="100" w:afterAutospacing="1"/>
      <w:jc w:val="left"/>
    </w:pPr>
    <w:rPr>
      <w:rFonts w:ascii="宋体" w:hAnsi="宋体" w:cs="宋体"/>
      <w:b/>
      <w:bCs/>
      <w:color w:val="000000"/>
      <w:kern w:val="0"/>
      <w:sz w:val="20"/>
    </w:rPr>
  </w:style>
  <w:style w:type="paragraph" w:customStyle="1" w:styleId="470">
    <w:name w:val="font13"/>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471">
    <w:name w:val="font14"/>
    <w:basedOn w:val="1"/>
    <w:qFormat/>
    <w:uiPriority w:val="0"/>
    <w:pPr>
      <w:widowControl/>
      <w:spacing w:before="100" w:beforeAutospacing="1" w:after="100" w:afterAutospacing="1"/>
      <w:jc w:val="left"/>
    </w:pPr>
    <w:rPr>
      <w:rFonts w:ascii="宋体" w:hAnsi="宋体" w:cs="宋体"/>
      <w:b/>
      <w:bCs/>
      <w:color w:val="000000"/>
      <w:kern w:val="0"/>
      <w:sz w:val="20"/>
    </w:rPr>
  </w:style>
  <w:style w:type="paragraph" w:customStyle="1" w:styleId="472">
    <w:name w:val="font1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73">
    <w:name w:val="font16"/>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74">
    <w:name w:val="font17"/>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475">
    <w:name w:val="font1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76">
    <w:name w:val="font1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77">
    <w:name w:val="font20"/>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478">
    <w:name w:val="font22"/>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479">
    <w:name w:val="font23"/>
    <w:basedOn w:val="1"/>
    <w:qFormat/>
    <w:uiPriority w:val="0"/>
    <w:pPr>
      <w:widowControl/>
      <w:spacing w:before="100" w:beforeAutospacing="1" w:after="100" w:afterAutospacing="1"/>
      <w:jc w:val="left"/>
    </w:pPr>
    <w:rPr>
      <w:rFonts w:ascii="宋体" w:hAnsi="宋体" w:cs="宋体"/>
      <w:b/>
      <w:bCs/>
      <w:color w:val="000000"/>
      <w:kern w:val="0"/>
      <w:sz w:val="20"/>
    </w:rPr>
  </w:style>
  <w:style w:type="paragraph" w:customStyle="1" w:styleId="480">
    <w:name w:val="font24"/>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481">
    <w:name w:val="font25"/>
    <w:basedOn w:val="1"/>
    <w:qFormat/>
    <w:uiPriority w:val="0"/>
    <w:pPr>
      <w:widowControl/>
      <w:spacing w:before="100" w:beforeAutospacing="1" w:after="100" w:afterAutospacing="1"/>
      <w:jc w:val="left"/>
    </w:pPr>
    <w:rPr>
      <w:rFonts w:ascii="宋体" w:hAnsi="宋体" w:cs="宋体"/>
      <w:b/>
      <w:bCs/>
      <w:color w:val="000000"/>
      <w:kern w:val="0"/>
      <w:sz w:val="20"/>
    </w:rPr>
  </w:style>
  <w:style w:type="paragraph" w:customStyle="1" w:styleId="482">
    <w:name w:val="font2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83">
    <w:name w:val="font27"/>
    <w:basedOn w:val="1"/>
    <w:qFormat/>
    <w:uiPriority w:val="0"/>
    <w:pPr>
      <w:widowControl/>
      <w:spacing w:before="100" w:beforeAutospacing="1" w:after="100" w:afterAutospacing="1"/>
      <w:jc w:val="left"/>
    </w:pPr>
    <w:rPr>
      <w:color w:val="000000"/>
      <w:kern w:val="0"/>
      <w:sz w:val="24"/>
      <w:szCs w:val="24"/>
    </w:rPr>
  </w:style>
  <w:style w:type="paragraph" w:customStyle="1" w:styleId="484">
    <w:name w:val="font28"/>
    <w:basedOn w:val="1"/>
    <w:qFormat/>
    <w:uiPriority w:val="0"/>
    <w:pPr>
      <w:widowControl/>
      <w:spacing w:before="100" w:beforeAutospacing="1" w:after="100" w:afterAutospacing="1"/>
      <w:jc w:val="left"/>
    </w:pPr>
    <w:rPr>
      <w:color w:val="000000"/>
      <w:kern w:val="0"/>
      <w:sz w:val="18"/>
      <w:szCs w:val="18"/>
    </w:rPr>
  </w:style>
  <w:style w:type="paragraph" w:customStyle="1" w:styleId="485">
    <w:name w:val="font29"/>
    <w:basedOn w:val="1"/>
    <w:qFormat/>
    <w:uiPriority w:val="0"/>
    <w:pPr>
      <w:widowControl/>
      <w:spacing w:before="100" w:beforeAutospacing="1" w:after="100" w:afterAutospacing="1"/>
      <w:jc w:val="left"/>
    </w:pPr>
    <w:rPr>
      <w:rFonts w:ascii="宋体" w:hAnsi="宋体" w:cs="宋体"/>
      <w:color w:val="000000"/>
      <w:kern w:val="0"/>
      <w:sz w:val="20"/>
      <w:vertAlign w:val="superscript"/>
    </w:rPr>
  </w:style>
  <w:style w:type="paragraph" w:customStyle="1" w:styleId="486">
    <w:name w:val="e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7">
    <w:name w:val="et9"/>
    <w:basedOn w:val="1"/>
    <w:qFormat/>
    <w:uiPriority w:val="0"/>
    <w:pPr>
      <w:widowControl/>
      <w:spacing w:before="100" w:beforeAutospacing="1" w:after="100" w:afterAutospacing="1"/>
      <w:jc w:val="left"/>
      <w:textAlignment w:val="top"/>
    </w:pPr>
    <w:rPr>
      <w:rFonts w:ascii="宋体" w:hAnsi="宋体" w:cs="宋体"/>
      <w:kern w:val="0"/>
      <w:sz w:val="18"/>
      <w:szCs w:val="18"/>
    </w:rPr>
  </w:style>
  <w:style w:type="paragraph" w:customStyle="1" w:styleId="488">
    <w:name w:val="et10"/>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489">
    <w:name w:val="et11"/>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490">
    <w:name w:val="et12"/>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491">
    <w:name w:val="et13"/>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92">
    <w:name w:val="et14"/>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493">
    <w:name w:val="et15"/>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494">
    <w:name w:val="et17"/>
    <w:basedOn w:val="1"/>
    <w:qFormat/>
    <w:uiPriority w:val="0"/>
    <w:pPr>
      <w:widowControl/>
      <w:shd w:val="clear" w:color="auto" w:fill="FFFFFF"/>
      <w:spacing w:before="100" w:beforeAutospacing="1" w:after="100" w:afterAutospacing="1"/>
      <w:jc w:val="left"/>
    </w:pPr>
    <w:rPr>
      <w:rFonts w:ascii="宋体" w:hAnsi="宋体" w:cs="宋体"/>
      <w:b/>
      <w:bCs/>
      <w:color w:val="000000"/>
      <w:kern w:val="0"/>
      <w:sz w:val="18"/>
      <w:szCs w:val="18"/>
    </w:rPr>
  </w:style>
  <w:style w:type="paragraph" w:customStyle="1" w:styleId="495">
    <w:name w:val="et18"/>
    <w:basedOn w:val="1"/>
    <w:qFormat/>
    <w:uiPriority w:val="0"/>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96">
    <w:name w:val="et19"/>
    <w:basedOn w:val="1"/>
    <w:qFormat/>
    <w:uiPriority w:val="0"/>
    <w:pPr>
      <w:widowControl/>
      <w:shd w:val="clear" w:color="auto" w:fill="FFFFFF"/>
      <w:spacing w:before="100" w:beforeAutospacing="1" w:after="100" w:afterAutospacing="1"/>
      <w:jc w:val="left"/>
    </w:pPr>
    <w:rPr>
      <w:rFonts w:ascii="宋体" w:hAnsi="宋体" w:cs="宋体"/>
      <w:kern w:val="0"/>
      <w:sz w:val="18"/>
      <w:szCs w:val="18"/>
    </w:rPr>
  </w:style>
  <w:style w:type="paragraph" w:customStyle="1" w:styleId="497">
    <w:name w:val="et20"/>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98">
    <w:name w:val="et21"/>
    <w:basedOn w:val="1"/>
    <w:qFormat/>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99">
    <w:name w:val="et23"/>
    <w:basedOn w:val="1"/>
    <w:qFormat/>
    <w:uiPriority w:val="0"/>
    <w:pPr>
      <w:widowControl/>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500">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501">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502">
    <w:name w:val="et26"/>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503">
    <w:name w:val="et29"/>
    <w:basedOn w:val="1"/>
    <w:qFormat/>
    <w:uiPriority w:val="0"/>
    <w:pPr>
      <w:widowControl/>
      <w:shd w:val="clear" w:color="auto" w:fill="92D050"/>
      <w:spacing w:before="100" w:beforeAutospacing="1" w:after="100" w:afterAutospacing="1"/>
      <w:jc w:val="left"/>
      <w:textAlignment w:val="center"/>
    </w:pPr>
    <w:rPr>
      <w:rFonts w:ascii="宋体" w:hAnsi="宋体" w:cs="宋体"/>
      <w:color w:val="000000"/>
      <w:kern w:val="0"/>
      <w:sz w:val="22"/>
      <w:szCs w:val="22"/>
    </w:rPr>
  </w:style>
  <w:style w:type="paragraph" w:customStyle="1" w:styleId="504">
    <w:name w:val="et30"/>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505">
    <w:name w:val="et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506">
    <w:name w:val="et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507">
    <w:name w:val="et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508">
    <w:name w:val="et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509">
    <w:name w:val="et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510">
    <w:name w:val="et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color w:val="000000"/>
      <w:kern w:val="0"/>
      <w:sz w:val="18"/>
      <w:szCs w:val="18"/>
    </w:rPr>
  </w:style>
  <w:style w:type="paragraph" w:customStyle="1" w:styleId="511">
    <w:name w:val="et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512">
    <w:name w:val="et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513">
    <w:name w:val="et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b/>
      <w:bCs/>
      <w:color w:val="000000"/>
      <w:kern w:val="0"/>
      <w:sz w:val="18"/>
      <w:szCs w:val="18"/>
    </w:rPr>
  </w:style>
  <w:style w:type="paragraph" w:customStyle="1" w:styleId="514">
    <w:name w:val="et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515">
    <w:name w:val="et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516">
    <w:name w:val="et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517">
    <w:name w:val="et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518">
    <w:name w:val="et44"/>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19">
    <w:name w:val="et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20">
    <w:name w:val="et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18"/>
      <w:szCs w:val="18"/>
    </w:rPr>
  </w:style>
  <w:style w:type="paragraph" w:customStyle="1" w:styleId="521">
    <w:name w:val="et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22">
    <w:name w:val="et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23">
    <w:name w:val="et49"/>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524">
    <w:name w:val="et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525">
    <w:name w:val="et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526">
    <w:name w:val="et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527">
    <w:name w:val="et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28">
    <w:name w:val="et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529">
    <w:name w:val="et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kern w:val="0"/>
      <w:sz w:val="18"/>
      <w:szCs w:val="18"/>
    </w:rPr>
  </w:style>
  <w:style w:type="paragraph" w:customStyle="1" w:styleId="530">
    <w:name w:val="et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FF0000"/>
      <w:kern w:val="0"/>
      <w:sz w:val="18"/>
      <w:szCs w:val="18"/>
    </w:rPr>
  </w:style>
  <w:style w:type="paragraph" w:customStyle="1" w:styleId="531">
    <w:name w:val="et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FF0000"/>
      <w:kern w:val="0"/>
      <w:sz w:val="18"/>
      <w:szCs w:val="18"/>
    </w:rPr>
  </w:style>
  <w:style w:type="paragraph" w:customStyle="1" w:styleId="532">
    <w:name w:val="et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FF0000"/>
      <w:kern w:val="0"/>
      <w:sz w:val="18"/>
      <w:szCs w:val="18"/>
    </w:rPr>
  </w:style>
  <w:style w:type="paragraph" w:customStyle="1" w:styleId="533">
    <w:name w:val="et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534">
    <w:name w:val="et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FF0000"/>
      <w:kern w:val="0"/>
      <w:sz w:val="18"/>
      <w:szCs w:val="18"/>
    </w:rPr>
  </w:style>
  <w:style w:type="paragraph" w:customStyle="1" w:styleId="535">
    <w:name w:val="et6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36">
    <w:name w:val="et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37">
    <w:name w:val="et66"/>
    <w:basedOn w:val="1"/>
    <w:qFormat/>
    <w:uiPriority w:val="0"/>
    <w:pPr>
      <w:widowControl/>
      <w:pBdr>
        <w:top w:val="single" w:color="000000" w:sz="4" w:space="0"/>
        <w:left w:val="single" w:color="000000" w:sz="4" w:space="0"/>
      </w:pBdr>
      <w:shd w:val="clear" w:color="auto" w:fill="92D050"/>
      <w:spacing w:before="100" w:beforeAutospacing="1" w:after="100" w:afterAutospacing="1"/>
      <w:jc w:val="center"/>
      <w:textAlignment w:val="center"/>
    </w:pPr>
    <w:rPr>
      <w:rFonts w:ascii="宋体" w:hAnsi="宋体" w:cs="宋体"/>
      <w:color w:val="000000"/>
      <w:kern w:val="0"/>
      <w:sz w:val="18"/>
      <w:szCs w:val="18"/>
    </w:rPr>
  </w:style>
  <w:style w:type="paragraph" w:customStyle="1" w:styleId="538">
    <w:name w:val="et6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left"/>
      <w:textAlignment w:val="center"/>
    </w:pPr>
    <w:rPr>
      <w:rFonts w:ascii="宋体" w:hAnsi="宋体" w:cs="宋体"/>
      <w:color w:val="000000"/>
      <w:kern w:val="0"/>
      <w:sz w:val="18"/>
      <w:szCs w:val="18"/>
    </w:rPr>
  </w:style>
  <w:style w:type="paragraph" w:customStyle="1" w:styleId="539">
    <w:name w:val="et6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left"/>
      <w:textAlignment w:val="center"/>
    </w:pPr>
    <w:rPr>
      <w:rFonts w:ascii="宋体" w:hAnsi="宋体" w:cs="宋体"/>
      <w:color w:val="000000"/>
      <w:kern w:val="0"/>
      <w:sz w:val="18"/>
      <w:szCs w:val="18"/>
    </w:rPr>
  </w:style>
  <w:style w:type="paragraph" w:customStyle="1" w:styleId="540">
    <w:name w:val="et6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center"/>
      <w:textAlignment w:val="center"/>
    </w:pPr>
    <w:rPr>
      <w:rFonts w:ascii="宋体" w:hAnsi="宋体" w:cs="宋体"/>
      <w:color w:val="000000"/>
      <w:kern w:val="0"/>
      <w:sz w:val="18"/>
      <w:szCs w:val="18"/>
    </w:rPr>
  </w:style>
  <w:style w:type="paragraph" w:customStyle="1" w:styleId="541">
    <w:name w:val="et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left"/>
      <w:textAlignment w:val="center"/>
    </w:pPr>
    <w:rPr>
      <w:rFonts w:ascii="宋体" w:hAnsi="宋体" w:cs="宋体"/>
      <w:kern w:val="0"/>
      <w:sz w:val="18"/>
      <w:szCs w:val="18"/>
    </w:rPr>
  </w:style>
  <w:style w:type="paragraph" w:customStyle="1" w:styleId="542">
    <w:name w:val="et72"/>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543">
    <w:name w:val="et73"/>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544">
    <w:name w:val="et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545">
    <w:name w:val="et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546">
    <w:name w:val="et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b/>
      <w:bCs/>
      <w:color w:val="000000"/>
      <w:kern w:val="0"/>
      <w:sz w:val="18"/>
      <w:szCs w:val="18"/>
    </w:rPr>
  </w:style>
  <w:style w:type="paragraph" w:customStyle="1" w:styleId="547">
    <w:name w:val="et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548">
    <w:name w:val="et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549">
    <w:name w:val="et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550">
    <w:name w:val="et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51">
    <w:name w:val="et8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52">
    <w:name w:val="et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53">
    <w:name w:val="et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54">
    <w:name w:val="et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55">
    <w:name w:val="et86"/>
    <w:basedOn w:val="1"/>
    <w:qFormat/>
    <w:uiPriority w:val="0"/>
    <w:pPr>
      <w:widowControl/>
      <w:pBdr>
        <w:top w:val="single" w:color="000000" w:sz="4" w:space="0"/>
        <w:left w:val="single" w:color="000000" w:sz="4" w:space="0"/>
      </w:pBdr>
      <w:shd w:val="clear" w:color="auto" w:fill="92D050"/>
      <w:spacing w:before="100" w:beforeAutospacing="1" w:after="100" w:afterAutospacing="1"/>
      <w:jc w:val="center"/>
      <w:textAlignment w:val="center"/>
    </w:pPr>
    <w:rPr>
      <w:rFonts w:ascii="宋体" w:hAnsi="宋体" w:cs="宋体"/>
      <w:color w:val="000000"/>
      <w:kern w:val="0"/>
      <w:sz w:val="18"/>
      <w:szCs w:val="18"/>
    </w:rPr>
  </w:style>
  <w:style w:type="paragraph" w:customStyle="1" w:styleId="556">
    <w:name w:val="et8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left"/>
      <w:textAlignment w:val="center"/>
    </w:pPr>
    <w:rPr>
      <w:rFonts w:ascii="宋体" w:hAnsi="宋体" w:cs="宋体"/>
      <w:color w:val="000000"/>
      <w:kern w:val="0"/>
      <w:sz w:val="18"/>
      <w:szCs w:val="18"/>
    </w:rPr>
  </w:style>
  <w:style w:type="paragraph" w:customStyle="1" w:styleId="557">
    <w:name w:val="et8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left"/>
      <w:textAlignment w:val="center"/>
    </w:pPr>
    <w:rPr>
      <w:rFonts w:ascii="宋体" w:hAnsi="宋体" w:cs="宋体"/>
      <w:color w:val="000000"/>
      <w:kern w:val="0"/>
      <w:sz w:val="18"/>
      <w:szCs w:val="18"/>
    </w:rPr>
  </w:style>
  <w:style w:type="paragraph" w:customStyle="1" w:styleId="558">
    <w:name w:val="et8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center"/>
      <w:textAlignment w:val="center"/>
    </w:pPr>
    <w:rPr>
      <w:rFonts w:ascii="宋体" w:hAnsi="宋体" w:cs="宋体"/>
      <w:color w:val="000000"/>
      <w:kern w:val="0"/>
      <w:sz w:val="18"/>
      <w:szCs w:val="18"/>
    </w:rPr>
  </w:style>
  <w:style w:type="paragraph" w:customStyle="1" w:styleId="559">
    <w:name w:val="et9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left"/>
      <w:textAlignment w:val="center"/>
    </w:pPr>
    <w:rPr>
      <w:rFonts w:ascii="宋体" w:hAnsi="宋体" w:cs="宋体"/>
      <w:color w:val="000000"/>
      <w:kern w:val="0"/>
      <w:sz w:val="18"/>
      <w:szCs w:val="18"/>
    </w:rPr>
  </w:style>
  <w:style w:type="paragraph" w:customStyle="1" w:styleId="560">
    <w:name w:val="et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561">
    <w:name w:val="et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562">
    <w:name w:val="et9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563">
    <w:name w:val="et9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left"/>
      <w:textAlignment w:val="center"/>
    </w:pPr>
    <w:rPr>
      <w:rFonts w:ascii="宋体" w:hAnsi="宋体" w:cs="宋体"/>
      <w:kern w:val="0"/>
      <w:sz w:val="18"/>
      <w:szCs w:val="18"/>
    </w:rPr>
  </w:style>
  <w:style w:type="paragraph" w:customStyle="1" w:styleId="564">
    <w:name w:val="et96"/>
    <w:basedOn w:val="1"/>
    <w:qFormat/>
    <w:uiPriority w:val="0"/>
    <w:pPr>
      <w:widowControl/>
      <w:pBdr>
        <w:top w:val="single" w:color="000000" w:sz="4" w:space="0"/>
        <w:left w:val="single" w:color="000000" w:sz="4" w:space="0"/>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565">
    <w:name w:val="et9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18"/>
      <w:szCs w:val="18"/>
    </w:rPr>
  </w:style>
  <w:style w:type="paragraph" w:customStyle="1" w:styleId="566">
    <w:name w:val="et9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18"/>
      <w:szCs w:val="18"/>
    </w:rPr>
  </w:style>
  <w:style w:type="paragraph" w:customStyle="1" w:styleId="567">
    <w:name w:val="et9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top"/>
    </w:pPr>
    <w:rPr>
      <w:rFonts w:ascii="宋体" w:hAnsi="宋体" w:cs="宋体"/>
      <w:kern w:val="0"/>
      <w:sz w:val="18"/>
      <w:szCs w:val="18"/>
    </w:rPr>
  </w:style>
  <w:style w:type="paragraph" w:customStyle="1" w:styleId="568">
    <w:name w:val="et10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569">
    <w:name w:val="et10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18"/>
      <w:szCs w:val="18"/>
    </w:rPr>
  </w:style>
  <w:style w:type="paragraph" w:customStyle="1" w:styleId="570">
    <w:name w:val="et10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571">
    <w:name w:val="et10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572">
    <w:name w:val="et10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宋体" w:hAnsi="宋体" w:cs="宋体"/>
      <w:kern w:val="0"/>
      <w:sz w:val="18"/>
      <w:szCs w:val="18"/>
    </w:rPr>
  </w:style>
  <w:style w:type="paragraph" w:customStyle="1" w:styleId="573">
    <w:name w:val="et10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574">
    <w:name w:val="et108"/>
    <w:basedOn w:val="1"/>
    <w:qFormat/>
    <w:uiPriority w:val="0"/>
    <w:pPr>
      <w:widowControl/>
      <w:pBdr>
        <w:top w:val="single" w:color="000000" w:sz="4" w:space="0"/>
        <w:left w:val="single" w:color="000000" w:sz="4" w:space="0"/>
      </w:pBdr>
      <w:spacing w:before="100" w:beforeAutospacing="1" w:after="100" w:afterAutospacing="1"/>
      <w:jc w:val="right"/>
      <w:textAlignment w:val="center"/>
    </w:pPr>
    <w:rPr>
      <w:rFonts w:ascii="宋体" w:hAnsi="宋体" w:cs="宋体"/>
      <w:b/>
      <w:bCs/>
      <w:color w:val="000000"/>
      <w:kern w:val="0"/>
      <w:sz w:val="18"/>
      <w:szCs w:val="18"/>
    </w:rPr>
  </w:style>
  <w:style w:type="paragraph" w:customStyle="1" w:styleId="575">
    <w:name w:val="et10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576">
    <w:name w:val="et1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577">
    <w:name w:val="et1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kern w:val="0"/>
      <w:sz w:val="18"/>
      <w:szCs w:val="18"/>
    </w:rPr>
  </w:style>
  <w:style w:type="paragraph" w:customStyle="1" w:styleId="578">
    <w:name w:val="et1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kern w:val="0"/>
      <w:sz w:val="18"/>
      <w:szCs w:val="18"/>
    </w:rPr>
  </w:style>
  <w:style w:type="paragraph" w:customStyle="1" w:styleId="579">
    <w:name w:val="et1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580">
    <w:name w:val="et1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581">
    <w:name w:val="et1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kern w:val="0"/>
      <w:sz w:val="18"/>
      <w:szCs w:val="18"/>
    </w:rPr>
  </w:style>
  <w:style w:type="paragraph" w:customStyle="1" w:styleId="582">
    <w:name w:val="et1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kern w:val="0"/>
      <w:sz w:val="18"/>
      <w:szCs w:val="18"/>
    </w:rPr>
  </w:style>
  <w:style w:type="paragraph" w:customStyle="1" w:styleId="583">
    <w:name w:val="et1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584">
    <w:name w:val="et1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85">
    <w:name w:val="et1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86">
    <w:name w:val="et1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87">
    <w:name w:val="et1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18"/>
      <w:szCs w:val="18"/>
    </w:rPr>
  </w:style>
  <w:style w:type="paragraph" w:customStyle="1" w:styleId="588">
    <w:name w:val="et1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kern w:val="0"/>
      <w:sz w:val="18"/>
      <w:szCs w:val="18"/>
    </w:rPr>
  </w:style>
  <w:style w:type="paragraph" w:customStyle="1" w:styleId="589">
    <w:name w:val="et1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90">
    <w:name w:val="et12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591">
    <w:name w:val="et12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592">
    <w:name w:val="et1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593">
    <w:name w:val="et1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kern w:val="0"/>
      <w:sz w:val="18"/>
      <w:szCs w:val="18"/>
    </w:rPr>
  </w:style>
  <w:style w:type="paragraph" w:customStyle="1" w:styleId="594">
    <w:name w:val="et1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595">
    <w:name w:val="et1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596">
    <w:name w:val="et1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597">
    <w:name w:val="et1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98">
    <w:name w:val="et1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18"/>
      <w:szCs w:val="18"/>
    </w:rPr>
  </w:style>
  <w:style w:type="paragraph" w:customStyle="1" w:styleId="599">
    <w:name w:val="et1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600">
    <w:name w:val="et1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18"/>
      <w:szCs w:val="18"/>
    </w:rPr>
  </w:style>
  <w:style w:type="paragraph" w:customStyle="1" w:styleId="601">
    <w:name w:val="et1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602">
    <w:name w:val="et1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603">
    <w:name w:val="et1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604">
    <w:name w:val="et14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s="宋体"/>
      <w:kern w:val="0"/>
      <w:sz w:val="18"/>
      <w:szCs w:val="18"/>
    </w:rPr>
  </w:style>
  <w:style w:type="paragraph" w:customStyle="1" w:styleId="605">
    <w:name w:val="et1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606">
    <w:name w:val="et14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607">
    <w:name w:val="et144"/>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608">
    <w:name w:val="et1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609">
    <w:name w:val="et1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610">
    <w:name w:val="et14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611">
    <w:name w:val="et1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612">
    <w:name w:val="et1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18"/>
      <w:szCs w:val="18"/>
    </w:rPr>
  </w:style>
  <w:style w:type="paragraph" w:customStyle="1" w:styleId="613">
    <w:name w:val="et1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614">
    <w:name w:val="et1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FF0000"/>
      <w:kern w:val="0"/>
      <w:sz w:val="18"/>
      <w:szCs w:val="18"/>
    </w:rPr>
  </w:style>
  <w:style w:type="paragraph" w:customStyle="1" w:styleId="615">
    <w:name w:val="et1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616">
    <w:name w:val="et15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617">
    <w:name w:val="et15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kern w:val="0"/>
      <w:sz w:val="18"/>
      <w:szCs w:val="18"/>
    </w:rPr>
  </w:style>
  <w:style w:type="paragraph" w:customStyle="1" w:styleId="618">
    <w:name w:val="et15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center"/>
      <w:textAlignment w:val="center"/>
    </w:pPr>
    <w:rPr>
      <w:rFonts w:ascii="宋体" w:hAnsi="宋体" w:cs="宋体"/>
      <w:kern w:val="0"/>
      <w:sz w:val="18"/>
      <w:szCs w:val="18"/>
    </w:rPr>
  </w:style>
  <w:style w:type="paragraph" w:customStyle="1" w:styleId="619">
    <w:name w:val="et15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left"/>
      <w:textAlignment w:val="center"/>
    </w:pPr>
    <w:rPr>
      <w:rFonts w:ascii="宋体" w:hAnsi="宋体" w:cs="宋体"/>
      <w:kern w:val="0"/>
      <w:sz w:val="18"/>
      <w:szCs w:val="18"/>
    </w:rPr>
  </w:style>
  <w:style w:type="paragraph" w:customStyle="1" w:styleId="620">
    <w:name w:val="et15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left"/>
      <w:textAlignment w:val="center"/>
    </w:pPr>
    <w:rPr>
      <w:rFonts w:ascii="宋体" w:hAnsi="宋体" w:cs="宋体"/>
      <w:color w:val="000000"/>
      <w:kern w:val="0"/>
      <w:sz w:val="18"/>
      <w:szCs w:val="18"/>
    </w:rPr>
  </w:style>
  <w:style w:type="paragraph" w:customStyle="1" w:styleId="621">
    <w:name w:val="et15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center"/>
      <w:textAlignment w:val="center"/>
    </w:pPr>
    <w:rPr>
      <w:rFonts w:ascii="宋体" w:hAnsi="宋体" w:cs="宋体"/>
      <w:kern w:val="0"/>
      <w:sz w:val="18"/>
      <w:szCs w:val="18"/>
    </w:rPr>
  </w:style>
  <w:style w:type="paragraph" w:customStyle="1" w:styleId="622">
    <w:name w:val="et16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right"/>
      <w:textAlignment w:val="center"/>
    </w:pPr>
    <w:rPr>
      <w:rFonts w:ascii="宋体" w:hAnsi="宋体" w:cs="宋体"/>
      <w:kern w:val="0"/>
      <w:sz w:val="18"/>
      <w:szCs w:val="18"/>
    </w:rPr>
  </w:style>
  <w:style w:type="paragraph" w:customStyle="1" w:styleId="623">
    <w:name w:val="et16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right"/>
      <w:textAlignment w:val="center"/>
    </w:pPr>
    <w:rPr>
      <w:rFonts w:ascii="宋体" w:hAnsi="宋体" w:cs="宋体"/>
      <w:kern w:val="0"/>
      <w:sz w:val="18"/>
      <w:szCs w:val="18"/>
    </w:rPr>
  </w:style>
  <w:style w:type="paragraph" w:customStyle="1" w:styleId="624">
    <w:name w:val="et16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kern w:val="0"/>
      <w:sz w:val="18"/>
      <w:szCs w:val="18"/>
    </w:rPr>
  </w:style>
  <w:style w:type="paragraph" w:customStyle="1" w:styleId="625">
    <w:name w:val="et1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626">
    <w:name w:val="et1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kern w:val="0"/>
      <w:sz w:val="18"/>
      <w:szCs w:val="18"/>
    </w:rPr>
  </w:style>
  <w:style w:type="paragraph" w:customStyle="1" w:styleId="627">
    <w:name w:val="et1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628">
    <w:name w:val="et1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629">
    <w:name w:val="et1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630">
    <w:name w:val="et1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631">
    <w:name w:val="et1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632">
    <w:name w:val="et1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633">
    <w:name w:val="et1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634">
    <w:name w:val="et1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635">
    <w:name w:val="et1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636">
    <w:name w:val="et1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637">
    <w:name w:val="et1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638">
    <w:name w:val="et1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639">
    <w:name w:val="et1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640">
    <w:name w:val="et1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641">
    <w:name w:val="et18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textAlignment w:val="center"/>
    </w:pPr>
    <w:rPr>
      <w:rFonts w:ascii="宋体" w:hAnsi="宋体" w:cs="宋体"/>
      <w:color w:val="000000"/>
      <w:kern w:val="0"/>
      <w:sz w:val="18"/>
      <w:szCs w:val="18"/>
    </w:rPr>
  </w:style>
  <w:style w:type="paragraph" w:customStyle="1" w:styleId="642">
    <w:name w:val="et18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center"/>
      <w:textAlignment w:val="center"/>
    </w:pPr>
    <w:rPr>
      <w:rFonts w:ascii="宋体" w:hAnsi="宋体" w:cs="宋体"/>
      <w:color w:val="000000"/>
      <w:kern w:val="0"/>
      <w:sz w:val="18"/>
      <w:szCs w:val="18"/>
    </w:rPr>
  </w:style>
  <w:style w:type="paragraph" w:customStyle="1" w:styleId="643">
    <w:name w:val="et1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textAlignment w:val="center"/>
    </w:pPr>
    <w:rPr>
      <w:rFonts w:ascii="宋体" w:hAnsi="宋体" w:cs="宋体"/>
      <w:color w:val="000000"/>
      <w:kern w:val="0"/>
      <w:sz w:val="24"/>
      <w:szCs w:val="24"/>
    </w:rPr>
  </w:style>
  <w:style w:type="paragraph" w:customStyle="1" w:styleId="644">
    <w:name w:val="et1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645">
    <w:name w:val="et1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24"/>
      <w:szCs w:val="24"/>
    </w:rPr>
  </w:style>
  <w:style w:type="paragraph" w:customStyle="1" w:styleId="646">
    <w:name w:val="et1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647">
    <w:name w:val="et1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648">
    <w:name w:val="et18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kern w:val="0"/>
      <w:sz w:val="24"/>
      <w:szCs w:val="24"/>
    </w:rPr>
  </w:style>
  <w:style w:type="paragraph" w:customStyle="1" w:styleId="649">
    <w:name w:val="et1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650">
    <w:name w:val="et19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24"/>
      <w:szCs w:val="24"/>
    </w:rPr>
  </w:style>
  <w:style w:type="paragraph" w:customStyle="1" w:styleId="651">
    <w:name w:val="et1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24"/>
      <w:szCs w:val="24"/>
    </w:rPr>
  </w:style>
  <w:style w:type="paragraph" w:customStyle="1" w:styleId="652">
    <w:name w:val="et1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653">
    <w:name w:val="et1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654">
    <w:name w:val="et19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655">
    <w:name w:val="et1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b/>
      <w:bCs/>
      <w:kern w:val="0"/>
      <w:sz w:val="24"/>
      <w:szCs w:val="24"/>
    </w:rPr>
  </w:style>
  <w:style w:type="paragraph" w:customStyle="1" w:styleId="656">
    <w:name w:val="et1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657">
    <w:name w:val="et1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658">
    <w:name w:val="et19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szCs w:val="24"/>
    </w:rPr>
  </w:style>
  <w:style w:type="character" w:customStyle="1" w:styleId="659">
    <w:name w:val="font151"/>
    <w:basedOn w:val="50"/>
    <w:qFormat/>
    <w:uiPriority w:val="0"/>
    <w:rPr>
      <w:rFonts w:hint="eastAsia" w:ascii="宋体" w:hAnsi="宋体" w:eastAsia="宋体"/>
      <w:color w:val="000000"/>
      <w:sz w:val="18"/>
      <w:szCs w:val="18"/>
      <w:u w:val="none"/>
    </w:rPr>
  </w:style>
  <w:style w:type="character" w:customStyle="1" w:styleId="660">
    <w:name w:val="font210"/>
    <w:basedOn w:val="50"/>
    <w:qFormat/>
    <w:uiPriority w:val="0"/>
    <w:rPr>
      <w:rFonts w:hint="eastAsia" w:ascii="宋体" w:hAnsi="宋体" w:eastAsia="宋体"/>
      <w:color w:val="000000"/>
      <w:sz w:val="18"/>
      <w:szCs w:val="18"/>
      <w:u w:val="none"/>
    </w:rPr>
  </w:style>
  <w:style w:type="character" w:customStyle="1" w:styleId="661">
    <w:name w:val="font181"/>
    <w:basedOn w:val="50"/>
    <w:qFormat/>
    <w:uiPriority w:val="0"/>
    <w:rPr>
      <w:rFonts w:hint="eastAsia" w:ascii="宋体" w:hAnsi="宋体" w:eastAsia="宋体"/>
      <w:color w:val="000000"/>
      <w:sz w:val="18"/>
      <w:szCs w:val="18"/>
      <w:u w:val="none"/>
    </w:rPr>
  </w:style>
  <w:style w:type="character" w:customStyle="1" w:styleId="662">
    <w:name w:val="font281"/>
    <w:basedOn w:val="50"/>
    <w:qFormat/>
    <w:uiPriority w:val="0"/>
    <w:rPr>
      <w:rFonts w:hint="default" w:ascii="Times New Roman" w:hAnsi="Times New Roman" w:cs="Times New Roman"/>
      <w:color w:val="000000"/>
      <w:sz w:val="18"/>
      <w:szCs w:val="18"/>
      <w:u w:val="none"/>
    </w:rPr>
  </w:style>
  <w:style w:type="character" w:customStyle="1" w:styleId="663">
    <w:name w:val="font41"/>
    <w:basedOn w:val="50"/>
    <w:qFormat/>
    <w:uiPriority w:val="0"/>
    <w:rPr>
      <w:rFonts w:hint="eastAsia" w:ascii="宋体" w:hAnsi="宋体" w:eastAsia="宋体"/>
      <w:b/>
      <w:bCs/>
      <w:color w:val="000000"/>
      <w:sz w:val="18"/>
      <w:szCs w:val="18"/>
      <w:u w:val="none"/>
    </w:rPr>
  </w:style>
  <w:style w:type="character" w:customStyle="1" w:styleId="664">
    <w:name w:val="font221"/>
    <w:basedOn w:val="50"/>
    <w:qFormat/>
    <w:uiPriority w:val="0"/>
    <w:rPr>
      <w:rFonts w:hint="eastAsia" w:ascii="宋体" w:hAnsi="宋体" w:eastAsia="宋体"/>
      <w:color w:val="000000"/>
      <w:sz w:val="20"/>
      <w:szCs w:val="20"/>
      <w:u w:val="none"/>
    </w:rPr>
  </w:style>
  <w:style w:type="character" w:customStyle="1" w:styleId="665">
    <w:name w:val="font291"/>
    <w:basedOn w:val="50"/>
    <w:qFormat/>
    <w:uiPriority w:val="0"/>
    <w:rPr>
      <w:rFonts w:hint="eastAsia" w:ascii="宋体" w:hAnsi="宋体" w:eastAsia="宋体"/>
      <w:color w:val="000000"/>
      <w:sz w:val="20"/>
      <w:szCs w:val="20"/>
      <w:u w:val="none"/>
      <w:vertAlign w:val="superscript"/>
    </w:rPr>
  </w:style>
  <w:style w:type="character" w:customStyle="1" w:styleId="666">
    <w:name w:val="font211"/>
    <w:basedOn w:val="50"/>
    <w:qFormat/>
    <w:uiPriority w:val="0"/>
    <w:rPr>
      <w:rFonts w:hint="eastAsia" w:ascii="宋体" w:hAnsi="宋体" w:eastAsia="宋体"/>
      <w:color w:val="000000"/>
      <w:sz w:val="20"/>
      <w:szCs w:val="20"/>
      <w:u w:val="none"/>
    </w:rPr>
  </w:style>
  <w:style w:type="character" w:customStyle="1" w:styleId="667">
    <w:name w:val="font61"/>
    <w:basedOn w:val="50"/>
    <w:qFormat/>
    <w:uiPriority w:val="0"/>
    <w:rPr>
      <w:rFonts w:hint="eastAsia" w:ascii="宋体" w:hAnsi="宋体" w:eastAsia="宋体"/>
      <w:color w:val="000000"/>
      <w:sz w:val="20"/>
      <w:szCs w:val="20"/>
      <w:u w:val="none"/>
      <w:vertAlign w:val="superscript"/>
    </w:rPr>
  </w:style>
  <w:style w:type="character" w:customStyle="1" w:styleId="668">
    <w:name w:val="font241"/>
    <w:basedOn w:val="50"/>
    <w:qFormat/>
    <w:uiPriority w:val="0"/>
    <w:rPr>
      <w:rFonts w:hint="eastAsia" w:ascii="宋体" w:hAnsi="宋体" w:eastAsia="宋体"/>
      <w:color w:val="000000"/>
      <w:sz w:val="20"/>
      <w:szCs w:val="20"/>
      <w:u w:val="none"/>
    </w:rPr>
  </w:style>
  <w:style w:type="paragraph" w:customStyle="1" w:styleId="669">
    <w:name w:val="font30"/>
    <w:basedOn w:val="1"/>
    <w:qFormat/>
    <w:uiPriority w:val="0"/>
    <w:pPr>
      <w:widowControl/>
      <w:spacing w:before="100" w:beforeAutospacing="1" w:after="100" w:afterAutospacing="1"/>
      <w:jc w:val="left"/>
    </w:pPr>
    <w:rPr>
      <w:rFonts w:ascii="宋体" w:hAnsi="宋体" w:cs="宋体"/>
      <w:color w:val="000000"/>
      <w:kern w:val="0"/>
      <w:sz w:val="20"/>
      <w:vertAlign w:val="superscript"/>
    </w:rPr>
  </w:style>
  <w:style w:type="paragraph" w:customStyle="1" w:styleId="670">
    <w:name w:val="et16"/>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671">
    <w:name w:val="et22"/>
    <w:basedOn w:val="1"/>
    <w:qFormat/>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672">
    <w:name w:val="et27"/>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673">
    <w:name w:val="et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674">
    <w:name w:val="et6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FF0000"/>
      <w:kern w:val="0"/>
      <w:sz w:val="18"/>
      <w:szCs w:val="18"/>
    </w:rPr>
  </w:style>
  <w:style w:type="paragraph" w:customStyle="1" w:styleId="675">
    <w:name w:val="et7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center"/>
      <w:textAlignment w:val="center"/>
    </w:pPr>
    <w:rPr>
      <w:rFonts w:ascii="宋体" w:hAnsi="宋体" w:cs="宋体"/>
      <w:color w:val="000000"/>
      <w:kern w:val="0"/>
      <w:sz w:val="18"/>
      <w:szCs w:val="18"/>
    </w:rPr>
  </w:style>
  <w:style w:type="paragraph" w:customStyle="1" w:styleId="676">
    <w:name w:val="et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677">
    <w:name w:val="et9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center"/>
      <w:textAlignment w:val="center"/>
    </w:pPr>
    <w:rPr>
      <w:rFonts w:ascii="宋体" w:hAnsi="宋体" w:cs="宋体"/>
      <w:color w:val="000000"/>
      <w:kern w:val="0"/>
      <w:sz w:val="18"/>
      <w:szCs w:val="18"/>
    </w:rPr>
  </w:style>
  <w:style w:type="paragraph" w:customStyle="1" w:styleId="678">
    <w:name w:val="et10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679">
    <w:name w:val="et10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680">
    <w:name w:val="et1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681">
    <w:name w:val="et1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18"/>
      <w:szCs w:val="18"/>
    </w:rPr>
  </w:style>
  <w:style w:type="paragraph" w:customStyle="1" w:styleId="682">
    <w:name w:val="et149"/>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683">
    <w:name w:val="et1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684">
    <w:name w:val="et1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685">
    <w:name w:val="et19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686">
    <w:name w:val="et20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b/>
      <w:bCs/>
      <w:kern w:val="0"/>
      <w:sz w:val="24"/>
      <w:szCs w:val="24"/>
    </w:rPr>
  </w:style>
  <w:style w:type="paragraph" w:customStyle="1" w:styleId="687">
    <w:name w:val="et2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688">
    <w:name w:val="et20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689">
    <w:name w:val="et20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szCs w:val="24"/>
    </w:rPr>
  </w:style>
  <w:style w:type="character" w:customStyle="1" w:styleId="690">
    <w:name w:val="font110"/>
    <w:basedOn w:val="50"/>
    <w:qFormat/>
    <w:uiPriority w:val="0"/>
    <w:rPr>
      <w:rFonts w:hint="eastAsia" w:ascii="宋体" w:hAnsi="宋体" w:eastAsia="宋体"/>
      <w:color w:val="000000"/>
      <w:sz w:val="18"/>
      <w:szCs w:val="18"/>
      <w:u w:val="none"/>
    </w:rPr>
  </w:style>
  <w:style w:type="character" w:customStyle="1" w:styleId="691">
    <w:name w:val="font51"/>
    <w:basedOn w:val="50"/>
    <w:qFormat/>
    <w:uiPriority w:val="0"/>
    <w:rPr>
      <w:rFonts w:hint="eastAsia" w:ascii="宋体" w:hAnsi="宋体" w:eastAsia="宋体"/>
      <w:b/>
      <w:bCs/>
      <w:color w:val="000000"/>
      <w:sz w:val="18"/>
      <w:szCs w:val="18"/>
      <w:u w:val="none"/>
    </w:rPr>
  </w:style>
  <w:style w:type="character" w:customStyle="1" w:styleId="692">
    <w:name w:val="font91"/>
    <w:basedOn w:val="50"/>
    <w:qFormat/>
    <w:uiPriority w:val="0"/>
    <w:rPr>
      <w:rFonts w:hint="eastAsia" w:ascii="宋体" w:hAnsi="宋体" w:eastAsia="宋体"/>
      <w:color w:val="000000"/>
      <w:sz w:val="20"/>
      <w:szCs w:val="20"/>
      <w:u w:val="none"/>
    </w:rPr>
  </w:style>
  <w:style w:type="character" w:customStyle="1" w:styleId="693">
    <w:name w:val="font191"/>
    <w:basedOn w:val="50"/>
    <w:qFormat/>
    <w:uiPriority w:val="0"/>
    <w:rPr>
      <w:rFonts w:hint="eastAsia" w:ascii="宋体" w:hAnsi="宋体" w:eastAsia="宋体"/>
      <w:color w:val="000000"/>
      <w:sz w:val="20"/>
      <w:szCs w:val="20"/>
      <w:u w:val="none"/>
    </w:rPr>
  </w:style>
  <w:style w:type="character" w:customStyle="1" w:styleId="694">
    <w:name w:val="font301"/>
    <w:basedOn w:val="50"/>
    <w:qFormat/>
    <w:uiPriority w:val="0"/>
    <w:rPr>
      <w:rFonts w:hint="eastAsia" w:ascii="宋体" w:hAnsi="宋体" w:eastAsia="宋体"/>
      <w:color w:val="000000"/>
      <w:sz w:val="20"/>
      <w:szCs w:val="20"/>
      <w:u w:val="none"/>
      <w:vertAlign w:val="superscript"/>
    </w:rPr>
  </w:style>
  <w:style w:type="character" w:customStyle="1" w:styleId="695">
    <w:name w:val="font31"/>
    <w:basedOn w:val="50"/>
    <w:qFormat/>
    <w:uiPriority w:val="0"/>
    <w:rPr>
      <w:rFonts w:hint="eastAsia" w:ascii="宋体" w:hAnsi="宋体" w:eastAsia="宋体"/>
      <w:color w:val="000000"/>
      <w:sz w:val="20"/>
      <w:szCs w:val="20"/>
      <w:u w:val="none"/>
    </w:rPr>
  </w:style>
  <w:style w:type="character" w:customStyle="1" w:styleId="696">
    <w:name w:val="font01"/>
    <w:basedOn w:val="50"/>
    <w:qFormat/>
    <w:uiPriority w:val="0"/>
    <w:rPr>
      <w:rFonts w:hint="eastAsia" w:ascii="宋体" w:hAnsi="宋体" w:eastAsia="宋体" w:cs="宋体"/>
      <w:color w:val="000000"/>
      <w:sz w:val="21"/>
      <w:szCs w:val="21"/>
      <w:u w:val="none"/>
    </w:rPr>
  </w:style>
  <w:style w:type="paragraph" w:customStyle="1" w:styleId="697">
    <w:name w:val="Char Char Char Char Char Char Char Char Char Char Char Char"/>
    <w:basedOn w:val="19"/>
    <w:qFormat/>
    <w:uiPriority w:val="0"/>
    <w:rPr>
      <w:rFonts w:ascii="Calibri" w:hAnsi="Calibri" w:eastAsia="Times New Roman"/>
      <w:sz w:val="21"/>
      <w:szCs w:val="24"/>
    </w:rPr>
  </w:style>
  <w:style w:type="paragraph" w:customStyle="1" w:styleId="698">
    <w:name w:val="列表段落1"/>
    <w:basedOn w:val="1"/>
    <w:qFormat/>
    <w:uiPriority w:val="34"/>
    <w:pPr>
      <w:ind w:firstLine="420" w:firstLineChars="200"/>
    </w:pPr>
    <w:rPr>
      <w:rFonts w:ascii="Calibri" w:hAnsi="Calibri"/>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39908</Words>
  <Characters>42200</Characters>
  <Lines>335</Lines>
  <Paragraphs>94</Paragraphs>
  <TotalTime>71</TotalTime>
  <ScaleCrop>false</ScaleCrop>
  <LinksUpToDate>false</LinksUpToDate>
  <CharactersWithSpaces>43505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2022-09-25T11:34:00Z</dcterms:created>
  <dc:creator>User</dc:creator>
  <cp:lastModifiedBy>LuyCen</cp:lastModifiedBy>
  <cp:lastPrinted>2022-08-17T07:37:00Z</cp:lastPrinted>
  <dcterms:modified xsi:type="dcterms:W3CDTF">2022-09-30T05:23:07Z</dcterms:modified>
  <dc:title>公开招标文件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61A173AAF3D54315AF89394B8E355DD8</vt:lpwstr>
  </property>
</Properties>
</file>