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临潮驿十七号综合整治提升工程</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QTCG-CS-2024-015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25"/>
        <w:rPr>
          <w:color w:val="auto"/>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杭州市钱塘区人民政府临江街道办事处</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浙江经济建设投资咨询中心有限公司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临潮驿十七号综合整治提升工程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 xml:space="preserve">4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3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9时30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pPr>
        <w:snapToGrid w:val="0"/>
        <w:spacing w:line="360" w:lineRule="auto"/>
        <w:ind w:firstLine="482" w:firstLineChars="200"/>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QTCG-CS-2024-015</w:t>
      </w:r>
    </w:p>
    <w:p>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临潮驿十七号综合整治提升工程</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eastAsia="zh-CN"/>
        </w:rPr>
        <w:t>351</w:t>
      </w:r>
      <w:r>
        <w:rPr>
          <w:rFonts w:hint="eastAsia" w:ascii="宋体" w:hAnsi="宋体" w:cs="宋体"/>
          <w:b w:val="0"/>
          <w:bCs/>
          <w:color w:val="auto"/>
          <w:sz w:val="24"/>
          <w:highlight w:val="none"/>
          <w:lang w:val="en-US" w:eastAsia="zh-CN"/>
        </w:rPr>
        <w:t>40</w:t>
      </w:r>
      <w:r>
        <w:rPr>
          <w:rFonts w:hint="eastAsia" w:ascii="宋体" w:hAnsi="宋体" w:cs="宋体"/>
          <w:b w:val="0"/>
          <w:bCs/>
          <w:color w:val="auto"/>
          <w:sz w:val="24"/>
          <w:highlight w:val="none"/>
          <w:lang w:eastAsia="zh-CN"/>
        </w:rPr>
        <w:t>00</w:t>
      </w:r>
      <w:r>
        <w:rPr>
          <w:rFonts w:hint="eastAsia" w:ascii="宋体" w:hAnsi="宋体" w:cs="宋体"/>
          <w:b w:val="0"/>
          <w:bCs/>
          <w:color w:val="auto"/>
          <w:sz w:val="24"/>
          <w:highlight w:val="none"/>
          <w:lang w:val="en-US" w:eastAsia="zh-CN"/>
        </w:rPr>
        <w:t>(本项目经第三方审核，预算审核价为 391.04万元)</w:t>
      </w:r>
    </w:p>
    <w:p>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3514000</w:t>
      </w:r>
    </w:p>
    <w:p>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lang w:eastAsia="zh-CN"/>
        </w:rPr>
        <w:t>项目地址位于临江街道临潮驿十七号区块，主要涉及建筑外立面改造提升，钢雨棚安装，局部卷闸门安装；外墙面翻新等。具体内容以施工图及预算审核清单为准。</w:t>
      </w:r>
    </w:p>
    <w:p>
      <w:pPr>
        <w:pStyle w:val="135"/>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lang w:val="en-US" w:eastAsia="zh-CN"/>
        </w:rPr>
        <w:t>40日历天</w:t>
      </w:r>
    </w:p>
    <w:p>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pPr>
        <w:pStyle w:val="1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pPr>
        <w:pStyle w:val="1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p>
    <w:p>
      <w:pPr>
        <w:pStyle w:val="135"/>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 ，其中小微企业合同金额应当达到%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供应商具有</w:t>
      </w:r>
      <w:r>
        <w:rPr>
          <w:rFonts w:hint="eastAsia" w:ascii="宋体" w:hAnsi="宋体" w:cs="宋体"/>
          <w:color w:val="auto"/>
          <w:sz w:val="24"/>
          <w:highlight w:val="none"/>
          <w:lang w:val="en-US" w:eastAsia="zh-CN"/>
        </w:rPr>
        <w:t>建筑工程施工总承包三级</w:t>
      </w:r>
      <w:r>
        <w:rPr>
          <w:rFonts w:hint="eastAsia" w:ascii="宋体" w:hAnsi="宋体" w:cs="宋体"/>
          <w:color w:val="auto"/>
          <w:sz w:val="24"/>
          <w:highlight w:val="none"/>
        </w:rPr>
        <w:t>及以上资质；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具有有效期内的《安全生产许可证书》；</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）项目负责人为建筑工程专业贰级及以上注册建造师，同时具有“三类人员”B类证书。</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在投标截止日存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3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9时30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3</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9时30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地点（网址）：浙江省杭州市钱塘区下沙街道金沙大道600号东楼6楼</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号开标室 </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eastAsia="zh-CN"/>
        </w:rPr>
        <w:t>六、</w:t>
      </w:r>
      <w:r>
        <w:rPr>
          <w:rFonts w:hint="eastAsia" w:ascii="宋体" w:hAnsi="宋体" w:cs="宋体"/>
          <w:b/>
          <w:color w:val="auto"/>
          <w:sz w:val="24"/>
          <w:highlight w:val="none"/>
        </w:rPr>
        <w:t>采购意向公开链接</w:t>
      </w:r>
    </w:p>
    <w:p>
      <w:pPr>
        <w:spacing w:line="360" w:lineRule="auto"/>
        <w:ind w:firstLine="480" w:firstLineChars="200"/>
        <w:rPr>
          <w:rFonts w:hint="eastAsia" w:ascii="宋体" w:hAnsi="宋体" w:cs="宋体"/>
          <w:b/>
          <w:color w:val="auto"/>
          <w:sz w:val="24"/>
          <w:highlight w:val="none"/>
          <w:lang w:eastAsia="zh-CN"/>
        </w:rPr>
      </w:pPr>
      <w:r>
        <w:rPr>
          <w:rFonts w:hint="eastAsia" w:ascii="宋体" w:hAnsi="宋体" w:cs="宋体"/>
          <w:b w:val="0"/>
          <w:bCs/>
          <w:color w:val="auto"/>
          <w:sz w:val="24"/>
          <w:highlight w:val="none"/>
          <w:lang w:eastAsia="zh-CN"/>
        </w:rPr>
        <w:t>https://zfcg.czt.zj.gov.cn/luban/detail?parentId=600007&amp;articleId=7vqT9wIXPUNTSPpUjQ1g/g==&amp;_app_=zcy.procurement&amp;utm=web-delegation-order-front.358733cc.0.0.9e13d7d0e66511ee93ab05b3b15c48a7</w:t>
      </w:r>
    </w:p>
    <w:p>
      <w:pPr>
        <w:spacing w:line="360" w:lineRule="auto"/>
        <w:rPr>
          <w:rFonts w:ascii="宋体" w:hAnsi="宋体" w:cs="宋体"/>
          <w:color w:val="auto"/>
          <w:sz w:val="24"/>
          <w:highlight w:val="none"/>
        </w:rPr>
      </w:pPr>
      <w:r>
        <w:rPr>
          <w:rFonts w:hint="eastAsia" w:ascii="宋体" w:hAnsi="宋体" w:cs="宋体"/>
          <w:b/>
          <w:color w:val="auto"/>
          <w:sz w:val="24"/>
          <w:highlight w:val="none"/>
          <w:lang w:eastAsia="zh-CN"/>
        </w:rPr>
        <w:t>七、</w:t>
      </w:r>
      <w:r>
        <w:rPr>
          <w:rFonts w:hint="eastAsia" w:ascii="宋体" w:hAnsi="宋体" w:cs="宋体"/>
          <w:b/>
          <w:color w:val="auto"/>
          <w:sz w:val="24"/>
          <w:highlight w:val="none"/>
        </w:rPr>
        <w:t xml:space="preserve">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cs="宋体"/>
          <w:b/>
          <w:color w:val="auto"/>
          <w:sz w:val="24"/>
          <w:highlight w:val="none"/>
        </w:rPr>
        <w:t>、其他补充事宜</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highlight w:val="none"/>
        </w:rPr>
      </w:pPr>
      <w:r>
        <w:rPr>
          <w:rFonts w:hint="eastAsia" w:ascii="宋体" w:hAnsi="宋体" w:cs="宋体"/>
          <w:color w:val="auto"/>
          <w:sz w:val="24"/>
          <w:highlight w:val="none"/>
        </w:rPr>
        <w:t>4.其他事项：</w:t>
      </w:r>
      <w:r>
        <w:rPr>
          <w:rFonts w:hint="eastAsia" w:ascii="宋体" w:hAnsi="宋体" w:cs="宋体"/>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（3）钱塘区政府采购支持中小企业信用融资：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A.适用对象：在浙江“政采云”平台注册入库，并取得钱塘区政府采购合同的中小企业供应商。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B.相关信息获取方式：具体合作银行及联系方式详见采购文件。登陆杭州钱塘新区管理委员会官网（http://qt.hangzhou.gov.cn） “公告公示”专栏，可查看信用融资政策文件及各相关银行服务方案。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申请方式和步骤：①供应商若有融资意向，需先与钱塘新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）采购文件公告期限与竞争性磋商公告的公告期限一致。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adjustRightInd/>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名    称：杭州市钱塘区人民政府临江街道办事处</w:t>
      </w:r>
    </w:p>
    <w:p>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地    址：杭州市钱塘区新世纪大道1888号      </w:t>
      </w:r>
    </w:p>
    <w:p>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传    真： /</w:t>
      </w:r>
    </w:p>
    <w:p>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 xml:space="preserve">项目联系人（询问）：赵工  </w:t>
      </w:r>
    </w:p>
    <w:p>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项目联系方式（询问）：0571-82125058</w:t>
      </w:r>
    </w:p>
    <w:p>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质疑联系人：王工 </w:t>
      </w:r>
    </w:p>
    <w:p>
      <w:pPr>
        <w:adjustRightInd/>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质疑联系方式：0571-82125729</w:t>
      </w:r>
    </w:p>
    <w:p>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2.采购代理机构信息            </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    称：浙江经济建设投资咨询中心有限公司</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    址：杭州市萧山区空间结构产业园3号楼317号</w:t>
      </w:r>
    </w:p>
    <w:p>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传    真：/</w:t>
      </w:r>
    </w:p>
    <w:p>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项目联系人（询问）：陈俏</w:t>
      </w:r>
    </w:p>
    <w:p>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项目联系方式（询问）：18268803655</w:t>
      </w:r>
    </w:p>
    <w:p>
      <w:pPr>
        <w:adjustRightInd/>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w:t>
      </w:r>
      <w:r>
        <w:rPr>
          <w:rFonts w:hint="eastAsia" w:ascii="宋体" w:hAnsi="宋体" w:cs="宋体"/>
          <w:sz w:val="24"/>
          <w:highlight w:val="none"/>
          <w:lang w:eastAsia="zh-CN"/>
        </w:rPr>
        <w:t>陈炳</w:t>
      </w:r>
    </w:p>
    <w:p>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质疑联系方式：13867138864</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3.同级政府采购监督管理部门            </w:t>
      </w:r>
    </w:p>
    <w:p>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名    称：杭州市钱塘区财政局、浙江省政府采购行政裁决服务中心（杭州）</w:t>
      </w:r>
    </w:p>
    <w:p>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地    址：杭州市上城区四季青街道新业路市民之家G03办公室（快递仅限ems或顺丰）</w:t>
      </w:r>
    </w:p>
    <w:p>
      <w:pPr>
        <w:adjustRightInd/>
        <w:spacing w:line="360" w:lineRule="auto"/>
        <w:ind w:firstLine="240" w:firstLineChars="100"/>
        <w:rPr>
          <w:rFonts w:hint="eastAsia" w:ascii="宋体" w:hAnsi="宋体" w:eastAsia="宋体" w:cs="宋体"/>
          <w:sz w:val="24"/>
          <w:highlight w:val="none"/>
          <w:lang w:eastAsia="zh-CN"/>
        </w:rPr>
      </w:pPr>
      <w:r>
        <w:rPr>
          <w:rFonts w:hint="eastAsia" w:ascii="宋体" w:hAnsi="宋体" w:cs="宋体"/>
          <w:sz w:val="24"/>
          <w:highlight w:val="none"/>
        </w:rPr>
        <w:t xml:space="preserve">  传    真：</w:t>
      </w:r>
      <w:r>
        <w:rPr>
          <w:rFonts w:hint="eastAsia" w:ascii="宋体" w:hAnsi="宋体" w:cs="宋体"/>
          <w:sz w:val="24"/>
          <w:highlight w:val="none"/>
          <w:lang w:val="en-US" w:eastAsia="zh-CN"/>
        </w:rPr>
        <w:t>/</w:t>
      </w:r>
    </w:p>
    <w:p>
      <w:pPr>
        <w:adjustRightInd/>
        <w:spacing w:line="360" w:lineRule="auto"/>
        <w:rPr>
          <w:rFonts w:hint="eastAsia" w:ascii="宋体" w:hAnsi="宋体" w:cs="宋体"/>
          <w:sz w:val="24"/>
          <w:highlight w:val="none"/>
        </w:rPr>
      </w:pPr>
      <w:r>
        <w:rPr>
          <w:rFonts w:hint="eastAsia" w:ascii="宋体" w:hAnsi="宋体" w:cs="宋体"/>
          <w:sz w:val="24"/>
          <w:highlight w:val="none"/>
        </w:rPr>
        <w:t xml:space="preserve">    联系人 ：朱女士、王女士</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监督投诉电话：0571-85252453</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pPr>
        <w:snapToGrid w:val="0"/>
        <w:spacing w:line="360" w:lineRule="auto"/>
        <w:ind w:firstLine="480" w:firstLineChars="200"/>
        <w:rPr>
          <w:rFonts w:hint="eastAsia" w:ascii="宋体" w:hAnsi="宋体" w:eastAsia="宋体" w:cs="宋体"/>
          <w:b/>
          <w:bCs w:val="0"/>
          <w:color w:val="auto"/>
          <w:kern w:val="2"/>
          <w:sz w:val="36"/>
          <w:szCs w:val="20"/>
          <w:highlight w:val="none"/>
          <w:lang w:val="en-US" w:eastAsia="zh-CN" w:bidi="ar-SA"/>
        </w:rPr>
      </w:pPr>
      <w:r>
        <w:rPr>
          <w:rFonts w:hint="eastAsia" w:ascii="宋体" w:hAnsi="宋体" w:cs="宋体"/>
          <w:color w:val="auto"/>
          <w:sz w:val="24"/>
          <w:highlight w:val="none"/>
        </w:rPr>
        <w:t>CA问题联系电话（人工）：汇信CA 400-888-4636；天谷CA 400-087-8198。</w:t>
      </w:r>
    </w:p>
    <w:p>
      <w:pPr>
        <w:rPr>
          <w:rFonts w:hint="eastAsia" w:ascii="宋体" w:hAnsi="宋体" w:eastAsia="宋体" w:cs="宋体"/>
          <w:b/>
          <w:bCs w:val="0"/>
          <w:color w:val="auto"/>
          <w:kern w:val="2"/>
          <w:sz w:val="36"/>
          <w:szCs w:val="20"/>
          <w:highlight w:val="none"/>
          <w:lang w:val="en-US" w:eastAsia="zh-CN" w:bidi="ar-SA"/>
        </w:rPr>
      </w:pPr>
      <w:r>
        <w:rPr>
          <w:rFonts w:hint="eastAsia" w:ascii="宋体" w:hAnsi="宋体" w:eastAsia="宋体" w:cs="宋体"/>
          <w:b/>
          <w:bCs w:val="0"/>
          <w:color w:val="auto"/>
          <w:kern w:val="2"/>
          <w:sz w:val="36"/>
          <w:szCs w:val="20"/>
          <w:highlight w:val="none"/>
          <w:lang w:val="en-US" w:eastAsia="zh-CN" w:bidi="ar-SA"/>
        </w:rPr>
        <w:br w:type="page"/>
      </w:r>
    </w:p>
    <w:p>
      <w:pPr>
        <w:pStyle w:val="3"/>
        <w:keepNext/>
        <w:keepLines/>
        <w:pageBreakBefore w:val="0"/>
        <w:widowControl w:val="0"/>
        <w:kinsoku/>
        <w:wordWrap/>
        <w:overflowPunct/>
        <w:topLinePunct w:val="0"/>
        <w:autoSpaceDE/>
        <w:autoSpaceDN/>
        <w:bidi w:val="0"/>
        <w:adjustRightInd w:val="0"/>
        <w:snapToGrid/>
        <w:spacing w:before="0" w:after="0" w:line="360" w:lineRule="auto"/>
        <w:ind w:left="0" w:firstLine="0"/>
        <w:jc w:val="center"/>
        <w:textAlignment w:val="auto"/>
        <w:rPr>
          <w:rFonts w:hint="eastAsia" w:ascii="宋体" w:hAnsi="宋体" w:eastAsia="宋体" w:cs="宋体"/>
          <w:b/>
          <w:bCs w:val="0"/>
          <w:color w:val="auto"/>
          <w:kern w:val="2"/>
          <w:sz w:val="36"/>
          <w:szCs w:val="20"/>
          <w:highlight w:val="none"/>
          <w:lang w:val="en-US" w:eastAsia="zh-CN" w:bidi="ar-SA"/>
        </w:rPr>
      </w:pPr>
      <w:r>
        <w:rPr>
          <w:rFonts w:hint="eastAsia" w:ascii="宋体" w:hAnsi="宋体" w:eastAsia="宋体" w:cs="宋体"/>
          <w:b/>
          <w:bCs w:val="0"/>
          <w:color w:val="auto"/>
          <w:kern w:val="2"/>
          <w:sz w:val="36"/>
          <w:szCs w:val="20"/>
          <w:highlight w:val="none"/>
          <w:lang w:val="en-US" w:eastAsia="zh-CN" w:bidi="ar-SA"/>
        </w:rPr>
        <w:t>第二部分</w:t>
      </w:r>
      <w:bookmarkEnd w:id="8"/>
      <w:r>
        <w:rPr>
          <w:rFonts w:hint="eastAsia" w:ascii="宋体" w:hAnsi="宋体" w:eastAsia="宋体" w:cs="宋体"/>
          <w:b/>
          <w:bCs w:val="0"/>
          <w:color w:val="auto"/>
          <w:kern w:val="2"/>
          <w:sz w:val="36"/>
          <w:szCs w:val="20"/>
          <w:highlight w:val="none"/>
          <w:lang w:val="en-US" w:eastAsia="zh-CN" w:bidi="ar-SA"/>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1"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临潮驿十七号综合整治提升工程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劳务</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Merge w:val="continue"/>
            <w:vAlign w:val="center"/>
          </w:tcPr>
          <w:p>
            <w:pPr>
              <w:snapToGrid w:val="0"/>
              <w:spacing w:line="360" w:lineRule="auto"/>
              <w:jc w:val="center"/>
              <w:rPr>
                <w:rFonts w:hint="eastAsia" w:ascii="宋体" w:hAnsi="宋体" w:cs="宋体"/>
                <w:color w:val="auto"/>
                <w:sz w:val="24"/>
                <w:highlight w:val="none"/>
              </w:rPr>
            </w:pPr>
          </w:p>
        </w:tc>
        <w:tc>
          <w:tcPr>
            <w:tcW w:w="2093" w:type="dxa"/>
            <w:vMerge w:val="continue"/>
            <w:vAlign w:val="center"/>
          </w:tcPr>
          <w:p>
            <w:pPr>
              <w:snapToGrid w:val="0"/>
              <w:spacing w:line="360" w:lineRule="auto"/>
              <w:jc w:val="center"/>
              <w:rPr>
                <w:rFonts w:hint="eastAsia" w:ascii="宋体" w:hAnsi="宋体" w:cs="宋体"/>
                <w:b/>
                <w:color w:val="auto"/>
                <w:sz w:val="24"/>
                <w:highlight w:val="none"/>
              </w:rPr>
            </w:pPr>
          </w:p>
        </w:tc>
        <w:tc>
          <w:tcPr>
            <w:tcW w:w="6927" w:type="dxa"/>
            <w:vAlign w:val="center"/>
          </w:tcPr>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pPr>
              <w:pStyle w:val="35"/>
              <w:spacing w:line="360" w:lineRule="auto"/>
              <w:rPr>
                <w:rFonts w:hint="eastAsia" w:hAnsi="宋体" w:eastAsia="宋体" w:cs="宋体"/>
                <w:color w:val="000000"/>
                <w:kern w:val="28"/>
                <w:sz w:val="24"/>
                <w:szCs w:val="24"/>
                <w:highlight w:val="none"/>
                <w:u w:val="single"/>
                <w:lang w:eastAsia="zh-CN"/>
              </w:rPr>
            </w:pPr>
            <w:r>
              <w:rPr>
                <w:rFonts w:hint="eastAsia" w:hAnsi="宋体" w:cs="宋体"/>
                <w:color w:val="000000"/>
                <w:kern w:val="28"/>
                <w:sz w:val="24"/>
                <w:szCs w:val="24"/>
                <w:highlight w:val="none"/>
              </w:rPr>
              <w:t>备份投标文件送达地点：</w:t>
            </w:r>
            <w:r>
              <w:rPr>
                <w:rFonts w:hint="eastAsia" w:hAnsi="宋体" w:cs="宋体"/>
                <w:color w:val="000000"/>
                <w:kern w:val="28"/>
                <w:sz w:val="24"/>
                <w:szCs w:val="24"/>
                <w:highlight w:val="none"/>
                <w:u w:val="single"/>
              </w:rPr>
              <w:t>杭州市萧山区空间结构产业园3号楼</w:t>
            </w:r>
            <w:r>
              <w:rPr>
                <w:rStyle w:val="972"/>
                <w:rFonts w:hint="default" w:ascii="宋体" w:hAnsi="宋体" w:eastAsia="宋体" w:cs="宋体"/>
                <w:highlight w:val="none"/>
              </w:rPr>
              <w:t>，</w:t>
            </w:r>
            <w:r>
              <w:rPr>
                <w:rFonts w:hint="eastAsia" w:hAnsi="宋体" w:cs="宋体"/>
                <w:color w:val="000000"/>
                <w:kern w:val="28"/>
                <w:sz w:val="24"/>
                <w:szCs w:val="24"/>
                <w:highlight w:val="none"/>
              </w:rPr>
              <w:t>备份投标文件签收人员联系电话：</w:t>
            </w:r>
            <w:r>
              <w:rPr>
                <w:rFonts w:hint="eastAsia" w:hAnsi="宋体" w:cs="宋体"/>
                <w:color w:val="000000"/>
                <w:kern w:val="28"/>
                <w:sz w:val="24"/>
                <w:szCs w:val="24"/>
                <w:highlight w:val="none"/>
                <w:u w:val="single"/>
              </w:rPr>
              <w:t>陈工18268803655</w:t>
            </w:r>
            <w:r>
              <w:rPr>
                <w:rFonts w:hint="eastAsia" w:hAnsi="宋体" w:cs="宋体"/>
                <w:color w:val="000000"/>
                <w:kern w:val="28"/>
                <w:sz w:val="24"/>
                <w:szCs w:val="24"/>
                <w:highlight w:val="none"/>
                <w:u w:val="single"/>
                <w:lang w:eastAsia="zh-CN"/>
              </w:rPr>
              <w:t>。</w:t>
            </w:r>
            <w:r>
              <w:rPr>
                <w:rFonts w:hint="eastAsia" w:ascii="宋体" w:hAnsi="宋体" w:eastAsia="宋体" w:cs="宋体"/>
                <w:color w:val="000000"/>
                <w:kern w:val="28"/>
                <w:sz w:val="24"/>
                <w:szCs w:val="24"/>
                <w:highlight w:val="none"/>
              </w:rPr>
              <w:t>因开标地点与代理机构办公地点不在同一处，备份文件如开标当天送出，请在投标截止时间之前，送至</w:t>
            </w:r>
            <w:r>
              <w:rPr>
                <w:rFonts w:hint="eastAsia" w:ascii="宋体" w:hAnsi="宋体" w:eastAsia="宋体" w:cs="宋体"/>
                <w:color w:val="000000"/>
                <w:kern w:val="28"/>
                <w:sz w:val="24"/>
                <w:szCs w:val="24"/>
                <w:highlight w:val="none"/>
                <w:u w:val="single"/>
              </w:rPr>
              <w:t>杭州市钱塘区金沙大道600号东楼6楼</w:t>
            </w:r>
            <w:r>
              <w:rPr>
                <w:rFonts w:hint="eastAsia" w:hAnsi="宋体" w:cs="宋体"/>
                <w:color w:val="000000"/>
                <w:kern w:val="28"/>
                <w:sz w:val="24"/>
                <w:szCs w:val="24"/>
                <w:highlight w:val="none"/>
                <w:u w:val="single"/>
                <w:lang w:val="en-US" w:eastAsia="zh-CN"/>
              </w:rPr>
              <w:t>5</w:t>
            </w:r>
            <w:r>
              <w:rPr>
                <w:rFonts w:hint="eastAsia" w:ascii="宋体" w:hAnsi="宋体" w:eastAsia="宋体" w:cs="宋体"/>
                <w:color w:val="000000"/>
                <w:kern w:val="28"/>
                <w:sz w:val="24"/>
                <w:szCs w:val="24"/>
                <w:highlight w:val="none"/>
                <w:u w:val="single"/>
              </w:rPr>
              <w:t>号开标室</w:t>
            </w:r>
            <w:r>
              <w:rPr>
                <w:rFonts w:hint="eastAsia" w:ascii="宋体" w:hAnsi="宋体" w:eastAsia="宋体" w:cs="宋体"/>
                <w:color w:val="000000"/>
                <w:kern w:val="28"/>
                <w:sz w:val="24"/>
                <w:szCs w:val="24"/>
                <w:highlight w:val="none"/>
              </w:rPr>
              <w:t>。</w:t>
            </w:r>
          </w:p>
          <w:p>
            <w:pPr>
              <w:pStyle w:val="35"/>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pPr>
              <w:pStyle w:val="35"/>
              <w:snapToGrid w:val="0"/>
              <w:spacing w:line="300" w:lineRule="auto"/>
              <w:rPr>
                <w:rFonts w:hint="eastAsia" w:hAnsi="宋体" w:cs="宋体"/>
                <w:sz w:val="24"/>
                <w:highlight w:val="none"/>
              </w:rPr>
            </w:pPr>
            <w:r>
              <w:rPr>
                <w:rFonts w:hint="eastAsia" w:hAnsi="宋体" w:cs="宋体"/>
                <w:sz w:val="24"/>
                <w:highlight w:val="none"/>
              </w:rPr>
              <w:t>投标人需自行承担涉及投标的一切费用；</w:t>
            </w:r>
          </w:p>
          <w:p>
            <w:pPr>
              <w:spacing w:line="360" w:lineRule="auto"/>
              <w:rPr>
                <w:rFonts w:ascii="宋体" w:hAnsi="宋体" w:cs="宋体"/>
                <w:snapToGrid w:val="0"/>
                <w:color w:val="auto"/>
                <w:kern w:val="28"/>
                <w:sz w:val="24"/>
                <w:highlight w:val="none"/>
              </w:rPr>
            </w:pPr>
            <w:r>
              <w:rPr>
                <w:rFonts w:hint="eastAsia" w:hAnsi="宋体" w:cs="宋体"/>
                <w:sz w:val="24"/>
                <w:highlight w:val="none"/>
              </w:rPr>
              <w:t>如果投标人中标，每标项将向浙江经济建设投资咨询中心有限公司支付采购代理费。收费标准如下：根据《招标代理服务收费管理暂行办法》（计价格[2002]1980号）规定的收费标准的</w:t>
            </w:r>
            <w:r>
              <w:rPr>
                <w:rFonts w:hint="eastAsia" w:hAnsi="宋体" w:cs="宋体"/>
                <w:sz w:val="24"/>
                <w:highlight w:val="none"/>
                <w:lang w:eastAsia="zh-CN"/>
              </w:rPr>
              <w:t>工程</w:t>
            </w:r>
            <w:r>
              <w:rPr>
                <w:rFonts w:hint="eastAsia" w:hAnsi="宋体" w:cs="宋体"/>
                <w:sz w:val="24"/>
                <w:highlight w:val="none"/>
              </w:rPr>
              <w:t>类计算</w:t>
            </w:r>
            <w:r>
              <w:rPr>
                <w:rFonts w:hint="eastAsia" w:ascii="宋体" w:hAnsi="宋体" w:cs="宋体"/>
                <w:snapToGrid w:val="0"/>
                <w:color w:val="auto"/>
                <w:kern w:val="28"/>
                <w:sz w:val="24"/>
                <w:highlight w:val="none"/>
              </w:rPr>
              <w:t>。该费用在投标文件中不单列，由投标人在投标总报价中综合考虑</w:t>
            </w:r>
            <w:r>
              <w:rPr>
                <w:rFonts w:hint="eastAsia" w:ascii="宋体" w:hAnsi="宋体" w:cs="宋体"/>
                <w:snapToGrid w:val="0"/>
                <w:color w:val="auto"/>
                <w:kern w:val="28"/>
                <w:sz w:val="24"/>
                <w:highlight w:val="none"/>
                <w:lang w:eastAsia="zh-CN"/>
              </w:rPr>
              <w:t>。</w:t>
            </w:r>
          </w:p>
        </w:tc>
      </w:tr>
    </w:tbl>
    <w:p>
      <w:pPr>
        <w:snapToGrid w:val="0"/>
        <w:spacing w:line="360" w:lineRule="auto"/>
        <w:jc w:val="center"/>
        <w:rPr>
          <w:rFonts w:ascii="宋体" w:hAnsi="宋体" w:cs="宋体"/>
          <w:b/>
          <w:color w:val="auto"/>
          <w:sz w:val="32"/>
          <w:szCs w:val="20"/>
          <w:highlight w:val="none"/>
        </w:rPr>
      </w:pPr>
    </w:p>
    <w:bookmarkEnd w:id="10"/>
    <w:p>
      <w:pPr>
        <w:widowControl/>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5"/>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92"/>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4.5.5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pStyle w:val="135"/>
        <w:snapToGrid w:val="0"/>
        <w:spacing w:before="0"/>
        <w:ind w:firstLine="360"/>
        <w:rPr>
          <w:rFonts w:ascii="宋体" w:hAnsi="宋体" w:cs="宋体"/>
          <w:color w:val="auto"/>
          <w:sz w:val="18"/>
          <w:szCs w:val="18"/>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Ansi="宋体" w:cs="宋体"/>
          <w:color w:val="auto"/>
          <w:sz w:val="18"/>
          <w:szCs w:val="18"/>
          <w:highlight w:val="none"/>
          <w:lang w:val="en-US"/>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11.3.3中小企业声明函（如果有)。</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135"/>
        <w:snapToGrid w:val="0"/>
        <w:spacing w:before="0"/>
        <w:ind w:firstLine="0" w:firstLineChars="0"/>
        <w:rPr>
          <w:rFonts w:ascii="宋体" w:hAnsi="宋体" w:cs="宋体"/>
          <w:b/>
          <w:color w:val="auto"/>
          <w:szCs w:val="24"/>
          <w:highlight w:val="none"/>
        </w:rPr>
      </w:pPr>
    </w:p>
    <w:p>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5"/>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pPr>
        <w:pStyle w:val="35"/>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35"/>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135"/>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35"/>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35"/>
        <w:spacing w:before="0"/>
        <w:ind w:firstLine="643"/>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561"/>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p>
    <w:p>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61"/>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13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cols w:space="720" w:num="1"/>
          <w:titlePg/>
          <w:docGrid w:linePitch="312" w:charSpace="0"/>
        </w:sectPr>
      </w:pPr>
      <w:bookmarkStart w:id="19" w:name="_Hlt68403820"/>
      <w:bookmarkEnd w:id="19"/>
      <w:bookmarkStart w:id="20" w:name="_Hlt68073093"/>
      <w:bookmarkEnd w:id="20"/>
      <w:bookmarkStart w:id="21" w:name="_Hlt68072990"/>
      <w:bookmarkEnd w:id="21"/>
      <w:bookmarkStart w:id="22" w:name="_Hlt74707468"/>
      <w:bookmarkEnd w:id="22"/>
      <w:bookmarkStart w:id="23" w:name="_Hlt68072998"/>
      <w:bookmarkEnd w:id="23"/>
      <w:bookmarkStart w:id="24" w:name="_Hlt75236290"/>
      <w:bookmarkEnd w:id="24"/>
      <w:bookmarkStart w:id="25" w:name="_Hlt75236101"/>
      <w:bookmarkEnd w:id="25"/>
      <w:bookmarkStart w:id="26" w:name="_Hlt75236011"/>
      <w:bookmarkEnd w:id="26"/>
      <w:bookmarkStart w:id="27" w:name="_Hlt74714665"/>
      <w:bookmarkEnd w:id="27"/>
      <w:bookmarkStart w:id="28" w:name="_Hlt74729768"/>
      <w:bookmarkEnd w:id="28"/>
      <w:bookmarkStart w:id="29" w:name="_Hlt74730295"/>
      <w:bookmarkEnd w:id="29"/>
      <w:bookmarkStart w:id="30" w:name="_Hlt68057669"/>
      <w:bookmarkEnd w:id="30"/>
    </w:p>
    <w:bookmarkEnd w:id="13"/>
    <w:bookmarkEnd w:id="14"/>
    <w:p>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pPr>
        <w:spacing w:line="360" w:lineRule="auto"/>
        <w:jc w:val="left"/>
        <w:rPr>
          <w:rFonts w:ascii="宋体" w:hAnsi="宋体" w:cs="宋体"/>
          <w:b/>
          <w:bCs/>
          <w:sz w:val="24"/>
          <w:highlight w:val="none"/>
        </w:rPr>
      </w:pPr>
      <w:r>
        <w:rPr>
          <w:rFonts w:hint="eastAsia" w:ascii="宋体" w:hAnsi="宋体" w:cs="宋体"/>
          <w:b/>
          <w:bCs/>
          <w:sz w:val="24"/>
          <w:highlight w:val="none"/>
        </w:rPr>
        <w:t>一、工程概况</w:t>
      </w:r>
    </w:p>
    <w:p>
      <w:pPr>
        <w:spacing w:line="360" w:lineRule="auto"/>
        <w:ind w:firstLine="420"/>
        <w:jc w:val="left"/>
        <w:rPr>
          <w:rFonts w:hint="default" w:ascii="宋体" w:hAnsi="宋体" w:eastAsia="宋体" w:cs="宋体"/>
          <w:sz w:val="24"/>
          <w:highlight w:val="none"/>
          <w:lang w:val="en-US" w:eastAsia="zh-CN"/>
        </w:rPr>
      </w:pPr>
      <w:r>
        <w:rPr>
          <w:rFonts w:hint="eastAsia" w:ascii="宋体" w:hAnsi="宋体" w:cs="宋体"/>
          <w:sz w:val="24"/>
          <w:highlight w:val="none"/>
          <w:lang w:eastAsia="zh-CN"/>
        </w:rPr>
        <w:t>项目地址位于临江街道临潮驿十七号区块，主要涉及建筑外立面改造提升，钢雨棚安装，局部卷闸门安装；外墙面翻新等。具体内容以施工图及预算审核清单为准。本项目预算审核价为</w:t>
      </w:r>
      <w:r>
        <w:rPr>
          <w:rFonts w:hint="eastAsia" w:ascii="仿宋_GB2312" w:hAnsi="仿宋_GB2312" w:eastAsia="仿宋_GB2312" w:cs="仿宋_GB2312"/>
          <w:sz w:val="24"/>
          <w:szCs w:val="24"/>
          <w:highlight w:val="none"/>
          <w:lang w:val="en" w:eastAsia="zh-CN"/>
        </w:rPr>
        <w:t xml:space="preserve"> 391.04</w:t>
      </w:r>
      <w:r>
        <w:rPr>
          <w:rFonts w:hint="eastAsia" w:ascii="宋体" w:hAnsi="宋体" w:cs="宋体"/>
          <w:sz w:val="24"/>
          <w:highlight w:val="none"/>
          <w:lang w:eastAsia="zh-CN"/>
        </w:rPr>
        <w:t>万元，最终确定本项目最高限价（预算金额）为 351.</w:t>
      </w:r>
      <w:r>
        <w:rPr>
          <w:rFonts w:hint="eastAsia" w:ascii="宋体" w:hAnsi="宋体" w:cs="宋体"/>
          <w:sz w:val="24"/>
          <w:highlight w:val="none"/>
          <w:lang w:val="en-US" w:eastAsia="zh-CN"/>
        </w:rPr>
        <w:t>40万元。</w:t>
      </w:r>
    </w:p>
    <w:p>
      <w:pPr>
        <w:spacing w:line="360" w:lineRule="auto"/>
        <w:jc w:val="lef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二、工程内容 </w:t>
      </w:r>
    </w:p>
    <w:p>
      <w:pPr>
        <w:spacing w:line="360" w:lineRule="auto"/>
        <w:ind w:left="210" w:leftChars="100"/>
        <w:jc w:val="left"/>
        <w:rPr>
          <w:rFonts w:ascii="宋体" w:hAnsi="宋体" w:cs="宋体"/>
          <w:sz w:val="24"/>
          <w:highlight w:val="none"/>
        </w:rPr>
      </w:pPr>
      <w:r>
        <w:rPr>
          <w:rFonts w:hint="eastAsia" w:ascii="宋体" w:hAnsi="宋体" w:cs="宋体"/>
          <w:sz w:val="24"/>
          <w:highlight w:val="none"/>
        </w:rPr>
        <w:t>1.工程名称</w:t>
      </w:r>
    </w:p>
    <w:p>
      <w:pPr>
        <w:spacing w:line="360" w:lineRule="auto"/>
        <w:ind w:left="210" w:leftChars="100"/>
        <w:jc w:val="left"/>
        <w:rPr>
          <w:rFonts w:ascii="宋体" w:hAnsi="宋体" w:cs="宋体"/>
          <w:sz w:val="24"/>
          <w:highlight w:val="none"/>
        </w:rPr>
      </w:pPr>
      <w:r>
        <w:rPr>
          <w:rFonts w:hint="eastAsia" w:ascii="宋体" w:hAnsi="宋体" w:cs="宋体"/>
          <w:sz w:val="24"/>
          <w:highlight w:val="none"/>
          <w:lang w:eastAsia="zh-CN"/>
        </w:rPr>
        <w:t>临潮驿十七号综合整治提升工程</w:t>
      </w:r>
      <w:r>
        <w:rPr>
          <w:rFonts w:hint="eastAsia" w:ascii="宋体" w:hAnsi="宋体" w:cs="宋体"/>
          <w:sz w:val="24"/>
          <w:highlight w:val="none"/>
        </w:rPr>
        <w:t>。</w:t>
      </w:r>
    </w:p>
    <w:p>
      <w:pPr>
        <w:spacing w:line="360" w:lineRule="auto"/>
        <w:ind w:left="210" w:leftChars="100"/>
        <w:jc w:val="left"/>
        <w:rPr>
          <w:rFonts w:ascii="宋体" w:hAnsi="宋体" w:cs="宋体"/>
          <w:sz w:val="24"/>
          <w:highlight w:val="none"/>
        </w:rPr>
      </w:pPr>
      <w:r>
        <w:rPr>
          <w:rFonts w:hint="eastAsia" w:ascii="宋体" w:hAnsi="宋体" w:cs="宋体"/>
          <w:sz w:val="24"/>
          <w:highlight w:val="none"/>
        </w:rPr>
        <w:t>2.现场条件</w:t>
      </w:r>
    </w:p>
    <w:p>
      <w:pPr>
        <w:spacing w:line="360" w:lineRule="auto"/>
        <w:ind w:firstLine="420"/>
        <w:jc w:val="left"/>
        <w:rPr>
          <w:rFonts w:ascii="宋体" w:hAnsi="宋体" w:cs="宋体"/>
          <w:sz w:val="24"/>
          <w:highlight w:val="none"/>
        </w:rPr>
      </w:pPr>
      <w:r>
        <w:rPr>
          <w:rFonts w:hint="eastAsia" w:ascii="宋体" w:hAnsi="宋体" w:cs="宋体"/>
          <w:sz w:val="24"/>
          <w:highlight w:val="none"/>
        </w:rPr>
        <w:t>目前施工现场通水、通电工作均已完成，具备项目施工条件。</w:t>
      </w:r>
    </w:p>
    <w:p>
      <w:pPr>
        <w:spacing w:line="360" w:lineRule="auto"/>
        <w:ind w:left="210" w:leftChars="100"/>
        <w:jc w:val="left"/>
        <w:rPr>
          <w:rFonts w:ascii="宋体" w:hAnsi="宋体" w:cs="宋体"/>
          <w:sz w:val="24"/>
          <w:highlight w:val="none"/>
        </w:rPr>
      </w:pPr>
      <w:r>
        <w:rPr>
          <w:rFonts w:hint="eastAsia" w:ascii="宋体" w:hAnsi="宋体" w:cs="宋体"/>
          <w:sz w:val="24"/>
          <w:highlight w:val="none"/>
        </w:rPr>
        <w:t>3.工程承包范围</w:t>
      </w:r>
    </w:p>
    <w:p>
      <w:pPr>
        <w:spacing w:line="360" w:lineRule="auto"/>
        <w:ind w:firstLine="420"/>
        <w:jc w:val="left"/>
        <w:rPr>
          <w:rFonts w:ascii="宋体" w:hAnsi="宋体" w:cs="宋体"/>
          <w:sz w:val="24"/>
          <w:highlight w:val="none"/>
        </w:rPr>
      </w:pPr>
      <w:r>
        <w:rPr>
          <w:rFonts w:hint="eastAsia" w:ascii="宋体" w:hAnsi="宋体" w:cs="宋体"/>
          <w:sz w:val="24"/>
          <w:highlight w:val="none"/>
        </w:rPr>
        <w:t>工程承包范围为磋商文件、磋商记录、施工图纸中包含的所有内容。</w:t>
      </w:r>
    </w:p>
    <w:p>
      <w:pPr>
        <w:spacing w:line="360" w:lineRule="auto"/>
        <w:ind w:left="210" w:leftChars="100"/>
        <w:jc w:val="left"/>
        <w:rPr>
          <w:rFonts w:ascii="宋体" w:hAnsi="宋体" w:cs="宋体"/>
          <w:sz w:val="24"/>
          <w:highlight w:val="none"/>
        </w:rPr>
      </w:pPr>
      <w:r>
        <w:rPr>
          <w:rFonts w:hint="eastAsia" w:ascii="宋体" w:hAnsi="宋体" w:cs="宋体"/>
          <w:sz w:val="24"/>
          <w:highlight w:val="none"/>
        </w:rPr>
        <w:t>4.工程质量标准</w:t>
      </w:r>
    </w:p>
    <w:p>
      <w:pPr>
        <w:spacing w:line="360" w:lineRule="auto"/>
        <w:ind w:firstLine="420"/>
        <w:jc w:val="left"/>
        <w:rPr>
          <w:rFonts w:ascii="宋体" w:hAnsi="宋体" w:cs="宋体"/>
          <w:sz w:val="24"/>
          <w:highlight w:val="none"/>
        </w:rPr>
      </w:pPr>
      <w:r>
        <w:rPr>
          <w:rFonts w:hint="eastAsia" w:ascii="宋体" w:hAnsi="宋体" w:cs="宋体"/>
          <w:sz w:val="24"/>
          <w:highlight w:val="none"/>
        </w:rPr>
        <w:t>住建部现行工程质量验收规范以及合同规定的验收评定标准。</w:t>
      </w:r>
    </w:p>
    <w:p>
      <w:pPr>
        <w:spacing w:line="360" w:lineRule="auto"/>
        <w:ind w:left="210" w:leftChars="100"/>
        <w:jc w:val="left"/>
        <w:rPr>
          <w:rFonts w:ascii="宋体" w:hAnsi="宋体" w:cs="宋体"/>
          <w:sz w:val="24"/>
          <w:highlight w:val="none"/>
        </w:rPr>
      </w:pPr>
      <w:r>
        <w:rPr>
          <w:rFonts w:hint="eastAsia" w:ascii="宋体" w:hAnsi="宋体" w:cs="宋体"/>
          <w:sz w:val="24"/>
          <w:highlight w:val="none"/>
        </w:rPr>
        <w:t>5.工程施工要求</w:t>
      </w:r>
    </w:p>
    <w:p>
      <w:pPr>
        <w:pStyle w:val="20"/>
        <w:numPr>
          <w:ilvl w:val="0"/>
          <w:numId w:val="2"/>
        </w:numPr>
        <w:spacing w:line="360" w:lineRule="auto"/>
        <w:jc w:val="both"/>
        <w:rPr>
          <w:rFonts w:ascii="宋体" w:hAnsi="宋体" w:cs="宋体"/>
          <w:sz w:val="24"/>
          <w:highlight w:val="none"/>
        </w:rPr>
      </w:pPr>
      <w:r>
        <w:rPr>
          <w:rFonts w:hint="eastAsia" w:ascii="宋体" w:hAnsi="宋体" w:cs="宋体"/>
          <w:sz w:val="24"/>
          <w:highlight w:val="none"/>
        </w:rPr>
        <w:t>工程技术规范要求：</w:t>
      </w:r>
    </w:p>
    <w:p>
      <w:pPr>
        <w:pStyle w:val="20"/>
        <w:spacing w:line="360" w:lineRule="auto"/>
        <w:ind w:firstLine="480" w:firstLineChars="200"/>
        <w:jc w:val="both"/>
        <w:rPr>
          <w:rFonts w:ascii="宋体" w:hAnsi="宋体" w:cs="宋体"/>
          <w:sz w:val="24"/>
          <w:highlight w:val="none"/>
        </w:rPr>
      </w:pPr>
      <w:r>
        <w:rPr>
          <w:rFonts w:hint="eastAsia" w:ascii="宋体" w:hAnsi="宋体" w:cs="宋体"/>
          <w:sz w:val="24"/>
          <w:highlight w:val="none"/>
        </w:rPr>
        <w:t>本工程项目的材料、设备、施工必须达到现行中华人民共和国及省、市、行业的一切有关法规、规范的要求，如标准及规范要求有出入则以较严格者为准。</w:t>
      </w:r>
    </w:p>
    <w:p>
      <w:pPr>
        <w:pStyle w:val="20"/>
        <w:spacing w:line="360" w:lineRule="auto"/>
        <w:ind w:firstLine="480" w:firstLineChars="200"/>
        <w:jc w:val="both"/>
        <w:rPr>
          <w:rFonts w:ascii="宋体" w:hAnsi="宋体" w:cs="宋体"/>
          <w:sz w:val="24"/>
          <w:highlight w:val="none"/>
        </w:rPr>
      </w:pPr>
      <w:r>
        <w:rPr>
          <w:rFonts w:hint="eastAsia" w:ascii="宋体" w:hAnsi="宋体" w:cs="宋体"/>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pStyle w:val="20"/>
        <w:numPr>
          <w:ilvl w:val="0"/>
          <w:numId w:val="2"/>
        </w:numPr>
        <w:spacing w:line="360" w:lineRule="auto"/>
        <w:jc w:val="both"/>
        <w:rPr>
          <w:rFonts w:ascii="宋体" w:hAnsi="宋体" w:cs="宋体"/>
          <w:sz w:val="24"/>
          <w:highlight w:val="none"/>
        </w:rPr>
      </w:pPr>
      <w:r>
        <w:rPr>
          <w:rFonts w:hint="eastAsia" w:ascii="宋体" w:hAnsi="宋体" w:cs="宋体"/>
          <w:sz w:val="24"/>
          <w:highlight w:val="none"/>
        </w:rPr>
        <w:t>安全文明施工要求</w:t>
      </w:r>
    </w:p>
    <w:p>
      <w:pPr>
        <w:pStyle w:val="20"/>
        <w:numPr>
          <w:ilvl w:val="0"/>
          <w:numId w:val="3"/>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成交供应商应对进度施工现场的施工人员进行安全文明施工教育，配备必要的劳动保护用具，保证工程的施工安全和人身安全。</w:t>
      </w:r>
    </w:p>
    <w:p>
      <w:pPr>
        <w:pStyle w:val="20"/>
        <w:numPr>
          <w:ilvl w:val="0"/>
          <w:numId w:val="3"/>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成交供应商应强化安全意识，抓好安全生产，杜绝事故发生，施工中若因供应商原因发生安全及人身事故由成交供应商自行负责处理，并承担全部费用。</w:t>
      </w:r>
    </w:p>
    <w:p>
      <w:pPr>
        <w:pStyle w:val="20"/>
        <w:numPr>
          <w:ilvl w:val="0"/>
          <w:numId w:val="3"/>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成交供应商须遵守地方政府和有关部门及采购人对施工场地交通、环卫、安全和施工噪音等的管理规定，并按规定办理相关审批手续。</w:t>
      </w:r>
    </w:p>
    <w:p>
      <w:pPr>
        <w:pStyle w:val="20"/>
        <w:numPr>
          <w:ilvl w:val="0"/>
          <w:numId w:val="3"/>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成交供应商应采取有效措施尽量减小尘土和噪音污染，需要进行夜间作业时应经有关部门批准。</w:t>
      </w:r>
    </w:p>
    <w:p>
      <w:pPr>
        <w:pStyle w:val="20"/>
        <w:numPr>
          <w:ilvl w:val="0"/>
          <w:numId w:val="2"/>
        </w:numPr>
        <w:spacing w:line="360" w:lineRule="auto"/>
        <w:jc w:val="both"/>
        <w:rPr>
          <w:rFonts w:ascii="宋体" w:hAnsi="宋体" w:cs="宋体"/>
          <w:sz w:val="24"/>
          <w:highlight w:val="none"/>
        </w:rPr>
      </w:pPr>
      <w:r>
        <w:rPr>
          <w:rFonts w:hint="eastAsia" w:ascii="宋体" w:hAnsi="宋体" w:cs="宋体"/>
          <w:sz w:val="24"/>
          <w:highlight w:val="none"/>
        </w:rPr>
        <w:t>其它施工过程中需注意事项</w:t>
      </w:r>
    </w:p>
    <w:p>
      <w:pPr>
        <w:pStyle w:val="20"/>
        <w:numPr>
          <w:ilvl w:val="0"/>
          <w:numId w:val="4"/>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本工程在施工期间，成交供应商应注意保护好采购人周边现有成品，如有损坏，须无条件修复至采购人满意。</w:t>
      </w:r>
    </w:p>
    <w:p>
      <w:pPr>
        <w:pStyle w:val="20"/>
        <w:numPr>
          <w:ilvl w:val="0"/>
          <w:numId w:val="4"/>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废弃材料不得丢弃或随意堆放在</w:t>
      </w:r>
      <w:r>
        <w:rPr>
          <w:rFonts w:hint="eastAsia" w:ascii="宋体" w:hAnsi="宋体" w:cs="宋体"/>
          <w:sz w:val="24"/>
          <w:highlight w:val="none"/>
          <w:lang w:eastAsia="zh-CN"/>
        </w:rPr>
        <w:t>项目</w:t>
      </w:r>
      <w:r>
        <w:rPr>
          <w:rFonts w:hint="eastAsia" w:ascii="宋体" w:hAnsi="宋体" w:cs="宋体"/>
          <w:sz w:val="24"/>
          <w:highlight w:val="none"/>
        </w:rPr>
        <w:t>内，清理产生的拆除费、搬运费、交通运输费等各项费用均由供应商自行考虑并计入响应总价且一次性包干</w:t>
      </w:r>
    </w:p>
    <w:p>
      <w:pPr>
        <w:pStyle w:val="20"/>
        <w:numPr>
          <w:ilvl w:val="0"/>
          <w:numId w:val="4"/>
        </w:num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工程完工后，成交供应商需对施工现场进行全面的清洁工作。</w:t>
      </w:r>
    </w:p>
    <w:p>
      <w:pPr>
        <w:pStyle w:val="973"/>
        <w:spacing w:line="360" w:lineRule="auto"/>
        <w:ind w:left="210" w:firstLine="0" w:firstLineChars="0"/>
        <w:jc w:val="left"/>
        <w:rPr>
          <w:rFonts w:ascii="宋体" w:hAnsi="宋体" w:cs="宋体"/>
          <w:sz w:val="24"/>
          <w:highlight w:val="none"/>
        </w:rPr>
      </w:pPr>
      <w:r>
        <w:rPr>
          <w:rFonts w:hint="eastAsia" w:ascii="宋体" w:hAnsi="宋体" w:cs="宋体"/>
          <w:sz w:val="24"/>
          <w:highlight w:val="none"/>
        </w:rPr>
        <w:t>6.工程管理要求</w:t>
      </w:r>
    </w:p>
    <w:p>
      <w:pPr>
        <w:pStyle w:val="20"/>
        <w:numPr>
          <w:ilvl w:val="0"/>
          <w:numId w:val="5"/>
        </w:numPr>
        <w:spacing w:line="360" w:lineRule="auto"/>
        <w:jc w:val="both"/>
        <w:rPr>
          <w:rFonts w:ascii="宋体" w:hAnsi="宋体" w:cs="宋体"/>
          <w:sz w:val="24"/>
          <w:highlight w:val="none"/>
        </w:rPr>
      </w:pPr>
      <w:r>
        <w:rPr>
          <w:rFonts w:hint="eastAsia" w:ascii="宋体" w:hAnsi="宋体" w:cs="宋体"/>
          <w:sz w:val="24"/>
          <w:highlight w:val="none"/>
        </w:rPr>
        <w:t>工程管理原则：</w:t>
      </w:r>
    </w:p>
    <w:p>
      <w:pPr>
        <w:pStyle w:val="973"/>
        <w:tabs>
          <w:tab w:val="left" w:pos="420"/>
        </w:tabs>
        <w:spacing w:line="360" w:lineRule="auto"/>
        <w:ind w:firstLineChars="175"/>
        <w:jc w:val="left"/>
        <w:rPr>
          <w:rFonts w:ascii="宋体" w:hAnsi="宋体" w:cs="宋体"/>
          <w:sz w:val="24"/>
          <w:highlight w:val="none"/>
        </w:rPr>
      </w:pPr>
      <w:r>
        <w:rPr>
          <w:rFonts w:hint="eastAsia" w:ascii="宋体" w:hAnsi="宋体" w:cs="宋体"/>
          <w:sz w:val="24"/>
          <w:highlight w:val="none"/>
        </w:rPr>
        <w:t>①本工程承包范围内的工程项目，成交供应商未经采购人同意，一律不得转包，一经发现采购人有权立即取消其承包资格，成交供应商应承担由此引起的一切经济责任和法律责任；</w:t>
      </w:r>
    </w:p>
    <w:p>
      <w:pPr>
        <w:pStyle w:val="973"/>
        <w:tabs>
          <w:tab w:val="left" w:pos="420"/>
        </w:tabs>
        <w:spacing w:line="360" w:lineRule="auto"/>
        <w:ind w:firstLineChars="175"/>
        <w:jc w:val="left"/>
        <w:rPr>
          <w:rFonts w:ascii="宋体" w:hAnsi="宋体" w:cs="宋体"/>
          <w:sz w:val="24"/>
          <w:highlight w:val="none"/>
        </w:rPr>
      </w:pPr>
      <w:r>
        <w:rPr>
          <w:rFonts w:hint="eastAsia" w:ascii="宋体" w:hAnsi="宋体" w:cs="宋体"/>
          <w:sz w:val="24"/>
          <w:highlight w:val="none"/>
        </w:rPr>
        <w:t>②在工程实施过程中，如发现成交供应商为挂靠单位，采购人可立即终止合同。成交供应商应承担由此引起的一切经济责任和法律责任。</w:t>
      </w:r>
    </w:p>
    <w:p>
      <w:pPr>
        <w:pStyle w:val="973"/>
        <w:tabs>
          <w:tab w:val="left" w:pos="420"/>
        </w:tabs>
        <w:spacing w:line="360" w:lineRule="auto"/>
        <w:ind w:firstLineChars="175"/>
        <w:jc w:val="left"/>
        <w:rPr>
          <w:rFonts w:ascii="宋体" w:hAnsi="宋体" w:cs="宋体"/>
          <w:sz w:val="24"/>
          <w:highlight w:val="none"/>
        </w:rPr>
      </w:pPr>
      <w:r>
        <w:rPr>
          <w:rFonts w:hint="eastAsia" w:ascii="宋体" w:hAnsi="宋体" w:cs="宋体"/>
          <w:sz w:val="24"/>
          <w:highlight w:val="none"/>
        </w:rPr>
        <w:t>③成交供应商须严格按照已确认的施工技术方案组织实施，并无条件接受采购人的项目管理部门的管理。</w:t>
      </w:r>
    </w:p>
    <w:p>
      <w:pPr>
        <w:pStyle w:val="973"/>
        <w:tabs>
          <w:tab w:val="left" w:pos="420"/>
        </w:tabs>
        <w:spacing w:line="360" w:lineRule="auto"/>
        <w:ind w:firstLineChars="175"/>
        <w:jc w:val="left"/>
        <w:rPr>
          <w:rFonts w:ascii="宋体" w:hAnsi="宋体" w:cs="宋体"/>
          <w:sz w:val="24"/>
          <w:highlight w:val="none"/>
        </w:rPr>
      </w:pPr>
      <w:r>
        <w:rPr>
          <w:rFonts w:hint="eastAsia" w:ascii="宋体" w:hAnsi="宋体" w:cs="宋体"/>
          <w:sz w:val="24"/>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pPr>
        <w:pStyle w:val="20"/>
        <w:numPr>
          <w:ilvl w:val="0"/>
          <w:numId w:val="5"/>
        </w:numPr>
        <w:spacing w:line="360" w:lineRule="auto"/>
        <w:jc w:val="both"/>
        <w:rPr>
          <w:rFonts w:ascii="宋体" w:hAnsi="宋体" w:cs="宋体"/>
          <w:sz w:val="24"/>
          <w:highlight w:val="none"/>
        </w:rPr>
      </w:pPr>
      <w:r>
        <w:rPr>
          <w:rFonts w:hint="eastAsia" w:ascii="宋体" w:hAnsi="宋体" w:cs="宋体"/>
          <w:sz w:val="24"/>
          <w:highlight w:val="none"/>
        </w:rPr>
        <w:t>项目管理班子人员要求:</w:t>
      </w:r>
    </w:p>
    <w:p>
      <w:pPr>
        <w:pStyle w:val="973"/>
        <w:spacing w:line="360" w:lineRule="auto"/>
        <w:ind w:firstLineChars="175"/>
        <w:jc w:val="left"/>
        <w:rPr>
          <w:rFonts w:ascii="宋体" w:hAnsi="宋体" w:cs="宋体"/>
          <w:sz w:val="24"/>
          <w:highlight w:val="none"/>
        </w:rPr>
      </w:pPr>
      <w:r>
        <w:rPr>
          <w:rFonts w:hint="eastAsia" w:ascii="宋体" w:hAnsi="宋体" w:cs="宋体"/>
          <w:sz w:val="24"/>
          <w:highlight w:val="none"/>
        </w:rPr>
        <w:t>①项目经理：本项目拟派项目经理除具备</w:t>
      </w:r>
      <w:r>
        <w:rPr>
          <w:rFonts w:hint="eastAsia" w:ascii="宋体" w:hAnsi="宋体" w:cs="宋体"/>
          <w:sz w:val="24"/>
          <w:highlight w:val="none"/>
          <w:lang w:eastAsia="zh-CN"/>
        </w:rPr>
        <w:t>建筑工程</w:t>
      </w:r>
      <w:r>
        <w:rPr>
          <w:rFonts w:hint="eastAsia" w:ascii="宋体" w:hAnsi="宋体" w:cs="宋体"/>
          <w:sz w:val="24"/>
          <w:highlight w:val="none"/>
        </w:rPr>
        <w:t>专业注册建造师资格，无在建项目外，还应具有类似施工经验以及相关专业技术职称，在施工过程中，应确保到位率达到90%（含）以上；</w:t>
      </w:r>
    </w:p>
    <w:p>
      <w:pPr>
        <w:pStyle w:val="973"/>
        <w:spacing w:line="360" w:lineRule="auto"/>
        <w:ind w:firstLineChars="175"/>
        <w:jc w:val="left"/>
        <w:rPr>
          <w:rFonts w:ascii="宋体" w:hAnsi="宋体" w:cs="宋体"/>
          <w:sz w:val="24"/>
          <w:highlight w:val="none"/>
        </w:rPr>
      </w:pPr>
      <w:r>
        <w:rPr>
          <w:rFonts w:hint="eastAsia" w:ascii="宋体" w:hAnsi="宋体" w:cs="宋体"/>
          <w:sz w:val="24"/>
          <w:highlight w:val="none"/>
        </w:rPr>
        <w:t>②拟派</w:t>
      </w:r>
      <w:r>
        <w:rPr>
          <w:rFonts w:hint="eastAsia" w:ascii="宋体" w:hAnsi="宋体" w:cs="宋体"/>
          <w:sz w:val="24"/>
          <w:highlight w:val="none"/>
          <w:lang w:eastAsia="zh-CN"/>
        </w:rPr>
        <w:t>项目组成员中</w:t>
      </w:r>
      <w:r>
        <w:rPr>
          <w:rFonts w:hint="eastAsia" w:ascii="宋体" w:hAnsi="宋体" w:cs="宋体"/>
          <w:sz w:val="24"/>
          <w:highlight w:val="none"/>
        </w:rPr>
        <w:t>应具有类似工程施工经验以及相关专业技术职称</w:t>
      </w:r>
      <w:r>
        <w:rPr>
          <w:rFonts w:hint="eastAsia" w:ascii="宋体" w:hAnsi="宋体" w:cs="宋体"/>
          <w:sz w:val="24"/>
          <w:highlight w:val="none"/>
          <w:lang w:eastAsia="zh-CN"/>
        </w:rPr>
        <w:t>或</w:t>
      </w:r>
      <w:r>
        <w:rPr>
          <w:rFonts w:hint="eastAsia" w:ascii="宋体" w:hAnsi="宋体" w:cs="宋体"/>
          <w:sz w:val="24"/>
          <w:highlight w:val="none"/>
        </w:rPr>
        <w:t>具备</w:t>
      </w:r>
      <w:r>
        <w:rPr>
          <w:rFonts w:hint="eastAsia" w:ascii="宋体" w:hAnsi="宋体" w:cs="宋体"/>
          <w:sz w:val="24"/>
          <w:highlight w:val="none"/>
          <w:lang w:eastAsia="zh-CN"/>
        </w:rPr>
        <w:t>建筑工程</w:t>
      </w:r>
      <w:r>
        <w:rPr>
          <w:rFonts w:hint="eastAsia" w:ascii="宋体" w:hAnsi="宋体" w:cs="宋体"/>
          <w:sz w:val="24"/>
          <w:highlight w:val="none"/>
        </w:rPr>
        <w:t>专业注册建造师资格；</w:t>
      </w:r>
    </w:p>
    <w:p>
      <w:pPr>
        <w:pStyle w:val="973"/>
        <w:spacing w:line="360" w:lineRule="auto"/>
        <w:ind w:firstLineChars="175"/>
        <w:jc w:val="left"/>
        <w:rPr>
          <w:rFonts w:ascii="宋体" w:hAnsi="宋体" w:cs="宋体"/>
          <w:sz w:val="24"/>
          <w:highlight w:val="none"/>
        </w:rPr>
      </w:pPr>
      <w:r>
        <w:rPr>
          <w:rFonts w:hint="eastAsia" w:ascii="宋体" w:hAnsi="宋体" w:cs="宋体"/>
          <w:sz w:val="24"/>
          <w:highlight w:val="none"/>
        </w:rPr>
        <w:t>③拟派项目管理班子中施工员、安全员、质量员、材料员、资料员等重要岗位应人员配置齐全。</w:t>
      </w:r>
    </w:p>
    <w:p>
      <w:pPr>
        <w:pStyle w:val="20"/>
        <w:numPr>
          <w:ilvl w:val="0"/>
          <w:numId w:val="5"/>
        </w:numPr>
        <w:spacing w:line="360" w:lineRule="auto"/>
        <w:jc w:val="both"/>
        <w:rPr>
          <w:rFonts w:ascii="宋体" w:hAnsi="宋体" w:cs="宋体"/>
          <w:sz w:val="24"/>
          <w:highlight w:val="none"/>
        </w:rPr>
      </w:pPr>
      <w:r>
        <w:rPr>
          <w:rFonts w:hint="eastAsia" w:ascii="宋体" w:hAnsi="宋体" w:cs="宋体"/>
          <w:sz w:val="24"/>
          <w:highlight w:val="none"/>
        </w:rPr>
        <w:t>工程管理其他要求</w:t>
      </w:r>
    </w:p>
    <w:p>
      <w:pPr>
        <w:pStyle w:val="973"/>
        <w:spacing w:line="360" w:lineRule="auto"/>
        <w:ind w:firstLineChars="175"/>
        <w:jc w:val="left"/>
        <w:rPr>
          <w:rFonts w:ascii="宋体" w:hAnsi="宋体" w:cs="宋体"/>
          <w:sz w:val="24"/>
          <w:highlight w:val="none"/>
        </w:rPr>
      </w:pPr>
      <w:r>
        <w:rPr>
          <w:rFonts w:hint="eastAsia" w:ascii="宋体" w:hAnsi="宋体" w:cs="宋体"/>
          <w:sz w:val="24"/>
          <w:highlight w:val="none"/>
        </w:rPr>
        <w:t>①本项目施工现场采购人不提供食宿，施工期间，所有施工人员的食宿均由成交供应商自行安排，材料的堆放及停车必须服从采购人的安排。</w:t>
      </w:r>
    </w:p>
    <w:p>
      <w:pPr>
        <w:pStyle w:val="973"/>
        <w:spacing w:line="360" w:lineRule="auto"/>
        <w:ind w:firstLineChars="175"/>
        <w:jc w:val="left"/>
        <w:rPr>
          <w:rFonts w:ascii="宋体" w:hAnsi="宋体" w:cs="宋体"/>
          <w:sz w:val="24"/>
          <w:highlight w:val="none"/>
        </w:rPr>
      </w:pPr>
      <w:r>
        <w:rPr>
          <w:rFonts w:hint="eastAsia" w:ascii="宋体" w:hAnsi="宋体" w:cs="宋体"/>
          <w:sz w:val="24"/>
          <w:highlight w:val="none"/>
        </w:rPr>
        <w:t>②施工现场严禁吸烟。</w:t>
      </w:r>
    </w:p>
    <w:p>
      <w:pPr>
        <w:pStyle w:val="973"/>
        <w:spacing w:line="360" w:lineRule="auto"/>
        <w:ind w:firstLineChars="175"/>
        <w:jc w:val="left"/>
        <w:rPr>
          <w:rFonts w:ascii="宋体" w:hAnsi="宋体" w:cs="宋体"/>
          <w:sz w:val="24"/>
          <w:highlight w:val="none"/>
        </w:rPr>
      </w:pPr>
      <w:r>
        <w:rPr>
          <w:rFonts w:hint="eastAsia" w:ascii="宋体" w:hAnsi="宋体" w:cs="宋体"/>
          <w:sz w:val="24"/>
          <w:highlight w:val="none"/>
        </w:rPr>
        <w:t>③如涉及疫情管理需要，成交供应商须严格遵守采购人要求，所有进场人员需按照采购人要求登记办理施工出入手续。</w:t>
      </w:r>
    </w:p>
    <w:p>
      <w:pPr>
        <w:spacing w:line="360" w:lineRule="auto"/>
        <w:ind w:left="210" w:leftChars="100"/>
        <w:jc w:val="left"/>
        <w:rPr>
          <w:rFonts w:ascii="宋体" w:hAnsi="宋体" w:cs="宋体"/>
          <w:sz w:val="24"/>
          <w:highlight w:val="none"/>
        </w:rPr>
      </w:pPr>
      <w:r>
        <w:rPr>
          <w:rFonts w:hint="eastAsia" w:ascii="宋体" w:hAnsi="宋体" w:cs="宋体"/>
          <w:sz w:val="24"/>
          <w:highlight w:val="none"/>
        </w:rPr>
        <w:t xml:space="preserve">7.工程主要材料（设备）要求  </w:t>
      </w:r>
    </w:p>
    <w:p>
      <w:pPr>
        <w:pStyle w:val="973"/>
        <w:numPr>
          <w:ilvl w:val="0"/>
          <w:numId w:val="6"/>
        </w:numPr>
        <w:snapToGrid w:val="0"/>
        <w:spacing w:line="360" w:lineRule="auto"/>
        <w:ind w:left="0" w:firstLine="420" w:firstLineChars="0"/>
        <w:jc w:val="left"/>
        <w:rPr>
          <w:rFonts w:ascii="宋体" w:hAnsi="宋体" w:cs="宋体"/>
          <w:sz w:val="24"/>
          <w:highlight w:val="none"/>
        </w:rPr>
      </w:pPr>
      <w:r>
        <w:rPr>
          <w:rFonts w:hint="eastAsia" w:ascii="宋体" w:hAnsi="宋体" w:cs="宋体"/>
          <w:sz w:val="24"/>
          <w:highlight w:val="none"/>
        </w:rPr>
        <w:t>本项目涉及的所有材料设备，必须经采购人/监理公司确认后方能采购、进场、加工、安装。否则一律不予承认，不予支付相应款项。</w:t>
      </w:r>
    </w:p>
    <w:p>
      <w:pPr>
        <w:pStyle w:val="973"/>
        <w:numPr>
          <w:ilvl w:val="0"/>
          <w:numId w:val="6"/>
        </w:numPr>
        <w:snapToGrid w:val="0"/>
        <w:spacing w:line="360" w:lineRule="auto"/>
        <w:ind w:left="0" w:firstLine="420" w:firstLineChars="0"/>
        <w:jc w:val="left"/>
        <w:rPr>
          <w:rFonts w:ascii="宋体" w:hAnsi="宋体" w:cs="宋体"/>
          <w:b/>
          <w:sz w:val="24"/>
          <w:highlight w:val="none"/>
        </w:rPr>
      </w:pPr>
      <w:r>
        <w:rPr>
          <w:rFonts w:hint="eastAsia" w:ascii="宋体" w:hAnsi="宋体" w:cs="宋体"/>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pPr>
        <w:pStyle w:val="973"/>
        <w:numPr>
          <w:ilvl w:val="0"/>
          <w:numId w:val="6"/>
        </w:numPr>
        <w:snapToGrid w:val="0"/>
        <w:spacing w:line="360" w:lineRule="auto"/>
        <w:ind w:left="0" w:firstLine="420" w:firstLineChars="0"/>
        <w:jc w:val="left"/>
        <w:rPr>
          <w:rFonts w:ascii="宋体" w:hAnsi="宋体" w:cs="宋体"/>
          <w:sz w:val="24"/>
          <w:highlight w:val="none"/>
        </w:rPr>
      </w:pPr>
      <w:r>
        <w:rPr>
          <w:rFonts w:hint="eastAsia" w:ascii="宋体" w:hAnsi="宋体" w:cs="宋体"/>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pPr>
        <w:pStyle w:val="973"/>
        <w:numPr>
          <w:ilvl w:val="0"/>
          <w:numId w:val="6"/>
        </w:numPr>
        <w:snapToGrid w:val="0"/>
        <w:spacing w:line="360" w:lineRule="auto"/>
        <w:ind w:left="0" w:firstLine="420" w:firstLineChars="0"/>
        <w:jc w:val="left"/>
        <w:rPr>
          <w:rFonts w:ascii="宋体" w:hAnsi="宋体" w:cs="宋体"/>
          <w:sz w:val="24"/>
          <w:highlight w:val="none"/>
        </w:rPr>
      </w:pPr>
      <w:r>
        <w:rPr>
          <w:rFonts w:hint="eastAsia" w:ascii="宋体" w:hAnsi="宋体" w:cs="宋体"/>
          <w:sz w:val="24"/>
          <w:highlight w:val="none"/>
        </w:rPr>
        <w:t>供应商应当有详细的材料（设备）供应计划及质量保证措施；</w:t>
      </w:r>
    </w:p>
    <w:p>
      <w:pPr>
        <w:pStyle w:val="973"/>
        <w:numPr>
          <w:ilvl w:val="0"/>
          <w:numId w:val="6"/>
        </w:numPr>
        <w:snapToGrid w:val="0"/>
        <w:spacing w:line="360" w:lineRule="auto"/>
        <w:ind w:left="0" w:firstLine="420" w:firstLineChars="0"/>
        <w:jc w:val="left"/>
        <w:rPr>
          <w:rFonts w:ascii="宋体" w:hAnsi="宋体" w:cs="宋体"/>
          <w:sz w:val="24"/>
          <w:highlight w:val="none"/>
        </w:rPr>
      </w:pPr>
      <w:r>
        <w:rPr>
          <w:rFonts w:hint="eastAsia" w:ascii="宋体" w:hAnsi="宋体" w:cs="宋体"/>
          <w:sz w:val="24"/>
          <w:highlight w:val="none"/>
        </w:rPr>
        <w:t>材料的质量要求：材料检验按法律、法规、文件规定的见证取样和送检规定的程序进行。凡检验结果证明其有害物质含量指标超标的产品不得在工程上使用。</w:t>
      </w:r>
    </w:p>
    <w:p>
      <w:pPr>
        <w:spacing w:line="360" w:lineRule="auto"/>
        <w:jc w:val="left"/>
        <w:rPr>
          <w:rFonts w:ascii="宋体" w:hAnsi="宋体" w:cs="宋体"/>
          <w:b/>
          <w:bCs/>
          <w:sz w:val="24"/>
          <w:highlight w:val="none"/>
        </w:rPr>
      </w:pPr>
      <w:r>
        <w:rPr>
          <w:rFonts w:hint="eastAsia" w:ascii="宋体" w:hAnsi="宋体" w:cs="宋体"/>
          <w:b/>
          <w:bCs/>
          <w:sz w:val="24"/>
          <w:highlight w:val="none"/>
        </w:rPr>
        <w:t>三、商务要求</w:t>
      </w:r>
    </w:p>
    <w:p>
      <w:pPr>
        <w:spacing w:line="360" w:lineRule="auto"/>
        <w:ind w:left="210" w:leftChars="100"/>
        <w:jc w:val="left"/>
        <w:rPr>
          <w:rFonts w:hint="eastAsia" w:ascii="宋体" w:hAnsi="宋体" w:eastAsia="宋体" w:cs="宋体"/>
          <w:sz w:val="24"/>
          <w:highlight w:val="none"/>
          <w:lang w:eastAsia="zh-CN"/>
        </w:rPr>
      </w:pPr>
      <w:r>
        <w:rPr>
          <w:rFonts w:hint="eastAsia" w:ascii="宋体" w:hAnsi="宋体" w:cs="宋体"/>
          <w:sz w:val="24"/>
          <w:highlight w:val="none"/>
        </w:rPr>
        <w:t>1.工期要求：</w:t>
      </w:r>
      <w:r>
        <w:rPr>
          <w:rFonts w:hint="eastAsia" w:ascii="宋体" w:hAnsi="宋体" w:cs="宋体"/>
          <w:sz w:val="24"/>
          <w:highlight w:val="none"/>
          <w:lang w:eastAsia="zh-CN"/>
        </w:rPr>
        <w:t>40日历天</w:t>
      </w:r>
    </w:p>
    <w:p>
      <w:pPr>
        <w:spacing w:line="360" w:lineRule="auto"/>
        <w:ind w:left="210" w:leftChars="100"/>
        <w:jc w:val="left"/>
        <w:rPr>
          <w:rFonts w:ascii="宋体" w:hAnsi="宋体" w:cs="宋体"/>
          <w:sz w:val="24"/>
          <w:highlight w:val="none"/>
        </w:rPr>
      </w:pPr>
      <w:r>
        <w:rPr>
          <w:rFonts w:hint="eastAsia" w:ascii="宋体" w:hAnsi="宋体" w:cs="宋体"/>
          <w:sz w:val="24"/>
          <w:highlight w:val="none"/>
        </w:rPr>
        <w:t>2.工程地点：临江街道</w:t>
      </w:r>
    </w:p>
    <w:p>
      <w:pPr>
        <w:spacing w:line="360" w:lineRule="auto"/>
        <w:ind w:left="210" w:leftChars="100"/>
        <w:jc w:val="left"/>
        <w:rPr>
          <w:rFonts w:ascii="宋体" w:hAnsi="宋体" w:cs="宋体"/>
          <w:sz w:val="24"/>
          <w:highlight w:val="none"/>
        </w:rPr>
      </w:pPr>
      <w:r>
        <w:rPr>
          <w:rFonts w:hint="eastAsia" w:ascii="宋体" w:hAnsi="宋体" w:cs="宋体"/>
          <w:sz w:val="24"/>
          <w:highlight w:val="none"/>
        </w:rPr>
        <w:t>3.付款条件：</w:t>
      </w:r>
    </w:p>
    <w:p>
      <w:pPr>
        <w:snapToGrid w:val="0"/>
        <w:spacing w:line="360" w:lineRule="auto"/>
        <w:ind w:right="143" w:rightChars="68" w:firstLine="561" w:firstLineChars="234"/>
        <w:jc w:val="left"/>
        <w:rPr>
          <w:rFonts w:ascii="宋体" w:hAnsi="宋体" w:cs="宋体"/>
          <w:sz w:val="24"/>
          <w:highlight w:val="none"/>
        </w:rPr>
      </w:pPr>
      <w:r>
        <w:rPr>
          <w:rFonts w:hint="eastAsia" w:ascii="宋体" w:hAnsi="宋体" w:cs="宋体"/>
          <w:sz w:val="24"/>
          <w:highlight w:val="none"/>
        </w:rPr>
        <w:t>竣工验收合格后退还履约保证金（不计息）；合同生效以及具备实施条件后7个工作日支付合同总价的40%作为预付款（中标人需提供相应的预付款保函后方可支付预付款）；竣工验收合格后支付至合同价的70%；竣工验收合格、符合竣工退场要求，并且提交完整的相关竣工结算审核资料，经招标人、财政部门（含街道财政）认可后支付至该工程合同范围内实际完成工程量的80%，余额待财政工程审计完成、完整的资料归档及质保期到期后一次性结清。质保期内的质量由中标单位负责。</w:t>
      </w:r>
    </w:p>
    <w:p>
      <w:pPr>
        <w:snapToGrid w:val="0"/>
        <w:spacing w:line="360" w:lineRule="auto"/>
        <w:ind w:right="143" w:rightChars="68" w:firstLine="480" w:firstLineChars="200"/>
        <w:jc w:val="left"/>
        <w:rPr>
          <w:rFonts w:ascii="宋体" w:hAnsi="宋体" w:cs="宋体"/>
          <w:sz w:val="24"/>
          <w:highlight w:val="none"/>
        </w:rPr>
      </w:pPr>
      <w:r>
        <w:rPr>
          <w:rFonts w:hint="eastAsia" w:ascii="宋体" w:hAnsi="宋体" w:cs="宋体"/>
          <w:sz w:val="24"/>
          <w:highlight w:val="none"/>
        </w:rPr>
        <w:t>4.本项目履约保证金按合同价的1%计算（保留1位小数，不超合同价的1%），合同签订后5个工作日内缴纳，履约保证金以</w:t>
      </w:r>
      <w:r>
        <w:rPr>
          <w:rFonts w:hint="eastAsia" w:ascii="宋体" w:hAnsi="宋体" w:cs="宋体"/>
          <w:kern w:val="0"/>
          <w:sz w:val="24"/>
          <w:highlight w:val="none"/>
        </w:rPr>
        <w:t>支票、汇票、本票或者金融机构、担保机构出具的保函等非现金形式提交</w:t>
      </w:r>
      <w:r>
        <w:rPr>
          <w:rFonts w:hint="eastAsia" w:ascii="宋体" w:hAnsi="宋体" w:cs="宋体"/>
          <w:sz w:val="24"/>
          <w:highlight w:val="none"/>
        </w:rPr>
        <w:t>。竣工验收合格后退还履约保证金（不计息）。</w:t>
      </w:r>
    </w:p>
    <w:p>
      <w:pPr>
        <w:spacing w:line="360" w:lineRule="auto"/>
        <w:jc w:val="left"/>
        <w:rPr>
          <w:rFonts w:ascii="宋体" w:hAnsi="宋体" w:cs="宋体"/>
          <w:sz w:val="24"/>
          <w:highlight w:val="none"/>
        </w:rPr>
      </w:pPr>
      <w:r>
        <w:rPr>
          <w:rFonts w:hint="eastAsia" w:ascii="宋体" w:hAnsi="宋体" w:cs="宋体"/>
          <w:sz w:val="24"/>
          <w:highlight w:val="none"/>
        </w:rPr>
        <w:t>5.工程售后服务要求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（1）保修期：按工程质量保修书规定执行，质量保证期为本项目验收合格后不少于2年（具体详见工程质量保修书）。</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成交供应商应与采购人签订工程质量保修书，在质量保修期内，按照有关法律、法规、规章的管理规定和双方约定，承担本工程质量保修责任。</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（3）成交供应商必须对所承包的工程的质量负全部责任，其责任不因其他材料生产商提供的保证书而减轻或更改。</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（4）供应商应当在缺陷责任期内具有完善的售后技术支持和服务体系，能够提供服务标准、服务流程、服务内容。</w:t>
      </w:r>
    </w:p>
    <w:p>
      <w:pPr>
        <w:spacing w:line="360" w:lineRule="auto"/>
        <w:ind w:left="210" w:leftChars="100"/>
        <w:jc w:val="left"/>
        <w:rPr>
          <w:rFonts w:ascii="宋体" w:hAnsi="宋体" w:cs="宋体"/>
          <w:sz w:val="24"/>
          <w:highlight w:val="none"/>
        </w:rPr>
      </w:pPr>
      <w:r>
        <w:rPr>
          <w:rFonts w:hint="eastAsia" w:ascii="宋体" w:hAnsi="宋体" w:cs="宋体"/>
          <w:sz w:val="24"/>
          <w:highlight w:val="none"/>
        </w:rPr>
        <w:t>6.其他商务要求（包装和运输、保险等）</w:t>
      </w:r>
    </w:p>
    <w:p>
      <w:pPr>
        <w:spacing w:line="360" w:lineRule="auto"/>
        <w:ind w:firstLine="420"/>
        <w:jc w:val="left"/>
        <w:rPr>
          <w:rFonts w:ascii="宋体" w:hAnsi="宋体" w:cs="宋体"/>
          <w:sz w:val="24"/>
          <w:highlight w:val="none"/>
        </w:rPr>
      </w:pPr>
      <w:r>
        <w:rPr>
          <w:rFonts w:hint="eastAsia" w:ascii="宋体" w:hAnsi="宋体" w:cs="宋体"/>
          <w:sz w:val="24"/>
          <w:highlight w:val="none"/>
        </w:rPr>
        <w:t>（1）供应商应当将因搬运不便而产生的二次搬运费用计算在磋商报价中。</w:t>
      </w:r>
    </w:p>
    <w:p>
      <w:pPr>
        <w:spacing w:line="360" w:lineRule="auto"/>
        <w:ind w:firstLine="420"/>
        <w:jc w:val="left"/>
        <w:rPr>
          <w:rFonts w:ascii="宋体" w:hAnsi="宋体" w:cs="宋体"/>
          <w:sz w:val="24"/>
          <w:highlight w:val="none"/>
        </w:rPr>
      </w:pPr>
      <w:r>
        <w:rPr>
          <w:rFonts w:hint="eastAsia" w:ascii="宋体" w:hAnsi="宋体" w:cs="宋体"/>
          <w:sz w:val="24"/>
          <w:highlight w:val="none"/>
        </w:rPr>
        <w:t>（2）供应商应当将与本项目有关的农民工工伤保险相关费用计算在磋商报价中。</w:t>
      </w:r>
    </w:p>
    <w:p>
      <w:pPr>
        <w:spacing w:line="360" w:lineRule="auto"/>
        <w:jc w:val="left"/>
        <w:rPr>
          <w:rFonts w:ascii="宋体" w:hAnsi="宋体" w:cs="宋体"/>
          <w:b/>
          <w:sz w:val="24"/>
          <w:highlight w:val="none"/>
        </w:rPr>
      </w:pPr>
      <w:r>
        <w:rPr>
          <w:rFonts w:hint="eastAsia" w:ascii="宋体" w:hAnsi="宋体" w:cs="宋体"/>
          <w:b/>
          <w:sz w:val="24"/>
          <w:highlight w:val="none"/>
          <w:lang w:eastAsia="zh-CN"/>
        </w:rPr>
        <w:t>四</w:t>
      </w:r>
      <w:r>
        <w:rPr>
          <w:rFonts w:hint="eastAsia" w:ascii="宋体" w:hAnsi="宋体" w:cs="宋体"/>
          <w:b/>
          <w:sz w:val="24"/>
          <w:highlight w:val="none"/>
        </w:rPr>
        <w:t>、其他要求</w:t>
      </w:r>
    </w:p>
    <w:p>
      <w:pPr>
        <w:snapToGrid w:val="0"/>
        <w:spacing w:line="360" w:lineRule="auto"/>
        <w:ind w:firstLine="480"/>
        <w:rPr>
          <w:rFonts w:ascii="宋体" w:hAnsi="宋体" w:cs="宋体"/>
          <w:sz w:val="24"/>
          <w:highlight w:val="none"/>
        </w:rPr>
      </w:pPr>
      <w:r>
        <w:rPr>
          <w:rFonts w:hint="eastAsia" w:ascii="宋体" w:hAnsi="宋体" w:cs="宋体"/>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pPr>
        <w:snapToGrid w:val="0"/>
        <w:spacing w:line="360" w:lineRule="auto"/>
        <w:ind w:firstLine="480"/>
        <w:rPr>
          <w:rFonts w:ascii="宋体" w:hAnsi="宋体" w:cs="宋体"/>
          <w:kern w:val="0"/>
          <w:sz w:val="24"/>
          <w:highlight w:val="none"/>
        </w:rPr>
      </w:pPr>
      <w:r>
        <w:rPr>
          <w:rFonts w:hint="eastAsia" w:ascii="宋体" w:hAnsi="宋体" w:cs="宋体"/>
          <w:kern w:val="0"/>
          <w:sz w:val="24"/>
          <w:highlight w:val="none"/>
        </w:rPr>
        <w:t>（2）因工程施工要求或工程管理要求而产生的各项潜在费用支出均由供应商自行考虑并计入响应总价且一次性包干。</w:t>
      </w:r>
    </w:p>
    <w:p>
      <w:pPr>
        <w:snapToGrid w:val="0"/>
        <w:spacing w:line="360" w:lineRule="auto"/>
        <w:ind w:firstLine="422"/>
        <w:rPr>
          <w:rFonts w:ascii="宋体" w:hAnsi="宋体" w:cs="宋体"/>
          <w:kern w:val="0"/>
          <w:sz w:val="24"/>
          <w:highlight w:val="none"/>
        </w:rPr>
      </w:pPr>
      <w:r>
        <w:rPr>
          <w:rFonts w:hint="eastAsia" w:ascii="宋体" w:hAnsi="宋体" w:cs="宋体"/>
          <w:sz w:val="24"/>
          <w:highlight w:val="none"/>
        </w:rPr>
        <w:t>（3）</w:t>
      </w:r>
      <w:r>
        <w:rPr>
          <w:rFonts w:hint="eastAsia" w:ascii="宋体" w:hAnsi="宋体" w:cs="宋体"/>
          <w:kern w:val="0"/>
          <w:sz w:val="24"/>
          <w:highlight w:val="none"/>
        </w:rPr>
        <w:t>本工程的组织措施费用为一次性包干使用，成交后不再作调整；技术措施费用中，按“项”计量的部分为一次性包干使用，成交后不再作调整。</w:t>
      </w:r>
    </w:p>
    <w:p>
      <w:pPr>
        <w:snapToGrid w:val="0"/>
        <w:spacing w:line="360" w:lineRule="auto"/>
        <w:ind w:firstLine="422"/>
        <w:rPr>
          <w:rFonts w:ascii="宋体" w:hAnsi="宋体" w:cs="宋体"/>
          <w:kern w:val="0"/>
          <w:sz w:val="24"/>
          <w:highlight w:val="none"/>
        </w:rPr>
      </w:pPr>
      <w:r>
        <w:rPr>
          <w:rFonts w:hint="eastAsia" w:ascii="宋体" w:hAnsi="宋体" w:cs="宋体"/>
          <w:sz w:val="24"/>
          <w:highlight w:val="none"/>
        </w:rPr>
        <w:t>（4）</w:t>
      </w:r>
      <w:r>
        <w:rPr>
          <w:rFonts w:hint="eastAsia" w:ascii="宋体" w:hAnsi="宋体" w:cs="宋体"/>
          <w:kern w:val="0"/>
          <w:sz w:val="24"/>
          <w:highlight w:val="none"/>
        </w:rPr>
        <w:t>与报价相关的其他事宜见本项目“工程量清单”。</w:t>
      </w:r>
    </w:p>
    <w:p>
      <w:pPr>
        <w:snapToGrid w:val="0"/>
        <w:spacing w:line="360" w:lineRule="auto"/>
        <w:ind w:firstLine="422"/>
        <w:rPr>
          <w:rFonts w:ascii="宋体" w:hAnsi="宋体" w:cs="宋体"/>
          <w:kern w:val="0"/>
          <w:sz w:val="24"/>
          <w:highlight w:val="none"/>
        </w:rPr>
      </w:pPr>
      <w:r>
        <w:rPr>
          <w:rFonts w:hint="eastAsia" w:ascii="宋体" w:hAnsi="宋体" w:cs="宋体"/>
          <w:kern w:val="0"/>
          <w:sz w:val="24"/>
          <w:highlight w:val="none"/>
        </w:rPr>
        <w:t>（5）技术响应要求：</w:t>
      </w:r>
    </w:p>
    <w:p>
      <w:pPr>
        <w:pStyle w:val="973"/>
        <w:numPr>
          <w:ilvl w:val="0"/>
          <w:numId w:val="7"/>
        </w:numPr>
        <w:spacing w:line="360" w:lineRule="auto"/>
        <w:ind w:firstLineChars="0"/>
        <w:jc w:val="left"/>
        <w:rPr>
          <w:rFonts w:ascii="宋体" w:hAnsi="宋体" w:cs="宋体"/>
          <w:sz w:val="24"/>
          <w:highlight w:val="none"/>
        </w:rPr>
      </w:pPr>
      <w:r>
        <w:rPr>
          <w:rFonts w:hint="eastAsia" w:ascii="宋体" w:hAnsi="宋体" w:cs="宋体"/>
          <w:sz w:val="24"/>
          <w:highlight w:val="none"/>
        </w:rPr>
        <w:t>供应商应当有全面、合理、针对本项目的工程施工技术方案和措施，此工程施工技术方案应当具有明确的针对性和可操作性，各项施工措施应当明确、到位；</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供应商应当特殊施工环境需要采取的专门的施工技术内容应当具有明确的针对性和可操作性； </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供应商应当有</w:t>
      </w:r>
      <w:r>
        <w:rPr>
          <w:rFonts w:hint="eastAsia" w:ascii="宋体" w:hAnsi="宋体" w:cs="宋体"/>
          <w:sz w:val="24"/>
          <w:highlight w:val="none"/>
          <w:lang w:eastAsia="zh-CN"/>
        </w:rPr>
        <w:t>项目施工</w:t>
      </w:r>
      <w:r>
        <w:rPr>
          <w:rFonts w:hint="eastAsia" w:ascii="宋体" w:hAnsi="宋体" w:cs="宋体"/>
          <w:sz w:val="24"/>
          <w:highlight w:val="none"/>
        </w:rPr>
        <w:t>的组织措施措施，应当具有明确的针对性和可操作性；</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供应商应当有针对工程特点、难点的分析，并根据本工程项目的特点、难点提出有针对性的施工方案与措施；</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供应商应当有全面、合理、针对本项目的</w:t>
      </w:r>
      <w:r>
        <w:rPr>
          <w:rFonts w:hint="eastAsia" w:ascii="宋体" w:hAnsi="宋体" w:cs="宋体"/>
          <w:sz w:val="24"/>
          <w:highlight w:val="none"/>
          <w:lang w:eastAsia="zh-CN"/>
        </w:rPr>
        <w:t>专项工程</w:t>
      </w:r>
      <w:r>
        <w:rPr>
          <w:rFonts w:hint="eastAsia" w:ascii="宋体" w:hAnsi="宋体" w:cs="宋体"/>
          <w:sz w:val="24"/>
          <w:highlight w:val="none"/>
        </w:rPr>
        <w:t>施工方法，主要施工方法应当具有明确的针对性和可操作性，对施工的各道程序</w:t>
      </w:r>
      <w:r>
        <w:rPr>
          <w:rFonts w:hint="eastAsia" w:ascii="宋体" w:hAnsi="宋体" w:cs="宋体"/>
          <w:sz w:val="24"/>
          <w:highlight w:val="none"/>
          <w:lang w:eastAsia="zh-CN"/>
        </w:rPr>
        <w:t>（特别是关键工序、复杂环节）</w:t>
      </w:r>
      <w:r>
        <w:rPr>
          <w:rFonts w:hint="eastAsia" w:ascii="宋体" w:hAnsi="宋体" w:cs="宋体"/>
          <w:sz w:val="24"/>
          <w:highlight w:val="none"/>
        </w:rPr>
        <w:t>应当明确、到位；</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供应商应具有针对本项目的具体施工质量控制措施，质量控制措施应当完善、到位；</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供应商应具有针对本项目的具体安全、文明施工及市政、市容、环保、消防等的保证措施，控制措施应当完善、到位；</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供应商拟投入的管理人员的岗位、专业及各专业工种劳动力配置应当满足施工工程现场的要求；</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供应商拟投入的施工机具和检验仪器应当满足施工工程现场的要求，其中施工机械和设备应当同时考虑</w:t>
      </w:r>
      <w:r>
        <w:rPr>
          <w:rFonts w:hint="eastAsia" w:ascii="宋体" w:hAnsi="宋体" w:cs="宋体"/>
          <w:sz w:val="24"/>
          <w:highlight w:val="none"/>
          <w:lang w:eastAsia="zh-CN"/>
        </w:rPr>
        <w:t>项目</w:t>
      </w:r>
      <w:r>
        <w:rPr>
          <w:rFonts w:hint="eastAsia" w:ascii="宋体" w:hAnsi="宋体" w:cs="宋体"/>
          <w:sz w:val="24"/>
          <w:highlight w:val="none"/>
        </w:rPr>
        <w:t>的需要；</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供应商应当有针对材料设备进场计划及施工计划，材料设备的进场计划应当包含材料设备进场的包装、运输、进场验收等各个环节，施工计划应当包含施工的各个环节；</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供应商应当有针对现场施工的具体降噪措施，包括针对教学的降噪措施和针对附近居民的降噪措施；</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供应商应当具有针对本项目的具体成品保护措施，措施应当完善、到位；</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供应商应当具有针对本项目的</w:t>
      </w:r>
      <w:r>
        <w:rPr>
          <w:rFonts w:hint="eastAsia" w:ascii="宋体" w:hAnsi="宋体" w:cs="宋体"/>
          <w:sz w:val="24"/>
          <w:highlight w:val="none"/>
          <w:lang w:eastAsia="zh-CN"/>
        </w:rPr>
        <w:t>服务</w:t>
      </w:r>
      <w:r>
        <w:rPr>
          <w:rFonts w:hint="eastAsia" w:ascii="宋体" w:hAnsi="宋体" w:cs="宋体"/>
          <w:sz w:val="24"/>
          <w:highlight w:val="none"/>
        </w:rPr>
        <w:t>措施，措施应当完善、到位；</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供应商在缺陷责任期内应当具有完善的售后技术支持和服务体系，能够保证采购人在缺陷责任期内得到不少于本磋商文件所附工程质量保修书的相关服务要求。</w:t>
      </w: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w:t>
      </w:r>
      <w:bookmarkStart w:id="32" w:name="_Toc184314478"/>
      <w:bookmarkEnd w:id="32"/>
      <w:bookmarkStart w:id="33" w:name="_Toc184310323"/>
      <w:bookmarkEnd w:id="33"/>
      <w:bookmarkStart w:id="34" w:name="_Toc184312097"/>
      <w:bookmarkEnd w:id="34"/>
      <w:bookmarkStart w:id="35" w:name="_Toc184312112"/>
      <w:bookmarkEnd w:id="35"/>
      <w:bookmarkStart w:id="36" w:name="_Toc184314479"/>
      <w:bookmarkEnd w:id="36"/>
      <w:bookmarkStart w:id="37" w:name="_Toc184310304"/>
      <w:bookmarkEnd w:id="37"/>
      <w:bookmarkStart w:id="38" w:name="_Toc184308041"/>
      <w:bookmarkEnd w:id="38"/>
      <w:bookmarkStart w:id="39" w:name="_Toc184314480"/>
      <w:bookmarkEnd w:id="39"/>
      <w:bookmarkStart w:id="40" w:name="_Toc184314440"/>
      <w:bookmarkEnd w:id="40"/>
      <w:bookmarkStart w:id="41" w:name="_Toc184312087"/>
      <w:bookmarkEnd w:id="41"/>
      <w:bookmarkStart w:id="42" w:name="_Toc184313247"/>
      <w:bookmarkEnd w:id="42"/>
      <w:bookmarkStart w:id="43" w:name="_Toc184310300"/>
      <w:bookmarkEnd w:id="43"/>
      <w:bookmarkStart w:id="44" w:name="_Toc184314444"/>
      <w:bookmarkEnd w:id="44"/>
      <w:bookmarkStart w:id="45" w:name="_Toc184308107"/>
      <w:bookmarkEnd w:id="45"/>
      <w:bookmarkStart w:id="46" w:name="_Toc184312072"/>
      <w:bookmarkEnd w:id="46"/>
      <w:bookmarkStart w:id="47" w:name="_Toc184314411"/>
      <w:bookmarkEnd w:id="47"/>
      <w:bookmarkStart w:id="48" w:name="_Toc184310279"/>
      <w:bookmarkEnd w:id="48"/>
      <w:bookmarkStart w:id="49" w:name="_Toc184312120"/>
      <w:bookmarkEnd w:id="49"/>
      <w:bookmarkStart w:id="50" w:name="_Toc184308084"/>
      <w:bookmarkEnd w:id="50"/>
      <w:bookmarkStart w:id="51" w:name="_Toc184314461"/>
      <w:bookmarkEnd w:id="51"/>
      <w:bookmarkStart w:id="52" w:name="_Toc184308096"/>
      <w:bookmarkEnd w:id="52"/>
      <w:bookmarkStart w:id="53" w:name="_Toc184313309"/>
      <w:bookmarkEnd w:id="53"/>
      <w:bookmarkStart w:id="54" w:name="_Toc184312082"/>
      <w:bookmarkEnd w:id="54"/>
      <w:bookmarkStart w:id="55" w:name="_Toc184308055"/>
      <w:bookmarkEnd w:id="55"/>
      <w:bookmarkStart w:id="56" w:name="_Toc184313310"/>
      <w:bookmarkEnd w:id="56"/>
      <w:bookmarkStart w:id="57" w:name="_Toc184308077"/>
      <w:bookmarkEnd w:id="57"/>
      <w:bookmarkStart w:id="58" w:name="_Toc184313251"/>
      <w:bookmarkEnd w:id="58"/>
      <w:bookmarkStart w:id="59" w:name="_Toc184313306"/>
      <w:bookmarkEnd w:id="59"/>
      <w:bookmarkStart w:id="60" w:name="_Toc184310339"/>
      <w:bookmarkEnd w:id="60"/>
      <w:bookmarkStart w:id="61" w:name="_Toc184312124"/>
      <w:bookmarkEnd w:id="61"/>
      <w:bookmarkStart w:id="62" w:name="_Toc184308038"/>
      <w:bookmarkEnd w:id="62"/>
      <w:bookmarkStart w:id="63" w:name="_Toc184312136"/>
      <w:bookmarkEnd w:id="63"/>
      <w:bookmarkStart w:id="64" w:name="_Toc184314476"/>
      <w:bookmarkEnd w:id="64"/>
      <w:bookmarkStart w:id="65" w:name="_Toc184312114"/>
      <w:bookmarkEnd w:id="65"/>
      <w:bookmarkStart w:id="66" w:name="_Toc184314463"/>
      <w:bookmarkEnd w:id="66"/>
      <w:bookmarkStart w:id="67" w:name="_Toc184310292"/>
      <w:bookmarkEnd w:id="67"/>
      <w:bookmarkStart w:id="68" w:name="_Toc184314414"/>
      <w:bookmarkEnd w:id="68"/>
      <w:bookmarkStart w:id="69" w:name="_Toc184313290"/>
      <w:bookmarkEnd w:id="69"/>
      <w:bookmarkStart w:id="70" w:name="_Toc184310295"/>
      <w:bookmarkEnd w:id="70"/>
      <w:bookmarkStart w:id="71" w:name="_Toc184312135"/>
      <w:bookmarkEnd w:id="71"/>
      <w:bookmarkStart w:id="72" w:name="_Toc184313282"/>
      <w:bookmarkEnd w:id="72"/>
      <w:bookmarkStart w:id="73" w:name="_Toc184312089"/>
      <w:bookmarkEnd w:id="73"/>
      <w:bookmarkStart w:id="74" w:name="_Toc184308040"/>
      <w:bookmarkEnd w:id="74"/>
      <w:bookmarkStart w:id="75" w:name="_Toc184313308"/>
      <w:bookmarkEnd w:id="75"/>
      <w:bookmarkStart w:id="76" w:name="_Toc184314436"/>
      <w:bookmarkEnd w:id="76"/>
      <w:bookmarkStart w:id="77" w:name="_Toc184313286"/>
      <w:bookmarkEnd w:id="77"/>
      <w:bookmarkStart w:id="78" w:name="_Toc184310284"/>
      <w:bookmarkEnd w:id="78"/>
      <w:bookmarkStart w:id="79" w:name="_Toc184314424"/>
      <w:bookmarkEnd w:id="79"/>
      <w:bookmarkStart w:id="80" w:name="_Toc184313253"/>
      <w:bookmarkEnd w:id="80"/>
      <w:bookmarkStart w:id="81" w:name="_Toc184313285"/>
      <w:bookmarkEnd w:id="81"/>
      <w:bookmarkStart w:id="82" w:name="_Toc184310331"/>
      <w:bookmarkEnd w:id="82"/>
      <w:bookmarkStart w:id="83" w:name="_Toc184310283"/>
      <w:bookmarkEnd w:id="83"/>
      <w:bookmarkStart w:id="84" w:name="_Toc184308065"/>
      <w:bookmarkEnd w:id="84"/>
      <w:bookmarkStart w:id="85" w:name="_Toc184313295"/>
      <w:bookmarkEnd w:id="85"/>
      <w:bookmarkStart w:id="86" w:name="_Toc184312075"/>
      <w:bookmarkEnd w:id="86"/>
      <w:bookmarkStart w:id="87" w:name="_Toc184313243"/>
      <w:bookmarkEnd w:id="87"/>
      <w:bookmarkStart w:id="88" w:name="_Toc184314448"/>
      <w:bookmarkEnd w:id="88"/>
      <w:bookmarkStart w:id="89" w:name="_Toc184308105"/>
      <w:bookmarkEnd w:id="89"/>
      <w:bookmarkStart w:id="90" w:name="_Toc184312094"/>
      <w:bookmarkEnd w:id="90"/>
      <w:bookmarkStart w:id="91" w:name="_Toc184308091"/>
      <w:bookmarkEnd w:id="91"/>
      <w:bookmarkStart w:id="92" w:name="_Toc184308103"/>
      <w:bookmarkEnd w:id="92"/>
      <w:bookmarkStart w:id="93" w:name="_Toc184313254"/>
      <w:bookmarkEnd w:id="93"/>
      <w:bookmarkStart w:id="94" w:name="_Toc184312067"/>
      <w:bookmarkEnd w:id="94"/>
      <w:bookmarkStart w:id="95" w:name="_Toc184310303"/>
      <w:bookmarkEnd w:id="95"/>
      <w:bookmarkStart w:id="96" w:name="_Toc184312100"/>
      <w:bookmarkEnd w:id="96"/>
      <w:bookmarkStart w:id="97" w:name="_Toc184314437"/>
      <w:bookmarkEnd w:id="97"/>
      <w:bookmarkStart w:id="98" w:name="_Toc184308076"/>
      <w:bookmarkEnd w:id="98"/>
      <w:bookmarkStart w:id="99" w:name="_Toc184308049"/>
      <w:bookmarkEnd w:id="99"/>
      <w:bookmarkStart w:id="100" w:name="_Toc184312119"/>
      <w:bookmarkEnd w:id="100"/>
      <w:bookmarkStart w:id="101" w:name="_Toc184310277"/>
      <w:bookmarkEnd w:id="101"/>
      <w:bookmarkStart w:id="102" w:name="_Toc184308052"/>
      <w:bookmarkEnd w:id="102"/>
      <w:bookmarkStart w:id="103" w:name="_Toc184310327"/>
      <w:bookmarkEnd w:id="103"/>
      <w:bookmarkStart w:id="104" w:name="_Toc184310312"/>
      <w:bookmarkEnd w:id="104"/>
      <w:bookmarkStart w:id="105" w:name="_Toc184308108"/>
      <w:bookmarkEnd w:id="105"/>
      <w:bookmarkStart w:id="106" w:name="_Toc184308080"/>
      <w:bookmarkEnd w:id="106"/>
      <w:bookmarkStart w:id="107" w:name="_Toc184310310"/>
      <w:bookmarkEnd w:id="107"/>
      <w:bookmarkStart w:id="108" w:name="_Toc184314425"/>
      <w:bookmarkEnd w:id="108"/>
      <w:bookmarkStart w:id="109" w:name="_Toc184314457"/>
      <w:bookmarkEnd w:id="109"/>
      <w:bookmarkStart w:id="110" w:name="_Toc184312139"/>
      <w:bookmarkEnd w:id="110"/>
      <w:bookmarkStart w:id="111" w:name="_Toc184310288"/>
      <w:bookmarkEnd w:id="111"/>
      <w:bookmarkStart w:id="112" w:name="_Toc184308075"/>
      <w:bookmarkEnd w:id="112"/>
      <w:bookmarkStart w:id="113" w:name="_Toc184313262"/>
      <w:bookmarkEnd w:id="113"/>
      <w:bookmarkStart w:id="114" w:name="_Toc184312123"/>
      <w:bookmarkEnd w:id="114"/>
      <w:bookmarkStart w:id="115" w:name="_Toc184310299"/>
      <w:bookmarkEnd w:id="115"/>
      <w:bookmarkStart w:id="116" w:name="_Toc184313270"/>
      <w:bookmarkEnd w:id="116"/>
      <w:bookmarkStart w:id="117" w:name="_Toc184314459"/>
      <w:bookmarkEnd w:id="117"/>
      <w:bookmarkStart w:id="118" w:name="_Toc184310301"/>
      <w:bookmarkEnd w:id="118"/>
      <w:bookmarkStart w:id="119" w:name="_Toc184312115"/>
      <w:bookmarkEnd w:id="119"/>
      <w:bookmarkStart w:id="120" w:name="_Toc184312096"/>
      <w:bookmarkEnd w:id="120"/>
      <w:bookmarkStart w:id="121" w:name="_Toc184308095"/>
      <w:bookmarkEnd w:id="121"/>
      <w:bookmarkStart w:id="122" w:name="_Toc184312103"/>
      <w:bookmarkEnd w:id="122"/>
      <w:bookmarkStart w:id="123" w:name="_Toc184308073"/>
      <w:bookmarkEnd w:id="123"/>
      <w:bookmarkStart w:id="124" w:name="_Toc184308098"/>
      <w:bookmarkEnd w:id="124"/>
      <w:bookmarkStart w:id="125" w:name="_Toc184308074"/>
      <w:bookmarkEnd w:id="125"/>
      <w:bookmarkStart w:id="126" w:name="_Toc184308104"/>
      <w:bookmarkEnd w:id="126"/>
      <w:bookmarkStart w:id="127" w:name="_Toc184310329"/>
      <w:bookmarkEnd w:id="127"/>
      <w:bookmarkStart w:id="128" w:name="_Toc184308054"/>
      <w:bookmarkEnd w:id="128"/>
      <w:bookmarkStart w:id="129" w:name="_Toc184310325"/>
      <w:bookmarkEnd w:id="129"/>
      <w:bookmarkStart w:id="130" w:name="_Toc184310273"/>
      <w:bookmarkEnd w:id="130"/>
      <w:bookmarkStart w:id="131" w:name="_Toc184312113"/>
      <w:bookmarkEnd w:id="131"/>
      <w:bookmarkStart w:id="132" w:name="_Toc184312099"/>
      <w:bookmarkEnd w:id="132"/>
      <w:bookmarkStart w:id="133" w:name="_Toc184308043"/>
      <w:bookmarkEnd w:id="133"/>
      <w:bookmarkStart w:id="134" w:name="_Toc184313268"/>
      <w:bookmarkEnd w:id="134"/>
      <w:bookmarkStart w:id="135" w:name="_Toc184308051"/>
      <w:bookmarkEnd w:id="135"/>
      <w:bookmarkStart w:id="136" w:name="_Toc184314415"/>
      <w:bookmarkEnd w:id="136"/>
      <w:bookmarkStart w:id="137" w:name="_Toc184314462"/>
      <w:bookmarkEnd w:id="137"/>
      <w:bookmarkStart w:id="138" w:name="_Toc184312069"/>
      <w:bookmarkEnd w:id="138"/>
      <w:bookmarkStart w:id="139" w:name="_Toc184308053"/>
      <w:bookmarkEnd w:id="139"/>
      <w:bookmarkStart w:id="140" w:name="_Toc184308064"/>
      <w:bookmarkEnd w:id="140"/>
      <w:bookmarkStart w:id="141" w:name="_Toc184314473"/>
      <w:bookmarkEnd w:id="141"/>
      <w:bookmarkStart w:id="142" w:name="_Toc184310307"/>
      <w:bookmarkEnd w:id="142"/>
      <w:bookmarkStart w:id="143" w:name="_Toc184313291"/>
      <w:bookmarkEnd w:id="143"/>
      <w:bookmarkStart w:id="144" w:name="_Toc184310297"/>
      <w:bookmarkEnd w:id="144"/>
      <w:bookmarkStart w:id="145" w:name="_Toc184312106"/>
      <w:bookmarkEnd w:id="145"/>
      <w:bookmarkStart w:id="146" w:name="_Toc184313307"/>
      <w:bookmarkEnd w:id="146"/>
      <w:bookmarkStart w:id="147" w:name="_Toc184313240"/>
      <w:bookmarkEnd w:id="147"/>
      <w:bookmarkStart w:id="148" w:name="_Toc184312101"/>
      <w:bookmarkEnd w:id="148"/>
      <w:bookmarkStart w:id="149" w:name="_Toc184314434"/>
      <w:bookmarkEnd w:id="149"/>
      <w:bookmarkStart w:id="150" w:name="_Toc184312134"/>
      <w:bookmarkEnd w:id="150"/>
      <w:bookmarkStart w:id="151" w:name="_Toc184308047"/>
      <w:bookmarkEnd w:id="151"/>
      <w:bookmarkStart w:id="152" w:name="_Toc184313288"/>
      <w:bookmarkEnd w:id="152"/>
      <w:bookmarkStart w:id="153" w:name="_Toc184313249"/>
      <w:bookmarkEnd w:id="153"/>
      <w:bookmarkStart w:id="154" w:name="_Toc184314416"/>
      <w:bookmarkEnd w:id="154"/>
      <w:bookmarkStart w:id="155" w:name="_Toc184310343"/>
      <w:bookmarkEnd w:id="155"/>
      <w:bookmarkStart w:id="156" w:name="_Toc184308039"/>
      <w:bookmarkEnd w:id="156"/>
      <w:bookmarkStart w:id="157" w:name="_Toc184308061"/>
      <w:bookmarkEnd w:id="157"/>
      <w:bookmarkStart w:id="158" w:name="_Toc184312110"/>
      <w:bookmarkEnd w:id="158"/>
      <w:bookmarkStart w:id="159" w:name="_Toc184314477"/>
      <w:bookmarkEnd w:id="159"/>
      <w:bookmarkStart w:id="160" w:name="_Toc184312074"/>
      <w:bookmarkEnd w:id="160"/>
      <w:bookmarkStart w:id="161" w:name="_Toc184310324"/>
      <w:bookmarkEnd w:id="161"/>
      <w:bookmarkStart w:id="162" w:name="_Toc184313274"/>
      <w:bookmarkEnd w:id="162"/>
      <w:bookmarkStart w:id="163" w:name="_Toc184314447"/>
      <w:bookmarkEnd w:id="163"/>
      <w:bookmarkStart w:id="164" w:name="_Toc184308092"/>
      <w:bookmarkEnd w:id="164"/>
      <w:bookmarkStart w:id="165" w:name="_Toc184314412"/>
      <w:bookmarkEnd w:id="165"/>
      <w:bookmarkStart w:id="166" w:name="_Toc184314430"/>
      <w:bookmarkEnd w:id="166"/>
      <w:bookmarkStart w:id="167" w:name="_Toc184312138"/>
      <w:bookmarkEnd w:id="167"/>
      <w:bookmarkStart w:id="168" w:name="_Toc184308067"/>
      <w:bookmarkEnd w:id="168"/>
      <w:bookmarkStart w:id="169" w:name="_Toc184308090"/>
      <w:bookmarkEnd w:id="169"/>
      <w:bookmarkStart w:id="170" w:name="_Toc184314481"/>
      <w:bookmarkEnd w:id="170"/>
      <w:bookmarkStart w:id="171" w:name="_Toc184308083"/>
      <w:bookmarkEnd w:id="171"/>
      <w:bookmarkStart w:id="172" w:name="_Toc184310337"/>
      <w:bookmarkEnd w:id="172"/>
      <w:bookmarkStart w:id="173" w:name="_Toc184312131"/>
      <w:bookmarkEnd w:id="173"/>
      <w:bookmarkStart w:id="174" w:name="_Toc184308037"/>
      <w:bookmarkEnd w:id="174"/>
      <w:bookmarkStart w:id="175" w:name="_Toc184312132"/>
      <w:bookmarkEnd w:id="175"/>
      <w:bookmarkStart w:id="176" w:name="_Toc184314429"/>
      <w:bookmarkEnd w:id="176"/>
      <w:bookmarkStart w:id="177" w:name="_Toc184308044"/>
      <w:bookmarkEnd w:id="177"/>
      <w:bookmarkStart w:id="178" w:name="_Toc184308099"/>
      <w:bookmarkEnd w:id="178"/>
      <w:bookmarkStart w:id="179" w:name="_Toc184313239"/>
      <w:bookmarkEnd w:id="179"/>
      <w:bookmarkStart w:id="180" w:name="_Toc184314471"/>
      <w:bookmarkEnd w:id="180"/>
      <w:bookmarkStart w:id="181" w:name="_Toc184310338"/>
      <w:bookmarkEnd w:id="181"/>
      <w:bookmarkStart w:id="182" w:name="_Toc184310342"/>
      <w:bookmarkEnd w:id="182"/>
      <w:bookmarkStart w:id="183" w:name="_Toc184313287"/>
      <w:bookmarkEnd w:id="183"/>
      <w:bookmarkStart w:id="184" w:name="_Toc184308056"/>
      <w:bookmarkEnd w:id="184"/>
      <w:bookmarkStart w:id="185" w:name="_Toc184312118"/>
      <w:bookmarkEnd w:id="185"/>
      <w:bookmarkStart w:id="186" w:name="_Toc184313271"/>
      <w:bookmarkEnd w:id="186"/>
      <w:bookmarkStart w:id="187" w:name="_Toc184308106"/>
      <w:bookmarkEnd w:id="187"/>
      <w:bookmarkStart w:id="188" w:name="_Toc184310319"/>
      <w:bookmarkEnd w:id="188"/>
      <w:bookmarkStart w:id="189" w:name="_Toc184308072"/>
      <w:bookmarkEnd w:id="189"/>
      <w:bookmarkStart w:id="190" w:name="_Toc184314452"/>
      <w:bookmarkEnd w:id="190"/>
      <w:bookmarkStart w:id="191" w:name="_Toc184308087"/>
      <w:bookmarkEnd w:id="191"/>
      <w:bookmarkStart w:id="192" w:name="_Toc184308089"/>
      <w:bookmarkEnd w:id="192"/>
      <w:bookmarkStart w:id="193" w:name="_Toc184312091"/>
      <w:bookmarkEnd w:id="193"/>
      <w:bookmarkStart w:id="194" w:name="_Toc184313276"/>
      <w:bookmarkEnd w:id="194"/>
      <w:bookmarkStart w:id="195" w:name="_Toc184313293"/>
      <w:bookmarkEnd w:id="195"/>
      <w:bookmarkStart w:id="196" w:name="_Toc184310340"/>
      <w:bookmarkEnd w:id="196"/>
      <w:bookmarkStart w:id="197" w:name="_Toc184312080"/>
      <w:bookmarkEnd w:id="197"/>
      <w:bookmarkStart w:id="198" w:name="_Toc184312125"/>
      <w:bookmarkEnd w:id="198"/>
      <w:bookmarkStart w:id="199" w:name="_Toc184313263"/>
      <w:bookmarkEnd w:id="199"/>
      <w:bookmarkStart w:id="200" w:name="_Toc184312077"/>
      <w:bookmarkEnd w:id="200"/>
      <w:bookmarkStart w:id="201" w:name="_Toc184312127"/>
      <w:bookmarkEnd w:id="201"/>
      <w:bookmarkStart w:id="202" w:name="_Toc184308042"/>
      <w:bookmarkEnd w:id="202"/>
      <w:bookmarkStart w:id="203" w:name="_Toc184312073"/>
      <w:bookmarkEnd w:id="203"/>
      <w:bookmarkStart w:id="204" w:name="_Toc184314466"/>
      <w:bookmarkEnd w:id="204"/>
      <w:bookmarkStart w:id="205" w:name="_Toc184314474"/>
      <w:bookmarkEnd w:id="205"/>
      <w:bookmarkStart w:id="206" w:name="_Toc184313238"/>
      <w:bookmarkEnd w:id="206"/>
      <w:bookmarkStart w:id="207" w:name="_Toc184312122"/>
      <w:bookmarkEnd w:id="207"/>
      <w:bookmarkStart w:id="208" w:name="_Toc184308057"/>
      <w:bookmarkEnd w:id="208"/>
      <w:bookmarkStart w:id="209" w:name="_Toc184314443"/>
      <w:bookmarkEnd w:id="209"/>
      <w:bookmarkStart w:id="210" w:name="_Toc184314482"/>
      <w:bookmarkEnd w:id="210"/>
      <w:bookmarkStart w:id="211" w:name="_Toc184313272"/>
      <w:bookmarkEnd w:id="211"/>
      <w:bookmarkStart w:id="212" w:name="_Toc184314449"/>
      <w:bookmarkEnd w:id="212"/>
      <w:bookmarkStart w:id="213" w:name="_Toc184314431"/>
      <w:bookmarkEnd w:id="213"/>
      <w:bookmarkStart w:id="214" w:name="_Toc184310336"/>
      <w:bookmarkEnd w:id="214"/>
      <w:bookmarkStart w:id="215" w:name="_Toc184308068"/>
      <w:bookmarkEnd w:id="215"/>
      <w:bookmarkStart w:id="216" w:name="_Toc184308093"/>
      <w:bookmarkEnd w:id="216"/>
      <w:bookmarkStart w:id="217" w:name="_Toc184310305"/>
      <w:bookmarkEnd w:id="217"/>
      <w:bookmarkStart w:id="218" w:name="_Toc184313292"/>
      <w:bookmarkEnd w:id="218"/>
      <w:bookmarkStart w:id="219" w:name="_Toc184312107"/>
      <w:bookmarkEnd w:id="219"/>
      <w:bookmarkStart w:id="220" w:name="_Toc184314450"/>
      <w:bookmarkEnd w:id="220"/>
      <w:bookmarkStart w:id="221" w:name="_Toc184313289"/>
      <w:bookmarkEnd w:id="221"/>
      <w:bookmarkStart w:id="222" w:name="_Toc184313280"/>
      <w:bookmarkEnd w:id="222"/>
      <w:bookmarkStart w:id="223" w:name="_Toc184312130"/>
      <w:bookmarkEnd w:id="223"/>
      <w:bookmarkStart w:id="224" w:name="_Toc184314428"/>
      <w:bookmarkEnd w:id="224"/>
      <w:bookmarkStart w:id="225" w:name="_Toc184314453"/>
      <w:bookmarkEnd w:id="225"/>
      <w:bookmarkStart w:id="226" w:name="_Toc184313273"/>
      <w:bookmarkEnd w:id="226"/>
      <w:bookmarkStart w:id="227" w:name="_Toc184312105"/>
      <w:bookmarkEnd w:id="227"/>
      <w:bookmarkStart w:id="228" w:name="_Toc184312083"/>
      <w:bookmarkEnd w:id="228"/>
      <w:bookmarkStart w:id="229" w:name="_Toc184313298"/>
      <w:bookmarkEnd w:id="229"/>
      <w:bookmarkStart w:id="230" w:name="_Toc184314475"/>
      <w:bookmarkEnd w:id="230"/>
      <w:bookmarkStart w:id="231" w:name="_Toc184310314"/>
      <w:bookmarkEnd w:id="231"/>
      <w:bookmarkStart w:id="232" w:name="_Toc184308059"/>
      <w:bookmarkEnd w:id="232"/>
      <w:bookmarkStart w:id="233" w:name="_Toc184312093"/>
      <w:bookmarkEnd w:id="233"/>
      <w:bookmarkStart w:id="234" w:name="_Toc184314467"/>
      <w:bookmarkEnd w:id="234"/>
      <w:bookmarkStart w:id="235" w:name="_Toc184313302"/>
      <w:bookmarkEnd w:id="235"/>
      <w:bookmarkStart w:id="236" w:name="_Toc184308078"/>
      <w:bookmarkEnd w:id="236"/>
      <w:bookmarkStart w:id="237" w:name="_Toc184308101"/>
      <w:bookmarkEnd w:id="237"/>
      <w:bookmarkStart w:id="238" w:name="_Toc184314417"/>
      <w:bookmarkEnd w:id="238"/>
      <w:bookmarkStart w:id="239" w:name="_Toc184313259"/>
      <w:bookmarkEnd w:id="239"/>
      <w:bookmarkStart w:id="240" w:name="_Toc184313241"/>
      <w:bookmarkEnd w:id="240"/>
      <w:bookmarkStart w:id="241" w:name="_Toc184313255"/>
      <w:bookmarkEnd w:id="241"/>
      <w:bookmarkStart w:id="242" w:name="_Toc184313246"/>
      <w:bookmarkEnd w:id="242"/>
      <w:bookmarkStart w:id="243" w:name="_Toc184310293"/>
      <w:bookmarkEnd w:id="243"/>
      <w:bookmarkStart w:id="244" w:name="_Toc184308062"/>
      <w:bookmarkEnd w:id="244"/>
      <w:bookmarkStart w:id="245" w:name="_Toc184314464"/>
      <w:bookmarkEnd w:id="245"/>
      <w:bookmarkStart w:id="246" w:name="_Toc184310313"/>
      <w:bookmarkEnd w:id="246"/>
      <w:bookmarkStart w:id="247" w:name="_Toc184312081"/>
      <w:bookmarkEnd w:id="247"/>
      <w:bookmarkStart w:id="248" w:name="_Toc184312121"/>
      <w:bookmarkEnd w:id="248"/>
      <w:bookmarkStart w:id="249" w:name="_Toc184310276"/>
      <w:bookmarkEnd w:id="249"/>
      <w:bookmarkStart w:id="250" w:name="_Toc184312095"/>
      <w:bookmarkEnd w:id="250"/>
      <w:bookmarkStart w:id="251" w:name="_Toc184308086"/>
      <w:bookmarkEnd w:id="251"/>
      <w:bookmarkStart w:id="252" w:name="_Toc184310287"/>
      <w:bookmarkEnd w:id="252"/>
      <w:bookmarkStart w:id="253" w:name="_Toc184308050"/>
      <w:bookmarkEnd w:id="253"/>
      <w:bookmarkStart w:id="254" w:name="_Toc184310296"/>
      <w:bookmarkEnd w:id="254"/>
      <w:bookmarkStart w:id="255" w:name="_Toc184310306"/>
      <w:bookmarkEnd w:id="255"/>
      <w:bookmarkStart w:id="256" w:name="_Toc184314458"/>
      <w:bookmarkEnd w:id="256"/>
      <w:bookmarkStart w:id="257" w:name="_Toc184313266"/>
      <w:bookmarkEnd w:id="257"/>
      <w:bookmarkStart w:id="258" w:name="_Toc184308070"/>
      <w:bookmarkEnd w:id="258"/>
      <w:bookmarkStart w:id="259" w:name="_Toc184310322"/>
      <w:bookmarkEnd w:id="259"/>
      <w:bookmarkStart w:id="260" w:name="_Toc184312102"/>
      <w:bookmarkEnd w:id="260"/>
      <w:bookmarkStart w:id="261" w:name="_Toc184313296"/>
      <w:bookmarkEnd w:id="261"/>
      <w:bookmarkStart w:id="262" w:name="_Toc184310282"/>
      <w:bookmarkEnd w:id="262"/>
      <w:bookmarkStart w:id="263" w:name="_Toc184312117"/>
      <w:bookmarkEnd w:id="263"/>
      <w:bookmarkStart w:id="264" w:name="_Toc184310286"/>
      <w:bookmarkEnd w:id="264"/>
      <w:bookmarkStart w:id="265" w:name="_Toc184310326"/>
      <w:bookmarkEnd w:id="265"/>
      <w:bookmarkStart w:id="266" w:name="_Toc184312086"/>
      <w:bookmarkEnd w:id="266"/>
      <w:bookmarkStart w:id="267" w:name="_Toc184312076"/>
      <w:bookmarkEnd w:id="267"/>
      <w:bookmarkStart w:id="268" w:name="_Toc184313279"/>
      <w:bookmarkEnd w:id="268"/>
      <w:bookmarkStart w:id="269" w:name="_Toc184314433"/>
      <w:bookmarkEnd w:id="269"/>
      <w:bookmarkStart w:id="270" w:name="_Toc184310341"/>
      <w:bookmarkEnd w:id="270"/>
      <w:bookmarkStart w:id="271" w:name="_Toc184308066"/>
      <w:bookmarkEnd w:id="271"/>
      <w:bookmarkStart w:id="272" w:name="_Toc184312116"/>
      <w:bookmarkEnd w:id="272"/>
      <w:bookmarkStart w:id="273" w:name="_Toc184310290"/>
      <w:bookmarkEnd w:id="273"/>
      <w:bookmarkStart w:id="274" w:name="_Toc184310278"/>
      <w:bookmarkEnd w:id="274"/>
      <w:bookmarkStart w:id="275" w:name="_Toc184313257"/>
      <w:bookmarkEnd w:id="275"/>
      <w:bookmarkStart w:id="276" w:name="_Toc184308085"/>
      <w:bookmarkEnd w:id="276"/>
      <w:bookmarkStart w:id="277" w:name="_Toc184312092"/>
      <w:bookmarkEnd w:id="277"/>
      <w:bookmarkStart w:id="278" w:name="_Toc184308045"/>
      <w:bookmarkEnd w:id="278"/>
      <w:bookmarkStart w:id="279" w:name="_Toc184313267"/>
      <w:bookmarkEnd w:id="279"/>
      <w:bookmarkStart w:id="280" w:name="_Toc184313248"/>
      <w:bookmarkEnd w:id="280"/>
      <w:bookmarkStart w:id="281" w:name="_Toc184314441"/>
      <w:bookmarkEnd w:id="281"/>
      <w:bookmarkStart w:id="282" w:name="_Toc184314451"/>
      <w:bookmarkEnd w:id="282"/>
      <w:bookmarkStart w:id="283" w:name="_Toc184310334"/>
      <w:bookmarkEnd w:id="283"/>
      <w:bookmarkStart w:id="284" w:name="_Toc184313304"/>
      <w:bookmarkEnd w:id="284"/>
      <w:bookmarkStart w:id="285" w:name="_Toc184314470"/>
      <w:bookmarkEnd w:id="285"/>
      <w:bookmarkStart w:id="286" w:name="_Toc184312126"/>
      <w:bookmarkEnd w:id="286"/>
      <w:bookmarkStart w:id="287" w:name="_Toc184310328"/>
      <w:bookmarkEnd w:id="287"/>
      <w:bookmarkStart w:id="288" w:name="_Toc184310316"/>
      <w:bookmarkEnd w:id="288"/>
      <w:bookmarkStart w:id="289" w:name="_Toc184310311"/>
      <w:bookmarkEnd w:id="289"/>
      <w:bookmarkStart w:id="290" w:name="_Toc184308094"/>
      <w:bookmarkEnd w:id="290"/>
      <w:bookmarkStart w:id="291" w:name="_Toc184312109"/>
      <w:bookmarkEnd w:id="291"/>
      <w:bookmarkStart w:id="292" w:name="_Toc184314460"/>
      <w:bookmarkEnd w:id="292"/>
      <w:bookmarkStart w:id="293" w:name="_Toc184313284"/>
      <w:bookmarkEnd w:id="293"/>
      <w:bookmarkStart w:id="294" w:name="_Toc184314418"/>
      <w:bookmarkEnd w:id="294"/>
      <w:bookmarkStart w:id="295" w:name="_Toc184308088"/>
      <w:bookmarkEnd w:id="295"/>
      <w:bookmarkStart w:id="296" w:name="_Toc184313244"/>
      <w:bookmarkEnd w:id="296"/>
      <w:bookmarkStart w:id="297" w:name="_Toc184312108"/>
      <w:bookmarkEnd w:id="297"/>
      <w:bookmarkStart w:id="298" w:name="_Toc184313264"/>
      <w:bookmarkEnd w:id="298"/>
      <w:bookmarkStart w:id="299" w:name="_Toc184310315"/>
      <w:bookmarkEnd w:id="299"/>
      <w:bookmarkStart w:id="300" w:name="_Toc184313283"/>
      <w:bookmarkEnd w:id="300"/>
      <w:bookmarkStart w:id="301" w:name="_Toc184310280"/>
      <w:bookmarkEnd w:id="301"/>
      <w:bookmarkStart w:id="302" w:name="_Toc184313245"/>
      <w:bookmarkEnd w:id="302"/>
      <w:bookmarkStart w:id="303" w:name="_Toc184312079"/>
      <w:bookmarkEnd w:id="303"/>
      <w:bookmarkStart w:id="304" w:name="_Toc184308082"/>
      <w:bookmarkEnd w:id="304"/>
      <w:bookmarkStart w:id="305" w:name="_Toc184312133"/>
      <w:bookmarkEnd w:id="305"/>
      <w:bookmarkStart w:id="306" w:name="_Toc184308058"/>
      <w:bookmarkEnd w:id="306"/>
      <w:bookmarkStart w:id="307" w:name="_Toc184310335"/>
      <w:bookmarkEnd w:id="307"/>
      <w:bookmarkStart w:id="308" w:name="_Toc184310330"/>
      <w:bookmarkEnd w:id="308"/>
      <w:bookmarkStart w:id="309" w:name="_Toc184312090"/>
      <w:bookmarkEnd w:id="309"/>
      <w:bookmarkStart w:id="310" w:name="_Toc184313275"/>
      <w:bookmarkEnd w:id="310"/>
      <w:bookmarkStart w:id="311" w:name="_Toc184310281"/>
      <w:bookmarkEnd w:id="311"/>
      <w:bookmarkStart w:id="312" w:name="_Toc184310294"/>
      <w:bookmarkEnd w:id="312"/>
      <w:bookmarkStart w:id="313" w:name="_Toc184310317"/>
      <w:bookmarkEnd w:id="313"/>
      <w:bookmarkStart w:id="314" w:name="_Toc184313303"/>
      <w:bookmarkEnd w:id="314"/>
      <w:bookmarkStart w:id="315" w:name="_Toc184310275"/>
      <w:bookmarkEnd w:id="315"/>
      <w:bookmarkStart w:id="316" w:name="_Toc184314469"/>
      <w:bookmarkEnd w:id="316"/>
      <w:bookmarkStart w:id="317" w:name="_Toc184314419"/>
      <w:bookmarkEnd w:id="317"/>
      <w:bookmarkStart w:id="318" w:name="_Toc184314420"/>
      <w:bookmarkEnd w:id="318"/>
      <w:bookmarkStart w:id="319" w:name="_Toc184310298"/>
      <w:bookmarkEnd w:id="319"/>
      <w:bookmarkStart w:id="320" w:name="_Toc184312088"/>
      <w:bookmarkEnd w:id="320"/>
      <w:bookmarkStart w:id="321" w:name="_Toc184310333"/>
      <w:bookmarkEnd w:id="321"/>
      <w:bookmarkStart w:id="322" w:name="_Toc184313294"/>
      <w:bookmarkEnd w:id="322"/>
      <w:bookmarkStart w:id="323" w:name="_Toc184310274"/>
      <w:bookmarkEnd w:id="323"/>
      <w:bookmarkStart w:id="324" w:name="_Toc184313300"/>
      <w:bookmarkEnd w:id="324"/>
      <w:bookmarkStart w:id="325" w:name="_Toc184312128"/>
      <w:bookmarkEnd w:id="325"/>
      <w:bookmarkStart w:id="326" w:name="_Toc184310285"/>
      <w:bookmarkEnd w:id="326"/>
      <w:bookmarkStart w:id="327" w:name="_Toc184313252"/>
      <w:bookmarkEnd w:id="327"/>
      <w:bookmarkStart w:id="328" w:name="_Toc184314410"/>
      <w:bookmarkEnd w:id="328"/>
      <w:bookmarkStart w:id="329" w:name="_Toc184314446"/>
      <w:bookmarkEnd w:id="329"/>
      <w:bookmarkStart w:id="330" w:name="_Toc184313260"/>
      <w:bookmarkEnd w:id="330"/>
      <w:bookmarkStart w:id="331" w:name="_Toc184308102"/>
      <w:bookmarkEnd w:id="331"/>
      <w:bookmarkStart w:id="332" w:name="_Toc184308046"/>
      <w:bookmarkEnd w:id="332"/>
      <w:bookmarkStart w:id="333" w:name="_Toc184312070"/>
      <w:bookmarkEnd w:id="333"/>
      <w:bookmarkStart w:id="334" w:name="_Toc184310272"/>
      <w:bookmarkEnd w:id="334"/>
      <w:bookmarkStart w:id="335" w:name="_Toc184310318"/>
      <w:bookmarkEnd w:id="335"/>
      <w:bookmarkStart w:id="336" w:name="_Toc184312129"/>
      <w:bookmarkEnd w:id="336"/>
      <w:bookmarkStart w:id="337" w:name="_Toc184312084"/>
      <w:bookmarkEnd w:id="337"/>
      <w:bookmarkStart w:id="338" w:name="_Toc184313305"/>
      <w:bookmarkEnd w:id="338"/>
      <w:bookmarkStart w:id="339" w:name="_Toc184308097"/>
      <w:bookmarkEnd w:id="339"/>
      <w:bookmarkStart w:id="340" w:name="_Toc184312098"/>
      <w:bookmarkEnd w:id="340"/>
      <w:bookmarkStart w:id="341" w:name="_Toc184314423"/>
      <w:bookmarkEnd w:id="341"/>
      <w:bookmarkStart w:id="342" w:name="_Toc184308063"/>
      <w:bookmarkEnd w:id="342"/>
      <w:bookmarkStart w:id="343" w:name="_Toc184313261"/>
      <w:bookmarkEnd w:id="343"/>
      <w:bookmarkStart w:id="344" w:name="_Toc184310321"/>
      <w:bookmarkEnd w:id="344"/>
      <w:bookmarkStart w:id="345" w:name="_Toc184310320"/>
      <w:bookmarkEnd w:id="345"/>
      <w:bookmarkStart w:id="346" w:name="_Toc184314472"/>
      <w:bookmarkEnd w:id="346"/>
      <w:bookmarkStart w:id="347" w:name="_Toc184312078"/>
      <w:bookmarkEnd w:id="347"/>
      <w:bookmarkStart w:id="348" w:name="_Toc184313269"/>
      <w:bookmarkEnd w:id="348"/>
      <w:bookmarkStart w:id="349" w:name="_Toc184312137"/>
      <w:bookmarkEnd w:id="349"/>
      <w:bookmarkStart w:id="350" w:name="_Toc184314468"/>
      <w:bookmarkEnd w:id="350"/>
      <w:bookmarkStart w:id="351" w:name="_Toc184313258"/>
      <w:bookmarkEnd w:id="351"/>
      <w:bookmarkStart w:id="352" w:name="_Toc184314422"/>
      <w:bookmarkEnd w:id="352"/>
      <w:bookmarkStart w:id="353" w:name="_Toc184314455"/>
      <w:bookmarkEnd w:id="353"/>
      <w:bookmarkStart w:id="354" w:name="_Toc184313250"/>
      <w:bookmarkEnd w:id="354"/>
      <w:bookmarkStart w:id="355" w:name="_Toc184310344"/>
      <w:bookmarkEnd w:id="355"/>
      <w:bookmarkStart w:id="356" w:name="_Toc184313242"/>
      <w:bookmarkEnd w:id="356"/>
      <w:bookmarkStart w:id="357" w:name="_Toc184313301"/>
      <w:bookmarkEnd w:id="357"/>
      <w:bookmarkStart w:id="358" w:name="_Toc184312068"/>
      <w:bookmarkEnd w:id="358"/>
      <w:bookmarkStart w:id="359" w:name="_Toc184308100"/>
      <w:bookmarkEnd w:id="359"/>
      <w:bookmarkStart w:id="360" w:name="_Toc184313265"/>
      <w:bookmarkEnd w:id="360"/>
      <w:bookmarkStart w:id="361" w:name="_Toc184308079"/>
      <w:bookmarkEnd w:id="361"/>
      <w:bookmarkStart w:id="362" w:name="_Toc184314427"/>
      <w:bookmarkEnd w:id="362"/>
      <w:bookmarkStart w:id="363" w:name="_Toc184312111"/>
      <w:bookmarkEnd w:id="363"/>
      <w:bookmarkStart w:id="364" w:name="_Toc184314421"/>
      <w:bookmarkEnd w:id="364"/>
      <w:bookmarkStart w:id="365" w:name="_Toc184308071"/>
      <w:bookmarkEnd w:id="365"/>
      <w:bookmarkStart w:id="366" w:name="_Toc184310289"/>
      <w:bookmarkEnd w:id="366"/>
      <w:bookmarkStart w:id="367" w:name="_Toc184308048"/>
      <w:bookmarkEnd w:id="367"/>
      <w:bookmarkStart w:id="368" w:name="_Toc184314413"/>
      <w:bookmarkEnd w:id="368"/>
      <w:bookmarkStart w:id="369" w:name="_Toc184310308"/>
      <w:bookmarkEnd w:id="369"/>
      <w:bookmarkStart w:id="370" w:name="_Toc184310302"/>
      <w:bookmarkEnd w:id="370"/>
      <w:bookmarkStart w:id="371" w:name="_Toc184313277"/>
      <w:bookmarkEnd w:id="371"/>
      <w:bookmarkStart w:id="372" w:name="_Toc184313256"/>
      <w:bookmarkEnd w:id="372"/>
      <w:bookmarkStart w:id="373" w:name="_Toc184313299"/>
      <w:bookmarkEnd w:id="373"/>
      <w:bookmarkStart w:id="374" w:name="_Toc184314445"/>
      <w:bookmarkEnd w:id="374"/>
      <w:bookmarkStart w:id="375" w:name="_Toc184314438"/>
      <w:bookmarkEnd w:id="375"/>
      <w:bookmarkStart w:id="376" w:name="_Toc184312104"/>
      <w:bookmarkEnd w:id="376"/>
      <w:bookmarkStart w:id="377" w:name="_Toc184313278"/>
      <w:bookmarkEnd w:id="377"/>
      <w:bookmarkStart w:id="378" w:name="_Toc184313281"/>
      <w:bookmarkEnd w:id="378"/>
      <w:bookmarkStart w:id="379" w:name="_Toc184314432"/>
      <w:bookmarkEnd w:id="379"/>
      <w:bookmarkStart w:id="380" w:name="_Toc184314456"/>
      <w:bookmarkEnd w:id="380"/>
      <w:bookmarkStart w:id="381" w:name="_Toc184314435"/>
      <w:bookmarkEnd w:id="381"/>
      <w:bookmarkStart w:id="382" w:name="_Toc184312071"/>
      <w:bookmarkEnd w:id="382"/>
      <w:bookmarkStart w:id="383" w:name="_Toc184314465"/>
      <w:bookmarkEnd w:id="383"/>
      <w:bookmarkStart w:id="384" w:name="_Toc184314454"/>
      <w:bookmarkEnd w:id="384"/>
      <w:bookmarkStart w:id="385" w:name="_Toc184314439"/>
      <w:bookmarkEnd w:id="385"/>
      <w:bookmarkStart w:id="386" w:name="_Toc184310332"/>
      <w:bookmarkEnd w:id="386"/>
      <w:bookmarkStart w:id="387" w:name="_Toc184314442"/>
      <w:bookmarkEnd w:id="387"/>
      <w:bookmarkStart w:id="388" w:name="_Toc184308069"/>
      <w:bookmarkEnd w:id="388"/>
      <w:bookmarkStart w:id="389" w:name="_Toc184314426"/>
      <w:bookmarkEnd w:id="389"/>
      <w:bookmarkStart w:id="390" w:name="_Toc184312085"/>
      <w:bookmarkEnd w:id="390"/>
      <w:bookmarkStart w:id="391" w:name="_Toc184308081"/>
      <w:bookmarkEnd w:id="391"/>
      <w:bookmarkStart w:id="392" w:name="_Toc184310309"/>
      <w:bookmarkEnd w:id="392"/>
      <w:bookmarkStart w:id="393" w:name="_Toc184313297"/>
      <w:bookmarkEnd w:id="393"/>
      <w:bookmarkStart w:id="394" w:name="_Toc184310291"/>
      <w:bookmarkEnd w:id="394"/>
      <w:bookmarkStart w:id="395" w:name="_Toc184308060"/>
      <w:bookmarkEnd w:id="395"/>
      <w:bookmarkStart w:id="396" w:name="_Toc184308036"/>
      <w:bookmarkEnd w:id="396"/>
      <w:r>
        <w:rPr>
          <w:rFonts w:hint="eastAsia" w:ascii="宋体" w:hAnsi="宋体" w:eastAsia="宋体" w:cs="宋体"/>
          <w:b/>
          <w:color w:val="auto"/>
          <w:sz w:val="36"/>
          <w:szCs w:val="36"/>
          <w:highlight w:val="none"/>
        </w:rPr>
        <w:t xml:space="preserve"> 评审办法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pPr w:leftFromText="180" w:rightFromText="180" w:vertAnchor="text" w:horzAnchor="page" w:tblpX="1031" w:tblpY="126"/>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5601"/>
        <w:gridCol w:w="8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pPr>
              <w:spacing w:line="360" w:lineRule="auto"/>
              <w:jc w:val="center"/>
              <w:outlineLvl w:val="0"/>
              <w:rPr>
                <w:rFonts w:ascii="宋体" w:hAnsi="宋体" w:cs="宋体"/>
                <w:kern w:val="0"/>
                <w:szCs w:val="21"/>
                <w:highlight w:val="none"/>
                <w:lang w:bidi="ar"/>
              </w:rPr>
            </w:pPr>
            <w:r>
              <w:rPr>
                <w:rFonts w:hint="eastAsia" w:ascii="宋体" w:hAnsi="宋体" w:cs="宋体"/>
                <w:kern w:val="0"/>
                <w:szCs w:val="21"/>
                <w:highlight w:val="none"/>
                <w:lang w:bidi="ar"/>
              </w:rPr>
              <w:t>序号</w:t>
            </w:r>
          </w:p>
        </w:tc>
        <w:tc>
          <w:tcPr>
            <w:tcW w:w="6873" w:type="dxa"/>
            <w:gridSpan w:val="3"/>
            <w:vAlign w:val="center"/>
          </w:tcPr>
          <w:p>
            <w:pPr>
              <w:spacing w:line="360" w:lineRule="auto"/>
              <w:jc w:val="center"/>
              <w:outlineLvl w:val="0"/>
              <w:rPr>
                <w:rFonts w:ascii="宋体" w:hAnsi="宋体" w:cs="宋体"/>
                <w:kern w:val="0"/>
                <w:szCs w:val="21"/>
                <w:highlight w:val="none"/>
                <w:lang w:bidi="ar"/>
              </w:rPr>
            </w:pPr>
            <w:r>
              <w:rPr>
                <w:rFonts w:hint="eastAsia" w:ascii="宋体" w:hAnsi="宋体" w:cs="宋体"/>
                <w:kern w:val="0"/>
                <w:szCs w:val="21"/>
                <w:highlight w:val="none"/>
                <w:lang w:bidi="ar"/>
              </w:rPr>
              <w:t>评标标准</w:t>
            </w:r>
          </w:p>
        </w:tc>
        <w:tc>
          <w:tcPr>
            <w:tcW w:w="850" w:type="dxa"/>
            <w:vAlign w:val="center"/>
          </w:tcPr>
          <w:p>
            <w:pPr>
              <w:spacing w:line="360" w:lineRule="auto"/>
              <w:outlineLvl w:val="0"/>
              <w:rPr>
                <w:rFonts w:ascii="宋体" w:hAnsi="宋体" w:cs="宋体"/>
                <w:kern w:val="0"/>
                <w:szCs w:val="21"/>
                <w:highlight w:val="none"/>
                <w:lang w:bidi="ar"/>
              </w:rPr>
            </w:pPr>
            <w:r>
              <w:rPr>
                <w:rFonts w:hint="eastAsia" w:ascii="宋体" w:hAnsi="宋体" w:cs="宋体"/>
                <w:kern w:val="0"/>
                <w:szCs w:val="21"/>
                <w:highlight w:val="none"/>
                <w:lang w:bidi="ar"/>
              </w:rPr>
              <w:t>权重</w:t>
            </w:r>
          </w:p>
        </w:tc>
        <w:tc>
          <w:tcPr>
            <w:tcW w:w="1560" w:type="dxa"/>
          </w:tcPr>
          <w:p>
            <w:pPr>
              <w:spacing w:line="360" w:lineRule="auto"/>
              <w:jc w:val="center"/>
              <w:outlineLvl w:val="0"/>
              <w:rPr>
                <w:rFonts w:ascii="宋体" w:hAnsi="宋体" w:cs="宋体"/>
                <w:kern w:val="0"/>
                <w:szCs w:val="21"/>
                <w:highlight w:val="none"/>
                <w:lang w:bidi="ar"/>
              </w:rPr>
            </w:pPr>
            <w:r>
              <w:rPr>
                <w:rFonts w:hint="eastAsia" w:ascii="宋体" w:hAnsi="宋体" w:cs="宋体"/>
                <w:kern w:val="0"/>
                <w:szCs w:val="21"/>
                <w:highlight w:val="none"/>
                <w:lang w:bidi="ar"/>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1</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投标人自20</w:t>
            </w:r>
            <w:r>
              <w:rPr>
                <w:rFonts w:ascii="宋体" w:hAnsi="宋体" w:cs="宋体"/>
                <w:kern w:val="0"/>
                <w:szCs w:val="21"/>
                <w:highlight w:val="none"/>
                <w:lang w:bidi="ar"/>
              </w:rPr>
              <w:t>2</w:t>
            </w:r>
            <w:r>
              <w:rPr>
                <w:rFonts w:hint="eastAsia" w:ascii="宋体" w:hAnsi="宋体" w:cs="宋体"/>
                <w:kern w:val="0"/>
                <w:szCs w:val="21"/>
                <w:highlight w:val="none"/>
                <w:lang w:val="en-US" w:eastAsia="zh-CN" w:bidi="ar"/>
              </w:rPr>
              <w:t>1</w:t>
            </w:r>
            <w:r>
              <w:rPr>
                <w:rFonts w:hint="eastAsia" w:ascii="宋体" w:hAnsi="宋体" w:cs="宋体"/>
                <w:kern w:val="0"/>
                <w:szCs w:val="21"/>
                <w:highlight w:val="none"/>
                <w:lang w:bidi="ar"/>
              </w:rPr>
              <w:t>年01月以来（以合同签订日期为准）承建过类似业绩，每提供一项业绩证明材料得0.5分，本项最高得1分。</w:t>
            </w:r>
          </w:p>
          <w:p>
            <w:pPr>
              <w:jc w:val="left"/>
              <w:rPr>
                <w:rFonts w:ascii="宋体" w:hAnsi="宋体" w:cs="宋体"/>
                <w:kern w:val="0"/>
                <w:szCs w:val="21"/>
                <w:highlight w:val="none"/>
                <w:lang w:bidi="ar"/>
              </w:rPr>
            </w:pPr>
            <w:r>
              <w:rPr>
                <w:rFonts w:hint="eastAsia" w:ascii="宋体" w:hAnsi="宋体" w:cs="宋体"/>
                <w:kern w:val="0"/>
                <w:szCs w:val="21"/>
                <w:highlight w:val="none"/>
                <w:lang w:bidi="ar"/>
              </w:rPr>
              <w:t>【提供中标通知书、合同的扫描件】</w:t>
            </w:r>
          </w:p>
          <w:p>
            <w:pPr>
              <w:jc w:val="left"/>
              <w:rPr>
                <w:rFonts w:ascii="宋体" w:hAnsi="宋体" w:cs="宋体"/>
                <w:kern w:val="0"/>
                <w:szCs w:val="21"/>
                <w:highlight w:val="none"/>
                <w:lang w:bidi="ar"/>
              </w:rPr>
            </w:pPr>
            <w:r>
              <w:rPr>
                <w:rFonts w:hint="eastAsia" w:ascii="宋体" w:hAnsi="宋体" w:cs="宋体"/>
                <w:kern w:val="0"/>
                <w:szCs w:val="21"/>
                <w:highlight w:val="none"/>
                <w:lang w:bidi="ar"/>
              </w:rPr>
              <w:t>（所有材料的签字、盖章及日期内容须完整。未按要求提供完整证明材料的，不予得分。）</w:t>
            </w:r>
          </w:p>
        </w:tc>
        <w:tc>
          <w:tcPr>
            <w:tcW w:w="85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1</w:t>
            </w:r>
          </w:p>
          <w:p>
            <w:pPr>
              <w:snapToGrid w:val="0"/>
              <w:jc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eastAsia="zh-CN" w:bidi="ar"/>
              </w:rPr>
              <w:t>（客观分）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eastAsia="zh-CN" w:bidi="ar"/>
              </w:rPr>
              <w:t>项目</w:t>
            </w:r>
            <w:r>
              <w:rPr>
                <w:rFonts w:hint="eastAsia" w:ascii="宋体" w:hAnsi="宋体" w:cs="宋体"/>
                <w:kern w:val="0"/>
                <w:szCs w:val="21"/>
                <w:highlight w:val="none"/>
                <w:lang w:bidi="ar"/>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2</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项目负责人无在建工程，项目负责人自20</w:t>
            </w:r>
            <w:r>
              <w:rPr>
                <w:rFonts w:ascii="宋体" w:hAnsi="宋体" w:cs="宋体"/>
                <w:kern w:val="0"/>
                <w:szCs w:val="21"/>
                <w:highlight w:val="none"/>
                <w:lang w:bidi="ar"/>
              </w:rPr>
              <w:t>2</w:t>
            </w:r>
            <w:r>
              <w:rPr>
                <w:rFonts w:hint="eastAsia" w:ascii="宋体" w:hAnsi="宋体" w:cs="宋体"/>
                <w:kern w:val="0"/>
                <w:szCs w:val="21"/>
                <w:highlight w:val="none"/>
                <w:lang w:val="en-US" w:eastAsia="zh-CN" w:bidi="ar"/>
              </w:rPr>
              <w:t>1</w:t>
            </w:r>
            <w:r>
              <w:rPr>
                <w:rFonts w:hint="eastAsia" w:ascii="宋体" w:hAnsi="宋体" w:cs="宋体"/>
                <w:kern w:val="0"/>
                <w:szCs w:val="21"/>
                <w:highlight w:val="none"/>
                <w:lang w:bidi="ar"/>
              </w:rPr>
              <w:t>年01月以来（以合同签订日期为准）在本公司承建过类似业绩，每提供一项业绩证明材料得0.5分，本项最高得0.5分。</w:t>
            </w:r>
          </w:p>
          <w:p>
            <w:pPr>
              <w:jc w:val="left"/>
              <w:rPr>
                <w:rFonts w:ascii="宋体" w:hAnsi="宋体" w:cs="宋体"/>
                <w:kern w:val="0"/>
                <w:szCs w:val="21"/>
                <w:highlight w:val="none"/>
                <w:lang w:bidi="ar"/>
              </w:rPr>
            </w:pPr>
            <w:r>
              <w:rPr>
                <w:rFonts w:hint="eastAsia" w:ascii="宋体" w:hAnsi="宋体" w:cs="宋体"/>
                <w:kern w:val="0"/>
                <w:szCs w:val="21"/>
                <w:highlight w:val="none"/>
                <w:lang w:bidi="ar"/>
              </w:rPr>
              <w:t>【提供中标通知书、合同的扫描件】</w:t>
            </w:r>
          </w:p>
          <w:p>
            <w:pPr>
              <w:jc w:val="left"/>
              <w:rPr>
                <w:rFonts w:ascii="宋体" w:hAnsi="宋体" w:cs="宋体"/>
                <w:kern w:val="0"/>
                <w:szCs w:val="21"/>
                <w:highlight w:val="none"/>
                <w:lang w:bidi="ar"/>
              </w:rPr>
            </w:pPr>
            <w:r>
              <w:rPr>
                <w:rFonts w:hint="eastAsia" w:ascii="宋体" w:hAnsi="宋体" w:cs="宋体"/>
                <w:kern w:val="0"/>
                <w:szCs w:val="21"/>
                <w:highlight w:val="none"/>
                <w:lang w:bidi="ar"/>
              </w:rPr>
              <w:t>（所有材料的签字、盖章及日期内容须完整，未按要求提供完整证明材料的，不予得分。）</w:t>
            </w:r>
          </w:p>
        </w:tc>
        <w:tc>
          <w:tcPr>
            <w:tcW w:w="850" w:type="dxa"/>
            <w:vAlign w:val="center"/>
          </w:tcPr>
          <w:p>
            <w:pPr>
              <w:snapToGrid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0.5</w:t>
            </w:r>
          </w:p>
          <w:p>
            <w:pPr>
              <w:snapToGrid w:val="0"/>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（客观分）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项目经理业绩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3</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针对本项目拟派的项目负责人：具备与本项目相关专业中级工程师及以上职称的，得2.5分。</w:t>
            </w:r>
          </w:p>
          <w:p>
            <w:pPr>
              <w:pStyle w:val="45"/>
              <w:jc w:val="left"/>
              <w:rPr>
                <w:rFonts w:ascii="宋体" w:hAnsi="宋体" w:cs="宋体"/>
                <w:kern w:val="0"/>
                <w:szCs w:val="21"/>
                <w:highlight w:val="none"/>
                <w:lang w:bidi="ar"/>
              </w:rPr>
            </w:pPr>
            <w:r>
              <w:rPr>
                <w:rFonts w:hint="eastAsia" w:ascii="宋体" w:hAnsi="宋体" w:cs="宋体"/>
                <w:kern w:val="0"/>
                <w:szCs w:val="21"/>
                <w:highlight w:val="none"/>
                <w:lang w:bidi="ar"/>
              </w:rPr>
              <w:t>【提供有效职称证书及人员近三个月在本单位缴纳社保证明（若投标单位为新成立企业，无法提供本单位近三个月缴纳社保证明，可提供营业执照及相关情况说明），未提供或提供不全的不得分。】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2.5</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（客观分）</w:t>
            </w:r>
          </w:p>
        </w:tc>
        <w:tc>
          <w:tcPr>
            <w:tcW w:w="1560" w:type="dxa"/>
            <w:vMerge w:val="restart"/>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项目组人员配置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4</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针对本项目拟派人员中除拟派项目负责人以外每增加一名中级工程师及以上职称的，每个得1分，最高得3分</w:t>
            </w:r>
          </w:p>
          <w:p>
            <w:pPr>
              <w:jc w:val="left"/>
              <w:rPr>
                <w:rFonts w:ascii="宋体" w:hAnsi="宋体" w:cs="宋体"/>
                <w:kern w:val="0"/>
                <w:szCs w:val="21"/>
                <w:highlight w:val="none"/>
                <w:lang w:bidi="ar"/>
              </w:rPr>
            </w:pPr>
            <w:r>
              <w:rPr>
                <w:rFonts w:hint="eastAsia" w:ascii="宋体" w:hAnsi="宋体" w:cs="宋体"/>
                <w:kern w:val="0"/>
                <w:szCs w:val="21"/>
                <w:highlight w:val="none"/>
                <w:lang w:bidi="ar"/>
              </w:rPr>
              <w:t>【提供有效职称证书及人员近三个月在本单位缴纳社保证明（若投标单位为新成立企业，无法提供本单位近三个月缴纳社保证明，可提供营业执照及相关情况说明），未提供或提供不全的不得分。】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3</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（客观分）</w:t>
            </w:r>
          </w:p>
        </w:tc>
        <w:tc>
          <w:tcPr>
            <w:tcW w:w="1560" w:type="dxa"/>
            <w:vMerge w:val="continue"/>
            <w:vAlign w:val="center"/>
          </w:tcPr>
          <w:p>
            <w:pPr>
              <w:snapToGrid w:val="0"/>
              <w:jc w:val="left"/>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5</w:t>
            </w:r>
          </w:p>
        </w:tc>
        <w:tc>
          <w:tcPr>
            <w:tcW w:w="6873" w:type="dxa"/>
            <w:gridSpan w:val="3"/>
            <w:vAlign w:val="center"/>
          </w:tcPr>
          <w:p>
            <w:pPr>
              <w:widowControl/>
              <w:jc w:val="left"/>
              <w:rPr>
                <w:rFonts w:ascii="宋体" w:hAnsi="宋体" w:cs="宋体"/>
                <w:kern w:val="0"/>
                <w:szCs w:val="21"/>
                <w:highlight w:val="none"/>
                <w:lang w:bidi="ar"/>
              </w:rPr>
            </w:pPr>
            <w:r>
              <w:rPr>
                <w:rFonts w:hint="eastAsia" w:ascii="宋体" w:hAnsi="宋体" w:cs="宋体"/>
                <w:kern w:val="0"/>
                <w:szCs w:val="21"/>
                <w:highlight w:val="none"/>
                <w:lang w:bidi="ar"/>
              </w:rPr>
              <w:t>针对本项目拟派人员中除拟派项目负责人以外每增加一名</w:t>
            </w:r>
            <w:r>
              <w:rPr>
                <w:rFonts w:hint="eastAsia" w:ascii="宋体" w:hAnsi="宋体" w:cs="宋体"/>
                <w:kern w:val="0"/>
                <w:szCs w:val="21"/>
                <w:highlight w:val="none"/>
                <w:lang w:eastAsia="zh-CN" w:bidi="ar"/>
              </w:rPr>
              <w:t>建筑工程</w:t>
            </w:r>
            <w:r>
              <w:rPr>
                <w:rFonts w:hint="eastAsia" w:ascii="宋体" w:hAnsi="宋体" w:cs="宋体"/>
                <w:kern w:val="0"/>
                <w:szCs w:val="21"/>
                <w:highlight w:val="none"/>
                <w:lang w:bidi="ar"/>
              </w:rPr>
              <w:t>专业二级及以上注册建造师的每个得1分，本项最高得5分。</w:t>
            </w:r>
          </w:p>
          <w:p>
            <w:pPr>
              <w:widowControl/>
              <w:jc w:val="left"/>
              <w:rPr>
                <w:rFonts w:ascii="宋体" w:hAnsi="宋体" w:cs="宋体"/>
                <w:kern w:val="0"/>
                <w:szCs w:val="21"/>
                <w:highlight w:val="none"/>
                <w:lang w:bidi="ar"/>
              </w:rPr>
            </w:pPr>
            <w:r>
              <w:rPr>
                <w:rFonts w:hint="eastAsia" w:ascii="宋体" w:hAnsi="宋体" w:cs="宋体"/>
                <w:kern w:val="0"/>
                <w:szCs w:val="21"/>
                <w:highlight w:val="none"/>
                <w:lang w:bidi="ar"/>
              </w:rPr>
              <w:t>【提供有效</w:t>
            </w:r>
            <w:bookmarkStart w:id="483" w:name="_GoBack"/>
            <w:bookmarkEnd w:id="483"/>
            <w:r>
              <w:rPr>
                <w:rFonts w:hint="eastAsia" w:ascii="宋体" w:hAnsi="宋体" w:cs="宋体"/>
                <w:kern w:val="0"/>
                <w:szCs w:val="21"/>
                <w:highlight w:val="none"/>
                <w:lang w:bidi="ar"/>
              </w:rPr>
              <w:t>证书及人员近三个月在本单位缴纳社保证明（若投标单位为新成立企业，无法提供本单位近三个月缴纳社保证明，可提供营业执照及相关情况说明），未提供或提供不全的不得分。】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5</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（客观分）</w:t>
            </w:r>
          </w:p>
        </w:tc>
        <w:tc>
          <w:tcPr>
            <w:tcW w:w="1560" w:type="dxa"/>
            <w:vMerge w:val="continue"/>
            <w:vAlign w:val="center"/>
          </w:tcPr>
          <w:p>
            <w:pPr>
              <w:snapToGrid w:val="0"/>
              <w:jc w:val="left"/>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6</w:t>
            </w:r>
          </w:p>
        </w:tc>
        <w:tc>
          <w:tcPr>
            <w:tcW w:w="6873" w:type="dxa"/>
            <w:gridSpan w:val="3"/>
            <w:shd w:val="clear" w:color="auto" w:fill="auto"/>
            <w:vAlign w:val="center"/>
          </w:tcPr>
          <w:p>
            <w:pPr>
              <w:widowControl/>
              <w:jc w:val="left"/>
              <w:rPr>
                <w:rFonts w:ascii="宋体" w:hAnsi="宋体" w:cs="宋体"/>
                <w:kern w:val="0"/>
                <w:szCs w:val="21"/>
                <w:highlight w:val="none"/>
                <w:lang w:bidi="ar"/>
              </w:rPr>
            </w:pPr>
            <w:r>
              <w:rPr>
                <w:rFonts w:hint="eastAsia" w:ascii="宋体" w:hAnsi="宋体" w:cs="宋体"/>
                <w:kern w:val="0"/>
                <w:szCs w:val="21"/>
                <w:highlight w:val="none"/>
                <w:lang w:bidi="ar"/>
              </w:rPr>
              <w:t>针对本项目拟派人员中具有相关专业的施工员、安全员、质量员、材料员、资料员，单个五大员证书只计1次，单个人员有多个五大员证书 的只计 1 次。每</w:t>
            </w:r>
            <w:r>
              <w:rPr>
                <w:rFonts w:hint="eastAsia" w:ascii="宋体" w:hAnsi="宋体" w:cs="宋体"/>
                <w:kern w:val="0"/>
                <w:szCs w:val="21"/>
                <w:highlight w:val="none"/>
                <w:lang w:eastAsia="zh-CN" w:bidi="ar"/>
              </w:rPr>
              <w:t>有</w:t>
            </w:r>
            <w:r>
              <w:rPr>
                <w:rFonts w:hint="eastAsia" w:ascii="宋体" w:hAnsi="宋体" w:cs="宋体"/>
                <w:kern w:val="0"/>
                <w:szCs w:val="21"/>
                <w:highlight w:val="none"/>
                <w:lang w:val="en-US" w:eastAsia="zh-CN" w:bidi="ar"/>
              </w:rPr>
              <w:t>1个种类证书人员</w:t>
            </w:r>
            <w:r>
              <w:rPr>
                <w:rFonts w:hint="eastAsia" w:ascii="宋体" w:hAnsi="宋体" w:cs="宋体"/>
                <w:kern w:val="0"/>
                <w:szCs w:val="21"/>
                <w:highlight w:val="none"/>
                <w:lang w:bidi="ar"/>
              </w:rPr>
              <w:t>得1分，</w:t>
            </w:r>
            <w:r>
              <w:rPr>
                <w:rFonts w:hint="eastAsia" w:ascii="宋体" w:hAnsi="宋体" w:cs="宋体"/>
                <w:kern w:val="0"/>
                <w:szCs w:val="21"/>
                <w:highlight w:val="none"/>
                <w:lang w:eastAsia="zh-CN" w:bidi="ar"/>
              </w:rPr>
              <w:t>若</w:t>
            </w:r>
            <w:r>
              <w:rPr>
                <w:rFonts w:hint="eastAsia" w:ascii="宋体" w:hAnsi="宋体" w:cs="宋体"/>
                <w:kern w:val="0"/>
                <w:szCs w:val="21"/>
                <w:highlight w:val="none"/>
                <w:lang w:bidi="ar"/>
              </w:rPr>
              <w:t>全部满足</w:t>
            </w:r>
            <w:r>
              <w:rPr>
                <w:rFonts w:hint="eastAsia" w:ascii="宋体" w:hAnsi="宋体" w:cs="宋体"/>
                <w:kern w:val="0"/>
                <w:szCs w:val="21"/>
                <w:highlight w:val="none"/>
                <w:lang w:eastAsia="zh-CN" w:bidi="ar"/>
              </w:rPr>
              <w:t>，则</w:t>
            </w:r>
            <w:r>
              <w:rPr>
                <w:rFonts w:hint="eastAsia" w:ascii="宋体" w:hAnsi="宋体" w:cs="宋体"/>
                <w:kern w:val="0"/>
                <w:szCs w:val="21"/>
                <w:highlight w:val="none"/>
                <w:lang w:bidi="ar"/>
              </w:rPr>
              <w:t>得6分，本项最高得 6 分。</w:t>
            </w:r>
          </w:p>
          <w:p>
            <w:pPr>
              <w:widowControl/>
              <w:jc w:val="left"/>
              <w:rPr>
                <w:rFonts w:ascii="宋体" w:hAnsi="宋体" w:cs="宋体"/>
                <w:kern w:val="0"/>
                <w:szCs w:val="21"/>
                <w:highlight w:val="none"/>
                <w:lang w:bidi="ar"/>
              </w:rPr>
            </w:pPr>
            <w:r>
              <w:rPr>
                <w:rFonts w:hint="eastAsia" w:ascii="宋体" w:hAnsi="宋体" w:cs="宋体"/>
                <w:kern w:val="0"/>
                <w:szCs w:val="21"/>
                <w:highlight w:val="none"/>
                <w:lang w:bidi="ar"/>
              </w:rPr>
              <w:t>【提供有效证书及人员近三个月在本单位缴纳社保证明（若投标单位为新成立企业，无法提供本单位近三个月缴纳社保证明，可提供营业执照及相关情况说明），未提供或提供不全的不得分。】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6</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（客观分）</w:t>
            </w:r>
          </w:p>
        </w:tc>
        <w:tc>
          <w:tcPr>
            <w:tcW w:w="1560" w:type="dxa"/>
            <w:vMerge w:val="continue"/>
            <w:vAlign w:val="center"/>
          </w:tcPr>
          <w:p>
            <w:pPr>
              <w:snapToGrid w:val="0"/>
              <w:jc w:val="left"/>
              <w:rPr>
                <w:rFonts w:ascii="宋体" w:hAnsi="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pPr>
              <w:jc w:val="center"/>
              <w:rPr>
                <w:rFonts w:ascii="宋体" w:hAnsi="宋体" w:cs="宋体"/>
                <w:kern w:val="0"/>
                <w:szCs w:val="21"/>
                <w:highlight w:val="none"/>
                <w:lang w:bidi="ar"/>
              </w:rPr>
            </w:pPr>
            <w:r>
              <w:rPr>
                <w:rFonts w:ascii="宋体" w:hAnsi="宋体" w:cs="宋体"/>
                <w:kern w:val="0"/>
                <w:szCs w:val="21"/>
                <w:highlight w:val="none"/>
                <w:lang w:bidi="ar"/>
              </w:rPr>
              <w:t>7</w:t>
            </w:r>
          </w:p>
        </w:tc>
        <w:tc>
          <w:tcPr>
            <w:tcW w:w="1272" w:type="dxa"/>
            <w:gridSpan w:val="2"/>
            <w:vMerge w:val="restart"/>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施工方案总体情况评价</w:t>
            </w:r>
          </w:p>
        </w:tc>
        <w:tc>
          <w:tcPr>
            <w:tcW w:w="5601" w:type="dxa"/>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方案内容全面、合理、条理清晰，涵盖本次工程实施有关的内容，且具有针对性得5分，方案内容全面合理得3分，方案内容基本合理，满足采购需求得2分，方案内容有提及得1分。严重缺失不得分。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5</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pPr>
              <w:jc w:val="center"/>
              <w:rPr>
                <w:rFonts w:ascii="宋体" w:hAnsi="宋体" w:cs="宋体"/>
                <w:kern w:val="0"/>
                <w:szCs w:val="21"/>
                <w:highlight w:val="none"/>
                <w:lang w:bidi="ar"/>
              </w:rPr>
            </w:pPr>
          </w:p>
        </w:tc>
        <w:tc>
          <w:tcPr>
            <w:tcW w:w="1272" w:type="dxa"/>
            <w:gridSpan w:val="2"/>
            <w:vMerge w:val="continue"/>
            <w:vAlign w:val="center"/>
          </w:tcPr>
          <w:p>
            <w:pPr>
              <w:jc w:val="left"/>
              <w:rPr>
                <w:rFonts w:ascii="宋体" w:hAnsi="宋体" w:cs="宋体"/>
                <w:kern w:val="0"/>
                <w:szCs w:val="21"/>
                <w:highlight w:val="none"/>
                <w:lang w:bidi="ar"/>
              </w:rPr>
            </w:pPr>
          </w:p>
        </w:tc>
        <w:tc>
          <w:tcPr>
            <w:tcW w:w="5601" w:type="dxa"/>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针对本项目特殊施工环境需要采取的专门的施工技术内容科学合理，针对性强的得5分；措施内容基本合理，针对性较强得3分；措施内容基本合理得2分；措施内容一般，有提及得1分。内容缺失严重不得分。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5</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pPr>
              <w:jc w:val="center"/>
              <w:rPr>
                <w:rFonts w:ascii="宋体" w:hAnsi="宋体" w:cs="宋体"/>
                <w:kern w:val="0"/>
                <w:szCs w:val="21"/>
                <w:highlight w:val="none"/>
                <w:lang w:bidi="ar"/>
              </w:rPr>
            </w:pPr>
          </w:p>
        </w:tc>
        <w:tc>
          <w:tcPr>
            <w:tcW w:w="1272" w:type="dxa"/>
            <w:gridSpan w:val="2"/>
            <w:vMerge w:val="continue"/>
            <w:vAlign w:val="center"/>
          </w:tcPr>
          <w:p>
            <w:pPr>
              <w:jc w:val="left"/>
              <w:rPr>
                <w:rFonts w:ascii="宋体" w:hAnsi="宋体" w:cs="宋体"/>
                <w:kern w:val="0"/>
                <w:szCs w:val="21"/>
                <w:highlight w:val="none"/>
                <w:lang w:bidi="ar"/>
              </w:rPr>
            </w:pPr>
          </w:p>
        </w:tc>
        <w:tc>
          <w:tcPr>
            <w:tcW w:w="5601" w:type="dxa"/>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组织措施内容科学合理，针对性强的得5分；措施内容基本合理，针对性较强得3分；措施内容基本合理得2分；措施内容一般，有提及得1分。内容缺失严重不得分。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5</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宋体" w:hAnsi="宋体" w:cs="宋体"/>
                <w:kern w:val="0"/>
                <w:szCs w:val="21"/>
                <w:highlight w:val="none"/>
                <w:lang w:bidi="ar"/>
              </w:rPr>
            </w:pPr>
            <w:r>
              <w:rPr>
                <w:rFonts w:ascii="宋体" w:hAnsi="宋体" w:cs="宋体"/>
                <w:kern w:val="0"/>
                <w:szCs w:val="21"/>
                <w:highlight w:val="none"/>
                <w:lang w:bidi="ar"/>
              </w:rPr>
              <w:t>8</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投标人针对本项目施工重点难点分析到位，针对性强的得3分，施工重点难度内容分析合理得2分，施工重点难度内容分析基本合理得1分，内容缺失严重不得分。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3</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宋体" w:hAnsi="宋体" w:cs="宋体"/>
                <w:kern w:val="0"/>
                <w:szCs w:val="21"/>
                <w:highlight w:val="none"/>
                <w:lang w:bidi="ar"/>
              </w:rPr>
            </w:pPr>
            <w:r>
              <w:rPr>
                <w:rFonts w:ascii="宋体" w:hAnsi="宋体" w:cs="宋体"/>
                <w:kern w:val="0"/>
                <w:szCs w:val="21"/>
                <w:highlight w:val="none"/>
                <w:lang w:bidi="ar"/>
              </w:rPr>
              <w:t>9</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投标人针对本项目施工重点难点措施内容科学合理，针对性强的得4分；措施内容基本合理，针对性较强得3分；措施内容基本合理得2分；措施内容一般，有提及得1分。内容缺失严重不得分。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4</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重点难点措施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0" w:type="dxa"/>
            <w:vMerge w:val="restart"/>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ascii="宋体" w:hAnsi="宋体" w:cs="宋体"/>
                <w:kern w:val="0"/>
                <w:szCs w:val="21"/>
                <w:highlight w:val="none"/>
                <w:lang w:bidi="ar"/>
              </w:rPr>
              <w:t>0</w:t>
            </w:r>
          </w:p>
        </w:tc>
        <w:tc>
          <w:tcPr>
            <w:tcW w:w="1205" w:type="dxa"/>
            <w:vMerge w:val="restart"/>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专项施工方案</w:t>
            </w:r>
          </w:p>
        </w:tc>
        <w:tc>
          <w:tcPr>
            <w:tcW w:w="5668" w:type="dxa"/>
            <w:gridSpan w:val="2"/>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专项施工方案内容科学合理，主要分部施工方法符合项目实际针对性强得4分，方案内容全面合理得3分，方案内容基本合理，满足采购需求得2分，方案内容有提及得1分。严重缺失不得分。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4</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0" w:type="dxa"/>
            <w:vMerge w:val="continue"/>
            <w:vAlign w:val="center"/>
          </w:tcPr>
          <w:p>
            <w:pPr>
              <w:jc w:val="center"/>
              <w:rPr>
                <w:rFonts w:ascii="宋体" w:hAnsi="宋体" w:cs="宋体"/>
                <w:kern w:val="0"/>
                <w:szCs w:val="21"/>
                <w:highlight w:val="none"/>
                <w:lang w:bidi="ar"/>
              </w:rPr>
            </w:pPr>
          </w:p>
        </w:tc>
        <w:tc>
          <w:tcPr>
            <w:tcW w:w="1205" w:type="dxa"/>
            <w:vMerge w:val="continue"/>
            <w:vAlign w:val="center"/>
          </w:tcPr>
          <w:p>
            <w:pPr>
              <w:jc w:val="left"/>
              <w:rPr>
                <w:rFonts w:ascii="宋体" w:hAnsi="宋体" w:cs="宋体"/>
                <w:kern w:val="0"/>
                <w:szCs w:val="21"/>
                <w:highlight w:val="none"/>
                <w:lang w:bidi="ar"/>
              </w:rPr>
            </w:pPr>
          </w:p>
        </w:tc>
        <w:tc>
          <w:tcPr>
            <w:tcW w:w="5668" w:type="dxa"/>
            <w:gridSpan w:val="2"/>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关键工序、复杂环节的相应技术措施内容科学合理，针对性强的得4分；措施内容基本合理，针对性较强得3分；措施内容基本合理得2分；措施内容一般，有提及得1分。内容缺失严重不得分。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4</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关键工序、复杂环节的相应技术措施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ascii="宋体" w:hAnsi="宋体" w:cs="宋体"/>
                <w:kern w:val="0"/>
                <w:szCs w:val="21"/>
                <w:highlight w:val="none"/>
                <w:lang w:bidi="ar"/>
              </w:rPr>
              <w:t>1</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施工质量目标明确，质量控制措施科学、合理，且有技术支撑的得3分，质量措施合理得2分，质量措施基本合理得1分。严重缺失不得分。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3</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ascii="宋体" w:hAnsi="宋体" w:cs="宋体"/>
                <w:kern w:val="0"/>
                <w:szCs w:val="21"/>
                <w:highlight w:val="none"/>
                <w:lang w:bidi="ar"/>
              </w:rPr>
              <w:t>2</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安全、文明施工及市政、市容、环保、消防等的保证措施科学、合理、到位的得3分，措施合理得2分，措施基本合理得1分。严重缺失不得分。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3</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安全、文明施工及市政、市容、环保、消防等的保证措施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ascii="宋体" w:hAnsi="宋体" w:cs="宋体"/>
                <w:kern w:val="0"/>
                <w:szCs w:val="21"/>
                <w:highlight w:val="none"/>
                <w:lang w:bidi="ar"/>
              </w:rPr>
              <w:t>3</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拟投入本工程的管理人员的岗位、专业及各专业工种劳动力配置科学合理证书齐全、针对性强的得3分；人员配置合理证书齐全，具有针对性得2分，人员配置基本合理得1分；严重缺失不得分。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3</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ascii="宋体" w:hAnsi="宋体" w:cs="宋体"/>
                <w:kern w:val="0"/>
                <w:szCs w:val="21"/>
                <w:highlight w:val="none"/>
                <w:lang w:bidi="ar"/>
              </w:rPr>
              <w:t>4</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施工机具和检验仪器的投入能够优于工程实施的需要，且与项目相适应针对性强得3分，施工机具和检验仪器的投入满足工程实施需求且针对性强得2分，施工机具和检验仪器的投入基本满足工程实施需求得1分。严重缺失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3</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ascii="宋体" w:hAnsi="宋体" w:cs="宋体"/>
                <w:kern w:val="0"/>
                <w:szCs w:val="21"/>
                <w:highlight w:val="none"/>
                <w:lang w:bidi="ar"/>
              </w:rPr>
              <w:t>5</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材料设备进场计划及施工计划情况：具有详细的材料设备进场计划且计划周密，材料数量、质量控制，时间安排合理，满足施工需要，合理得</w:t>
            </w:r>
            <w:r>
              <w:rPr>
                <w:rFonts w:ascii="宋体" w:hAnsi="宋体" w:cs="宋体"/>
                <w:kern w:val="0"/>
                <w:szCs w:val="21"/>
                <w:highlight w:val="none"/>
                <w:lang w:bidi="ar"/>
              </w:rPr>
              <w:t>3</w:t>
            </w:r>
            <w:r>
              <w:rPr>
                <w:rFonts w:hint="eastAsia" w:ascii="宋体" w:hAnsi="宋体" w:cs="宋体"/>
                <w:kern w:val="0"/>
                <w:szCs w:val="21"/>
                <w:highlight w:val="none"/>
                <w:lang w:bidi="ar"/>
              </w:rPr>
              <w:t>分，基本合理得</w:t>
            </w:r>
            <w:r>
              <w:rPr>
                <w:rFonts w:ascii="宋体" w:hAnsi="宋体" w:cs="宋体"/>
                <w:kern w:val="0"/>
                <w:szCs w:val="21"/>
                <w:highlight w:val="none"/>
                <w:lang w:bidi="ar"/>
              </w:rPr>
              <w:t>2</w:t>
            </w:r>
            <w:r>
              <w:rPr>
                <w:rFonts w:hint="eastAsia" w:ascii="宋体" w:hAnsi="宋体" w:cs="宋体"/>
                <w:kern w:val="0"/>
                <w:szCs w:val="21"/>
                <w:highlight w:val="none"/>
                <w:lang w:bidi="ar"/>
              </w:rPr>
              <w:t>分，较差的得1分，未提供材料设备进场计划及施工计划的不得分。</w:t>
            </w:r>
          </w:p>
        </w:tc>
        <w:tc>
          <w:tcPr>
            <w:tcW w:w="850" w:type="dxa"/>
            <w:vAlign w:val="center"/>
          </w:tcPr>
          <w:p>
            <w:pPr>
              <w:jc w:val="center"/>
              <w:rPr>
                <w:rFonts w:ascii="宋体" w:hAnsi="宋体" w:cs="宋体"/>
                <w:kern w:val="0"/>
                <w:szCs w:val="21"/>
                <w:highlight w:val="none"/>
                <w:lang w:bidi="ar"/>
              </w:rPr>
            </w:pPr>
            <w:r>
              <w:rPr>
                <w:rFonts w:ascii="宋体" w:hAnsi="宋体" w:cs="宋体"/>
                <w:kern w:val="0"/>
                <w:szCs w:val="21"/>
                <w:highlight w:val="none"/>
                <w:lang w:bidi="ar"/>
              </w:rPr>
              <w:t>3</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ascii="宋体" w:hAnsi="宋体" w:cs="宋体"/>
                <w:kern w:val="0"/>
                <w:szCs w:val="21"/>
                <w:highlight w:val="none"/>
                <w:lang w:bidi="ar"/>
              </w:rPr>
              <w:t>6</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投标人对成品保护的保证措施合理、科学，具有可操作性得3分，措施合理得2分，措施基本合理得1分。严重缺失不得分。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3</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成品保护的保证措施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ascii="宋体" w:hAnsi="宋体" w:cs="宋体"/>
                <w:kern w:val="0"/>
                <w:szCs w:val="21"/>
                <w:highlight w:val="none"/>
                <w:lang w:bidi="ar"/>
              </w:rPr>
              <w:t>7</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bidi="ar"/>
              </w:rPr>
              <w:t>投标人的降噪措施合理、具有可操作性得2分，措施合理得1分，措施基本合理得0.5分。严重缺失不得分。</w:t>
            </w:r>
          </w:p>
        </w:tc>
        <w:tc>
          <w:tcPr>
            <w:tcW w:w="850" w:type="dxa"/>
            <w:vAlign w:val="center"/>
          </w:tcPr>
          <w:p>
            <w:pPr>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2</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ascii="宋体" w:hAnsi="宋体" w:cs="宋体"/>
                <w:kern w:val="0"/>
                <w:szCs w:val="21"/>
                <w:highlight w:val="none"/>
                <w:lang w:bidi="ar"/>
              </w:rPr>
              <w:t>8</w:t>
            </w:r>
          </w:p>
        </w:tc>
        <w:tc>
          <w:tcPr>
            <w:tcW w:w="6873" w:type="dxa"/>
            <w:gridSpan w:val="3"/>
            <w:vAlign w:val="center"/>
          </w:tcPr>
          <w:p>
            <w:pPr>
              <w:jc w:val="left"/>
              <w:rPr>
                <w:rFonts w:ascii="宋体" w:hAnsi="宋体" w:cs="宋体"/>
                <w:kern w:val="0"/>
                <w:szCs w:val="21"/>
                <w:highlight w:val="none"/>
                <w:lang w:bidi="ar"/>
              </w:rPr>
            </w:pPr>
            <w:r>
              <w:rPr>
                <w:rFonts w:hint="eastAsia" w:ascii="宋体" w:hAnsi="宋体" w:cs="宋体"/>
                <w:kern w:val="0"/>
                <w:szCs w:val="21"/>
                <w:highlight w:val="none"/>
                <w:lang w:eastAsia="zh-CN" w:bidi="ar"/>
              </w:rPr>
              <w:t>服务</w:t>
            </w:r>
            <w:r>
              <w:rPr>
                <w:rFonts w:hint="eastAsia" w:ascii="宋体" w:hAnsi="宋体" w:cs="宋体"/>
                <w:kern w:val="0"/>
                <w:szCs w:val="21"/>
                <w:highlight w:val="none"/>
                <w:lang w:bidi="ar"/>
              </w:rPr>
              <w:t>措施：针对项目的</w:t>
            </w:r>
            <w:r>
              <w:rPr>
                <w:rFonts w:hint="eastAsia" w:ascii="宋体" w:hAnsi="宋体" w:cs="宋体"/>
                <w:kern w:val="0"/>
                <w:szCs w:val="21"/>
                <w:highlight w:val="none"/>
                <w:lang w:eastAsia="zh-CN" w:bidi="ar"/>
              </w:rPr>
              <w:t>服务</w:t>
            </w:r>
            <w:r>
              <w:rPr>
                <w:rFonts w:hint="eastAsia" w:ascii="宋体" w:hAnsi="宋体" w:cs="宋体"/>
                <w:kern w:val="0"/>
                <w:szCs w:val="21"/>
                <w:highlight w:val="none"/>
                <w:lang w:bidi="ar"/>
              </w:rPr>
              <w:t>措施，确有利于项目实施的，每条得</w:t>
            </w:r>
            <w:r>
              <w:rPr>
                <w:rFonts w:ascii="宋体" w:hAnsi="宋体" w:cs="宋体"/>
                <w:kern w:val="0"/>
                <w:szCs w:val="21"/>
                <w:highlight w:val="none"/>
                <w:lang w:bidi="ar"/>
              </w:rPr>
              <w:t>1</w:t>
            </w:r>
            <w:r>
              <w:rPr>
                <w:rFonts w:hint="eastAsia" w:ascii="宋体" w:hAnsi="宋体" w:cs="宋体"/>
                <w:kern w:val="0"/>
                <w:szCs w:val="21"/>
                <w:highlight w:val="none"/>
                <w:lang w:bidi="ar"/>
              </w:rPr>
              <w:t>分，最高得</w:t>
            </w:r>
            <w:r>
              <w:rPr>
                <w:rFonts w:ascii="宋体" w:hAnsi="宋体" w:cs="宋体"/>
                <w:kern w:val="0"/>
                <w:szCs w:val="21"/>
                <w:highlight w:val="none"/>
                <w:lang w:bidi="ar"/>
              </w:rPr>
              <w:t>2</w:t>
            </w:r>
            <w:r>
              <w:rPr>
                <w:rFonts w:hint="eastAsia" w:ascii="宋体" w:hAnsi="宋体" w:cs="宋体"/>
                <w:kern w:val="0"/>
                <w:szCs w:val="21"/>
                <w:highlight w:val="none"/>
                <w:lang w:bidi="ar"/>
              </w:rPr>
              <w:t>分。</w:t>
            </w:r>
          </w:p>
        </w:tc>
        <w:tc>
          <w:tcPr>
            <w:tcW w:w="850" w:type="dxa"/>
            <w:vAlign w:val="center"/>
          </w:tcPr>
          <w:p>
            <w:pPr>
              <w:jc w:val="center"/>
              <w:rPr>
                <w:rFonts w:ascii="宋体" w:hAnsi="宋体" w:cs="宋体"/>
                <w:kern w:val="0"/>
                <w:szCs w:val="21"/>
                <w:highlight w:val="none"/>
                <w:lang w:bidi="ar"/>
              </w:rPr>
            </w:pPr>
            <w:r>
              <w:rPr>
                <w:rFonts w:ascii="宋体" w:hAnsi="宋体" w:cs="宋体"/>
                <w:kern w:val="0"/>
                <w:szCs w:val="21"/>
                <w:highlight w:val="none"/>
                <w:lang w:bidi="ar"/>
              </w:rPr>
              <w:t>2</w:t>
            </w:r>
          </w:p>
          <w:p>
            <w:pPr>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（主观分）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eastAsia="zh-CN" w:bidi="ar"/>
              </w:rPr>
              <w:t>服务</w:t>
            </w:r>
            <w:r>
              <w:rPr>
                <w:rFonts w:hint="eastAsia" w:ascii="宋体" w:hAnsi="宋体" w:cs="宋体"/>
                <w:kern w:val="0"/>
                <w:szCs w:val="21"/>
                <w:highlight w:val="none"/>
                <w:lang w:bidi="ar"/>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90" w:type="dxa"/>
            <w:vAlign w:val="center"/>
          </w:tcPr>
          <w:p>
            <w:pPr>
              <w:jc w:val="center"/>
              <w:rPr>
                <w:rFonts w:ascii="宋体" w:hAnsi="宋体" w:cs="宋体"/>
                <w:kern w:val="0"/>
                <w:szCs w:val="21"/>
                <w:highlight w:val="none"/>
                <w:lang w:bidi="ar"/>
              </w:rPr>
            </w:pPr>
            <w:r>
              <w:rPr>
                <w:rFonts w:ascii="宋体" w:hAnsi="宋体" w:cs="宋体"/>
                <w:kern w:val="0"/>
                <w:szCs w:val="21"/>
                <w:highlight w:val="none"/>
                <w:lang w:bidi="ar"/>
              </w:rPr>
              <w:t>19</w:t>
            </w:r>
          </w:p>
        </w:tc>
        <w:tc>
          <w:tcPr>
            <w:tcW w:w="6873" w:type="dxa"/>
            <w:gridSpan w:val="3"/>
          </w:tcPr>
          <w:p>
            <w:pPr>
              <w:jc w:val="left"/>
              <w:rPr>
                <w:rFonts w:ascii="宋体" w:hAnsi="宋体" w:cs="宋体"/>
                <w:kern w:val="0"/>
                <w:szCs w:val="21"/>
                <w:highlight w:val="none"/>
                <w:lang w:bidi="ar"/>
              </w:rPr>
            </w:pPr>
            <w:r>
              <w:rPr>
                <w:rFonts w:hint="eastAsia" w:ascii="宋体" w:hAnsi="宋体" w:cs="宋体"/>
                <w:kern w:val="0"/>
                <w:szCs w:val="21"/>
                <w:highlight w:val="none"/>
                <w:lang w:bidi="ar"/>
              </w:rPr>
              <w:t>有效投标报价的最低价作为评标基准价，其最低报价为满分；按［投标报价得分=（评标基准价/投标最后报价）*30］的计算公式计算。</w:t>
            </w:r>
          </w:p>
          <w:p>
            <w:pPr>
              <w:jc w:val="left"/>
              <w:rPr>
                <w:rFonts w:ascii="宋体" w:hAnsi="宋体" w:cs="宋体"/>
                <w:kern w:val="0"/>
                <w:szCs w:val="21"/>
                <w:highlight w:val="none"/>
                <w:lang w:bidi="ar"/>
              </w:rPr>
            </w:pPr>
            <w:r>
              <w:rPr>
                <w:rFonts w:hint="eastAsia" w:ascii="宋体" w:hAnsi="宋体" w:cs="宋体"/>
                <w:kern w:val="0"/>
                <w:szCs w:val="21"/>
                <w:highlight w:val="none"/>
                <w:lang w:bidi="ar"/>
              </w:rPr>
              <w:t>评标过程中，不得去掉报价中的最高报价和最低报价。</w:t>
            </w:r>
          </w:p>
          <w:p>
            <w:pPr>
              <w:jc w:val="left"/>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因落实政府采购政策需要进行价格调整的，以调整后的价格计算评标基准价和投标报价。</w:t>
            </w:r>
            <w:r>
              <w:rPr>
                <w:rFonts w:hint="eastAsia" w:ascii="宋体" w:hAnsi="宋体" w:cs="宋体"/>
                <w:kern w:val="0"/>
                <w:szCs w:val="21"/>
                <w:highlight w:val="none"/>
                <w:lang w:eastAsia="zh-CN" w:bidi="ar"/>
              </w:rPr>
              <w:t>（本项目不适用）</w:t>
            </w:r>
          </w:p>
        </w:tc>
        <w:tc>
          <w:tcPr>
            <w:tcW w:w="850" w:type="dxa"/>
            <w:vAlign w:val="center"/>
          </w:tcPr>
          <w:p>
            <w:pPr>
              <w:ind w:firstLine="105" w:firstLineChars="50"/>
              <w:jc w:val="center"/>
              <w:rPr>
                <w:rFonts w:ascii="宋体" w:hAnsi="宋体" w:cs="宋体"/>
                <w:kern w:val="0"/>
                <w:szCs w:val="21"/>
                <w:highlight w:val="none"/>
                <w:lang w:bidi="ar"/>
              </w:rPr>
            </w:pPr>
            <w:r>
              <w:rPr>
                <w:rFonts w:ascii="宋体" w:hAnsi="宋体" w:cs="宋体"/>
                <w:kern w:val="0"/>
                <w:szCs w:val="21"/>
                <w:highlight w:val="none"/>
                <w:lang w:bidi="ar"/>
              </w:rPr>
              <w:t>30</w:t>
            </w:r>
          </w:p>
          <w:p>
            <w:pPr>
              <w:ind w:firstLine="105" w:firstLineChars="50"/>
              <w:jc w:val="center"/>
              <w:rPr>
                <w:rFonts w:ascii="宋体" w:hAnsi="宋体" w:cs="宋体"/>
                <w:kern w:val="0"/>
                <w:szCs w:val="21"/>
                <w:highlight w:val="none"/>
                <w:lang w:bidi="ar"/>
              </w:rPr>
            </w:pPr>
            <w:r>
              <w:rPr>
                <w:rFonts w:hint="eastAsia" w:ascii="宋体" w:hAnsi="宋体" w:cs="宋体"/>
                <w:kern w:val="0"/>
                <w:szCs w:val="21"/>
                <w:highlight w:val="none"/>
                <w:lang w:eastAsia="zh-CN" w:bidi="ar"/>
              </w:rPr>
              <w:t>（客观分）</w:t>
            </w:r>
          </w:p>
        </w:tc>
        <w:tc>
          <w:tcPr>
            <w:tcW w:w="1560" w:type="dxa"/>
            <w:vAlign w:val="center"/>
          </w:tcPr>
          <w:p>
            <w:pPr>
              <w:snapToGrid w:val="0"/>
              <w:jc w:val="left"/>
              <w:rPr>
                <w:rFonts w:ascii="宋体" w:hAnsi="宋体" w:cs="宋体"/>
                <w:kern w:val="0"/>
                <w:szCs w:val="21"/>
                <w:highlight w:val="none"/>
                <w:lang w:bidi="ar"/>
              </w:rPr>
            </w:pPr>
            <w:r>
              <w:rPr>
                <w:rFonts w:hint="eastAsia" w:ascii="宋体" w:hAnsi="宋体" w:cs="宋体"/>
                <w:kern w:val="0"/>
                <w:szCs w:val="21"/>
                <w:highlight w:val="none"/>
                <w:lang w:bidi="ar"/>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pPr>
        <w:jc w:val="left"/>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2.评审标准：</w:t>
      </w:r>
      <w:r>
        <w:rPr>
          <w:rFonts w:hint="eastAsia" w:ascii="宋体" w:hAnsi="宋体" w:cs="宋体"/>
          <w:color w:val="auto"/>
          <w:kern w:val="0"/>
          <w:sz w:val="24"/>
          <w:highlight w:val="none"/>
        </w:rPr>
        <w:t>见评审办法前附表。</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pgNumType w:fmt="decimal"/>
          <w:cols w:space="720" w:num="1"/>
        </w:sectPr>
      </w:pPr>
    </w:p>
    <w:bookmarkEnd w:id="31"/>
    <w:p>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pPr>
        <w:snapToGrid w:val="0"/>
        <w:spacing w:line="360" w:lineRule="auto"/>
        <w:ind w:firstLine="480" w:firstLineChars="200"/>
        <w:jc w:val="left"/>
        <w:rPr>
          <w:rFonts w:asciiTheme="minorEastAsia" w:hAnsiTheme="minorEastAsia" w:eastAsiaTheme="minorEastAsia"/>
          <w:snapToGrid w:val="0"/>
          <w:kern w:val="0"/>
          <w:sz w:val="24"/>
          <w:szCs w:val="20"/>
          <w:highlight w:val="none"/>
        </w:rPr>
      </w:pPr>
      <w:r>
        <w:rPr>
          <w:rFonts w:hint="eastAsia" w:asciiTheme="minorEastAsia" w:hAnsiTheme="minorEastAsia" w:eastAsiaTheme="minorEastAsia"/>
          <w:snapToGrid w:val="0"/>
          <w:kern w:val="0"/>
          <w:sz w:val="24"/>
          <w:szCs w:val="20"/>
          <w:highlight w:val="none"/>
        </w:rPr>
        <w:t>使用住房城乡建设部、原国家工商行政管理总局制定的《建设工程施工合同（示范文本）》（GF-2017-0201）。</w:t>
      </w:r>
    </w:p>
    <w:p>
      <w:pPr>
        <w:pStyle w:val="3"/>
        <w:jc w:val="right"/>
        <w:rPr>
          <w:rFonts w:asciiTheme="minorEastAsia" w:hAnsiTheme="minorEastAsia" w:eastAsiaTheme="minorEastAsia"/>
          <w:sz w:val="36"/>
          <w:szCs w:val="36"/>
          <w:highlight w:val="none"/>
        </w:rPr>
      </w:pPr>
      <w:r>
        <w:rPr>
          <w:rFonts w:hint="eastAsia" w:asciiTheme="minorEastAsia" w:hAnsiTheme="minorEastAsia" w:eastAsiaTheme="minorEastAsia"/>
          <w:b w:val="0"/>
          <w:bCs w:val="0"/>
          <w:sz w:val="36"/>
          <w:szCs w:val="36"/>
          <w:highlight w:val="none"/>
        </w:rPr>
        <w:t>GF-2017-0201</w:t>
      </w:r>
    </w:p>
    <w:p>
      <w:pPr>
        <w:ind w:left="840" w:hanging="840" w:hangingChars="300"/>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w:t>
      </w:r>
    </w:p>
    <w:p>
      <w:pPr>
        <w:jc w:val="center"/>
        <w:rPr>
          <w:rFonts w:asciiTheme="minorEastAsia" w:hAnsiTheme="minorEastAsia" w:eastAsiaTheme="minorEastAsia"/>
          <w:b/>
          <w:bCs/>
          <w:sz w:val="80"/>
          <w:szCs w:val="80"/>
          <w:highlight w:val="none"/>
        </w:rPr>
      </w:pPr>
      <w:r>
        <w:rPr>
          <w:rFonts w:hint="eastAsia" w:asciiTheme="minorEastAsia" w:hAnsiTheme="minorEastAsia" w:eastAsiaTheme="minorEastAsia"/>
          <w:b/>
          <w:bCs/>
          <w:sz w:val="80"/>
          <w:szCs w:val="80"/>
          <w:highlight w:val="none"/>
        </w:rPr>
        <w:t>建设工程施工合同</w:t>
      </w:r>
    </w:p>
    <w:p>
      <w:pPr>
        <w:jc w:val="center"/>
        <w:rPr>
          <w:rFonts w:asciiTheme="minorEastAsia" w:hAnsiTheme="minorEastAsia" w:eastAsiaTheme="minorEastAsia"/>
          <w:b/>
          <w:bCs/>
          <w:spacing w:val="26"/>
          <w:sz w:val="32"/>
          <w:szCs w:val="32"/>
          <w:highlight w:val="none"/>
        </w:rPr>
      </w:pPr>
      <w:r>
        <w:rPr>
          <w:rFonts w:hint="eastAsia" w:asciiTheme="minorEastAsia" w:hAnsiTheme="minorEastAsia" w:eastAsiaTheme="minorEastAsia"/>
          <w:b/>
          <w:bCs/>
          <w:spacing w:val="26"/>
          <w:sz w:val="32"/>
          <w:szCs w:val="32"/>
          <w:highlight w:val="none"/>
        </w:rPr>
        <w:t>（示范文本）</w:t>
      </w:r>
    </w:p>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pPr>
        <w:jc w:val="center"/>
        <w:rPr>
          <w:rFonts w:asciiTheme="minorEastAsia" w:hAnsiTheme="minorEastAsia" w:eastAsiaTheme="minorEastAsia"/>
          <w:b/>
          <w:bCs/>
          <w:sz w:val="28"/>
          <w:szCs w:val="28"/>
          <w:highlight w:val="none"/>
        </w:rPr>
      </w:pPr>
    </w:p>
    <w:p>
      <w:pPr>
        <w:jc w:val="center"/>
        <w:rPr>
          <w:rFonts w:asciiTheme="minorEastAsia" w:hAnsiTheme="minorEastAsia" w:eastAsiaTheme="minorEastAsia"/>
          <w:b/>
          <w:bCs/>
          <w:sz w:val="28"/>
          <w:szCs w:val="28"/>
          <w:highlight w:val="none"/>
        </w:rPr>
      </w:pPr>
    </w:p>
    <w:p>
      <w:pPr>
        <w:jc w:val="center"/>
        <w:rPr>
          <w:rFonts w:asciiTheme="minorEastAsia" w:hAnsiTheme="minorEastAsia" w:eastAsiaTheme="minorEastAsia"/>
          <w:b/>
          <w:bCs/>
          <w:sz w:val="28"/>
          <w:szCs w:val="28"/>
          <w:highlight w:val="none"/>
        </w:rPr>
      </w:pPr>
    </w:p>
    <w:p>
      <w:pPr>
        <w:jc w:val="center"/>
        <w:rPr>
          <w:rFonts w:asciiTheme="minorEastAsia" w:hAnsiTheme="minorEastAsia" w:eastAsiaTheme="minorEastAsia"/>
          <w:b/>
          <w:bCs/>
          <w:sz w:val="28"/>
          <w:szCs w:val="28"/>
          <w:highlight w:val="none"/>
        </w:rPr>
      </w:pPr>
    </w:p>
    <w:p>
      <w:pPr>
        <w:jc w:val="center"/>
        <w:rPr>
          <w:rFonts w:asciiTheme="minorEastAsia" w:hAnsiTheme="minorEastAsia" w:eastAsiaTheme="minorEastAsia"/>
          <w:b/>
          <w:bCs/>
          <w:sz w:val="28"/>
          <w:szCs w:val="28"/>
          <w:highlight w:val="none"/>
        </w:rPr>
      </w:pPr>
    </w:p>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t xml:space="preserve"> </w:t>
      </w:r>
    </w:p>
    <w:p>
      <w:pPr>
        <w:spacing w:line="400" w:lineRule="exact"/>
        <w:ind w:firstLine="2160" w:firstLineChars="633"/>
        <w:rPr>
          <w:rFonts w:asciiTheme="minorEastAsia" w:hAnsiTheme="minorEastAsia" w:eastAsiaTheme="minorEastAsia"/>
          <w:b/>
          <w:bCs/>
          <w:spacing w:val="20"/>
          <w:sz w:val="30"/>
          <w:szCs w:val="30"/>
          <w:highlight w:val="none"/>
        </w:rPr>
      </w:pPr>
      <w:r>
        <w:rPr>
          <w:rFonts w:hint="eastAsia" w:asciiTheme="minorEastAsia" w:hAnsiTheme="minorEastAsia" w:eastAsiaTheme="minorEastAsia"/>
          <w:b/>
          <w:bCs/>
          <w:spacing w:val="20"/>
          <w:sz w:val="30"/>
          <w:szCs w:val="30"/>
          <w:highlight w:val="none"/>
        </w:rPr>
        <w:t>中华人民共和国建设部</w:t>
      </w:r>
    </w:p>
    <w:p>
      <w:pPr>
        <w:spacing w:line="400" w:lineRule="exact"/>
        <w:ind w:firstLine="5940" w:firstLineChars="1850"/>
        <w:rPr>
          <w:rFonts w:asciiTheme="minorEastAsia" w:hAnsiTheme="minorEastAsia" w:eastAsiaTheme="minorEastAsia"/>
          <w:b/>
          <w:bCs/>
          <w:spacing w:val="20"/>
          <w:sz w:val="28"/>
          <w:szCs w:val="28"/>
          <w:highlight w:val="none"/>
        </w:rPr>
      </w:pPr>
      <w:r>
        <w:rPr>
          <w:rFonts w:hint="eastAsia" w:asciiTheme="minorEastAsia" w:hAnsiTheme="minorEastAsia" w:eastAsiaTheme="minorEastAsia"/>
          <w:b/>
          <w:bCs/>
          <w:spacing w:val="20"/>
          <w:sz w:val="28"/>
          <w:szCs w:val="28"/>
          <w:highlight w:val="none"/>
        </w:rPr>
        <w:t>制定</w:t>
      </w:r>
    </w:p>
    <w:p>
      <w:pPr>
        <w:spacing w:line="400" w:lineRule="exact"/>
        <w:ind w:firstLine="2161" w:firstLineChars="579"/>
        <w:rPr>
          <w:rFonts w:asciiTheme="minorEastAsia" w:hAnsiTheme="minorEastAsia" w:eastAsiaTheme="minorEastAsia"/>
          <w:b/>
          <w:bCs/>
          <w:spacing w:val="36"/>
          <w:sz w:val="30"/>
          <w:szCs w:val="30"/>
          <w:highlight w:val="none"/>
        </w:rPr>
      </w:pPr>
      <w:r>
        <w:rPr>
          <w:rFonts w:hint="eastAsia" w:asciiTheme="minorEastAsia" w:hAnsiTheme="minorEastAsia" w:eastAsiaTheme="minorEastAsia"/>
          <w:b/>
          <w:bCs/>
          <w:spacing w:val="36"/>
          <w:sz w:val="30"/>
          <w:szCs w:val="30"/>
          <w:highlight w:val="none"/>
        </w:rPr>
        <w:t>国家工商行政管理局</w:t>
      </w:r>
    </w:p>
    <w:p>
      <w:pPr>
        <w:rPr>
          <w:rFonts w:asciiTheme="minorEastAsia" w:hAnsiTheme="minorEastAsia" w:eastAsiaTheme="minorEastAsia"/>
          <w:b/>
          <w:bCs/>
          <w:spacing w:val="20"/>
          <w:sz w:val="24"/>
          <w:highlight w:val="none"/>
        </w:rPr>
      </w:pPr>
      <w:r>
        <w:rPr>
          <w:rFonts w:hint="eastAsia" w:asciiTheme="minorEastAsia" w:hAnsiTheme="minorEastAsia" w:eastAsiaTheme="minorEastAsia"/>
          <w:b/>
          <w:bCs/>
          <w:spacing w:val="20"/>
          <w:sz w:val="24"/>
          <w:highlight w:val="none"/>
        </w:rPr>
        <w:t xml:space="preserve"> </w:t>
      </w:r>
    </w:p>
    <w:p>
      <w:pPr>
        <w:rPr>
          <w:rFonts w:asciiTheme="minorEastAsia" w:hAnsiTheme="minorEastAsia" w:eastAsiaTheme="minorEastAsia"/>
          <w:b/>
          <w:bCs/>
          <w:spacing w:val="20"/>
          <w:sz w:val="24"/>
          <w:highlight w:val="none"/>
        </w:rPr>
      </w:pPr>
      <w:r>
        <w:rPr>
          <w:rFonts w:hint="eastAsia" w:asciiTheme="minorEastAsia" w:hAnsiTheme="minorEastAsia" w:eastAsiaTheme="minorEastAsia"/>
          <w:b/>
          <w:bCs/>
          <w:spacing w:val="20"/>
          <w:sz w:val="24"/>
          <w:highlight w:val="none"/>
        </w:rPr>
        <w:t xml:space="preserve"> </w:t>
      </w:r>
    </w:p>
    <w:p>
      <w:pPr>
        <w:pStyle w:val="35"/>
        <w:snapToGrid w:val="0"/>
        <w:spacing w:line="440" w:lineRule="exact"/>
        <w:ind w:right="-512" w:rightChars="-244"/>
        <w:jc w:val="center"/>
        <w:rPr>
          <w:rFonts w:asciiTheme="minorEastAsia" w:hAnsiTheme="minorEastAsia" w:eastAsiaTheme="minorEastAsia"/>
          <w:b/>
          <w:bCs/>
          <w:sz w:val="32"/>
          <w:szCs w:val="32"/>
          <w:highlight w:val="none"/>
        </w:rPr>
      </w:pPr>
    </w:p>
    <w:p>
      <w:pPr>
        <w:pStyle w:val="35"/>
        <w:snapToGrid w:val="0"/>
        <w:spacing w:line="440" w:lineRule="exact"/>
        <w:ind w:right="-512" w:rightChars="-244"/>
        <w:jc w:val="center"/>
        <w:rPr>
          <w:rFonts w:asciiTheme="minorEastAsia" w:hAnsiTheme="minorEastAsia" w:eastAsiaTheme="minorEastAsia"/>
          <w:b/>
          <w:bCs/>
          <w:sz w:val="32"/>
          <w:szCs w:val="32"/>
          <w:highlight w:val="none"/>
        </w:rPr>
      </w:pPr>
    </w:p>
    <w:p>
      <w:pPr>
        <w:pStyle w:val="35"/>
        <w:snapToGrid w:val="0"/>
        <w:spacing w:line="440" w:lineRule="exact"/>
        <w:ind w:right="-512" w:rightChars="-244"/>
        <w:jc w:val="center"/>
        <w:rPr>
          <w:rFonts w:asciiTheme="minorEastAsia" w:hAnsiTheme="minorEastAsia" w:eastAsiaTheme="minorEastAsia"/>
          <w:b/>
          <w:bCs/>
          <w:sz w:val="32"/>
          <w:szCs w:val="32"/>
          <w:highlight w:val="none"/>
        </w:rPr>
      </w:pPr>
    </w:p>
    <w:p>
      <w:pPr>
        <w:pStyle w:val="35"/>
        <w:spacing w:line="440" w:lineRule="exact"/>
        <w:ind w:left="418" w:leftChars="183" w:hanging="34" w:hangingChars="16"/>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甲方：</w:t>
      </w:r>
      <w:r>
        <w:rPr>
          <w:rFonts w:hint="eastAsia" w:cs="宋体" w:asciiTheme="minorEastAsia" w:hAnsiTheme="minorEastAsia" w:eastAsiaTheme="minorEastAsia"/>
          <w:spacing w:val="2"/>
          <w:highlight w:val="none"/>
          <w:u w:val="single"/>
        </w:rPr>
        <w:t>杭州市钱塘区人民政府临江街道办事处</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乙方：</w:t>
      </w:r>
      <w:r>
        <w:rPr>
          <w:rFonts w:hint="eastAsia" w:cs="宋体" w:asciiTheme="minorEastAsia" w:hAnsiTheme="minorEastAsia" w:eastAsiaTheme="minorEastAsia"/>
          <w:spacing w:val="2"/>
          <w:highlight w:val="none"/>
          <w:u w:val="single"/>
        </w:rPr>
        <w:t xml:space="preserve">                                   </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依据《中华人民共和国民法典》、《中华人民共和国建筑法》及其他有关法律、行政法规，遵循平等、自愿、公平和诚实信用的原则，双方就本建设工程施工事项协商一致，订立本合同。</w:t>
      </w:r>
    </w:p>
    <w:p>
      <w:pPr>
        <w:pStyle w:val="35"/>
        <w:snapToGrid w:val="0"/>
        <w:spacing w:line="440" w:lineRule="exact"/>
        <w:ind w:firstLine="428" w:firstLineChars="20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一、工程概况</w:t>
      </w:r>
    </w:p>
    <w:p>
      <w:pPr>
        <w:pStyle w:val="35"/>
        <w:snapToGrid w:val="0"/>
        <w:spacing w:line="440" w:lineRule="exact"/>
        <w:ind w:firstLine="535" w:firstLineChars="250"/>
        <w:rPr>
          <w:rFonts w:hint="eastAsia" w:cs="Courier New" w:asciiTheme="minorEastAsia" w:hAnsiTheme="minorEastAsia" w:eastAsiaTheme="minorEastAsia"/>
          <w:highlight w:val="none"/>
          <w:u w:val="single"/>
          <w:lang w:eastAsia="zh-CN"/>
        </w:rPr>
      </w:pPr>
      <w:r>
        <w:rPr>
          <w:rFonts w:hint="eastAsia" w:cs="宋体" w:asciiTheme="minorEastAsia" w:hAnsiTheme="minorEastAsia" w:eastAsiaTheme="minorEastAsia"/>
          <w:spacing w:val="2"/>
          <w:highlight w:val="none"/>
        </w:rPr>
        <w:t>1、工程名称：</w:t>
      </w:r>
      <w:r>
        <w:rPr>
          <w:rFonts w:hint="eastAsia" w:asciiTheme="minorEastAsia" w:hAnsiTheme="minorEastAsia" w:eastAsiaTheme="minorEastAsia"/>
          <w:bCs/>
          <w:highlight w:val="none"/>
          <w:u w:val="single"/>
          <w:lang w:eastAsia="zh-CN"/>
        </w:rPr>
        <w:t>临潮驿十七号综合整治提升工程</w:t>
      </w:r>
    </w:p>
    <w:p>
      <w:pPr>
        <w:pStyle w:val="35"/>
        <w:snapToGrid w:val="0"/>
        <w:spacing w:line="440" w:lineRule="exact"/>
        <w:ind w:firstLine="535" w:firstLineChars="25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2、工程地点：</w:t>
      </w:r>
      <w:r>
        <w:rPr>
          <w:rFonts w:hint="eastAsia" w:asciiTheme="minorEastAsia" w:hAnsiTheme="minorEastAsia" w:eastAsiaTheme="minorEastAsia"/>
          <w:highlight w:val="none"/>
        </w:rPr>
        <w:t>临江街道</w:t>
      </w:r>
    </w:p>
    <w:p>
      <w:pPr>
        <w:pStyle w:val="35"/>
        <w:snapToGrid w:val="0"/>
        <w:spacing w:line="440" w:lineRule="exact"/>
        <w:ind w:firstLine="535" w:firstLineChars="250"/>
        <w:rPr>
          <w:rFonts w:hint="eastAsia" w:cs="Courier New" w:asciiTheme="minorEastAsia" w:hAnsiTheme="minorEastAsia" w:eastAsiaTheme="minorEastAsia"/>
          <w:highlight w:val="none"/>
          <w:lang w:eastAsia="zh-CN"/>
        </w:rPr>
      </w:pPr>
      <w:r>
        <w:rPr>
          <w:rFonts w:hint="eastAsia" w:cs="宋体" w:asciiTheme="minorEastAsia" w:hAnsiTheme="minorEastAsia" w:eastAsiaTheme="minorEastAsia"/>
          <w:spacing w:val="2"/>
          <w:highlight w:val="none"/>
        </w:rPr>
        <w:t>3、工程内容与承包范围：</w:t>
      </w:r>
      <w:r>
        <w:rPr>
          <w:rFonts w:hint="eastAsia" w:cs="宋体" w:asciiTheme="minorEastAsia" w:hAnsiTheme="minorEastAsia" w:eastAsiaTheme="minorEastAsia"/>
          <w:spacing w:val="2"/>
          <w:highlight w:val="none"/>
          <w:lang w:eastAsia="zh-CN"/>
        </w:rPr>
        <w:t>项目地址位于临江街道临潮驿十七号区块，主要涉及建筑外立面改造提升，钢雨棚安装，局部卷闸门安装；外墙面翻新等。具体内容以施工图及预算审核清单为准。</w:t>
      </w:r>
    </w:p>
    <w:p>
      <w:pPr>
        <w:pStyle w:val="35"/>
        <w:snapToGrid w:val="0"/>
        <w:spacing w:line="440" w:lineRule="exact"/>
        <w:ind w:firstLine="535" w:firstLineChars="250"/>
        <w:rPr>
          <w:rFonts w:asciiTheme="minorEastAsia" w:hAnsiTheme="minorEastAsia" w:eastAsiaTheme="minorEastAsia"/>
          <w:highlight w:val="none"/>
        </w:rPr>
      </w:pPr>
      <w:r>
        <w:rPr>
          <w:rFonts w:hint="eastAsia" w:cs="宋体" w:asciiTheme="minorEastAsia" w:hAnsiTheme="minorEastAsia" w:eastAsiaTheme="minorEastAsia"/>
          <w:spacing w:val="2"/>
          <w:highlight w:val="none"/>
        </w:rPr>
        <w:t>4．质量要</w:t>
      </w:r>
      <w:r>
        <w:rPr>
          <w:rFonts w:hint="eastAsia" w:asciiTheme="minorEastAsia" w:hAnsiTheme="minorEastAsia" w:eastAsiaTheme="minorEastAsia"/>
          <w:highlight w:val="none"/>
        </w:rPr>
        <w:t>求：合格（符合工程施工质量验收规范标准）。</w:t>
      </w:r>
    </w:p>
    <w:p>
      <w:pPr>
        <w:spacing w:line="440" w:lineRule="exac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 xml:space="preserve">    二、工程承包方式： </w:t>
      </w:r>
    </w:p>
    <w:p>
      <w:pPr>
        <w:shd w:val="clear"/>
        <w:spacing w:line="440" w:lineRule="exact"/>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本工程采用包工、包料、包工期、包质量、包安全的形式。工程造价根据中标价一次性</w:t>
      </w:r>
      <w:r>
        <w:rPr>
          <w:rFonts w:hint="eastAsia" w:ascii="宋体" w:hAnsi="宋体" w:eastAsia="宋体" w:cs="宋体"/>
          <w:color w:val="auto"/>
          <w:szCs w:val="21"/>
          <w:highlight w:val="none"/>
        </w:rPr>
        <w:t>(固定总价)</w:t>
      </w:r>
      <w:r>
        <w:rPr>
          <w:rFonts w:hint="eastAsia" w:ascii="宋体" w:hAnsi="宋体" w:eastAsia="宋体" w:cs="宋体"/>
          <w:color w:val="auto"/>
          <w:spacing w:val="2"/>
          <w:szCs w:val="21"/>
          <w:highlight w:val="none"/>
        </w:rPr>
        <w:t>包干，施工期间如遇国家政策性调价，市场材料价格发生变化等，本工程均不予调整。设计变更工程量同意按实调整，但均按中标优惠率让利。</w:t>
      </w:r>
    </w:p>
    <w:p>
      <w:pPr>
        <w:shd w:val="clear"/>
        <w:spacing w:line="440" w:lineRule="exact"/>
        <w:ind w:firstLine="535" w:firstLineChars="25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本工程由乙方实行总承包，不得转包，一旦发现转包者，甲方有权终止承包合同，并向乙方索赔中标造价10%的违约金。部分专业工程乙方无资质或有资质但资质等级未达到该工程专业资质要求的，允许分包，但需征得甲方同意，乙方可以分包给具有相应资质的单位。</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三、中标价、服务期限</w:t>
      </w:r>
    </w:p>
    <w:p>
      <w:pPr>
        <w:snapToGrid w:val="0"/>
        <w:spacing w:line="440" w:lineRule="exact"/>
        <w:ind w:firstLine="420" w:firstLineChars="200"/>
        <w:rPr>
          <w:rFonts w:cs="Arial" w:asciiTheme="minorEastAsia" w:hAnsiTheme="minorEastAsia" w:eastAsiaTheme="minorEastAsia"/>
          <w:kern w:val="0"/>
          <w:szCs w:val="21"/>
          <w:highlight w:val="none"/>
          <w:u w:val="single"/>
        </w:rPr>
      </w:pPr>
      <w:r>
        <w:rPr>
          <w:rFonts w:hint="eastAsia" w:cs="Arial" w:asciiTheme="minorEastAsia" w:hAnsiTheme="minorEastAsia" w:eastAsiaTheme="minorEastAsia"/>
          <w:kern w:val="0"/>
          <w:szCs w:val="21"/>
          <w:highlight w:val="none"/>
        </w:rPr>
        <w:t>中标价为人民币</w:t>
      </w:r>
      <w:r>
        <w:rPr>
          <w:rFonts w:cs="Arial" w:asciiTheme="minorEastAsia" w:hAnsiTheme="minorEastAsia" w:eastAsiaTheme="minorEastAsia"/>
          <w:kern w:val="0"/>
          <w:szCs w:val="21"/>
          <w:highlight w:val="none"/>
        </w:rPr>
        <w:t>（大写）：</w:t>
      </w:r>
      <w:r>
        <w:rPr>
          <w:rFonts w:hint="eastAsia" w:cs="Arial" w:asciiTheme="minorEastAsia" w:hAnsiTheme="minorEastAsia" w:eastAsiaTheme="minorEastAsia"/>
          <w:kern w:val="0"/>
          <w:szCs w:val="21"/>
          <w:highlight w:val="none"/>
          <w:u w:val="single"/>
        </w:rPr>
        <w:t xml:space="preserve">                          </w:t>
      </w:r>
      <w:r>
        <w:rPr>
          <w:rFonts w:hint="eastAsia" w:cs="Arial" w:asciiTheme="minorEastAsia" w:hAnsiTheme="minorEastAsia" w:eastAsiaTheme="minorEastAsia"/>
          <w:kern w:val="0"/>
          <w:szCs w:val="21"/>
          <w:highlight w:val="none"/>
        </w:rPr>
        <w:t>，（¥）</w:t>
      </w:r>
      <w:r>
        <w:rPr>
          <w:rFonts w:hint="eastAsia" w:cs="Arial" w:asciiTheme="minorEastAsia" w:hAnsiTheme="minorEastAsia" w:eastAsiaTheme="minorEastAsia"/>
          <w:kern w:val="0"/>
          <w:szCs w:val="21"/>
          <w:highlight w:val="none"/>
          <w:u w:val="single"/>
        </w:rPr>
        <w:t xml:space="preserve">             </w:t>
      </w:r>
      <w:r>
        <w:rPr>
          <w:rFonts w:hint="eastAsia" w:cs="Arial" w:asciiTheme="minorEastAsia" w:hAnsiTheme="minorEastAsia" w:eastAsiaTheme="minorEastAsia"/>
          <w:kern w:val="0"/>
          <w:szCs w:val="21"/>
          <w:highlight w:val="none"/>
        </w:rPr>
        <w:t xml:space="preserve">元 。                     </w:t>
      </w:r>
      <w:r>
        <w:rPr>
          <w:rFonts w:hint="eastAsia" w:cs="Arial" w:asciiTheme="minorEastAsia" w:hAnsiTheme="minorEastAsia" w:eastAsiaTheme="minorEastAsia"/>
          <w:kern w:val="0"/>
          <w:szCs w:val="21"/>
          <w:highlight w:val="none"/>
          <w:u w:val="single"/>
        </w:rPr>
        <w:t xml:space="preserve">                  </w:t>
      </w:r>
      <w:r>
        <w:rPr>
          <w:rFonts w:cs="Arial" w:asciiTheme="minorEastAsia" w:hAnsiTheme="minorEastAsia" w:eastAsiaTheme="minorEastAsia"/>
          <w:kern w:val="0"/>
          <w:szCs w:val="21"/>
          <w:highlight w:val="none"/>
          <w:u w:val="single"/>
        </w:rPr>
        <w:t xml:space="preserve">      </w:t>
      </w:r>
      <w:r>
        <w:rPr>
          <w:rFonts w:hint="eastAsia" w:cs="Arial" w:asciiTheme="minorEastAsia" w:hAnsiTheme="minorEastAsia" w:eastAsiaTheme="minorEastAsia"/>
          <w:kern w:val="0"/>
          <w:szCs w:val="21"/>
          <w:highlight w:val="none"/>
          <w:u w:val="single"/>
        </w:rPr>
        <w:t xml:space="preserve">            </w:t>
      </w:r>
    </w:p>
    <w:p>
      <w:pPr>
        <w:pStyle w:val="35"/>
        <w:spacing w:line="440" w:lineRule="exact"/>
        <w:ind w:firstLine="492" w:firstLineChars="23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服务期限：     年  月  日-    年  月  日</w:t>
      </w:r>
    </w:p>
    <w:p>
      <w:pPr>
        <w:spacing w:line="440" w:lineRule="exact"/>
        <w:ind w:firstLine="480"/>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本工程工期为：</w:t>
      </w:r>
      <w:r>
        <w:rPr>
          <w:rFonts w:hint="eastAsia" w:cs="宋体" w:asciiTheme="minorEastAsia" w:hAnsiTheme="minorEastAsia" w:eastAsiaTheme="minorEastAsia"/>
          <w:spacing w:val="2"/>
          <w:szCs w:val="21"/>
          <w:highlight w:val="none"/>
          <w:lang w:eastAsia="zh-CN"/>
        </w:rPr>
        <w:t>40日历天</w:t>
      </w:r>
      <w:r>
        <w:rPr>
          <w:rFonts w:hint="eastAsia" w:cs="宋体" w:asciiTheme="minorEastAsia" w:hAnsiTheme="minorEastAsia" w:eastAsiaTheme="minorEastAsia"/>
          <w:spacing w:val="2"/>
          <w:szCs w:val="21"/>
          <w:highlight w:val="none"/>
        </w:rPr>
        <w:t>，如无故不完成的，工期延误每天按中标造价的万分之五进行处罚。</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四、项目经理</w:t>
      </w:r>
    </w:p>
    <w:p>
      <w:pPr>
        <w:spacing w:line="440" w:lineRule="exact"/>
        <w:ind w:firstLine="428" w:firstLineChars="200"/>
        <w:contextualSpacing/>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乙方派驻项目经理：</w:t>
      </w:r>
      <w:r>
        <w:rPr>
          <w:rFonts w:hint="eastAsia" w:cs="宋体" w:asciiTheme="minorEastAsia" w:hAnsiTheme="minorEastAsia" w:eastAsiaTheme="minorEastAsia"/>
          <w:spacing w:val="2"/>
          <w:szCs w:val="21"/>
          <w:highlight w:val="none"/>
          <w:u w:val="single"/>
        </w:rPr>
        <w:t xml:space="preserve">         </w:t>
      </w:r>
      <w:r>
        <w:rPr>
          <w:rFonts w:hint="eastAsia" w:cs="宋体" w:asciiTheme="minorEastAsia" w:hAnsiTheme="minorEastAsia" w:eastAsiaTheme="minorEastAsia"/>
          <w:spacing w:val="2"/>
          <w:szCs w:val="21"/>
          <w:highlight w:val="none"/>
        </w:rPr>
        <w:t>，资质：</w:t>
      </w:r>
      <w:r>
        <w:rPr>
          <w:rFonts w:hint="eastAsia" w:cs="宋体" w:asciiTheme="minorEastAsia" w:hAnsiTheme="minorEastAsia" w:eastAsiaTheme="minorEastAsia"/>
          <w:spacing w:val="2"/>
          <w:szCs w:val="21"/>
          <w:highlight w:val="none"/>
          <w:u w:val="single"/>
        </w:rPr>
        <w:t xml:space="preserve">                 </w:t>
      </w:r>
      <w:r>
        <w:rPr>
          <w:rFonts w:hint="eastAsia" w:cs="宋体" w:asciiTheme="minorEastAsia" w:hAnsiTheme="minorEastAsia" w:eastAsiaTheme="minorEastAsia"/>
          <w:spacing w:val="2"/>
          <w:szCs w:val="21"/>
          <w:highlight w:val="none"/>
        </w:rPr>
        <w:t xml:space="preserve"> 注册证号：</w:t>
      </w:r>
      <w:r>
        <w:rPr>
          <w:rFonts w:hint="eastAsia" w:cs="等线" w:asciiTheme="minorEastAsia" w:hAnsiTheme="minorEastAsia" w:eastAsiaTheme="minorEastAsia"/>
          <w:spacing w:val="2"/>
          <w:szCs w:val="21"/>
          <w:highlight w:val="none"/>
          <w:u w:val="single"/>
        </w:rPr>
        <w:t></w:t>
      </w:r>
      <w:r>
        <w:rPr>
          <w:rFonts w:hint="eastAsia" w:cs="宋体" w:asciiTheme="minorEastAsia" w:hAnsiTheme="minorEastAsia" w:eastAsiaTheme="minorEastAsia"/>
          <w:spacing w:val="2"/>
          <w:szCs w:val="21"/>
          <w:highlight w:val="none"/>
          <w:u w:val="single"/>
        </w:rPr>
        <w:t xml:space="preserve">                </w:t>
      </w:r>
      <w:r>
        <w:rPr>
          <w:rFonts w:hint="eastAsia" w:cs="宋体" w:asciiTheme="minorEastAsia" w:hAnsiTheme="minorEastAsia" w:eastAsiaTheme="minorEastAsia"/>
          <w:spacing w:val="2"/>
          <w:szCs w:val="21"/>
          <w:highlight w:val="none"/>
        </w:rPr>
        <w:t>。</w:t>
      </w:r>
    </w:p>
    <w:p>
      <w:pPr>
        <w:spacing w:line="440" w:lineRule="exact"/>
        <w:ind w:firstLine="420" w:firstLineChars="200"/>
        <w:contextualSpacing/>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zCs w:val="21"/>
          <w:highlight w:val="none"/>
        </w:rPr>
        <w:t>乙方在投标文件中明确的项目负责人必须到位，不能更换，同时，项目负责人必须在施工现场到岗，且每月至少要到岗25天，到岗期间每天不少于8小时，否则视为未到岗，缺席一天扣300元，并列入考核内容，和甲方另行签订管理合同。</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五、工程质量和检查验收</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1、本工程质量标准合格。</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2、工程质量标准应当达到国家或行业的质量检验评定标准。因乙方原因工程质量达不到规定标准的，乙方应承担违约责任。</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3、双方对工程质量有争议，由双方同意的工程质监站鉴定，所需费用由责任方承担。双方均有责任，根据责任分别承担。</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4、隐蔽工程由乙方自检后，填写《隐蔽工程验收单》通知现场监理工程师及甲方代表验收认可签证后，方可进行下一道工序施工。签证记录将作为结算依据。无签证记录建设方不予结算。重要节点验收中，有一次验收不合格扣除30%的履约保证金，两次验收不合格扣除全部的履约保证金。竣工验收中，第一次验收不合格扣除30%的履约保证金,整改必须到位，第二次验收不合格扣除全部的履约保证金。验收不合格不予结算。</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整理完整的技术档案资料移交给甲方。</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6、工程竣工验收合格后，工程质量保修按国家、省、区的工程建设施工招投标的有关规定执行。保修期内，如发现工程质量问题，乙方应在7日内修复；如乙方无故不修复的，由甲方派人维修，维修费用由乙方承担，在预留工程款中扣除。</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7、进场材料须由监理单位验收合格后方可施工。</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8、乙方在履约合同过程中，若出现一次因乙方原因导致施工验收不合格，甲方有权终止合同且之前乙方所做的施工作为免费施工。</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六、安全文明施工要求</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1、施工现场用水、用电、施工便道由乙方自行解决，费用自理。</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2、施工期间与各经营户关系的协调由乙方负责。</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3、乙方必须做好与有关专业管线单位的配合工作。</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4、乙方必须严格遵守安全、文明施工的操作规程，完善相关制度，落实安全措施，做好各项保险等工作，在工程开展期间发生安全事故均由乙方负责。</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5、本工程凡涉及治安、市政、市容、环保、交通、计划生育、所在地承包户关系协调等发生的问题和费用均由乙方负责解决并承担经济支出。</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6、施工时不得损坏一切公共设施、道路周边承包户个人财物等，如有损坏必须照价赔偿或修复，费用由乙方承担。</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7、施工期间应在显眼且安全的地方设置告示牌，告示牌的内容包括施工内容、施工工期、施工单位、项目负责人姓名与联系方式等。</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9、现场用电的安装、设置、使用必须符合规范要求，现场用电接线及安装电器作业必须由电工完成，他人不得随意乱接乱挂，发现电线老化，破皮等要及时整改。</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10、在施工过程中应注意环境卫生，确保工地现场周围的清洁、施工废料及时清理干净。</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11、所有施工工作人员的用工手续、保险手续需齐全，费用由乙方承担，施工人员上下班途中及施工期间发生的一切安全事故责任由乙方自行负责，与招标人无涉。施工现场必须按规定正确戴好安全帽；各相关工种必须按规定持证上岗。</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12、乙方应委派专人负责交通安全，引导过往车辆和行人通行，确保无交通安全事故发生，如发生交通安全事故，一切法律及经济责任由乙方承担，与甲方无涉。</w:t>
      </w:r>
    </w:p>
    <w:p>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13、施工现场用水、用电、施工便道由乙方自行解决，费用自理。施工现场、土方及建筑材料运输途中等与本工程相关的所有安全事宜均由乙方负责，并承担由此支出的一切费用。</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七、工程结算及支付</w:t>
      </w:r>
    </w:p>
    <w:p>
      <w:pPr>
        <w:spacing w:line="360" w:lineRule="auto"/>
        <w:ind w:firstLine="422" w:firstLineChars="200"/>
        <w:rPr>
          <w:rFonts w:hint="eastAsia" w:cs="宋体" w:asciiTheme="minorEastAsia" w:hAnsiTheme="minorEastAsia" w:eastAsiaTheme="minorEastAsia"/>
          <w:b/>
          <w:bCs/>
          <w:szCs w:val="21"/>
          <w:highlight w:val="none"/>
          <w:u w:val="single"/>
        </w:rPr>
      </w:pPr>
      <w:r>
        <w:rPr>
          <w:rFonts w:hint="eastAsia" w:cs="宋体" w:asciiTheme="minorEastAsia" w:hAnsiTheme="minorEastAsia" w:eastAsiaTheme="minorEastAsia"/>
          <w:b/>
          <w:bCs/>
          <w:szCs w:val="21"/>
          <w:highlight w:val="none"/>
          <w:u w:val="single"/>
        </w:rPr>
        <w:t>1、履约保证金</w:t>
      </w:r>
      <w:r>
        <w:rPr>
          <w:rFonts w:hint="eastAsia" w:cs="宋体" w:asciiTheme="minorEastAsia" w:hAnsiTheme="minorEastAsia" w:eastAsiaTheme="minorEastAsia"/>
          <w:b/>
          <w:bCs/>
          <w:szCs w:val="21"/>
          <w:highlight w:val="none"/>
          <w:u w:val="single"/>
          <w:lang w:eastAsia="zh-CN"/>
        </w:rPr>
        <w:t>：</w:t>
      </w:r>
      <w:r>
        <w:rPr>
          <w:rFonts w:hint="eastAsia" w:cs="宋体" w:asciiTheme="minorEastAsia" w:hAnsiTheme="minorEastAsia" w:eastAsiaTheme="minorEastAsia"/>
          <w:b/>
          <w:bCs/>
          <w:szCs w:val="21"/>
          <w:highlight w:val="none"/>
          <w:u w:val="single"/>
        </w:rPr>
        <w:t>按合同价的1%计算（保留1位小数，不超合同价的1%），合同签订后5个工作日内缴纳，履约保证金以支票、汇票、本票或者金融机构、担保机构出具的保函等非现金形式提交。竣工验收合格后退还履约保证金（不计息）。</w:t>
      </w:r>
    </w:p>
    <w:p>
      <w:pPr>
        <w:spacing w:line="360" w:lineRule="auto"/>
        <w:ind w:firstLine="422" w:firstLineChars="200"/>
        <w:rPr>
          <w:rFonts w:asciiTheme="minorEastAsia" w:hAnsiTheme="minorEastAsia" w:eastAsiaTheme="minorEastAsia"/>
          <w:b/>
          <w:bCs/>
          <w:szCs w:val="21"/>
          <w:highlight w:val="none"/>
          <w:u w:val="single"/>
        </w:rPr>
      </w:pPr>
      <w:r>
        <w:rPr>
          <w:rFonts w:hint="eastAsia" w:asciiTheme="minorEastAsia" w:hAnsiTheme="minorEastAsia" w:eastAsiaTheme="minorEastAsia"/>
          <w:b/>
          <w:bCs/>
          <w:szCs w:val="21"/>
          <w:highlight w:val="none"/>
          <w:u w:val="single"/>
          <w:lang w:val="en-US" w:eastAsia="zh-CN"/>
        </w:rPr>
        <w:t>2、</w:t>
      </w:r>
      <w:r>
        <w:rPr>
          <w:rFonts w:hint="eastAsia" w:asciiTheme="minorEastAsia" w:hAnsiTheme="minorEastAsia" w:eastAsiaTheme="minorEastAsia"/>
          <w:b/>
          <w:bCs/>
          <w:szCs w:val="21"/>
          <w:highlight w:val="none"/>
          <w:u w:val="single"/>
        </w:rPr>
        <w:t>工程款支付及结算：合同生效以及具备实施条件后7个工作日支付合同总价的40%作为预付款（</w:t>
      </w:r>
      <w:r>
        <w:rPr>
          <w:rFonts w:hint="eastAsia" w:asciiTheme="minorEastAsia" w:hAnsiTheme="minorEastAsia" w:eastAsiaTheme="minorEastAsia"/>
          <w:b/>
          <w:bCs/>
          <w:szCs w:val="21"/>
          <w:highlight w:val="none"/>
          <w:u w:val="single"/>
          <w:lang w:eastAsia="zh-CN"/>
        </w:rPr>
        <w:t>乙方</w:t>
      </w:r>
      <w:r>
        <w:rPr>
          <w:rFonts w:hint="eastAsia" w:asciiTheme="minorEastAsia" w:hAnsiTheme="minorEastAsia" w:eastAsiaTheme="minorEastAsia"/>
          <w:b/>
          <w:bCs/>
          <w:szCs w:val="21"/>
          <w:highlight w:val="none"/>
          <w:u w:val="single"/>
        </w:rPr>
        <w:t>需提供相应的预付款保函后方可支付预付款）；竣工验收合格后支付至合同价的70%；竣工验收合格、符合竣工退场要求，并且提交完整的相关竣工结算审核资料，经招标人、财政部门（含街道财政）认可后支付至该工程合同范围内实际完成工程量的80%，余额待财政工程审计完成、完整的资料归档及质保期到期后一次性结清。质保期内的质量由</w:t>
      </w:r>
      <w:r>
        <w:rPr>
          <w:rFonts w:hint="eastAsia" w:asciiTheme="minorEastAsia" w:hAnsiTheme="minorEastAsia" w:eastAsiaTheme="minorEastAsia"/>
          <w:b/>
          <w:bCs/>
          <w:szCs w:val="21"/>
          <w:highlight w:val="none"/>
          <w:u w:val="single"/>
          <w:lang w:eastAsia="zh-CN"/>
        </w:rPr>
        <w:t>乙方</w:t>
      </w:r>
      <w:r>
        <w:rPr>
          <w:rFonts w:hint="eastAsia" w:asciiTheme="minorEastAsia" w:hAnsiTheme="minorEastAsia" w:eastAsiaTheme="minorEastAsia"/>
          <w:b/>
          <w:bCs/>
          <w:szCs w:val="21"/>
          <w:highlight w:val="none"/>
          <w:u w:val="single"/>
        </w:rPr>
        <w:t>负责。</w:t>
      </w:r>
    </w:p>
    <w:p>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、质保期内一旦出现质量问题，乙方应随叫随到，若不作响应，罚5000元/次，直接总工程款中扣除，且甲方有权另聘施工单位维修，所需费用由乙方承担，直接从工程款中扣除。</w:t>
      </w:r>
    </w:p>
    <w:p>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、工程结算按中标价及优惠条件结合变更联系单进行结算，无价材料以甲方单位签证为准。</w:t>
      </w:r>
    </w:p>
    <w:p>
      <w:pPr>
        <w:shd w:val="clear"/>
        <w:spacing w:line="440" w:lineRule="exact"/>
        <w:ind w:left="420" w:leftChars="200" w:firstLine="105" w:firstLineChars="5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、工程结算最终以甲方委托相应资质的审价单位审核后为准；</w:t>
      </w:r>
    </w:p>
    <w:p>
      <w:pPr>
        <w:shd w:val="clear"/>
        <w:spacing w:line="440" w:lineRule="exact"/>
        <w:ind w:left="420" w:leftChars="200" w:firstLine="105" w:firstLineChars="5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、付款前乙方需提供工程发票, 税费由乙方承担。</w:t>
      </w:r>
    </w:p>
    <w:p>
      <w:pPr>
        <w:spacing w:line="440" w:lineRule="exact"/>
        <w:ind w:left="420" w:leftChars="200" w:firstLine="105" w:firstLineChars="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八、安全生产</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在施工期间，乙方应做好安全生产工作，做到持证上岗。如在施工期间发生安全事故，由乙方负全责，与甲方无涉。</w:t>
      </w:r>
    </w:p>
    <w:p>
      <w:pPr>
        <w:spacing w:line="440" w:lineRule="exact"/>
        <w:ind w:left="420" w:leftChars="200" w:firstLine="105" w:firstLineChars="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九、竣工结算：按照国家相关条款执行。 </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pPr>
        <w:spacing w:line="440" w:lineRule="exact"/>
        <w:ind w:left="420" w:leftChars="200" w:firstLine="105" w:firstLineChars="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十、违约责任</w:t>
      </w:r>
    </w:p>
    <w:p>
      <w:pPr>
        <w:spacing w:line="440" w:lineRule="exact"/>
        <w:ind w:firstLine="428" w:firstLineChars="200"/>
        <w:contextualSpacing/>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1、因甲方原因未能按合同约定支付合同价款的违约责任：按照央行公布的同期贷款基准利率计算，工期顺延。</w:t>
      </w:r>
    </w:p>
    <w:p>
      <w:pPr>
        <w:spacing w:line="440" w:lineRule="exact"/>
        <w:ind w:firstLine="428" w:firstLineChars="200"/>
        <w:contextualSpacing/>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2、乙方违约责任的承担方式和计算方法：按照合同总价款每日万分之五计算违约金，但合同另有约定的除外。</w:t>
      </w:r>
    </w:p>
    <w:p>
      <w:pPr>
        <w:spacing w:before="120" w:after="120" w:line="440" w:lineRule="exact"/>
        <w:ind w:left="139" w:leftChars="66" w:firstLine="312" w:firstLineChars="146"/>
        <w:contextualSpacing/>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 xml:space="preserve">3、因乙方违约工期延误超过7日以上的，甲方有权解除合同。乙方应在收到解除通知后7日内自动清场，并注销施工许可证（如有）；逾期未清场的，视为放弃施工现场的一切物品，甲方有权自行处分。乙方未注销施工许可证，造成甲方无法建设的，相应的法律后果由乙方承担。 </w:t>
      </w:r>
    </w:p>
    <w:p>
      <w:pPr>
        <w:spacing w:before="120" w:after="120" w:line="440" w:lineRule="exact"/>
        <w:ind w:left="139" w:leftChars="66" w:firstLine="312" w:firstLineChars="146"/>
        <w:contextualSpacing/>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4、因乙方原因造成工期延误，工期延误处每天1万元违约罚金，延误10天甲方可终止合同，且所发生的一切费用由乙方承担。逾期竣工违约金的上限：同履约担保金额。</w:t>
      </w:r>
    </w:p>
    <w:p>
      <w:pPr>
        <w:widowControl/>
        <w:spacing w:before="120" w:after="120" w:line="440" w:lineRule="exact"/>
        <w:ind w:firstLine="420" w:firstLineChars="200"/>
        <w:outlineLvl w:val="3"/>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十一、合同文件构成</w:t>
      </w:r>
    </w:p>
    <w:p>
      <w:pPr>
        <w:widowControl/>
        <w:spacing w:before="120" w:after="120" w:line="440" w:lineRule="exact"/>
        <w:ind w:firstLine="428" w:firstLineChars="200"/>
        <w:outlineLvl w:val="3"/>
        <w:rPr>
          <w:rFonts w:asciiTheme="minorEastAsia" w:hAnsiTheme="minorEastAsia" w:eastAsiaTheme="minorEastAsia"/>
          <w:szCs w:val="21"/>
          <w:highlight w:val="none"/>
        </w:rPr>
      </w:pPr>
      <w:r>
        <w:rPr>
          <w:rFonts w:hint="eastAsia" w:cs="宋体" w:asciiTheme="minorEastAsia" w:hAnsiTheme="minorEastAsia" w:eastAsiaTheme="minorEastAsia"/>
          <w:spacing w:val="2"/>
          <w:szCs w:val="21"/>
          <w:highlight w:val="none"/>
        </w:rPr>
        <w:t>本协议书与下列文件一起构成合同文件：</w:t>
      </w:r>
    </w:p>
    <w:p>
      <w:pPr>
        <w:widowControl/>
        <w:spacing w:line="440" w:lineRule="exact"/>
        <w:ind w:firstLine="631" w:firstLineChars="295"/>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(1) 本合同协议书；</w:t>
      </w:r>
    </w:p>
    <w:p>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（2）招标文件；</w:t>
      </w:r>
    </w:p>
    <w:p>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 xml:space="preserve">（3）中标通知书； </w:t>
      </w:r>
    </w:p>
    <w:p>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（4）投标函及其附录；</w:t>
      </w:r>
    </w:p>
    <w:p>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 xml:space="preserve"> (5) 标准规范及有关技术文件；</w:t>
      </w:r>
    </w:p>
    <w:p>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（6）图纸；</w:t>
      </w:r>
    </w:p>
    <w:p>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（7）已标价工程量清单或预算书；</w:t>
      </w:r>
    </w:p>
    <w:p>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（8）其他合同文件；</w:t>
      </w:r>
    </w:p>
    <w:p>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在合同订立及履行过程中形成的与合同有关的文件均构成合同文件组成部分。</w:t>
      </w:r>
    </w:p>
    <w:p>
      <w:pPr>
        <w:widowControl/>
        <w:spacing w:line="440" w:lineRule="exact"/>
        <w:ind w:firstLine="600"/>
        <w:jc w:val="left"/>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十二、特殊条款</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本合同条款如对特殊情况有未尽事宜，双方可根据具体情况结合有关规定议定特殊条款。</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十三、附则</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本合同其他未言明事项，一律按《中华人民共和国民法典》和《建筑安装工程承包合同条例》规定执行。</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本合同经双方签字盖章后生效，至合同工程竣工交验，结清工程尾款，保修期满后自动失效。</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十四、合同生效</w:t>
      </w:r>
    </w:p>
    <w:p>
      <w:pPr>
        <w:widowControl/>
        <w:spacing w:line="440" w:lineRule="exact"/>
        <w:ind w:firstLine="600"/>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本合同自双方盖章、签字后生效。</w:t>
      </w:r>
    </w:p>
    <w:p>
      <w:pPr>
        <w:pStyle w:val="35"/>
        <w:spacing w:line="440" w:lineRule="exact"/>
        <w:ind w:firstLine="385" w:firstLineChars="180"/>
        <w:rPr>
          <w:rFonts w:cs="宋体" w:asciiTheme="minorEastAsia" w:hAnsiTheme="minorEastAsia" w:eastAsiaTheme="minorEastAsia"/>
          <w:spacing w:val="2"/>
          <w:highlight w:val="none"/>
        </w:rPr>
      </w:pPr>
      <w:r>
        <w:rPr>
          <w:rFonts w:hint="eastAsia" w:cs="宋体" w:asciiTheme="minorEastAsia" w:hAnsiTheme="minorEastAsia" w:eastAsiaTheme="minorEastAsia"/>
          <w:spacing w:val="2"/>
          <w:highlight w:val="none"/>
        </w:rPr>
        <w:t>十五、工程保险由乙方投保并承担全部费用。</w:t>
      </w:r>
    </w:p>
    <w:p>
      <w:pPr>
        <w:snapToGrid w:val="0"/>
        <w:spacing w:line="440" w:lineRule="exact"/>
        <w:ind w:firstLine="428" w:firstLineChars="200"/>
        <w:outlineLvl w:val="0"/>
        <w:rPr>
          <w:rFonts w:cs="Arial" w:asciiTheme="minorEastAsia" w:hAnsiTheme="minorEastAsia" w:eastAsiaTheme="minorEastAsia"/>
          <w:b/>
          <w:bCs/>
          <w:szCs w:val="21"/>
          <w:highlight w:val="none"/>
        </w:rPr>
      </w:pPr>
      <w:r>
        <w:rPr>
          <w:rFonts w:hint="eastAsia" w:cs="宋体" w:asciiTheme="minorEastAsia" w:hAnsiTheme="minorEastAsia" w:eastAsiaTheme="minorEastAsia"/>
          <w:spacing w:val="2"/>
          <w:szCs w:val="21"/>
          <w:highlight w:val="none"/>
        </w:rPr>
        <w:t>十六、</w:t>
      </w:r>
      <w:r>
        <w:rPr>
          <w:rFonts w:hint="eastAsia" w:cs="Arial" w:asciiTheme="minorEastAsia" w:hAnsiTheme="minorEastAsia" w:eastAsiaTheme="minorEastAsia"/>
          <w:szCs w:val="21"/>
          <w:highlight w:val="none"/>
        </w:rPr>
        <w:t>争议解决</w:t>
      </w:r>
    </w:p>
    <w:p>
      <w:pPr>
        <w:snapToGrid w:val="0"/>
        <w:spacing w:line="440" w:lineRule="exact"/>
        <w:outlineLvl w:val="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16.1调解</w:t>
      </w:r>
    </w:p>
    <w:p>
      <w:pPr>
        <w:snapToGrid w:val="0"/>
        <w:spacing w:line="44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本合同争议进行调解时，可提交</w:t>
      </w:r>
      <w:r>
        <w:rPr>
          <w:rFonts w:hint="eastAsia" w:cs="Arial" w:asciiTheme="minorEastAsia" w:hAnsiTheme="minorEastAsia" w:eastAsiaTheme="minorEastAsia"/>
          <w:szCs w:val="21"/>
          <w:highlight w:val="none"/>
          <w:u w:val="single"/>
        </w:rPr>
        <w:t xml:space="preserve"> 建设行政主管部门 </w:t>
      </w:r>
      <w:r>
        <w:rPr>
          <w:rFonts w:hint="eastAsia" w:cs="Arial" w:asciiTheme="minorEastAsia" w:hAnsiTheme="minorEastAsia" w:eastAsiaTheme="minorEastAsia"/>
          <w:szCs w:val="21"/>
          <w:highlight w:val="none"/>
        </w:rPr>
        <w:t>进行调解。</w:t>
      </w:r>
    </w:p>
    <w:p>
      <w:pPr>
        <w:snapToGrid w:val="0"/>
        <w:spacing w:line="440" w:lineRule="exact"/>
        <w:outlineLvl w:val="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16.2仲裁或诉讼</w:t>
      </w:r>
    </w:p>
    <w:p>
      <w:pPr>
        <w:snapToGrid w:val="0"/>
        <w:spacing w:line="44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合同争议的最终解决方式为下列第</w:t>
      </w:r>
      <w:r>
        <w:rPr>
          <w:rFonts w:hint="eastAsia" w:cs="Arial" w:asciiTheme="minorEastAsia" w:hAnsiTheme="minorEastAsia" w:eastAsiaTheme="minorEastAsia"/>
          <w:szCs w:val="21"/>
          <w:highlight w:val="none"/>
          <w:u w:val="single"/>
        </w:rPr>
        <w:t xml:space="preserve">   2   </w:t>
      </w:r>
      <w:r>
        <w:rPr>
          <w:rFonts w:hint="eastAsia" w:cs="Arial" w:asciiTheme="minorEastAsia" w:hAnsiTheme="minorEastAsia" w:eastAsiaTheme="minorEastAsia"/>
          <w:szCs w:val="21"/>
          <w:highlight w:val="none"/>
        </w:rPr>
        <w:t>种方式：</w:t>
      </w:r>
    </w:p>
    <w:p>
      <w:pPr>
        <w:snapToGrid w:val="0"/>
        <w:spacing w:line="44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（1）提请</w:t>
      </w:r>
      <w:r>
        <w:rPr>
          <w:rFonts w:hint="eastAsia" w:cs="Arial" w:asciiTheme="minorEastAsia" w:hAnsiTheme="minorEastAsia" w:eastAsiaTheme="minorEastAsia"/>
          <w:szCs w:val="21"/>
          <w:highlight w:val="none"/>
          <w:u w:val="single"/>
        </w:rPr>
        <w:t xml:space="preserve">   /   </w:t>
      </w:r>
      <w:r>
        <w:rPr>
          <w:rFonts w:hint="eastAsia" w:cs="Arial" w:asciiTheme="minorEastAsia" w:hAnsiTheme="minorEastAsia" w:eastAsiaTheme="minorEastAsia"/>
          <w:szCs w:val="21"/>
          <w:highlight w:val="none"/>
        </w:rPr>
        <w:t>仲裁委员会进行仲裁。</w:t>
      </w:r>
    </w:p>
    <w:p>
      <w:pPr>
        <w:snapToGrid w:val="0"/>
        <w:spacing w:line="44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 xml:space="preserve">   （2）向</w:t>
      </w:r>
      <w:r>
        <w:rPr>
          <w:rFonts w:hint="eastAsia" w:cs="Arial" w:asciiTheme="minorEastAsia" w:hAnsiTheme="minorEastAsia" w:eastAsiaTheme="minorEastAsia"/>
          <w:szCs w:val="21"/>
          <w:highlight w:val="none"/>
          <w:u w:val="single"/>
        </w:rPr>
        <w:t xml:space="preserve">   工程所在地   </w:t>
      </w:r>
      <w:r>
        <w:rPr>
          <w:rFonts w:hint="eastAsia" w:cs="Arial" w:asciiTheme="minorEastAsia" w:hAnsiTheme="minorEastAsia" w:eastAsiaTheme="minorEastAsia"/>
          <w:szCs w:val="21"/>
          <w:highlight w:val="none"/>
        </w:rPr>
        <w:t>人民法院提起诉讼。</w:t>
      </w:r>
    </w:p>
    <w:p>
      <w:pPr>
        <w:pStyle w:val="35"/>
        <w:spacing w:line="440" w:lineRule="exact"/>
        <w:ind w:firstLine="385" w:firstLineChars="180"/>
        <w:rPr>
          <w:rFonts w:cs="Courier New" w:asciiTheme="minorEastAsia" w:hAnsiTheme="minorEastAsia" w:eastAsiaTheme="minorEastAsia"/>
          <w:highlight w:val="none"/>
        </w:rPr>
      </w:pPr>
      <w:r>
        <w:rPr>
          <w:rFonts w:hint="eastAsia" w:cs="宋体" w:asciiTheme="minorEastAsia" w:hAnsiTheme="minorEastAsia" w:eastAsiaTheme="minorEastAsia"/>
          <w:spacing w:val="2"/>
          <w:highlight w:val="none"/>
        </w:rPr>
        <w:t>十七、其他特别约定</w:t>
      </w:r>
    </w:p>
    <w:p>
      <w:pPr>
        <w:pStyle w:val="35"/>
        <w:spacing w:line="440" w:lineRule="exact"/>
        <w:ind w:firstLine="385" w:firstLineChars="180"/>
        <w:rPr>
          <w:rFonts w:cs="宋体" w:asciiTheme="minorEastAsia" w:hAnsiTheme="minorEastAsia" w:eastAsiaTheme="minorEastAsia"/>
          <w:b/>
          <w:bCs/>
          <w:kern w:val="0"/>
          <w:highlight w:val="none"/>
        </w:rPr>
      </w:pPr>
      <w:r>
        <w:rPr>
          <w:rFonts w:hint="eastAsia" w:cs="宋体" w:asciiTheme="minorEastAsia" w:hAnsiTheme="minorEastAsia" w:eastAsiaTheme="minorEastAsia"/>
          <w:spacing w:val="2"/>
          <w:highlight w:val="none"/>
        </w:rPr>
        <w:t>十八、合同份数</w:t>
      </w:r>
    </w:p>
    <w:p>
      <w:pPr>
        <w:widowControl/>
        <w:spacing w:line="440" w:lineRule="exact"/>
        <w:ind w:firstLine="600"/>
        <w:rPr>
          <w:rFonts w:cs="宋体" w:asciiTheme="minorEastAsia" w:hAnsiTheme="minorEastAsia" w:eastAsiaTheme="minorEastAsia"/>
          <w:spacing w:val="2"/>
          <w:szCs w:val="21"/>
          <w:highlight w:val="none"/>
        </w:rPr>
      </w:pPr>
      <w:r>
        <w:rPr>
          <w:rFonts w:hint="eastAsia" w:cs="宋体" w:asciiTheme="minorEastAsia" w:hAnsiTheme="minorEastAsia" w:eastAsiaTheme="minorEastAsia"/>
          <w:spacing w:val="2"/>
          <w:szCs w:val="21"/>
          <w:highlight w:val="none"/>
        </w:rPr>
        <w:t>本合同一式</w:t>
      </w:r>
      <w:r>
        <w:rPr>
          <w:rFonts w:hint="eastAsia" w:cs="宋体" w:asciiTheme="minorEastAsia" w:hAnsiTheme="minorEastAsia" w:eastAsiaTheme="minorEastAsia"/>
          <w:spacing w:val="2"/>
          <w:szCs w:val="21"/>
          <w:highlight w:val="none"/>
          <w:u w:val="single"/>
        </w:rPr>
        <w:t>陆</w:t>
      </w:r>
      <w:r>
        <w:rPr>
          <w:rFonts w:hint="eastAsia" w:cs="宋体" w:asciiTheme="minorEastAsia" w:hAnsiTheme="minorEastAsia" w:eastAsiaTheme="minorEastAsia"/>
          <w:spacing w:val="2"/>
          <w:szCs w:val="21"/>
          <w:highlight w:val="none"/>
        </w:rPr>
        <w:t>份，均具有同等法律效力，甲方执</w:t>
      </w:r>
      <w:r>
        <w:rPr>
          <w:rFonts w:hint="eastAsia" w:cs="宋体" w:asciiTheme="minorEastAsia" w:hAnsiTheme="minorEastAsia" w:eastAsiaTheme="minorEastAsia"/>
          <w:spacing w:val="2"/>
          <w:szCs w:val="21"/>
          <w:highlight w:val="none"/>
          <w:u w:val="single"/>
        </w:rPr>
        <w:t>肆</w:t>
      </w:r>
      <w:r>
        <w:rPr>
          <w:rFonts w:hint="eastAsia" w:cs="宋体" w:asciiTheme="minorEastAsia" w:hAnsiTheme="minorEastAsia" w:eastAsiaTheme="minorEastAsia"/>
          <w:spacing w:val="2"/>
          <w:szCs w:val="21"/>
          <w:highlight w:val="none"/>
        </w:rPr>
        <w:t>份，乙方执</w:t>
      </w:r>
      <w:r>
        <w:rPr>
          <w:rFonts w:hint="eastAsia" w:cs="宋体" w:asciiTheme="minorEastAsia" w:hAnsiTheme="minorEastAsia" w:eastAsiaTheme="minorEastAsia"/>
          <w:spacing w:val="2"/>
          <w:szCs w:val="21"/>
          <w:highlight w:val="none"/>
          <w:u w:val="single"/>
        </w:rPr>
        <w:t>贰</w:t>
      </w:r>
      <w:r>
        <w:rPr>
          <w:rFonts w:hint="eastAsia" w:cs="宋体" w:asciiTheme="minorEastAsia" w:hAnsiTheme="minorEastAsia" w:eastAsiaTheme="minorEastAsia"/>
          <w:spacing w:val="2"/>
          <w:szCs w:val="21"/>
          <w:highlight w:val="none"/>
        </w:rPr>
        <w:t>份。</w:t>
      </w:r>
    </w:p>
    <w:p>
      <w:pPr>
        <w:spacing w:line="440" w:lineRule="exact"/>
        <w:ind w:firstLine="774" w:firstLineChars="300"/>
        <w:rPr>
          <w:rFonts w:asciiTheme="minorEastAsia" w:hAnsiTheme="minorEastAsia" w:eastAsiaTheme="minorEastAsia"/>
          <w:spacing w:val="24"/>
          <w:szCs w:val="21"/>
          <w:highlight w:val="none"/>
        </w:rPr>
      </w:pPr>
      <w:r>
        <w:rPr>
          <w:rFonts w:hint="eastAsia" w:asciiTheme="minorEastAsia" w:hAnsiTheme="minorEastAsia" w:eastAsiaTheme="minorEastAsia"/>
          <w:spacing w:val="24"/>
          <w:szCs w:val="21"/>
          <w:highlight w:val="none"/>
        </w:rPr>
        <w:t xml:space="preserve"> </w:t>
      </w:r>
    </w:p>
    <w:p>
      <w:pPr>
        <w:spacing w:line="440" w:lineRule="exact"/>
        <w:ind w:firstLine="774" w:firstLineChars="300"/>
        <w:rPr>
          <w:rFonts w:asciiTheme="minorEastAsia" w:hAnsiTheme="minorEastAsia" w:eastAsiaTheme="minorEastAsia"/>
          <w:spacing w:val="24"/>
          <w:szCs w:val="21"/>
          <w:highlight w:val="none"/>
        </w:rPr>
      </w:pPr>
      <w:r>
        <w:rPr>
          <w:rFonts w:hint="eastAsia" w:asciiTheme="minorEastAsia" w:hAnsiTheme="minorEastAsia" w:eastAsiaTheme="minorEastAsia"/>
          <w:spacing w:val="24"/>
          <w:szCs w:val="21"/>
          <w:highlight w:val="none"/>
        </w:rPr>
        <w:t>发包人：（公章）</w:t>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 xml:space="preserve">  承包人：（公章）</w:t>
      </w:r>
    </w:p>
    <w:p>
      <w:pPr>
        <w:spacing w:line="440" w:lineRule="exact"/>
        <w:ind w:firstLine="856" w:firstLineChars="332"/>
        <w:rPr>
          <w:rFonts w:asciiTheme="minorEastAsia" w:hAnsiTheme="minorEastAsia" w:eastAsiaTheme="minorEastAsia"/>
          <w:spacing w:val="24"/>
          <w:szCs w:val="21"/>
          <w:highlight w:val="none"/>
        </w:rPr>
      </w:pPr>
      <w:r>
        <w:rPr>
          <w:rFonts w:hint="eastAsia" w:asciiTheme="minorEastAsia" w:hAnsiTheme="minorEastAsia" w:eastAsiaTheme="minorEastAsia"/>
          <w:spacing w:val="24"/>
          <w:szCs w:val="21"/>
          <w:highlight w:val="none"/>
        </w:rPr>
        <w:t>住     所 ：</w:t>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住      所 ：</w:t>
      </w:r>
    </w:p>
    <w:p>
      <w:pPr>
        <w:spacing w:line="440" w:lineRule="exact"/>
        <w:ind w:firstLine="798" w:firstLineChars="283"/>
        <w:rPr>
          <w:rFonts w:asciiTheme="minorEastAsia" w:hAnsiTheme="minorEastAsia" w:eastAsiaTheme="minorEastAsia"/>
          <w:spacing w:val="36"/>
          <w:szCs w:val="21"/>
          <w:highlight w:val="none"/>
        </w:rPr>
      </w:pPr>
      <w:r>
        <w:rPr>
          <w:rFonts w:hint="eastAsia" w:asciiTheme="minorEastAsia" w:hAnsiTheme="minorEastAsia" w:eastAsiaTheme="minorEastAsia"/>
          <w:spacing w:val="36"/>
          <w:szCs w:val="21"/>
          <w:highlight w:val="none"/>
        </w:rPr>
        <w:t>法定代表人 ：</w:t>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法定代表人 ：</w:t>
      </w:r>
    </w:p>
    <w:p>
      <w:pPr>
        <w:spacing w:line="440" w:lineRule="exact"/>
        <w:ind w:firstLine="798" w:firstLineChars="283"/>
        <w:rPr>
          <w:rFonts w:asciiTheme="minorEastAsia" w:hAnsiTheme="minorEastAsia" w:eastAsiaTheme="minorEastAsia"/>
          <w:spacing w:val="36"/>
          <w:szCs w:val="21"/>
          <w:highlight w:val="none"/>
        </w:rPr>
      </w:pPr>
      <w:r>
        <w:rPr>
          <w:rFonts w:hint="eastAsia" w:asciiTheme="minorEastAsia" w:hAnsiTheme="minorEastAsia" w:eastAsiaTheme="minorEastAsia"/>
          <w:spacing w:val="36"/>
          <w:szCs w:val="21"/>
          <w:highlight w:val="none"/>
        </w:rPr>
        <w:t>委托代理人 ：</w:t>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ab/>
      </w:r>
      <w:r>
        <w:rPr>
          <w:rFonts w:hint="eastAsia" w:asciiTheme="minorEastAsia" w:hAnsiTheme="minorEastAsia" w:eastAsiaTheme="minorEastAsia"/>
          <w:spacing w:val="36"/>
          <w:szCs w:val="21"/>
          <w:highlight w:val="none"/>
        </w:rPr>
        <w:t>委托代理人 ：</w:t>
      </w:r>
    </w:p>
    <w:p>
      <w:pPr>
        <w:spacing w:line="440" w:lineRule="exact"/>
        <w:ind w:firstLine="730" w:firstLineChars="283"/>
        <w:rPr>
          <w:rFonts w:asciiTheme="minorEastAsia" w:hAnsiTheme="minorEastAsia" w:eastAsiaTheme="minorEastAsia"/>
          <w:spacing w:val="24"/>
          <w:szCs w:val="21"/>
          <w:highlight w:val="none"/>
        </w:rPr>
      </w:pPr>
      <w:r>
        <w:rPr>
          <w:rFonts w:hint="eastAsia" w:asciiTheme="minorEastAsia" w:hAnsiTheme="minorEastAsia" w:eastAsiaTheme="minorEastAsia"/>
          <w:spacing w:val="24"/>
          <w:szCs w:val="21"/>
          <w:highlight w:val="none"/>
        </w:rPr>
        <w:t>电      话 ：</w:t>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电      话 ：</w:t>
      </w:r>
    </w:p>
    <w:p>
      <w:pPr>
        <w:spacing w:line="440" w:lineRule="exact"/>
        <w:ind w:firstLine="730" w:firstLineChars="283"/>
        <w:rPr>
          <w:rFonts w:asciiTheme="minorEastAsia" w:hAnsiTheme="minorEastAsia" w:eastAsiaTheme="minorEastAsia"/>
          <w:spacing w:val="24"/>
          <w:szCs w:val="21"/>
          <w:highlight w:val="none"/>
        </w:rPr>
      </w:pPr>
      <w:r>
        <w:rPr>
          <w:rFonts w:hint="eastAsia" w:asciiTheme="minorEastAsia" w:hAnsiTheme="minorEastAsia" w:eastAsiaTheme="minorEastAsia"/>
          <w:spacing w:val="24"/>
          <w:szCs w:val="21"/>
          <w:highlight w:val="none"/>
        </w:rPr>
        <w:t>传      真 ：</w:t>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ab/>
      </w:r>
      <w:r>
        <w:rPr>
          <w:rFonts w:hint="eastAsia" w:asciiTheme="minorEastAsia" w:hAnsiTheme="minorEastAsia" w:eastAsiaTheme="minorEastAsia"/>
          <w:spacing w:val="24"/>
          <w:szCs w:val="21"/>
          <w:highlight w:val="none"/>
        </w:rPr>
        <w:t>传      真 ：</w:t>
      </w:r>
    </w:p>
    <w:p>
      <w:pPr>
        <w:spacing w:line="440" w:lineRule="exact"/>
        <w:ind w:firstLine="718" w:firstLineChars="283"/>
        <w:rPr>
          <w:rFonts w:asciiTheme="minorEastAsia" w:hAnsiTheme="minorEastAsia" w:eastAsiaTheme="minorEastAsia"/>
          <w:spacing w:val="22"/>
          <w:szCs w:val="21"/>
          <w:highlight w:val="none"/>
        </w:rPr>
      </w:pPr>
      <w:r>
        <w:rPr>
          <w:rFonts w:hint="eastAsia" w:asciiTheme="minorEastAsia" w:hAnsiTheme="minorEastAsia" w:eastAsiaTheme="minorEastAsia"/>
          <w:spacing w:val="22"/>
          <w:szCs w:val="21"/>
          <w:highlight w:val="none"/>
        </w:rPr>
        <w:t>开 户 银 行 ：</w:t>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开 户 银 行 ：</w:t>
      </w:r>
    </w:p>
    <w:p>
      <w:pPr>
        <w:spacing w:line="440" w:lineRule="exact"/>
        <w:ind w:firstLine="707" w:firstLineChars="283"/>
        <w:rPr>
          <w:rFonts w:asciiTheme="minorEastAsia" w:hAnsiTheme="minorEastAsia" w:eastAsiaTheme="minorEastAsia"/>
          <w:spacing w:val="20"/>
          <w:szCs w:val="21"/>
          <w:highlight w:val="none"/>
        </w:rPr>
      </w:pPr>
      <w:r>
        <w:rPr>
          <w:rFonts w:hint="eastAsia" w:asciiTheme="minorEastAsia" w:hAnsiTheme="minorEastAsia" w:eastAsiaTheme="minorEastAsia"/>
          <w:spacing w:val="20"/>
          <w:szCs w:val="21"/>
          <w:highlight w:val="none"/>
        </w:rPr>
        <w:t>账       号 ：</w:t>
      </w:r>
      <w:r>
        <w:rPr>
          <w:rFonts w:hint="eastAsia" w:asciiTheme="minorEastAsia" w:hAnsiTheme="minorEastAsia" w:eastAsiaTheme="minorEastAsia"/>
          <w:spacing w:val="20"/>
          <w:szCs w:val="21"/>
          <w:highlight w:val="none"/>
        </w:rPr>
        <w:tab/>
      </w:r>
      <w:r>
        <w:rPr>
          <w:rFonts w:hint="eastAsia" w:asciiTheme="minorEastAsia" w:hAnsiTheme="minorEastAsia" w:eastAsiaTheme="minorEastAsia"/>
          <w:spacing w:val="20"/>
          <w:szCs w:val="21"/>
          <w:highlight w:val="none"/>
        </w:rPr>
        <w:tab/>
      </w:r>
      <w:r>
        <w:rPr>
          <w:rFonts w:hint="eastAsia" w:asciiTheme="minorEastAsia" w:hAnsiTheme="minorEastAsia" w:eastAsiaTheme="minorEastAsia"/>
          <w:spacing w:val="20"/>
          <w:szCs w:val="21"/>
          <w:highlight w:val="none"/>
        </w:rPr>
        <w:tab/>
      </w:r>
      <w:r>
        <w:rPr>
          <w:rFonts w:hint="eastAsia" w:asciiTheme="minorEastAsia" w:hAnsiTheme="minorEastAsia" w:eastAsiaTheme="minorEastAsia"/>
          <w:spacing w:val="20"/>
          <w:szCs w:val="21"/>
          <w:highlight w:val="none"/>
        </w:rPr>
        <w:tab/>
      </w:r>
      <w:r>
        <w:rPr>
          <w:rFonts w:hint="eastAsia" w:asciiTheme="minorEastAsia" w:hAnsiTheme="minorEastAsia" w:eastAsiaTheme="minorEastAsia"/>
          <w:spacing w:val="20"/>
          <w:szCs w:val="21"/>
          <w:highlight w:val="none"/>
        </w:rPr>
        <w:tab/>
      </w:r>
      <w:r>
        <w:rPr>
          <w:rFonts w:hint="eastAsia" w:asciiTheme="minorEastAsia" w:hAnsiTheme="minorEastAsia" w:eastAsiaTheme="minorEastAsia"/>
          <w:spacing w:val="20"/>
          <w:szCs w:val="21"/>
          <w:highlight w:val="none"/>
        </w:rPr>
        <w:t xml:space="preserve">   账       号 ：</w:t>
      </w:r>
    </w:p>
    <w:p>
      <w:pPr>
        <w:spacing w:line="440" w:lineRule="exact"/>
        <w:ind w:firstLine="718" w:firstLineChars="283"/>
        <w:rPr>
          <w:rFonts w:cs="宋体" w:asciiTheme="minorEastAsia" w:hAnsiTheme="minorEastAsia" w:eastAsiaTheme="minorEastAsia"/>
          <w:spacing w:val="2"/>
          <w:szCs w:val="21"/>
          <w:highlight w:val="none"/>
        </w:rPr>
      </w:pPr>
      <w:r>
        <w:rPr>
          <w:rFonts w:hint="eastAsia" w:asciiTheme="minorEastAsia" w:hAnsiTheme="minorEastAsia" w:eastAsiaTheme="minorEastAsia"/>
          <w:spacing w:val="22"/>
          <w:szCs w:val="21"/>
          <w:highlight w:val="none"/>
        </w:rPr>
        <w:t>邮 政 编 码 ：</w:t>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ab/>
      </w:r>
      <w:r>
        <w:rPr>
          <w:rFonts w:hint="eastAsia" w:asciiTheme="minorEastAsia" w:hAnsiTheme="minorEastAsia" w:eastAsiaTheme="minorEastAsia"/>
          <w:spacing w:val="22"/>
          <w:szCs w:val="21"/>
          <w:highlight w:val="none"/>
        </w:rPr>
        <w:t>邮 政 编 码 ：</w:t>
      </w:r>
    </w:p>
    <w:p>
      <w:pPr>
        <w:spacing w:line="440" w:lineRule="exact"/>
        <w:ind w:firstLine="4280" w:firstLineChars="2000"/>
        <w:rPr>
          <w:rFonts w:hint="eastAsia" w:asciiTheme="minorEastAsia" w:hAnsiTheme="minorEastAsia" w:eastAsiaTheme="minorEastAsia"/>
          <w:szCs w:val="21"/>
          <w:highlight w:val="none"/>
        </w:rPr>
      </w:pPr>
      <w:r>
        <w:rPr>
          <w:rFonts w:hint="eastAsia" w:cs="宋体" w:asciiTheme="minorEastAsia" w:hAnsiTheme="minorEastAsia" w:eastAsiaTheme="minorEastAsia"/>
          <w:spacing w:val="2"/>
          <w:szCs w:val="21"/>
          <w:highlight w:val="none"/>
        </w:rPr>
        <w:t>合同签订日期：</w:t>
      </w:r>
      <w:r>
        <w:rPr>
          <w:rFonts w:hint="eastAsia" w:asciiTheme="minorEastAsia" w:hAnsiTheme="minorEastAsia" w:eastAsiaTheme="minorEastAsia"/>
          <w:szCs w:val="21"/>
          <w:highlight w:val="none"/>
        </w:rPr>
        <w:t xml:space="preserve">      年  月  日</w:t>
      </w:r>
    </w:p>
    <w:p>
      <w:pP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br w:type="page"/>
      </w:r>
    </w:p>
    <w:p>
      <w:pPr>
        <w:shd w:val="clear"/>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2、在临江街道承揽业务单位廉洁承诺书</w:t>
      </w:r>
    </w:p>
    <w:p>
      <w:pPr>
        <w:shd w:val="clear"/>
        <w:spacing w:line="500" w:lineRule="exact"/>
        <w:jc w:val="center"/>
        <w:rPr>
          <w:rFonts w:hint="eastAsia" w:ascii="宋体" w:hAnsi="宋体" w:eastAsia="宋体" w:cs="宋体"/>
          <w:b/>
          <w:bCs/>
          <w:color w:val="auto"/>
          <w:spacing w:val="-12"/>
          <w:sz w:val="28"/>
          <w:szCs w:val="28"/>
          <w:highlight w:val="none"/>
        </w:rPr>
      </w:pPr>
      <w:r>
        <w:rPr>
          <w:rFonts w:hint="eastAsia" w:ascii="宋体" w:hAnsi="宋体" w:eastAsia="宋体" w:cs="宋体"/>
          <w:b/>
          <w:bCs/>
          <w:color w:val="auto"/>
          <w:spacing w:val="-12"/>
          <w:sz w:val="28"/>
          <w:szCs w:val="28"/>
          <w:highlight w:val="none"/>
        </w:rPr>
        <w:t>（须法定代表人手写填写）</w:t>
      </w:r>
    </w:p>
    <w:tbl>
      <w:tblPr>
        <w:tblStyle w:val="6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00"/>
        <w:gridCol w:w="162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工程项目</w:t>
            </w:r>
          </w:p>
        </w:tc>
        <w:tc>
          <w:tcPr>
            <w:tcW w:w="7452" w:type="dxa"/>
            <w:gridSpan w:val="3"/>
            <w:tcBorders>
              <w:top w:val="single" w:color="auto" w:sz="4" w:space="0"/>
              <w:left w:val="nil"/>
              <w:bottom w:val="single" w:color="auto" w:sz="4" w:space="0"/>
              <w:right w:val="single" w:color="auto" w:sz="4" w:space="0"/>
            </w:tcBorders>
            <w:noWrap w:val="0"/>
            <w:vAlign w:val="top"/>
          </w:tcPr>
          <w:p>
            <w:pPr>
              <w:shd w:val="clea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临潮驿十七号综合整治提升工程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企业名称</w:t>
            </w:r>
          </w:p>
        </w:tc>
        <w:tc>
          <w:tcPr>
            <w:tcW w:w="7452" w:type="dxa"/>
            <w:gridSpan w:val="3"/>
            <w:tcBorders>
              <w:top w:val="single" w:color="auto" w:sz="4" w:space="0"/>
              <w:left w:val="nil"/>
              <w:bottom w:val="single" w:color="auto" w:sz="4" w:space="0"/>
              <w:right w:val="single" w:color="auto" w:sz="4" w:space="0"/>
            </w:tcBorders>
            <w:noWrap w:val="0"/>
            <w:vAlign w:val="top"/>
          </w:tcPr>
          <w:p>
            <w:pPr>
              <w:shd w:val="clear"/>
              <w:rPr>
                <w:rFonts w:hint="eastAsia" w:ascii="宋体" w:hAnsi="宋体" w:eastAsia="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tc>
        <w:tc>
          <w:tcPr>
            <w:tcW w:w="7452" w:type="dxa"/>
            <w:gridSpan w:val="3"/>
            <w:tcBorders>
              <w:top w:val="single" w:color="auto" w:sz="4" w:space="0"/>
              <w:left w:val="nil"/>
              <w:bottom w:val="single" w:color="auto" w:sz="4" w:space="0"/>
              <w:right w:val="single" w:color="auto" w:sz="4" w:space="0"/>
            </w:tcBorders>
            <w:noWrap w:val="0"/>
            <w:vAlign w:val="top"/>
          </w:tcPr>
          <w:p>
            <w:pPr>
              <w:shd w:val="clear"/>
              <w:rPr>
                <w:rFonts w:hint="eastAsia" w:ascii="宋体" w:hAnsi="宋体" w:eastAsia="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hd w:val="clear"/>
              <w:ind w:firstLine="160" w:firstLineChars="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法人代表</w:t>
            </w:r>
          </w:p>
        </w:tc>
        <w:tc>
          <w:tcPr>
            <w:tcW w:w="2700" w:type="dxa"/>
            <w:tcBorders>
              <w:top w:val="single" w:color="auto" w:sz="4" w:space="0"/>
              <w:left w:val="nil"/>
              <w:bottom w:val="single" w:color="auto" w:sz="4" w:space="0"/>
              <w:right w:val="single" w:color="auto" w:sz="4" w:space="0"/>
            </w:tcBorders>
            <w:noWrap w:val="0"/>
            <w:vAlign w:val="top"/>
          </w:tcPr>
          <w:p>
            <w:pPr>
              <w:shd w:val="clear"/>
              <w:rPr>
                <w:rFonts w:hint="eastAsia" w:ascii="宋体" w:hAnsi="宋体" w:eastAsia="宋体" w:cs="宋体"/>
                <w:color w:val="auto"/>
                <w:sz w:val="32"/>
                <w:szCs w:val="32"/>
                <w:highlight w:val="none"/>
              </w:rPr>
            </w:pPr>
          </w:p>
        </w:tc>
        <w:tc>
          <w:tcPr>
            <w:tcW w:w="1620" w:type="dxa"/>
            <w:tcBorders>
              <w:top w:val="single" w:color="auto" w:sz="4" w:space="0"/>
              <w:left w:val="nil"/>
              <w:bottom w:val="single" w:color="auto" w:sz="4" w:space="0"/>
              <w:right w:val="single" w:color="auto" w:sz="4" w:space="0"/>
            </w:tcBorders>
            <w:noWrap w:val="0"/>
            <w:vAlign w:val="top"/>
          </w:tcPr>
          <w:p>
            <w:pPr>
              <w:shd w:val="clea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联系电话</w:t>
            </w:r>
          </w:p>
        </w:tc>
        <w:tc>
          <w:tcPr>
            <w:tcW w:w="3132" w:type="dxa"/>
            <w:tcBorders>
              <w:top w:val="single" w:color="auto" w:sz="4" w:space="0"/>
              <w:left w:val="nil"/>
              <w:bottom w:val="single" w:color="auto" w:sz="4" w:space="0"/>
              <w:right w:val="single" w:color="auto" w:sz="4" w:space="0"/>
            </w:tcBorders>
            <w:noWrap w:val="0"/>
            <w:vAlign w:val="top"/>
          </w:tcPr>
          <w:p>
            <w:pPr>
              <w:shd w:val="clear"/>
              <w:rPr>
                <w:rFonts w:hint="eastAsia" w:ascii="宋体" w:hAnsi="宋体" w:eastAsia="宋体" w:cs="宋体"/>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联系人</w:t>
            </w:r>
          </w:p>
        </w:tc>
        <w:tc>
          <w:tcPr>
            <w:tcW w:w="2700" w:type="dxa"/>
            <w:tcBorders>
              <w:top w:val="single" w:color="auto" w:sz="4" w:space="0"/>
              <w:left w:val="nil"/>
              <w:bottom w:val="single" w:color="auto" w:sz="4" w:space="0"/>
              <w:right w:val="single" w:color="auto" w:sz="4" w:space="0"/>
            </w:tcBorders>
            <w:noWrap w:val="0"/>
            <w:vAlign w:val="top"/>
          </w:tcPr>
          <w:p>
            <w:pPr>
              <w:shd w:val="clear"/>
              <w:rPr>
                <w:rFonts w:hint="eastAsia" w:ascii="宋体" w:hAnsi="宋体" w:eastAsia="宋体" w:cs="宋体"/>
                <w:color w:val="auto"/>
                <w:sz w:val="32"/>
                <w:szCs w:val="32"/>
                <w:highlight w:val="none"/>
              </w:rPr>
            </w:pPr>
          </w:p>
        </w:tc>
        <w:tc>
          <w:tcPr>
            <w:tcW w:w="1620" w:type="dxa"/>
            <w:tcBorders>
              <w:top w:val="single" w:color="auto" w:sz="4" w:space="0"/>
              <w:left w:val="nil"/>
              <w:bottom w:val="single" w:color="auto" w:sz="4" w:space="0"/>
              <w:right w:val="single" w:color="auto" w:sz="4" w:space="0"/>
            </w:tcBorders>
            <w:noWrap w:val="0"/>
            <w:vAlign w:val="top"/>
          </w:tcPr>
          <w:p>
            <w:pPr>
              <w:shd w:val="clea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联系电话</w:t>
            </w:r>
          </w:p>
        </w:tc>
        <w:tc>
          <w:tcPr>
            <w:tcW w:w="3132" w:type="dxa"/>
            <w:tcBorders>
              <w:top w:val="single" w:color="auto" w:sz="4" w:space="0"/>
              <w:left w:val="nil"/>
              <w:bottom w:val="single" w:color="auto" w:sz="4" w:space="0"/>
              <w:right w:val="single" w:color="auto" w:sz="4" w:space="0"/>
            </w:tcBorders>
            <w:noWrap w:val="0"/>
            <w:vAlign w:val="top"/>
          </w:tcPr>
          <w:p>
            <w:pPr>
              <w:shd w:val="clear"/>
              <w:rPr>
                <w:rFonts w:hint="eastAsia" w:ascii="宋体" w:hAnsi="宋体" w:eastAsia="宋体" w:cs="宋体"/>
                <w:color w:val="auto"/>
                <w:sz w:val="32"/>
                <w:szCs w:val="32"/>
                <w:highlight w:val="none"/>
              </w:rPr>
            </w:pPr>
          </w:p>
        </w:tc>
      </w:tr>
    </w:tbl>
    <w:p>
      <w:pPr>
        <w:shd w:val="clear"/>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w:t>
      </w:r>
    </w:p>
    <w:p>
      <w:pPr>
        <w:shd w:val="clear"/>
        <w:spacing w:line="480" w:lineRule="exact"/>
        <w:ind w:firstLine="600" w:firstLineChars="200"/>
        <w:textAlignment w:val="baseline"/>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为共同营造临江街道风清气正的发展环境，严格遵守国家法律法规和钱塘新区、临江街道各项制度规定，坚持廉洁诚信、合法经营，现郑重承诺：</w:t>
      </w:r>
    </w:p>
    <w:p>
      <w:pPr>
        <w:widowControl/>
        <w:shd w:val="clear"/>
        <w:snapToGrid w:val="0"/>
        <w:spacing w:line="520" w:lineRule="exact"/>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pPr>
        <w:widowControl/>
        <w:shd w:val="clear"/>
        <w:snapToGrid w:val="0"/>
        <w:spacing w:line="520" w:lineRule="exact"/>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1.不得以任何理由向公务人员赠送礼品、礼金和各种有价证券（烟卡）；</w:t>
      </w:r>
    </w:p>
    <w:p>
      <w:pPr>
        <w:widowControl/>
        <w:shd w:val="clear"/>
        <w:snapToGrid w:val="0"/>
        <w:spacing w:line="520" w:lineRule="exact"/>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2.不得以任何理由安排公务人员吃请或组织旅游、娱乐等活动；</w:t>
      </w:r>
    </w:p>
    <w:p>
      <w:pPr>
        <w:widowControl/>
        <w:shd w:val="clear"/>
        <w:snapToGrid w:val="0"/>
        <w:spacing w:line="520" w:lineRule="exact"/>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3.不得以任何理由为公务人员报销或承担应由其个人支付的费用。</w:t>
      </w:r>
    </w:p>
    <w:p>
      <w:pPr>
        <w:shd w:val="clear"/>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pPr>
        <w:shd w:val="clear"/>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以上承诺，如有违反，本公司自愿接受严肃处理，直至终止或取消在临江街道承揽业务的资格。</w:t>
      </w:r>
    </w:p>
    <w:p>
      <w:pPr>
        <w:shd w:val="clear"/>
        <w:spacing w:line="76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单位盖章：</w:t>
      </w:r>
    </w:p>
    <w:p>
      <w:pPr>
        <w:shd w:val="clear"/>
        <w:spacing w:line="760" w:lineRule="exact"/>
        <w:ind w:firstLine="3750" w:firstLineChars="12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 诺 人：</w:t>
      </w:r>
    </w:p>
    <w:p>
      <w:pPr>
        <w:shd w:val="clear"/>
        <w:spacing w:line="480" w:lineRule="auto"/>
        <w:ind w:firstLine="5280" w:firstLineChars="2200"/>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30"/>
          <w:szCs w:val="30"/>
          <w:highlight w:val="none"/>
        </w:rPr>
        <w:t xml:space="preserve">年   月   日 </w:t>
      </w:r>
    </w:p>
    <w:p>
      <w:pPr>
        <w:shd w:val="clear"/>
        <w:spacing w:before="120" w:beforeLines="50" w:after="120" w:afterLines="50" w:line="440" w:lineRule="exact"/>
        <w:rPr>
          <w:rFonts w:hint="eastAsia" w:ascii="宋体" w:hAnsi="宋体" w:eastAsia="宋体" w:cs="宋体"/>
          <w:b/>
          <w:bCs/>
          <w:color w:val="auto"/>
          <w:spacing w:val="60"/>
          <w:sz w:val="30"/>
          <w:szCs w:val="30"/>
          <w:highlight w:val="none"/>
        </w:rPr>
      </w:pPr>
      <w:r>
        <w:rPr>
          <w:rFonts w:hint="eastAsia" w:ascii="宋体" w:hAnsi="宋体" w:eastAsia="宋体" w:cs="宋体"/>
          <w:b/>
          <w:bCs/>
          <w:color w:val="auto"/>
          <w:spacing w:val="60"/>
          <w:sz w:val="30"/>
          <w:szCs w:val="30"/>
          <w:highlight w:val="none"/>
        </w:rPr>
        <w:t xml:space="preserve"> </w:t>
      </w:r>
    </w:p>
    <w:p>
      <w:pPr>
        <w:pStyle w:val="24"/>
        <w:shd w:val="clear"/>
        <w:rPr>
          <w:rFonts w:hint="eastAsia" w:ascii="宋体" w:hAnsi="宋体" w:eastAsia="宋体" w:cs="宋体"/>
          <w:color w:val="auto"/>
          <w:szCs w:val="24"/>
          <w:highlight w:val="none"/>
        </w:rPr>
      </w:pPr>
      <w:r>
        <w:rPr>
          <w:rFonts w:hint="eastAsia" w:ascii="宋体" w:hAnsi="宋体" w:eastAsia="宋体" w:cs="宋体"/>
          <w:color w:val="auto"/>
          <w:highlight w:val="none"/>
        </w:rPr>
        <w:t xml:space="preserve"> </w:t>
      </w:r>
    </w:p>
    <w:p>
      <w:pPr>
        <w:shd w:val="clear"/>
        <w:spacing w:before="120" w:beforeLines="50" w:after="120" w:afterLines="50" w:line="440" w:lineRule="exact"/>
        <w:jc w:val="center"/>
        <w:rPr>
          <w:rFonts w:hint="eastAsia" w:ascii="宋体" w:hAnsi="宋体" w:eastAsia="宋体" w:cs="宋体"/>
          <w:b/>
          <w:bCs/>
          <w:color w:val="auto"/>
          <w:spacing w:val="60"/>
          <w:sz w:val="30"/>
          <w:szCs w:val="30"/>
          <w:highlight w:val="none"/>
        </w:rPr>
      </w:pPr>
    </w:p>
    <w:p>
      <w:pPr>
        <w:pStyle w:val="61"/>
        <w:shd w:val="clear"/>
        <w:rPr>
          <w:rFonts w:hint="eastAsia" w:ascii="宋体" w:hAnsi="宋体" w:eastAsia="宋体" w:cs="宋体"/>
          <w:color w:val="auto"/>
          <w:highlight w:val="none"/>
        </w:rPr>
      </w:pPr>
      <w:r>
        <w:rPr>
          <w:rFonts w:hint="eastAsia" w:ascii="宋体" w:hAnsi="宋体" w:eastAsia="宋体" w:cs="宋体"/>
          <w:color w:val="auto"/>
          <w:spacing w:val="60"/>
          <w:highlight w:val="none"/>
        </w:rPr>
        <w:br w:type="page"/>
      </w:r>
      <w:r>
        <w:rPr>
          <w:rFonts w:hint="eastAsia" w:ascii="宋体" w:hAnsi="宋体" w:eastAsia="宋体" w:cs="宋体"/>
          <w:color w:val="auto"/>
          <w:spacing w:val="60"/>
          <w:highlight w:val="none"/>
        </w:rPr>
        <w:t>3、</w:t>
      </w:r>
      <w:r>
        <w:rPr>
          <w:rFonts w:hint="eastAsia" w:ascii="宋体" w:hAnsi="宋体" w:eastAsia="宋体" w:cs="宋体"/>
          <w:color w:val="auto"/>
          <w:highlight w:val="none"/>
        </w:rPr>
        <w:t>工程质量保修书</w:t>
      </w:r>
    </w:p>
    <w:p>
      <w:pPr>
        <w:shd w:val="clear"/>
        <w:spacing w:before="120" w:beforeLines="50" w:after="120" w:afterLines="50" w:line="440" w:lineRule="exact"/>
        <w:ind w:firstLine="2048" w:firstLineChars="8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发包人（全称）：</w:t>
      </w:r>
      <w:r>
        <w:rPr>
          <w:rFonts w:hint="eastAsia" w:ascii="宋体" w:hAnsi="宋体" w:eastAsia="宋体" w:cs="宋体"/>
          <w:color w:val="auto"/>
          <w:sz w:val="24"/>
          <w:highlight w:val="none"/>
          <w:u w:val="single"/>
          <w:lang w:eastAsia="zh-CN"/>
        </w:rPr>
        <w:t>杭州市钱塘区人民政府临江街道办事处</w:t>
      </w:r>
      <w:r>
        <w:rPr>
          <w:rFonts w:hint="eastAsia" w:ascii="宋体" w:hAnsi="宋体" w:eastAsia="宋体" w:cs="宋体"/>
          <w:color w:val="auto"/>
          <w:sz w:val="24"/>
          <w:highlight w:val="none"/>
          <w:u w:val="single"/>
        </w:rPr>
        <w:t xml:space="preserve">  </w:t>
      </w:r>
    </w:p>
    <w:p>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承包人（全称）：</w:t>
      </w:r>
      <w:r>
        <w:rPr>
          <w:rFonts w:hint="eastAsia" w:ascii="宋体" w:hAnsi="宋体" w:eastAsia="宋体" w:cs="宋体"/>
          <w:color w:val="auto"/>
          <w:sz w:val="24"/>
          <w:highlight w:val="none"/>
          <w:u w:val="single"/>
        </w:rPr>
        <w:t xml:space="preserve">                                      </w:t>
      </w:r>
    </w:p>
    <w:p>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发包人和承包人根据《中华人民共和国建筑法》和《建设工程质量管理条例》，经协商一致就</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临潮驿十七号综合整治提升工程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签订工程质量保修书。</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一、工程质量保修范围和内容</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承包人在质量保修期内，按照有关法律规定和合同约定，承担工程质量保修责任。</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二、质量保修期</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根据《建设工程质量管理条例》及有关规定，工程的质量保修期如下：</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1．地基基础工程和主体结构工程为设计文件规定的工程合理使用年限；</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2．屋面防水工程、有防水要求的卫生间、房间和外墙面的防渗漏为</w:t>
      </w:r>
      <w:r>
        <w:rPr>
          <w:rFonts w:hint="eastAsia" w:ascii="宋体" w:hAnsi="宋体" w:eastAsia="宋体" w:cs="宋体"/>
          <w:color w:val="auto"/>
          <w:sz w:val="24"/>
          <w:highlight w:val="none"/>
          <w:u w:val="single"/>
        </w:rPr>
        <w:t>5</w:t>
      </w:r>
      <w:r>
        <w:rPr>
          <w:rFonts w:hint="eastAsia" w:ascii="宋体" w:hAnsi="宋体" w:eastAsia="宋体" w:cs="宋体"/>
          <w:color w:val="auto"/>
          <w:sz w:val="24"/>
          <w:highlight w:val="none"/>
        </w:rPr>
        <w:t>年；</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3．装修工程为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4．电气管线、给排水管道、设备安装工程为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5．供热与供冷系统为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个采暖期、供冷期；</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6．住宅小区内的给排水设施、道路等配套工程为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7．其他项目保修期限约定如下：</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本工程质保期为两年，从取得竣工验收证书后起算。同时在质保期内由承包人负责免费维护与系统的升级工作。</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质量保修期自工程竣工验收合格之日起计算。</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三、缺陷责任期</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工程缺陷责任期为</w:t>
      </w:r>
      <w:r>
        <w:rPr>
          <w:rFonts w:hint="eastAsia" w:ascii="宋体" w:hAnsi="宋体" w:eastAsia="宋体" w:cs="宋体"/>
          <w:color w:val="auto"/>
          <w:sz w:val="24"/>
          <w:highlight w:val="none"/>
          <w:u w:val="single"/>
        </w:rPr>
        <w:t xml:space="preserve"> 24 </w:t>
      </w:r>
      <w:r>
        <w:rPr>
          <w:rFonts w:hint="eastAsia" w:ascii="宋体" w:hAnsi="宋体" w:eastAsia="宋体" w:cs="宋体"/>
          <w:color w:val="auto"/>
          <w:sz w:val="24"/>
          <w:highlight w:val="none"/>
        </w:rPr>
        <w:t>个月，缺陷责任期自工程竣工验收合格之日起计算。单位工程先于全部工程进行验收，单位工程缺陷责任期自单位工程验收合格之日起算。</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缺陷责任期终止后，发包人应退还剩余的质量保证金。</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四、质量保修责任</w:t>
      </w:r>
    </w:p>
    <w:p>
      <w:pPr>
        <w:shd w:val="clear"/>
        <w:spacing w:line="360" w:lineRule="auto"/>
        <w:ind w:left="105" w:leftChars="50" w:firstLine="489" w:firstLineChars="204"/>
        <w:rPr>
          <w:rFonts w:hint="eastAsia" w:ascii="宋体" w:hAnsi="宋体" w:eastAsia="宋体" w:cs="宋体"/>
          <w:color w:val="auto"/>
          <w:sz w:val="24"/>
          <w:highlight w:val="none"/>
        </w:rPr>
      </w:pPr>
      <w:r>
        <w:rPr>
          <w:rFonts w:hint="eastAsia" w:ascii="宋体" w:hAnsi="宋体" w:eastAsia="宋体" w:cs="宋体"/>
          <w:color w:val="auto"/>
          <w:sz w:val="24"/>
          <w:highlight w:val="none"/>
        </w:rPr>
        <w:t>1．属于保修范围、内容的项目，承包人应当在接到保修通知之日起7天内派人保修。承包人不在约定期限内派人保修的，发包人可以委托他人修理。</w:t>
      </w:r>
    </w:p>
    <w:p>
      <w:pPr>
        <w:shd w:val="clear"/>
        <w:spacing w:line="360" w:lineRule="auto"/>
        <w:ind w:left="105" w:leftChars="50" w:firstLine="489" w:firstLineChars="204"/>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2．发生紧急事故需抢修的，承包人在接到事故通知后，应当立即到达事故现场抢修。</w:t>
      </w:r>
    </w:p>
    <w:p>
      <w:pPr>
        <w:shd w:val="clear"/>
        <w:spacing w:line="360" w:lineRule="auto"/>
        <w:ind w:left="105" w:leftChars="50" w:firstLine="489" w:firstLineChars="204"/>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hd w:val="clear"/>
        <w:spacing w:line="360" w:lineRule="auto"/>
        <w:ind w:left="420" w:leftChars="20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4．质量保修完成后，由发包人组织验收。</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五、保修费用</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保修费用由造成质量缺陷的责任方承担。</w:t>
      </w:r>
    </w:p>
    <w:p>
      <w:pPr>
        <w:shd w:val="clear"/>
        <w:spacing w:line="360" w:lineRule="auto"/>
        <w:ind w:firstLine="600"/>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六</w:t>
      </w:r>
      <w:r>
        <w:rPr>
          <w:rFonts w:hint="eastAsia" w:ascii="宋体" w:hAnsi="宋体" w:eastAsia="宋体" w:cs="宋体"/>
          <w:color w:val="auto"/>
          <w:sz w:val="24"/>
          <w:highlight w:val="none"/>
        </w:rPr>
        <w:t>、双方约定的其他工程质量保修事项：</w:t>
      </w:r>
      <w:r>
        <w:rPr>
          <w:rFonts w:hint="eastAsia" w:ascii="宋体" w:hAnsi="宋体" w:eastAsia="宋体" w:cs="宋体"/>
          <w:color w:val="auto"/>
          <w:sz w:val="24"/>
          <w:highlight w:val="none"/>
          <w:u w:val="single"/>
        </w:rPr>
        <w:t xml:space="preserve">                  </w:t>
      </w:r>
    </w:p>
    <w:p>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p>
      <w:pPr>
        <w:shd w:val="clear"/>
        <w:spacing w:line="360" w:lineRule="auto"/>
        <w:ind w:firstLine="456" w:firstLineChars="19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工程质量保修书由发包人、承包人在工程竣工验收前共同签署，作为施工合同附件，其有效期限至保修期满。</w:t>
      </w:r>
    </w:p>
    <w:p>
      <w:pPr>
        <w:shd w:val="clear"/>
        <w:spacing w:line="360" w:lineRule="auto"/>
        <w:ind w:firstLine="456" w:firstLineChars="19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发包人(公章)：</w:t>
      </w:r>
      <w:r>
        <w:rPr>
          <w:rFonts w:hint="eastAsia" w:ascii="宋体" w:hAnsi="宋体" w:eastAsia="宋体" w:cs="宋体"/>
          <w:color w:val="auto"/>
          <w:sz w:val="24"/>
          <w:highlight w:val="none"/>
          <w:u w:val="single"/>
        </w:rPr>
        <w:t xml:space="preserve">        </w:t>
      </w:r>
      <w:r>
        <w:rPr>
          <w:rFonts w:hint="eastAsia" w:ascii="宋体" w:hAnsi="宋体" w:eastAsia="宋体" w:cs="宋体"/>
          <w:color w:val="auto"/>
          <w:sz w:val="24"/>
          <w:highlight w:val="none"/>
        </w:rPr>
        <w:t xml:space="preserve"> 承包人(公章)：</w:t>
      </w:r>
      <w:r>
        <w:rPr>
          <w:rFonts w:hint="eastAsia" w:ascii="宋体" w:hAnsi="宋体" w:eastAsia="宋体" w:cs="宋体"/>
          <w:color w:val="auto"/>
          <w:sz w:val="24"/>
          <w:highlight w:val="none"/>
          <w:u w:val="single"/>
        </w:rPr>
        <w:t xml:space="preserve">          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u w:val="single"/>
        </w:rPr>
        <w:t xml:space="preserve"> 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法定代表人(签字或盖章)：</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委托代理人(签字)：</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  话：</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u w:val="single"/>
        </w:rPr>
        <w:t xml:space="preserve">  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开户银行：</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账  号：</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邮政编码：</w:t>
      </w:r>
      <w:r>
        <w:rPr>
          <w:rFonts w:hint="eastAsia" w:ascii="宋体" w:hAnsi="宋体" w:eastAsia="宋体" w:cs="宋体"/>
          <w:color w:val="auto"/>
          <w:sz w:val="24"/>
          <w:highlight w:val="none"/>
          <w:u w:val="single"/>
        </w:rPr>
        <w:t xml:space="preserve">   </w:t>
      </w:r>
    </w:p>
    <w:p>
      <w:pPr>
        <w:shd w:val="clear"/>
        <w:spacing w:line="480" w:lineRule="auto"/>
        <w:jc w:val="center"/>
        <w:rPr>
          <w:rFonts w:hint="eastAsia" w:ascii="宋体" w:hAnsi="宋体" w:eastAsia="宋体" w:cs="宋体"/>
          <w:b/>
          <w:color w:val="auto"/>
          <w:sz w:val="28"/>
          <w:szCs w:val="28"/>
          <w:highlight w:val="none"/>
        </w:rPr>
      </w:pPr>
    </w:p>
    <w:p>
      <w:pPr>
        <w:spacing w:line="500" w:lineRule="exact"/>
        <w:rPr>
          <w:rFonts w:asciiTheme="minorEastAsia" w:hAnsiTheme="minorEastAsia" w:eastAsiaTheme="minorEastAsia"/>
          <w:b/>
          <w:bCs/>
          <w:sz w:val="30"/>
          <w:szCs w:val="30"/>
          <w:highlight w:val="none"/>
        </w:rPr>
      </w:pPr>
      <w:r>
        <w:rPr>
          <w:rFonts w:hint="eastAsia" w:asciiTheme="minorEastAsia" w:hAnsiTheme="minorEastAsia" w:eastAsiaTheme="minorEastAsia"/>
          <w:b/>
          <w:bCs/>
          <w:sz w:val="30"/>
          <w:szCs w:val="30"/>
          <w:highlight w:val="none"/>
        </w:rPr>
        <w:t xml:space="preserve"> </w:t>
      </w:r>
    </w:p>
    <w:p>
      <w:pPr>
        <w:spacing w:line="500" w:lineRule="exact"/>
        <w:rPr>
          <w:rFonts w:asciiTheme="minorEastAsia" w:hAnsiTheme="minorEastAsia" w:eastAsiaTheme="minorEastAsia"/>
          <w:b/>
          <w:bCs/>
          <w:sz w:val="30"/>
          <w:szCs w:val="30"/>
          <w:highlight w:val="none"/>
        </w:rPr>
      </w:pPr>
      <w:r>
        <w:rPr>
          <w:rFonts w:hint="eastAsia" w:asciiTheme="minorEastAsia" w:hAnsiTheme="minorEastAsia" w:eastAsiaTheme="minorEastAsia"/>
          <w:b/>
          <w:bCs/>
          <w:sz w:val="30"/>
          <w:szCs w:val="30"/>
          <w:highlight w:val="none"/>
        </w:rPr>
        <w:t xml:space="preserve"> </w:t>
      </w:r>
    </w:p>
    <w:p>
      <w:pPr>
        <w:bidi w:val="0"/>
        <w:rPr>
          <w:color w:val="auto"/>
          <w:highlight w:val="none"/>
        </w:rPr>
      </w:pPr>
    </w:p>
    <w:p>
      <w:pPr>
        <w:rPr>
          <w:rFonts w:hint="eastAsia" w:ascii="宋体" w:eastAsia="宋体"/>
          <w:color w:val="auto"/>
          <w:kern w:val="0"/>
          <w:sz w:val="24"/>
          <w:szCs w:val="24"/>
          <w:highlight w:val="none"/>
        </w:rPr>
      </w:pPr>
      <w:r>
        <w:rPr>
          <w:rFonts w:hint="eastAsia" w:ascii="宋体" w:eastAsia="宋体"/>
          <w:color w:val="auto"/>
          <w:kern w:val="0"/>
          <w:sz w:val="24"/>
          <w:szCs w:val="24"/>
          <w:highlight w:val="none"/>
        </w:rPr>
        <w:br w:type="page"/>
      </w: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我方参与临潮驿十七号综合整治提升工程（项目名称）【项目编号：</w:t>
      </w:r>
      <w:r>
        <w:rPr>
          <w:rFonts w:hint="eastAsia" w:ascii="宋体" w:hAnsi="宋体" w:cs="宋体"/>
          <w:color w:val="auto"/>
          <w:sz w:val="24"/>
          <w:highlight w:val="none"/>
          <w:lang w:eastAsia="zh-CN"/>
        </w:rPr>
        <w:t>QTCG-CS-2024-015</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ind w:firstLine="5760" w:firstLineChars="24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440" w:right="1080" w:bottom="1440" w:left="1080" w:header="851" w:footer="992" w:gutter="0"/>
          <w:pgNumType w:fmt="decimal"/>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spacing w:line="360" w:lineRule="auto"/>
        <w:jc w:val="center"/>
        <w:rPr>
          <w:rFonts w:hint="eastAsia"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FF0000"/>
          <w:sz w:val="24"/>
          <w:highlight w:val="none"/>
          <w:u w:val="single"/>
        </w:rPr>
        <w:t>杭州市钱塘区人民政府临江街道办事处</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FF0000"/>
          <w:sz w:val="24"/>
          <w:highlight w:val="none"/>
          <w:u w:val="single"/>
          <w:lang w:eastAsia="zh-CN"/>
        </w:rPr>
        <w:t>临潮驿十七号综合整治提升工程</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8"/>
        </w:num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FF0000"/>
          <w:sz w:val="24"/>
          <w:highlight w:val="none"/>
          <w:u w:val="single"/>
          <w:lang w:val="en-US" w:eastAsia="zh-CN"/>
        </w:rPr>
        <w:t>临潮驿十七号综合整治提升工程</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FF0000"/>
          <w:sz w:val="24"/>
          <w:highlight w:val="none"/>
          <w:u w:val="single"/>
        </w:rPr>
        <w:t>建筑业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pPr>
        <w:pStyle w:val="53"/>
        <w:ind w:left="0" w:leftChars="0"/>
        <w:rPr>
          <w:color w:val="auto"/>
          <w:highlight w:val="none"/>
        </w:rPr>
      </w:pPr>
    </w:p>
    <w:p>
      <w:pPr>
        <w:pStyle w:val="35"/>
        <w:snapToGrid w:val="0"/>
        <w:spacing w:line="300" w:lineRule="auto"/>
        <w:jc w:val="center"/>
        <w:rPr>
          <w:rFonts w:cs="Calibri"/>
          <w:b/>
          <w:bCs/>
          <w:color w:val="FF0000"/>
          <w:sz w:val="32"/>
          <w:szCs w:val="32"/>
          <w:highlight w:val="none"/>
        </w:rPr>
      </w:pPr>
      <w:r>
        <w:rPr>
          <w:rFonts w:hint="eastAsia" w:cs="Calibri"/>
          <w:b/>
          <w:bCs/>
          <w:color w:val="FF0000"/>
          <w:sz w:val="32"/>
          <w:szCs w:val="32"/>
          <w:highlight w:val="none"/>
        </w:rPr>
        <w:t>项目经理无在建工程声明函</w:t>
      </w:r>
    </w:p>
    <w:p>
      <w:pPr>
        <w:pStyle w:val="35"/>
        <w:snapToGrid w:val="0"/>
        <w:spacing w:line="300" w:lineRule="auto"/>
        <w:jc w:val="center"/>
        <w:rPr>
          <w:rFonts w:cs="Calibri"/>
          <w:b/>
          <w:bCs/>
          <w:color w:val="auto"/>
          <w:sz w:val="32"/>
          <w:szCs w:val="32"/>
          <w:highlight w:val="none"/>
        </w:rPr>
      </w:pPr>
    </w:p>
    <w:p>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lang w:eastAsia="zh-CN"/>
        </w:rPr>
        <w:t>杭州市钱塘区人民政府临江街道办事处（采购人）</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浙江经济建设投资咨询中心有限公司（采购代理机构）</w:t>
      </w:r>
      <w:r>
        <w:rPr>
          <w:rFonts w:hint="eastAsia" w:ascii="宋体" w:hAnsi="宋体" w:cs="Calibri"/>
          <w:snapToGrid w:val="0"/>
          <w:color w:val="auto"/>
          <w:sz w:val="24"/>
          <w:highlight w:val="none"/>
          <w:u w:val="single"/>
        </w:rPr>
        <w:t>：</w:t>
      </w:r>
    </w:p>
    <w:p>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color w:val="auto"/>
          <w:sz w:val="24"/>
          <w:highlight w:val="none"/>
          <w:lang w:eastAsia="zh-CN"/>
        </w:rPr>
        <w:t>杭州市钱塘区人民政府临江街道办事处（采购人）临潮驿十七号综合整治提升工程（项目名称）</w:t>
      </w:r>
      <w:r>
        <w:rPr>
          <w:rFonts w:ascii="宋体" w:hAnsi="宋体" w:cs="Calibri"/>
          <w:color w:val="auto"/>
          <w:sz w:val="24"/>
          <w:highlight w:val="none"/>
        </w:rPr>
        <w:t>（项目编号</w:t>
      </w:r>
      <w:r>
        <w:rPr>
          <w:rFonts w:hint="eastAsia" w:ascii="宋体" w:hAnsi="宋体" w:cs="Calibri"/>
          <w:color w:val="auto"/>
          <w:sz w:val="24"/>
          <w:highlight w:val="none"/>
          <w:lang w:eastAsia="zh-CN"/>
        </w:rPr>
        <w:t>：</w:t>
      </w:r>
      <w:r>
        <w:rPr>
          <w:rFonts w:hint="eastAsia" w:ascii="宋体" w:hAnsi="宋体" w:cs="宋体"/>
          <w:color w:val="auto"/>
          <w:sz w:val="24"/>
          <w:highlight w:val="none"/>
          <w:lang w:eastAsia="zh-CN"/>
        </w:rPr>
        <w:t>QTCG-CS-2024-015</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rPr>
          <w:color w:val="auto"/>
          <w:highlight w:val="none"/>
        </w:rPr>
      </w:pPr>
    </w:p>
    <w:p>
      <w:pPr>
        <w:pStyle w:val="24"/>
        <w:ind w:firstLine="480" w:firstLineChars="200"/>
        <w:rPr>
          <w:rFonts w:hint="eastAsia"/>
          <w:highlight w:val="none"/>
          <w:lang w:eastAsia="zh-CN"/>
        </w:rPr>
      </w:pPr>
    </w:p>
    <w:p>
      <w:pPr>
        <w:pStyle w:val="24"/>
        <w:ind w:firstLine="480" w:firstLineChars="200"/>
        <w:rPr>
          <w:rFonts w:hint="eastAsia" w:eastAsia="宋体"/>
          <w:highlight w:val="none"/>
          <w:lang w:eastAsia="zh-CN"/>
        </w:rPr>
      </w:pPr>
      <w:r>
        <w:rPr>
          <w:rFonts w:hint="eastAsia"/>
          <w:highlight w:val="none"/>
          <w:lang w:eastAsia="zh-CN"/>
        </w:rPr>
        <w:t>注：</w:t>
      </w:r>
      <w:r>
        <w:rPr>
          <w:rFonts w:hint="eastAsia"/>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highlight w:val="none"/>
          <w:lang w:eastAsia="zh-CN"/>
        </w:rPr>
        <w:t>。</w:t>
      </w:r>
    </w:p>
    <w:p>
      <w:pPr>
        <w:rPr>
          <w:color w:val="auto"/>
          <w:highlight w:val="none"/>
        </w:rPr>
        <w:sectPr>
          <w:pgSz w:w="11906" w:h="16838"/>
          <w:pgMar w:top="1440" w:right="1080" w:bottom="1440" w:left="1080" w:header="851" w:footer="992" w:gutter="0"/>
          <w:pgNumType w:fmt="decimal"/>
          <w:cols w:space="720" w:num="1"/>
          <w:titlePg/>
          <w:docGrid w:linePitch="312" w:charSpace="0"/>
        </w:sectPr>
      </w:pPr>
    </w:p>
    <w:p>
      <w:pPr>
        <w:pStyle w:val="4"/>
        <w:rPr>
          <w:rFonts w:ascii="宋体" w:hAnsi="宋体" w:cs="宋体"/>
          <w:b w:val="0"/>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临潮驿十七号综合整治提升工程（项目名称）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QTCG-CS-2024-015</w:t>
      </w:r>
      <w:r>
        <w:rPr>
          <w:rFonts w:hint="eastAsia" w:ascii="宋体" w:hAnsi="宋体" w:cs="宋体"/>
          <w:color w:val="auto"/>
          <w:sz w:val="24"/>
          <w:highlight w:val="none"/>
        </w:rPr>
        <w:t>】采购的有关活动，并对此项目提交响应文件及报价。为此：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临潮驿十七号综合整治提升工程（项目名称）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QTCG-CS-2024-015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临潮驿十七号综合整治提升工程（项目名称）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QTCG-CS-2024-015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jc w:val="center"/>
        <w:rPr>
          <w:rFonts w:ascii="宋体" w:hAnsi="宋体" w:cs="宋体"/>
          <w:b/>
          <w:bCs/>
          <w:color w:val="auto"/>
          <w:sz w:val="32"/>
          <w:szCs w:val="32"/>
          <w:highlight w:val="none"/>
          <w:lang w:val="zh-CN"/>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3"/>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399"/>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节能产品认证证书（政府强制采购节能产品清单详见附表1）</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p>
      <w:pPr>
        <w:rPr>
          <w:color w:val="auto"/>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5"/>
        <w:rPr>
          <w:rFonts w:hAnsi="宋体" w:cs="宋体"/>
          <w:color w:val="auto"/>
          <w:highlight w:val="none"/>
        </w:rPr>
        <w:sectPr>
          <w:pgSz w:w="11906" w:h="16838"/>
          <w:pgMar w:top="1440" w:right="1080" w:bottom="1440" w:left="1080" w:header="851" w:footer="992" w:gutter="0"/>
          <w:pgNumType w:fmt="decimal"/>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杭州市钱塘区人民政府临江街道办事处（采购人）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浙江经济建设投资咨询中心有限公司（采购代理机构）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临潮驿十七号综合整治提升工程（项目名称）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QTCG-CS-2024-015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15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271"/>
        <w:gridCol w:w="2085"/>
        <w:gridCol w:w="18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27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208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1800"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身份证号</w:t>
            </w:r>
          </w:p>
        </w:tc>
        <w:tc>
          <w:tcPr>
            <w:tcW w:w="2000"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2271" w:type="dxa"/>
            <w:vAlign w:val="center"/>
          </w:tcPr>
          <w:p>
            <w:pPr>
              <w:spacing w:line="360" w:lineRule="auto"/>
              <w:jc w:val="center"/>
              <w:rPr>
                <w:rFonts w:ascii="宋体" w:hAnsi="宋体" w:cs="宋体"/>
                <w:color w:val="auto"/>
                <w:sz w:val="24"/>
                <w:highlight w:val="none"/>
              </w:rPr>
            </w:pPr>
          </w:p>
        </w:tc>
        <w:tc>
          <w:tcPr>
            <w:tcW w:w="2085" w:type="dxa"/>
            <w:vAlign w:val="center"/>
          </w:tcPr>
          <w:p>
            <w:pPr>
              <w:spacing w:line="360" w:lineRule="auto"/>
              <w:jc w:val="center"/>
              <w:rPr>
                <w:rFonts w:ascii="宋体" w:hAnsi="宋体" w:cs="宋体"/>
                <w:color w:val="auto"/>
                <w:sz w:val="24"/>
                <w:highlight w:val="none"/>
              </w:rPr>
            </w:pPr>
          </w:p>
        </w:tc>
        <w:tc>
          <w:tcPr>
            <w:tcW w:w="1800" w:type="dxa"/>
            <w:vAlign w:val="center"/>
          </w:tcPr>
          <w:p>
            <w:pPr>
              <w:spacing w:line="360" w:lineRule="auto"/>
              <w:jc w:val="center"/>
              <w:rPr>
                <w:rFonts w:ascii="宋体" w:hAnsi="宋体" w:cs="宋体"/>
                <w:color w:val="auto"/>
                <w:sz w:val="24"/>
                <w:highlight w:val="none"/>
              </w:rPr>
            </w:pPr>
          </w:p>
        </w:tc>
        <w:tc>
          <w:tcPr>
            <w:tcW w:w="200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6156" w:type="dxa"/>
            <w:gridSpan w:val="3"/>
            <w:vAlign w:val="center"/>
          </w:tcPr>
          <w:p>
            <w:pPr>
              <w:spacing w:line="360" w:lineRule="auto"/>
              <w:jc w:val="center"/>
              <w:rPr>
                <w:rFonts w:ascii="宋体" w:hAnsi="宋体" w:cs="宋体"/>
                <w:color w:val="auto"/>
                <w:sz w:val="24"/>
                <w:highlight w:val="none"/>
              </w:rPr>
            </w:pPr>
          </w:p>
        </w:tc>
        <w:tc>
          <w:tcPr>
            <w:tcW w:w="200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6156" w:type="dxa"/>
            <w:gridSpan w:val="3"/>
            <w:vAlign w:val="center"/>
          </w:tcPr>
          <w:p>
            <w:pPr>
              <w:spacing w:line="360" w:lineRule="auto"/>
              <w:jc w:val="center"/>
              <w:rPr>
                <w:rFonts w:ascii="宋体" w:hAnsi="宋体" w:cs="宋体"/>
                <w:color w:val="auto"/>
                <w:sz w:val="24"/>
                <w:highlight w:val="none"/>
              </w:rPr>
            </w:pPr>
          </w:p>
        </w:tc>
        <w:tc>
          <w:tcPr>
            <w:tcW w:w="2000" w:type="dxa"/>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pPr>
        <w:pStyle w:val="697"/>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p>
    <w:p>
      <w:pPr>
        <w:pStyle w:val="697"/>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pPr>
        <w:ind w:right="420"/>
        <w:rPr>
          <w:rFonts w:ascii="宋体" w:hAnsi="宋体" w:cs="宋体"/>
          <w:color w:val="auto"/>
          <w:sz w:val="24"/>
          <w:highlight w:val="none"/>
        </w:rPr>
      </w:pPr>
    </w:p>
    <w:p>
      <w:pPr>
        <w:shd w:val="clear"/>
        <w:ind w:right="420" w:firstLine="480" w:firstLineChars="200"/>
        <w:rPr>
          <w:rFonts w:hint="eastAsia" w:ascii="宋体" w:hAnsi="宋体" w:eastAsia="宋体" w:cs="宋体"/>
          <w:color w:val="auto"/>
          <w:sz w:val="24"/>
          <w:highlight w:val="none"/>
          <w:lang w:eastAsia="zh-CN"/>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sz w:val="24"/>
          <w:highlight w:val="none"/>
        </w:rPr>
        <w:t>注：</w:t>
      </w:r>
      <w:r>
        <w:rPr>
          <w:rFonts w:hint="eastAsia" w:ascii="宋体" w:hAnsi="宋体" w:cs="宋体"/>
          <w:color w:val="auto"/>
          <w:sz w:val="24"/>
          <w:highlight w:val="none"/>
          <w:lang w:eastAsia="zh-CN"/>
        </w:rPr>
        <w:t>按</w:t>
      </w:r>
      <w:r>
        <w:rPr>
          <w:rFonts w:hint="eastAsia" w:ascii="宋体" w:hAnsi="宋体" w:eastAsia="宋体" w:cs="宋体"/>
          <w:color w:val="auto"/>
          <w:sz w:val="24"/>
          <w:highlight w:val="none"/>
        </w:rPr>
        <w:t>采购文件工程量清单编制</w:t>
      </w:r>
      <w:r>
        <w:rPr>
          <w:rFonts w:hint="eastAsia" w:ascii="宋体" w:hAnsi="宋体" w:cs="宋体"/>
          <w:color w:val="auto"/>
          <w:sz w:val="24"/>
          <w:highlight w:val="none"/>
          <w:lang w:eastAsia="zh-CN"/>
        </w:rPr>
        <w:t>。若投标人改变招标文件工程量清单中工程量且拒绝修正的，视为</w:t>
      </w:r>
      <w:r>
        <w:rPr>
          <w:rFonts w:hint="eastAsia" w:ascii="宋体" w:hAnsi="宋体" w:cs="宋体"/>
          <w:color w:val="auto"/>
          <w:kern w:val="0"/>
          <w:sz w:val="24"/>
          <w:highlight w:val="none"/>
        </w:rPr>
        <w:t>响应文件含有采购人不能接受的附加条件的</w:t>
      </w:r>
      <w:r>
        <w:rPr>
          <w:rFonts w:hint="eastAsia" w:ascii="宋体" w:hAnsi="宋体" w:cs="宋体"/>
          <w:color w:val="auto"/>
          <w:kern w:val="0"/>
          <w:sz w:val="24"/>
          <w:highlight w:val="none"/>
          <w:lang w:eastAsia="zh-CN"/>
        </w:rPr>
        <w:t>。</w:t>
      </w:r>
    </w:p>
    <w:p>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400" w:name="_Hlk101259491"/>
      <w:r>
        <w:rPr>
          <w:rFonts w:hint="eastAsia" w:ascii="宋体" w:hAnsi="宋体" w:eastAsia="宋体" w:cs="宋体"/>
          <w:color w:val="auto"/>
          <w:sz w:val="32"/>
          <w:szCs w:val="32"/>
          <w:highlight w:val="none"/>
        </w:rPr>
        <w:t>（如果有）</w:t>
      </w:r>
      <w:bookmarkEnd w:id="400"/>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1" w:name="_Toc465665161"/>
      <w:r>
        <w:rPr>
          <w:rFonts w:hint="eastAsia" w:ascii="宋体" w:hAnsi="宋体" w:cs="宋体"/>
          <w:color w:val="auto"/>
          <w:highlight w:val="none"/>
        </w:rPr>
        <w:t>附件</w:t>
      </w:r>
      <w:bookmarkEnd w:id="401"/>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2" w:name="OLE_LINK13"/>
      <w:bookmarkStart w:id="403" w:name="OLE_LINK14"/>
      <w:r>
        <w:rPr>
          <w:rFonts w:hint="eastAsia" w:ascii="宋体" w:hAnsi="宋体" w:cs="宋体"/>
          <w:b/>
          <w:color w:val="auto"/>
          <w:spacing w:val="6"/>
          <w:sz w:val="32"/>
          <w:szCs w:val="32"/>
          <w:highlight w:val="none"/>
        </w:rPr>
        <w:t>残疾人福利性单位声明函</w:t>
      </w:r>
    </w:p>
    <w:bookmarkEnd w:id="402"/>
    <w:bookmarkEnd w:id="40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headerReference r:id="rId21" w:type="first"/>
          <w:footerReference r:id="rId23" w:type="first"/>
          <w:headerReference r:id="rId20" w:type="default"/>
          <w:footerReference r:id="rId22" w:type="default"/>
          <w:pgSz w:w="11906" w:h="16838"/>
          <w:pgMar w:top="1440" w:right="1080" w:bottom="1440" w:left="1080" w:header="851" w:footer="992" w:gutter="0"/>
          <w:pgNumType w:fmt="decimal"/>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1811655" cy="1509395"/>
                <wp:effectExtent l="0" t="0" r="571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1811655" cy="150939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18.85pt;width:142.65pt;z-index:-251657216;mso-width-relative:page;mso-height-relative:page;" fillcolor="#FFFFFF" filled="t" stroked="t" coordsize="21600,21600" o:gfxdata="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tjydtoAAAAKAQAADwAAAAAAAAABACAAAAAiAAAAZHJzL2Rvd25yZXYueG1sUEsB&#10;AhQAFAAAAAgAh07iQNabK+0sAgAAdAQAAA4AAAAAAAAAAQAgAAAAKQEAAGRycy9lMm9Eb2MueG1s&#10;UEsFBgAAAAAGAAYAWQEAAMcFA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1773555" cy="150939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1773555" cy="150939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18.85pt;width:139.65pt;z-index:-251656192;mso-width-relative:page;mso-height-relative:page;" fillcolor="#FFFFFF" filled="t" stroked="t" coordsize="21600,21600" o:gfxdata="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IRzt2QAAAAoBAAAPAAAAAAAAAAEAIAAAACIAAABkcnMvZG93bnJldi54bWxQSwEC&#10;FAAUAAAACACHTuJAENLlZywCAAB0BAAADgAAAAAAAAABACAAAAAoAQAAZHJzL2Uyb0RvYy54bWxQ&#10;SwUGAAAAAAYABgBZAQAAxg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40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4"/>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36"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spacing w:line="336"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36"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36"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5"/>
    </w:p>
    <w:p>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36" w:lineRule="auto"/>
        <w:ind w:firstLine="576"/>
        <w:rPr>
          <w:rFonts w:ascii="宋体" w:hAnsi="宋体" w:cs="宋体"/>
          <w:color w:val="auto"/>
          <w:highlight w:val="none"/>
          <w:u w:val="single"/>
        </w:rPr>
      </w:pPr>
    </w:p>
    <w:p>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36" w:lineRule="auto"/>
        <w:ind w:firstLine="576"/>
        <w:rPr>
          <w:rFonts w:ascii="宋体" w:hAnsi="宋体" w:cs="宋体"/>
          <w:color w:val="auto"/>
          <w:kern w:val="0"/>
          <w:sz w:val="24"/>
          <w:highlight w:val="none"/>
          <w:lang w:val="zh-CN"/>
        </w:rPr>
      </w:pPr>
    </w:p>
    <w:p>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36" w:lineRule="auto"/>
        <w:ind w:left="573" w:leftChars="273"/>
        <w:rPr>
          <w:rFonts w:ascii="宋体" w:hAnsi="宋体" w:cs="宋体"/>
          <w:color w:val="auto"/>
          <w:kern w:val="0"/>
          <w:sz w:val="24"/>
          <w:highlight w:val="none"/>
          <w:lang w:val="zh-CN"/>
        </w:rPr>
      </w:pPr>
    </w:p>
    <w:p>
      <w:pPr>
        <w:snapToGrid w:val="0"/>
        <w:spacing w:line="336"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36" w:lineRule="auto"/>
        <w:ind w:firstLine="576"/>
        <w:rPr>
          <w:rFonts w:ascii="宋体" w:hAnsi="宋体" w:cs="宋体"/>
          <w:color w:val="auto"/>
          <w:kern w:val="0"/>
          <w:sz w:val="24"/>
          <w:highlight w:val="none"/>
          <w:lang w:val="zh-CN"/>
        </w:rPr>
      </w:pPr>
    </w:p>
    <w:p>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36" w:lineRule="auto"/>
        <w:ind w:firstLine="576"/>
        <w:rPr>
          <w:rFonts w:ascii="宋体" w:hAnsi="宋体" w:cs="宋体"/>
          <w:color w:val="auto"/>
          <w:kern w:val="0"/>
          <w:sz w:val="24"/>
          <w:highlight w:val="none"/>
          <w:lang w:val="zh-CN"/>
        </w:rPr>
      </w:pP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pPr>
        <w:spacing w:line="360" w:lineRule="auto"/>
        <w:rPr>
          <w:rFonts w:ascii="宋体" w:hAnsi="宋体" w:cs="宋体"/>
          <w:b/>
          <w:color w:val="auto"/>
          <w:spacing w:val="6"/>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pPr>
        <w:pStyle w:val="25"/>
        <w:rPr>
          <w:color w:val="auto"/>
          <w:highlight w:val="none"/>
        </w:rPr>
      </w:pPr>
    </w:p>
    <w:p>
      <w:pPr>
        <w:pStyle w:val="26"/>
        <w:ind w:firstLine="0" w:firstLineChars="0"/>
        <w:rPr>
          <w:color w:val="auto"/>
          <w:highlight w:val="none"/>
        </w:rPr>
        <w:sectPr>
          <w:pgSz w:w="11906" w:h="16838"/>
          <w:pgMar w:top="1440" w:right="1080" w:bottom="1440" w:left="1080" w:header="851" w:footer="992" w:gutter="0"/>
          <w:pgNumType w:fmt="decimal"/>
          <w:cols w:space="720" w:num="1"/>
          <w:titlePg/>
          <w:docGrid w:linePitch="312" w:charSpace="0"/>
        </w:sectPr>
      </w:pPr>
    </w:p>
    <w:p>
      <w:pPr>
        <w:pStyle w:val="2"/>
        <w:numPr>
          <w:ilvl w:val="255"/>
          <w:numId w:val="0"/>
        </w:numPr>
        <w:rPr>
          <w:rFonts w:hint="eastAsia" w:ascii="宋体" w:hAnsi="宋体" w:cs="宋体"/>
          <w:color w:val="auto"/>
          <w:highlight w:val="none"/>
        </w:rPr>
      </w:pPr>
      <w:bookmarkStart w:id="406" w:name="_Toc7993638"/>
      <w:bookmarkStart w:id="407" w:name="_Toc7664194"/>
      <w:bookmarkStart w:id="408" w:name="_Toc7668947"/>
      <w:bookmarkStart w:id="409" w:name="_Toc10432455"/>
      <w:bookmarkStart w:id="410" w:name="_Toc17428251"/>
      <w:bookmarkStart w:id="411" w:name="_Toc7663594"/>
      <w:bookmarkStart w:id="412" w:name="_Toc7988418"/>
      <w:bookmarkStart w:id="413" w:name="_Toc17428346"/>
      <w:bookmarkStart w:id="414" w:name="_Toc20358289"/>
      <w:bookmarkStart w:id="415" w:name="_Toc7988472"/>
      <w:bookmarkStart w:id="416" w:name="_Toc7542913"/>
      <w:bookmarkStart w:id="417" w:name="_Toc8007002"/>
      <w:bookmarkStart w:id="418" w:name="_Toc7488756"/>
      <w:bookmarkStart w:id="419" w:name="_Toc24471815"/>
      <w:bookmarkStart w:id="420" w:name="_Toc7492525"/>
      <w:bookmarkStart w:id="421" w:name="_Toc7574702"/>
      <w:bookmarkStart w:id="422" w:name="_Toc25765007"/>
      <w:bookmarkStart w:id="423" w:name="_Toc522417531"/>
      <w:bookmarkStart w:id="424" w:name="_Toc532440701"/>
      <w:bookmarkStart w:id="425" w:name="_Toc4649580"/>
      <w:bookmarkStart w:id="426" w:name="_Toc522830351"/>
      <w:bookmarkStart w:id="427" w:name="_Toc2002574"/>
      <w:r>
        <w:rPr>
          <w:rFonts w:hint="eastAsia" w:ascii="宋体" w:hAnsi="宋体" w:cs="宋体"/>
          <w:color w:val="auto"/>
          <w:highlight w:val="none"/>
        </w:rPr>
        <w:t>其它</w:t>
      </w:r>
    </w:p>
    <w:p>
      <w:pPr>
        <w:tabs>
          <w:tab w:val="left" w:pos="8085"/>
        </w:tabs>
        <w:spacing w:line="360" w:lineRule="auto"/>
        <w:jc w:val="center"/>
        <w:rPr>
          <w:rFonts w:ascii="宋体" w:hAnsi="宋体" w:cs="宋体"/>
          <w:b/>
          <w:sz w:val="32"/>
          <w:szCs w:val="32"/>
          <w:highlight w:val="none"/>
        </w:rPr>
      </w:pPr>
      <w:r>
        <w:rPr>
          <w:rFonts w:hint="eastAsia" w:ascii="宋体" w:hAnsi="宋体" w:cs="宋体"/>
          <w:b/>
          <w:sz w:val="32"/>
          <w:szCs w:val="32"/>
          <w:highlight w:val="none"/>
        </w:rPr>
        <w:t>政府采购支持中小企业信用融资相关事项通知</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一、适用对象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二、相关信息获取方式</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三、申请方式和步骤</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rPr>
        <w:t>4</w:t>
      </w:r>
      <w:r>
        <w:rPr>
          <w:rFonts w:hint="eastAsia" w:ascii="仿宋_GB2312" w:hAnsi="仿宋" w:eastAsia="仿宋_GB2312" w:cs="仿宋_GB2312"/>
          <w:kern w:val="0"/>
          <w:sz w:val="24"/>
          <w:highlight w:val="none"/>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四、注意事项</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五、合作银行及联系方式</w:t>
      </w:r>
    </w:p>
    <w:tbl>
      <w:tblPr>
        <w:tblStyle w:val="64"/>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张苏航</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2</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左劼</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3</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吕刚</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4</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费莎</w:t>
            </w:r>
          </w:p>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严培蓓</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13388617781</w:t>
            </w:r>
          </w:p>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5</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丁萍</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6</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沈振华</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7</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137357 38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8</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贾磊</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9</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王宁</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10</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王安东</w:t>
            </w:r>
          </w:p>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方若愚</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15158025713</w:t>
            </w:r>
          </w:p>
          <w:p>
            <w:pPr>
              <w:widowControl/>
              <w:jc w:val="center"/>
              <w:rPr>
                <w:highlight w:val="none"/>
              </w:rPr>
            </w:pPr>
            <w:r>
              <w:rPr>
                <w:rFonts w:ascii="仿宋_GB2312" w:hAnsi="仿宋_GB2312" w:eastAsia="仿宋_GB2312" w:cs="仿宋_GB2312"/>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18805812679</w:t>
            </w:r>
          </w:p>
        </w:tc>
      </w:tr>
    </w:tbl>
    <w:p>
      <w:pPr>
        <w:spacing w:line="360" w:lineRule="auto"/>
        <w:ind w:left="5060" w:hanging="5060" w:hangingChars="2100"/>
        <w:rPr>
          <w:rFonts w:ascii="仿宋_GB2312" w:hAnsi="仿宋" w:eastAsia="仿宋_GB2312" w:cs="仿宋_GB2312"/>
          <w:b/>
          <w:bCs/>
          <w:kern w:val="0"/>
          <w:sz w:val="24"/>
          <w:highlight w:val="none"/>
        </w:rPr>
      </w:pPr>
    </w:p>
    <w:p>
      <w:pPr>
        <w:rPr>
          <w:rFonts w:ascii="宋体" w:hAnsi="宋体" w:cs="宋体"/>
          <w:b/>
          <w:bCs/>
          <w:kern w:val="0"/>
          <w:sz w:val="24"/>
          <w:highlight w:val="none"/>
        </w:rPr>
      </w:pPr>
      <w:r>
        <w:rPr>
          <w:rFonts w:ascii="宋体" w:hAnsi="宋体" w:cs="宋体"/>
          <w:b/>
          <w:bCs/>
          <w:kern w:val="0"/>
          <w:sz w:val="24"/>
          <w:highlight w:val="none"/>
        </w:rPr>
        <w:br w:type="page"/>
      </w:r>
    </w:p>
    <w:p>
      <w:pPr>
        <w:rPr>
          <w:highlight w:val="none"/>
        </w:rPr>
      </w:pPr>
    </w:p>
    <w:p>
      <w:pPr>
        <w:pStyle w:val="35"/>
        <w:rPr>
          <w:rFonts w:hAnsi="宋体" w:cs="宋体"/>
          <w:color w:val="auto"/>
          <w:highlight w:val="none"/>
        </w:rPr>
      </w:pPr>
      <w:r>
        <w:rPr>
          <w:rFonts w:hint="eastAsia" w:hAnsi="宋体" w:cs="宋体"/>
          <w:color w:val="auto"/>
          <w:highlight w:val="none"/>
        </w:rPr>
        <w:t>（以下文件及规定如与最新规定不一致，以最新发布的为准）</w:t>
      </w:r>
    </w:p>
    <w:p>
      <w:pPr>
        <w:pStyle w:val="2"/>
        <w:rPr>
          <w:rFonts w:ascii="宋体" w:hAnsi="宋体" w:cs="宋体"/>
          <w:color w:val="auto"/>
          <w:highlight w:val="none"/>
        </w:rPr>
      </w:pPr>
      <w:r>
        <w:rPr>
          <w:rFonts w:hint="eastAsia" w:ascii="宋体" w:hAnsi="宋体" w:cs="宋体"/>
          <w:color w:val="auto"/>
          <w:highlight w:val="none"/>
        </w:rPr>
        <w:t>关于调整优化节能产品、环境标志产品政府采购执行机制的通知（财库[2019]9号）</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tbl>
      <w:tblPr>
        <w:tblStyle w:val="64"/>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PrEx>
        <w:trPr>
          <w:jc w:val="center"/>
        </w:trPr>
        <w:tc>
          <w:tcPr>
            <w:tcW w:w="9145"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财政部 发展改革委 生态环境部 市场监管总局</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关于调整优化节能产品、环境标志产品政府采购执行机制的通知</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财库〔2019〕9号</w:t>
            </w:r>
          </w:p>
          <w:p>
            <w:pPr>
              <w:spacing w:line="360" w:lineRule="auto"/>
              <w:jc w:val="center"/>
              <w:rPr>
                <w:rFonts w:ascii="宋体" w:hAnsi="宋体" w:cs="宋体"/>
                <w:b/>
                <w:color w:val="auto"/>
                <w:sz w:val="24"/>
                <w:highlight w:val="none"/>
              </w:rPr>
            </w:pPr>
          </w:p>
          <w:p>
            <w:pPr>
              <w:spacing w:line="360" w:lineRule="auto"/>
              <w:ind w:firstLine="487"/>
              <w:rPr>
                <w:rFonts w:ascii="宋体" w:hAnsi="宋体" w:cs="宋体"/>
                <w:b/>
                <w:color w:val="auto"/>
                <w:sz w:val="24"/>
                <w:highlight w:val="none"/>
              </w:rPr>
            </w:pPr>
            <w:r>
              <w:rPr>
                <w:rFonts w:hint="eastAsia" w:ascii="宋体" w:hAnsi="宋体" w:cs="宋体"/>
                <w:b/>
                <w:color w:val="auto"/>
                <w:sz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一、对政府采购节能产品、环境标志产品实施品目清单管理。</w:t>
            </w:r>
            <w:r>
              <w:rPr>
                <w:rFonts w:hint="eastAsia" w:ascii="宋体" w:hAnsi="宋体" w:cs="宋体"/>
                <w:color w:val="auto"/>
                <w:sz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二、依据品目清单和认证证书实施政府优先采购和强制采购。</w:t>
            </w:r>
            <w:r>
              <w:rPr>
                <w:rFonts w:hint="eastAsia" w:ascii="宋体" w:hAnsi="宋体" w:cs="宋体"/>
                <w:color w:val="auto"/>
                <w:sz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三、逐步扩大节能产品、环境标志产品认证机构范围。</w:t>
            </w:r>
            <w:r>
              <w:rPr>
                <w:rFonts w:hint="eastAsia" w:ascii="宋体" w:hAnsi="宋体" w:cs="宋体"/>
                <w:color w:val="auto"/>
                <w:sz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四、发布认证机构和获证产品信息。</w:t>
            </w:r>
            <w:r>
              <w:rPr>
                <w:rFonts w:hint="eastAsia" w:ascii="宋体" w:hAnsi="宋体" w:cs="宋体"/>
                <w:color w:val="auto"/>
                <w:sz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五、加大政府绿色采购力度。</w:t>
            </w:r>
            <w:r>
              <w:rPr>
                <w:rFonts w:hint="eastAsia" w:ascii="宋体" w:hAnsi="宋体" w:cs="宋体"/>
                <w:color w:val="auto"/>
                <w:sz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六、本通知自2019年4月1日起执行。</w:t>
            </w:r>
            <w:r>
              <w:rPr>
                <w:rFonts w:hint="eastAsia" w:ascii="宋体" w:hAnsi="宋体" w:cs="宋体"/>
                <w:color w:val="auto"/>
                <w:sz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spacing w:line="360" w:lineRule="auto"/>
              <w:jc w:val="right"/>
              <w:rPr>
                <w:rFonts w:ascii="宋体" w:hAnsi="宋体" w:cs="宋体"/>
                <w:color w:val="auto"/>
                <w:sz w:val="24"/>
                <w:highlight w:val="none"/>
              </w:rPr>
            </w:pPr>
            <w:r>
              <w:rPr>
                <w:rFonts w:hint="eastAsia" w:ascii="宋体" w:hAnsi="宋体" w:cs="宋体"/>
                <w:color w:val="auto"/>
                <w:sz w:val="24"/>
                <w:highlight w:val="none"/>
              </w:rPr>
              <w:t>财政部 发展改革委 生态环境部 市场监管总局</w:t>
            </w:r>
          </w:p>
          <w:p>
            <w:pPr>
              <w:spacing w:line="360" w:lineRule="auto"/>
              <w:jc w:val="right"/>
              <w:rPr>
                <w:rFonts w:ascii="宋体" w:hAnsi="宋体" w:cs="宋体"/>
                <w:color w:val="auto"/>
                <w:kern w:val="0"/>
                <w:sz w:val="30"/>
                <w:szCs w:val="30"/>
                <w:highlight w:val="none"/>
              </w:rPr>
            </w:pPr>
            <w:r>
              <w:rPr>
                <w:rFonts w:hint="eastAsia" w:ascii="宋体" w:hAnsi="宋体" w:cs="宋体"/>
                <w:color w:val="auto"/>
                <w:sz w:val="24"/>
                <w:highlight w:val="none"/>
              </w:rPr>
              <w:t>2019年2月1日</w:t>
            </w:r>
          </w:p>
        </w:tc>
      </w:tr>
    </w:tbl>
    <w:p>
      <w:pPr>
        <w:widowControl/>
        <w:shd w:val="clear" w:color="auto" w:fill="FFFFFF"/>
        <w:spacing w:line="360" w:lineRule="auto"/>
        <w:jc w:val="center"/>
        <w:textAlignment w:val="baseline"/>
        <w:rPr>
          <w:rFonts w:ascii="宋体" w:hAnsi="宋体" w:cs="宋体"/>
          <w:color w:val="auto"/>
          <w:kern w:val="0"/>
          <w:sz w:val="30"/>
          <w:szCs w:val="30"/>
          <w:highlight w:val="none"/>
        </w:rPr>
      </w:pPr>
    </w:p>
    <w:p>
      <w:pPr>
        <w:widowControl/>
        <w:spacing w:line="360" w:lineRule="auto"/>
        <w:jc w:val="right"/>
        <w:rPr>
          <w:rFonts w:ascii="宋体" w:hAnsi="宋体" w:cs="宋体"/>
          <w:color w:val="auto"/>
          <w:kern w:val="0"/>
          <w:sz w:val="24"/>
          <w:szCs w:val="28"/>
          <w:highlight w:val="none"/>
        </w:rPr>
      </w:pPr>
    </w:p>
    <w:p>
      <w:pPr>
        <w:pStyle w:val="2"/>
        <w:rPr>
          <w:rFonts w:ascii="宋体" w:hAnsi="宋体" w:cs="宋体"/>
          <w:color w:val="auto"/>
          <w:szCs w:val="28"/>
          <w:highlight w:val="none"/>
        </w:rPr>
      </w:pPr>
      <w:r>
        <w:rPr>
          <w:rFonts w:hint="eastAsia" w:ascii="宋体" w:hAnsi="宋体" w:cs="宋体"/>
          <w:color w:val="auto"/>
          <w:szCs w:val="28"/>
          <w:highlight w:val="none"/>
        </w:rPr>
        <w:br w:type="page"/>
      </w:r>
      <w:bookmarkStart w:id="428" w:name="_Toc24471816"/>
      <w:bookmarkStart w:id="429" w:name="_Toc7542914"/>
      <w:bookmarkStart w:id="430" w:name="_Toc20358290"/>
      <w:bookmarkStart w:id="431" w:name="_Toc8007003"/>
      <w:bookmarkStart w:id="432" w:name="_Toc7668948"/>
      <w:bookmarkStart w:id="433" w:name="_Toc7988419"/>
      <w:bookmarkStart w:id="434" w:name="_Toc17428347"/>
      <w:bookmarkStart w:id="435" w:name="_Toc7492526"/>
      <w:bookmarkStart w:id="436" w:name="_Toc7663595"/>
      <w:bookmarkStart w:id="437" w:name="_Toc7988473"/>
      <w:bookmarkStart w:id="438" w:name="_Toc17428252"/>
      <w:bookmarkStart w:id="439" w:name="_Toc25765008"/>
      <w:bookmarkStart w:id="440" w:name="_Toc7664195"/>
      <w:bookmarkStart w:id="441" w:name="_Toc7993639"/>
      <w:bookmarkStart w:id="442" w:name="_Toc10432456"/>
      <w:bookmarkStart w:id="443" w:name="_Toc7574703"/>
      <w:bookmarkStart w:id="444" w:name="_Toc7488757"/>
      <w:r>
        <w:rPr>
          <w:rFonts w:hint="eastAsia" w:ascii="宋体" w:hAnsi="宋体" w:cs="宋体"/>
          <w:color w:val="auto"/>
          <w:highlight w:val="none"/>
        </w:rPr>
        <w:t>关于印发节能产品政府采购品目清单的通知（财库〔2019〕19号）</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tbl>
      <w:tblPr>
        <w:tblStyle w:val="64"/>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PrEx>
        <w:trPr>
          <w:jc w:val="center"/>
        </w:trPr>
        <w:tc>
          <w:tcPr>
            <w:tcW w:w="9145" w:type="dxa"/>
          </w:tcPr>
          <w:p>
            <w:pPr>
              <w:widowControl/>
              <w:spacing w:line="360" w:lineRule="auto"/>
              <w:jc w:val="center"/>
              <w:rPr>
                <w:rFonts w:ascii="宋体" w:hAnsi="宋体" w:cs="宋体"/>
                <w:b/>
                <w:color w:val="auto"/>
                <w:kern w:val="0"/>
                <w:sz w:val="32"/>
                <w:highlight w:val="none"/>
              </w:rPr>
            </w:pPr>
            <w:r>
              <w:rPr>
                <w:rFonts w:hint="eastAsia" w:ascii="宋体" w:hAnsi="宋体" w:cs="宋体"/>
                <w:b/>
                <w:color w:val="auto"/>
                <w:kern w:val="0"/>
                <w:sz w:val="32"/>
                <w:highlight w:val="none"/>
              </w:rPr>
              <w:t>关于印发节能产品政府采购品目清单的通知</w:t>
            </w:r>
          </w:p>
          <w:p>
            <w:pPr>
              <w:widowControl/>
              <w:spacing w:line="360" w:lineRule="auto"/>
              <w:jc w:val="center"/>
              <w:rPr>
                <w:rFonts w:ascii="宋体" w:hAnsi="宋体" w:cs="宋体"/>
                <w:color w:val="auto"/>
                <w:kern w:val="0"/>
                <w:sz w:val="28"/>
                <w:highlight w:val="none"/>
              </w:rPr>
            </w:pPr>
            <w:r>
              <w:rPr>
                <w:rFonts w:hint="eastAsia" w:ascii="宋体" w:hAnsi="宋体" w:cs="宋体"/>
                <w:b/>
                <w:color w:val="auto"/>
                <w:kern w:val="0"/>
                <w:sz w:val="32"/>
                <w:highlight w:val="none"/>
              </w:rPr>
              <w:t>财库〔2019〕19号</w:t>
            </w:r>
          </w:p>
          <w:p>
            <w:pPr>
              <w:widowControl/>
              <w:spacing w:line="360" w:lineRule="auto"/>
              <w:jc w:val="center"/>
              <w:rPr>
                <w:rFonts w:ascii="宋体" w:hAnsi="宋体" w:cs="宋体"/>
                <w:color w:val="auto"/>
                <w:kern w:val="0"/>
                <w:sz w:val="28"/>
                <w:highlight w:val="none"/>
              </w:rPr>
            </w:pPr>
          </w:p>
          <w:p>
            <w:pPr>
              <w:widowControl/>
              <w:spacing w:line="360" w:lineRule="auto"/>
              <w:jc w:val="left"/>
              <w:rPr>
                <w:rFonts w:ascii="宋体" w:hAnsi="宋体" w:cs="宋体"/>
                <w:b/>
                <w:color w:val="auto"/>
                <w:kern w:val="0"/>
                <w:sz w:val="28"/>
                <w:highlight w:val="none"/>
              </w:rPr>
            </w:pPr>
            <w:r>
              <w:rPr>
                <w:rFonts w:hint="eastAsia" w:ascii="宋体" w:hAnsi="宋体" w:cs="宋体"/>
                <w:b/>
                <w:color w:val="auto"/>
                <w:kern w:val="0"/>
                <w:sz w:val="28"/>
                <w:highlight w:val="none"/>
              </w:rPr>
              <w:t>有关中央预算单位，各省、自治区、直辖市、计划单列市财政厅（局）、发展改革委（经信委、工信委、工信厅、经信局），新疆生产建设兵团财政局、发展改革委：</w:t>
            </w:r>
          </w:p>
          <w:p>
            <w:pPr>
              <w:widowControl/>
              <w:spacing w:line="360" w:lineRule="auto"/>
              <w:jc w:val="left"/>
              <w:rPr>
                <w:rFonts w:ascii="宋体" w:hAnsi="宋体" w:cs="宋体"/>
                <w:color w:val="auto"/>
                <w:kern w:val="0"/>
                <w:sz w:val="28"/>
                <w:highlight w:val="none"/>
              </w:rPr>
            </w:pPr>
          </w:p>
          <w:p>
            <w:pPr>
              <w:widowControl/>
              <w:spacing w:line="360" w:lineRule="auto"/>
              <w:ind w:firstLine="565" w:firstLineChars="202"/>
              <w:jc w:val="left"/>
              <w:rPr>
                <w:rFonts w:ascii="宋体" w:hAnsi="宋体" w:cs="宋体"/>
                <w:color w:val="auto"/>
                <w:kern w:val="0"/>
                <w:sz w:val="28"/>
                <w:highlight w:val="none"/>
              </w:rPr>
            </w:pPr>
            <w:r>
              <w:rPr>
                <w:rFonts w:hint="eastAsia" w:ascii="宋体" w:hAnsi="宋体" w:cs="宋体"/>
                <w:color w:val="auto"/>
                <w:kern w:val="0"/>
                <w:sz w:val="28"/>
                <w:highlight w:val="none"/>
              </w:rPr>
              <w:t>根据《财政部发展改革委 生态环境部 市场监管总局关于调整优化节能产品 环境标志产品政府采购执行机制的通知》（财库〔2019〕9号），我们研究制定节能产品政府采购品目清单，现印发给你们，请遵照执行。</w:t>
            </w:r>
          </w:p>
          <w:p>
            <w:pPr>
              <w:widowControl/>
              <w:spacing w:line="360" w:lineRule="auto"/>
              <w:jc w:val="left"/>
              <w:rPr>
                <w:rFonts w:ascii="宋体" w:hAnsi="宋体" w:cs="宋体"/>
                <w:color w:val="auto"/>
                <w:kern w:val="0"/>
                <w:sz w:val="28"/>
                <w:highlight w:val="none"/>
              </w:rPr>
            </w:pPr>
          </w:p>
          <w:p>
            <w:pPr>
              <w:widowControl/>
              <w:spacing w:line="360" w:lineRule="auto"/>
              <w:jc w:val="left"/>
              <w:rPr>
                <w:rFonts w:ascii="宋体" w:hAnsi="宋体" w:cs="宋体"/>
                <w:color w:val="auto"/>
                <w:kern w:val="0"/>
                <w:sz w:val="28"/>
                <w:highlight w:val="none"/>
              </w:rPr>
            </w:pPr>
          </w:p>
          <w:p>
            <w:pPr>
              <w:widowControl/>
              <w:spacing w:line="360" w:lineRule="auto"/>
              <w:jc w:val="left"/>
              <w:rPr>
                <w:rFonts w:ascii="宋体" w:hAnsi="宋体" w:cs="宋体"/>
                <w:color w:val="auto"/>
                <w:kern w:val="0"/>
                <w:sz w:val="28"/>
                <w:highlight w:val="none"/>
              </w:rPr>
            </w:pPr>
          </w:p>
          <w:p>
            <w:pPr>
              <w:widowControl/>
              <w:spacing w:line="360" w:lineRule="auto"/>
              <w:jc w:val="left"/>
              <w:rPr>
                <w:rFonts w:ascii="宋体" w:hAnsi="宋体" w:cs="宋体"/>
                <w:color w:val="auto"/>
                <w:kern w:val="0"/>
                <w:sz w:val="28"/>
                <w:highlight w:val="none"/>
              </w:rPr>
            </w:pPr>
          </w:p>
          <w:p>
            <w:pPr>
              <w:widowControl/>
              <w:spacing w:line="360" w:lineRule="auto"/>
              <w:jc w:val="left"/>
              <w:rPr>
                <w:rFonts w:ascii="宋体" w:hAnsi="宋体" w:cs="宋体"/>
                <w:color w:val="auto"/>
                <w:kern w:val="0"/>
                <w:sz w:val="28"/>
                <w:highlight w:val="none"/>
              </w:rPr>
            </w:pPr>
            <w:r>
              <w:rPr>
                <w:rFonts w:hint="eastAsia" w:ascii="宋体" w:hAnsi="宋体" w:cs="宋体"/>
                <w:color w:val="auto"/>
                <w:kern w:val="0"/>
                <w:sz w:val="28"/>
                <w:highlight w:val="none"/>
              </w:rPr>
              <w:t>附件：节能产品政府采购品目清单</w:t>
            </w:r>
          </w:p>
          <w:p>
            <w:pPr>
              <w:widowControl/>
              <w:spacing w:line="360" w:lineRule="auto"/>
              <w:jc w:val="left"/>
              <w:rPr>
                <w:rFonts w:ascii="宋体" w:hAnsi="宋体" w:cs="宋体"/>
                <w:color w:val="auto"/>
                <w:kern w:val="0"/>
                <w:sz w:val="28"/>
                <w:highlight w:val="none"/>
              </w:rPr>
            </w:pPr>
          </w:p>
          <w:p>
            <w:pPr>
              <w:widowControl/>
              <w:spacing w:line="360" w:lineRule="auto"/>
              <w:jc w:val="left"/>
              <w:rPr>
                <w:rFonts w:ascii="宋体" w:hAnsi="宋体" w:cs="宋体"/>
                <w:color w:val="auto"/>
                <w:kern w:val="0"/>
                <w:sz w:val="28"/>
                <w:highlight w:val="none"/>
              </w:rPr>
            </w:pPr>
          </w:p>
          <w:p>
            <w:pPr>
              <w:widowControl/>
              <w:spacing w:line="360" w:lineRule="auto"/>
              <w:jc w:val="right"/>
              <w:rPr>
                <w:rFonts w:ascii="宋体" w:hAnsi="宋体" w:cs="宋体"/>
                <w:color w:val="auto"/>
                <w:kern w:val="0"/>
                <w:sz w:val="28"/>
                <w:highlight w:val="none"/>
              </w:rPr>
            </w:pPr>
            <w:r>
              <w:rPr>
                <w:rFonts w:hint="eastAsia" w:ascii="宋体" w:hAnsi="宋体" w:cs="宋体"/>
                <w:color w:val="auto"/>
                <w:kern w:val="0"/>
                <w:sz w:val="28"/>
                <w:highlight w:val="none"/>
              </w:rPr>
              <w:t>财政部  发展改革委</w:t>
            </w:r>
          </w:p>
          <w:p>
            <w:pPr>
              <w:widowControl/>
              <w:spacing w:line="360" w:lineRule="auto"/>
              <w:jc w:val="right"/>
              <w:rPr>
                <w:rFonts w:ascii="宋体" w:hAnsi="宋体" w:cs="宋体"/>
                <w:b/>
                <w:color w:val="auto"/>
                <w:kern w:val="0"/>
                <w:sz w:val="32"/>
                <w:highlight w:val="none"/>
              </w:rPr>
            </w:pPr>
            <w:r>
              <w:rPr>
                <w:rFonts w:hint="eastAsia" w:ascii="宋体" w:hAnsi="宋体" w:cs="宋体"/>
                <w:color w:val="auto"/>
                <w:kern w:val="0"/>
                <w:sz w:val="28"/>
                <w:highlight w:val="none"/>
              </w:rPr>
              <w:t>2019年4月2日</w:t>
            </w:r>
          </w:p>
        </w:tc>
      </w:tr>
    </w:tbl>
    <w:p>
      <w:pPr>
        <w:widowControl/>
        <w:spacing w:line="360" w:lineRule="auto"/>
        <w:jc w:val="center"/>
        <w:rPr>
          <w:rFonts w:ascii="宋体" w:hAnsi="宋体" w:cs="宋体"/>
          <w:b/>
          <w:color w:val="auto"/>
          <w:kern w:val="0"/>
          <w:sz w:val="32"/>
          <w:highlight w:val="none"/>
        </w:rPr>
      </w:pPr>
    </w:p>
    <w:p>
      <w:pPr>
        <w:widowControl/>
        <w:spacing w:line="360" w:lineRule="auto"/>
        <w:jc w:val="right"/>
        <w:rPr>
          <w:rFonts w:ascii="宋体" w:hAnsi="宋体" w:cs="宋体"/>
          <w:color w:val="auto"/>
          <w:highlight w:val="none"/>
        </w:rPr>
      </w:pPr>
    </w:p>
    <w:p>
      <w:pPr>
        <w:keepNext/>
        <w:widowControl/>
        <w:adjustRightInd/>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附：节能产品政府采购品目清单</w:t>
      </w:r>
    </w:p>
    <w:tbl>
      <w:tblPr>
        <w:tblStyle w:val="64"/>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5949" w:type="dxa"/>
            <w:gridSpan w:val="3"/>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名称</w:t>
            </w:r>
          </w:p>
        </w:tc>
        <w:tc>
          <w:tcPr>
            <w:tcW w:w="3301" w:type="dxa"/>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w:t>
            </w:r>
          </w:p>
        </w:tc>
        <w:tc>
          <w:tcPr>
            <w:tcW w:w="1933"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209"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A02010104台式计算机</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A02010105便携式计算</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A02010107平板式微型计算机</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w:t>
            </w:r>
          </w:p>
        </w:tc>
        <w:tc>
          <w:tcPr>
            <w:tcW w:w="1933"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209"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807" w:type="dxa"/>
            <w:vAlign w:val="center"/>
          </w:tcPr>
          <w:p>
            <w:pPr>
              <w:jc w:val="left"/>
              <w:rPr>
                <w:rFonts w:ascii="宋体" w:hAnsi="宋体" w:cs="宋体"/>
                <w:color w:val="auto"/>
                <w:w w:val="90"/>
                <w:szCs w:val="21"/>
                <w:highlight w:val="none"/>
              </w:rPr>
            </w:pPr>
            <w:r>
              <w:rPr>
                <w:rFonts w:hint="eastAsia" w:ascii="宋体" w:hAnsi="宋体" w:cs="宋体"/>
                <w:b/>
                <w:bCs/>
                <w:color w:val="auto"/>
                <w:w w:val="90"/>
                <w:szCs w:val="21"/>
                <w:highlight w:val="none"/>
              </w:rPr>
              <w:t>A0201060101喷墨打印机</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A0201060102激光打印机</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A0201060104针式打印机</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807"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A0201060401液晶显示器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5</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A020519泵</w:t>
            </w: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A02051901离心泵</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6</w:t>
            </w:r>
          </w:p>
        </w:tc>
        <w:tc>
          <w:tcPr>
            <w:tcW w:w="1933"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209" w:type="dxa"/>
            <w:vMerge w:val="restart"/>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A02052301制冷压缩机</w:t>
            </w: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冷水机组</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b/>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水源热泵机组</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b/>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溴化锂吸收式冷水机组</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restart"/>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A02052305空调机组</w:t>
            </w: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多联式空调（热泵）机组(制冷量&gt;14000W)</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b/>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单元式空气调节机(制冷量&gt;14000W)</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A02052309专用制冷、空调设备</w:t>
            </w: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机房空调</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A02052399其他制冷空调设备</w:t>
            </w: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冷却塔</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1 部分：中小型开式冷却塔》（GB/T 7190.1）</w:t>
            </w:r>
          </w:p>
          <w:p>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7</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A020601电机</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8</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A020602变压器</w:t>
            </w: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配电变压器</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9</w:t>
            </w:r>
          </w:p>
        </w:tc>
        <w:tc>
          <w:tcPr>
            <w:tcW w:w="1933"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A020609镇流器</w:t>
            </w: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管型荧光灯镇流器</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10</w:t>
            </w:r>
          </w:p>
        </w:tc>
        <w:tc>
          <w:tcPr>
            <w:tcW w:w="1933"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A020618 生活用电器</w:t>
            </w: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A0206180101电冰箱</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《家用电冰箱耗电量限定值及能效等级》（GB</w:t>
            </w:r>
            <w:r>
              <w:rPr>
                <w:rFonts w:hint="eastAsia" w:ascii="宋体" w:hAnsi="宋体" w:cs="宋体"/>
                <w:color w:val="auto"/>
                <w:w w:val="90"/>
                <w:szCs w:val="21"/>
                <w:highlight w:val="none"/>
              </w:rPr>
              <w:tab/>
            </w:r>
            <w:r>
              <w:rPr>
                <w:rFonts w:hint="eastAsia" w:ascii="宋体" w:hAnsi="宋体" w:cs="宋体"/>
                <w:color w:val="auto"/>
                <w:w w:val="90"/>
                <w:szCs w:val="21"/>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restart"/>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A0206180203空调机</w:t>
            </w: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房间空气调节器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b/>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 14000W）</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b/>
                <w:color w:val="auto"/>
                <w:w w:val="90"/>
                <w:szCs w:val="21"/>
                <w:highlight w:val="none"/>
              </w:rPr>
            </w:pPr>
          </w:p>
        </w:tc>
        <w:tc>
          <w:tcPr>
            <w:tcW w:w="1807"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单元式空气调节机(制冷量≤14000W)</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A0206180301洗衣机</w:t>
            </w:r>
          </w:p>
        </w:tc>
        <w:tc>
          <w:tcPr>
            <w:tcW w:w="1807" w:type="dxa"/>
            <w:vAlign w:val="center"/>
          </w:tcPr>
          <w:p>
            <w:pPr>
              <w:jc w:val="left"/>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电热水器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《储水式电热水器能效限定值及能效等级》（GB 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color w:val="auto"/>
                <w:w w:val="90"/>
                <w:szCs w:val="21"/>
                <w:highlight w:val="none"/>
              </w:rPr>
            </w:pP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燃气热水器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color w:val="auto"/>
                <w:w w:val="90"/>
                <w:szCs w:val="21"/>
                <w:highlight w:val="none"/>
              </w:rPr>
            </w:pP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Merge w:val="continue"/>
            <w:vAlign w:val="center"/>
          </w:tcPr>
          <w:p>
            <w:pPr>
              <w:jc w:val="left"/>
              <w:rPr>
                <w:rFonts w:ascii="宋体" w:hAnsi="宋体" w:cs="宋体"/>
                <w:color w:val="auto"/>
                <w:w w:val="90"/>
                <w:szCs w:val="21"/>
                <w:highlight w:val="none"/>
              </w:rPr>
            </w:pPr>
          </w:p>
        </w:tc>
        <w:tc>
          <w:tcPr>
            <w:tcW w:w="1807"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太阳能热水系统</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11</w:t>
            </w:r>
          </w:p>
        </w:tc>
        <w:tc>
          <w:tcPr>
            <w:tcW w:w="1933" w:type="dxa"/>
            <w:vMerge w:val="restart"/>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A020619 照明设备</w:t>
            </w:r>
          </w:p>
        </w:tc>
        <w:tc>
          <w:tcPr>
            <w:tcW w:w="2209"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普通照明用双端荧光灯</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LED道路/隧道照明产品</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LED筒灯</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color w:val="auto"/>
                <w:w w:val="90"/>
                <w:szCs w:val="21"/>
                <w:highlight w:val="none"/>
              </w:rPr>
            </w:pP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普通照明用非定向自镇流LED灯</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12</w:t>
            </w:r>
          </w:p>
        </w:tc>
        <w:tc>
          <w:tcPr>
            <w:tcW w:w="1933"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A020910电视设备</w:t>
            </w: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A02091001普通电视设备（电视机）</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13</w:t>
            </w:r>
          </w:p>
        </w:tc>
        <w:tc>
          <w:tcPr>
            <w:tcW w:w="1933"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A020911视频设备</w:t>
            </w: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A02091107视频监控设备</w:t>
            </w:r>
          </w:p>
        </w:tc>
        <w:tc>
          <w:tcPr>
            <w:tcW w:w="1807" w:type="dxa"/>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监视器</w:t>
            </w: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14</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A031210饮食炊事机械</w:t>
            </w:r>
          </w:p>
        </w:tc>
        <w:tc>
          <w:tcPr>
            <w:tcW w:w="2209"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商用燃气灶具</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15</w:t>
            </w:r>
          </w:p>
        </w:tc>
        <w:tc>
          <w:tcPr>
            <w:tcW w:w="1933" w:type="dxa"/>
            <w:vMerge w:val="restart"/>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A060805便器</w:t>
            </w: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坐便器</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《坐便器水效限定值及水效等级</w:t>
            </w:r>
          </w:p>
          <w:p>
            <w:pPr>
              <w:jc w:val="left"/>
              <w:rPr>
                <w:rFonts w:ascii="宋体" w:hAnsi="宋体" w:cs="宋体"/>
                <w:color w:val="auto"/>
                <w:w w:val="90"/>
                <w:szCs w:val="21"/>
                <w:highlight w:val="none"/>
              </w:rPr>
            </w:pPr>
            <w:r>
              <w:rPr>
                <w:rFonts w:hint="eastAsia" w:ascii="宋体" w:hAnsi="宋体" w:cs="宋体"/>
                <w:color w:val="auto"/>
                <w:w w:val="90"/>
                <w:szCs w:val="21"/>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b/>
                <w:color w:val="auto"/>
                <w:w w:val="90"/>
                <w:szCs w:val="21"/>
                <w:highlight w:val="none"/>
              </w:rPr>
            </w:pP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蹲便器</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color w:val="auto"/>
                <w:w w:val="90"/>
                <w:szCs w:val="21"/>
                <w:highlight w:val="none"/>
              </w:rPr>
            </w:pPr>
          </w:p>
        </w:tc>
        <w:tc>
          <w:tcPr>
            <w:tcW w:w="1933" w:type="dxa"/>
            <w:vMerge w:val="continue"/>
            <w:vAlign w:val="center"/>
          </w:tcPr>
          <w:p>
            <w:pPr>
              <w:jc w:val="left"/>
              <w:rPr>
                <w:rFonts w:ascii="宋体" w:hAnsi="宋体" w:cs="宋体"/>
                <w:b/>
                <w:color w:val="auto"/>
                <w:w w:val="90"/>
                <w:szCs w:val="21"/>
                <w:highlight w:val="none"/>
              </w:rPr>
            </w:pPr>
          </w:p>
        </w:tc>
        <w:tc>
          <w:tcPr>
            <w:tcW w:w="2209" w:type="dxa"/>
            <w:vAlign w:val="center"/>
          </w:tcPr>
          <w:p>
            <w:pPr>
              <w:jc w:val="left"/>
              <w:rPr>
                <w:rFonts w:ascii="宋体" w:hAnsi="宋体" w:cs="宋体"/>
                <w:b/>
                <w:color w:val="auto"/>
                <w:w w:val="90"/>
                <w:szCs w:val="21"/>
                <w:highlight w:val="none"/>
              </w:rPr>
            </w:pPr>
            <w:r>
              <w:rPr>
                <w:rFonts w:hint="eastAsia" w:ascii="宋体" w:hAnsi="宋体" w:cs="宋体"/>
                <w:b/>
                <w:color w:val="auto"/>
                <w:w w:val="90"/>
                <w:szCs w:val="21"/>
                <w:highlight w:val="none"/>
              </w:rPr>
              <w:t>小便器</w:t>
            </w: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16</w:t>
            </w:r>
          </w:p>
        </w:tc>
        <w:tc>
          <w:tcPr>
            <w:tcW w:w="1933" w:type="dxa"/>
            <w:vAlign w:val="center"/>
          </w:tcPr>
          <w:p>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A060806水嘴</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17</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A060807便器冲洗阀</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18</w:t>
            </w:r>
          </w:p>
        </w:tc>
        <w:tc>
          <w:tcPr>
            <w:tcW w:w="1933"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A060810淋浴器</w:t>
            </w:r>
          </w:p>
        </w:tc>
        <w:tc>
          <w:tcPr>
            <w:tcW w:w="2209" w:type="dxa"/>
            <w:vAlign w:val="center"/>
          </w:tcPr>
          <w:p>
            <w:pPr>
              <w:jc w:val="left"/>
              <w:rPr>
                <w:rFonts w:ascii="宋体" w:hAnsi="宋体" w:cs="宋体"/>
                <w:color w:val="auto"/>
                <w:w w:val="90"/>
                <w:szCs w:val="21"/>
                <w:highlight w:val="none"/>
              </w:rPr>
            </w:pPr>
          </w:p>
        </w:tc>
        <w:tc>
          <w:tcPr>
            <w:tcW w:w="1807" w:type="dxa"/>
            <w:vAlign w:val="center"/>
          </w:tcPr>
          <w:p>
            <w:pPr>
              <w:jc w:val="center"/>
              <w:rPr>
                <w:rFonts w:ascii="宋体" w:hAnsi="宋体" w:cs="宋体"/>
                <w:color w:val="auto"/>
                <w:w w:val="90"/>
                <w:szCs w:val="21"/>
                <w:highlight w:val="none"/>
              </w:rPr>
            </w:pPr>
          </w:p>
        </w:tc>
        <w:tc>
          <w:tcPr>
            <w:tcW w:w="3301" w:type="dxa"/>
            <w:vAlign w:val="center"/>
          </w:tcPr>
          <w:p>
            <w:pPr>
              <w:jc w:val="left"/>
              <w:rPr>
                <w:rFonts w:ascii="宋体" w:hAnsi="宋体" w:cs="宋体"/>
                <w:color w:val="auto"/>
                <w:w w:val="90"/>
                <w:szCs w:val="21"/>
                <w:highlight w:val="none"/>
              </w:rPr>
            </w:pPr>
            <w:r>
              <w:rPr>
                <w:rFonts w:hint="eastAsia" w:ascii="宋体" w:hAnsi="宋体" w:cs="宋体"/>
                <w:color w:val="auto"/>
                <w:w w:val="90"/>
                <w:szCs w:val="21"/>
                <w:highlight w:val="none"/>
              </w:rPr>
              <w:t>《淋浴器用水效率限定值及用水效率等级》（GB 28378）</w:t>
            </w:r>
          </w:p>
        </w:tc>
      </w:tr>
    </w:tbl>
    <w:p>
      <w:pPr>
        <w:spacing w:line="360" w:lineRule="auto"/>
        <w:ind w:left="-850" w:leftChars="-405" w:right="-1050" w:rightChars="-500" w:firstLine="382" w:firstLineChars="201"/>
        <w:rPr>
          <w:rFonts w:ascii="宋体" w:hAnsi="宋体" w:cs="宋体"/>
          <w:b/>
          <w:color w:val="auto"/>
          <w:w w:val="90"/>
          <w:highlight w:val="none"/>
        </w:rPr>
      </w:pPr>
      <w:r>
        <w:rPr>
          <w:rFonts w:hint="eastAsia" w:ascii="宋体" w:hAnsi="宋体" w:cs="宋体"/>
          <w:b/>
          <w:color w:val="auto"/>
          <w:w w:val="90"/>
          <w:highlight w:val="none"/>
        </w:rPr>
        <w:t>注：1、节能产品认证应依据相关国家标准的最新版本，依据国家标准中二级能效（水效）指标。</w:t>
      </w:r>
    </w:p>
    <w:p>
      <w:pPr>
        <w:spacing w:line="360" w:lineRule="auto"/>
        <w:ind w:left="-850" w:leftChars="-405" w:right="-1050" w:rightChars="-500" w:firstLine="382" w:firstLineChars="201"/>
        <w:rPr>
          <w:rFonts w:ascii="宋体" w:hAnsi="宋体" w:cs="宋体"/>
          <w:b/>
          <w:color w:val="auto"/>
          <w:w w:val="90"/>
          <w:highlight w:val="none"/>
        </w:rPr>
      </w:pPr>
      <w:r>
        <w:rPr>
          <w:rFonts w:hint="eastAsia" w:ascii="宋体" w:hAnsi="宋体" w:cs="宋体"/>
          <w:b/>
          <w:color w:val="auto"/>
          <w:w w:val="90"/>
          <w:highlight w:val="none"/>
        </w:rPr>
        <w:t>2、上述产品中认证标准发生变更的，依据原认证标准获得的、仍在有效期内的认证证书可使用至2019年6月1日。</w:t>
      </w:r>
    </w:p>
    <w:p>
      <w:pPr>
        <w:spacing w:line="360" w:lineRule="auto"/>
        <w:ind w:left="-850" w:leftChars="-405" w:right="-1050" w:rightChars="-500" w:firstLine="382" w:firstLineChars="201"/>
        <w:rPr>
          <w:rFonts w:ascii="宋体" w:hAnsi="宋体" w:cs="宋体"/>
          <w:color w:val="auto"/>
          <w:highlight w:val="none"/>
        </w:rPr>
      </w:pPr>
      <w:r>
        <w:rPr>
          <w:rFonts w:hint="eastAsia" w:ascii="宋体" w:hAnsi="宋体" w:cs="宋体"/>
          <w:b/>
          <w:color w:val="auto"/>
          <w:w w:val="90"/>
          <w:highlight w:val="none"/>
        </w:rPr>
        <w:t>3、以“★”标注的为政府强制采购产品。</w:t>
      </w:r>
    </w:p>
    <w:p>
      <w:pPr>
        <w:pStyle w:val="2"/>
        <w:rPr>
          <w:rFonts w:ascii="宋体" w:hAnsi="宋体" w:cs="宋体"/>
          <w:color w:val="auto"/>
          <w:highlight w:val="none"/>
        </w:rPr>
      </w:pPr>
      <w:r>
        <w:rPr>
          <w:rFonts w:hint="eastAsia" w:ascii="宋体" w:hAnsi="宋体" w:cs="宋体"/>
          <w:color w:val="auto"/>
          <w:sz w:val="24"/>
          <w:szCs w:val="28"/>
          <w:highlight w:val="none"/>
        </w:rPr>
        <w:br w:type="page"/>
      </w:r>
      <w:bookmarkStart w:id="445" w:name="_Toc20358291"/>
      <w:bookmarkStart w:id="446" w:name="_Toc7668949"/>
      <w:bookmarkStart w:id="447" w:name="_Toc25765009"/>
      <w:bookmarkStart w:id="448" w:name="_Toc7663596"/>
      <w:bookmarkStart w:id="449" w:name="_Toc7664196"/>
      <w:bookmarkStart w:id="450" w:name="_Toc7988420"/>
      <w:bookmarkStart w:id="451" w:name="_Toc7488758"/>
      <w:bookmarkStart w:id="452" w:name="_Toc10432457"/>
      <w:bookmarkStart w:id="453" w:name="_Toc17428253"/>
      <w:bookmarkStart w:id="454" w:name="_Toc24471817"/>
      <w:bookmarkStart w:id="455" w:name="_Toc7542915"/>
      <w:bookmarkStart w:id="456" w:name="_Toc8007004"/>
      <w:bookmarkStart w:id="457" w:name="_Toc7988474"/>
      <w:bookmarkStart w:id="458" w:name="_Toc7492527"/>
      <w:bookmarkStart w:id="459" w:name="_Toc17428348"/>
      <w:bookmarkStart w:id="460" w:name="_Toc7574704"/>
      <w:bookmarkStart w:id="461" w:name="_Toc7993640"/>
      <w:r>
        <w:rPr>
          <w:rFonts w:hint="eastAsia" w:ascii="宋体" w:hAnsi="宋体" w:cs="宋体"/>
          <w:color w:val="auto"/>
          <w:highlight w:val="none"/>
        </w:rPr>
        <w:t>关于印发环境标志产品政府采购品目清单的通知（财库〔2019〕18号）</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jc w:val="center"/>
        <w:rPr>
          <w:rFonts w:ascii="宋体" w:hAnsi="宋体" w:cs="宋体"/>
          <w:color w:val="auto"/>
          <w:kern w:val="0"/>
          <w:sz w:val="24"/>
          <w:szCs w:val="28"/>
          <w:highlight w:val="none"/>
        </w:rPr>
      </w:pPr>
    </w:p>
    <w:p>
      <w:pPr>
        <w:jc w:val="center"/>
        <w:rPr>
          <w:rFonts w:ascii="宋体" w:hAnsi="宋体" w:cs="宋体"/>
          <w:b/>
          <w:color w:val="auto"/>
          <w:kern w:val="0"/>
          <w:sz w:val="32"/>
          <w:highlight w:val="none"/>
        </w:rPr>
      </w:pPr>
      <w:r>
        <w:rPr>
          <w:rFonts w:hint="eastAsia" w:ascii="宋体" w:hAnsi="宋体" w:cs="宋体"/>
          <w:b/>
          <w:color w:val="auto"/>
          <w:kern w:val="0"/>
          <w:sz w:val="32"/>
          <w:highlight w:val="none"/>
        </w:rPr>
        <w:t>关于印发环境标志产品政府采购品目清单的通知</w:t>
      </w:r>
    </w:p>
    <w:p>
      <w:pPr>
        <w:jc w:val="center"/>
        <w:rPr>
          <w:rFonts w:ascii="宋体" w:hAnsi="宋体" w:cs="宋体"/>
          <w:color w:val="auto"/>
          <w:highlight w:val="none"/>
        </w:rPr>
      </w:pPr>
      <w:r>
        <w:rPr>
          <w:rFonts w:hint="eastAsia" w:ascii="宋体" w:hAnsi="宋体" w:cs="宋体"/>
          <w:b/>
          <w:color w:val="auto"/>
          <w:kern w:val="0"/>
          <w:sz w:val="32"/>
          <w:highlight w:val="none"/>
        </w:rPr>
        <w:t>财库〔2019〕18号</w:t>
      </w:r>
    </w:p>
    <w:p>
      <w:pPr>
        <w:spacing w:line="360" w:lineRule="auto"/>
        <w:rPr>
          <w:rFonts w:ascii="宋体" w:hAnsi="宋体" w:cs="宋体"/>
          <w:color w:val="auto"/>
          <w:kern w:val="0"/>
          <w:sz w:val="28"/>
          <w:highlight w:val="none"/>
        </w:rPr>
      </w:pPr>
    </w:p>
    <w:p>
      <w:pPr>
        <w:spacing w:line="360" w:lineRule="auto"/>
        <w:rPr>
          <w:rFonts w:ascii="宋体" w:hAnsi="宋体" w:cs="宋体"/>
          <w:b/>
          <w:color w:val="auto"/>
          <w:kern w:val="0"/>
          <w:sz w:val="28"/>
          <w:highlight w:val="none"/>
        </w:rPr>
      </w:pPr>
      <w:r>
        <w:rPr>
          <w:rFonts w:hint="eastAsia" w:ascii="宋体" w:hAnsi="宋体" w:cs="宋体"/>
          <w:b/>
          <w:color w:val="auto"/>
          <w:kern w:val="0"/>
          <w:sz w:val="28"/>
          <w:highlight w:val="none"/>
        </w:rPr>
        <w:t>有关中央预算单位，各省、自治区、直辖市、计划单列市财政厅（局）、生态环境厅（局），新疆生产建设兵团财政局、环境保护局：</w:t>
      </w:r>
    </w:p>
    <w:p>
      <w:pPr>
        <w:spacing w:line="360" w:lineRule="auto"/>
        <w:rPr>
          <w:rFonts w:ascii="宋体" w:hAnsi="宋体" w:cs="宋体"/>
          <w:color w:val="auto"/>
          <w:kern w:val="0"/>
          <w:sz w:val="28"/>
          <w:highlight w:val="none"/>
        </w:rPr>
      </w:pPr>
    </w:p>
    <w:p>
      <w:pPr>
        <w:spacing w:line="360" w:lineRule="auto"/>
        <w:ind w:firstLine="565" w:firstLineChars="202"/>
        <w:rPr>
          <w:rFonts w:ascii="宋体" w:hAnsi="宋体" w:cs="宋体"/>
          <w:color w:val="auto"/>
          <w:kern w:val="0"/>
          <w:sz w:val="28"/>
          <w:highlight w:val="none"/>
        </w:rPr>
      </w:pPr>
      <w:r>
        <w:rPr>
          <w:rFonts w:hint="eastAsia" w:ascii="宋体" w:hAnsi="宋体" w:cs="宋体"/>
          <w:color w:val="auto"/>
          <w:kern w:val="0"/>
          <w:sz w:val="28"/>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spacing w:line="360" w:lineRule="auto"/>
        <w:ind w:firstLine="565" w:firstLineChars="202"/>
        <w:rPr>
          <w:rFonts w:ascii="宋体" w:hAnsi="宋体" w:cs="宋体"/>
          <w:color w:val="auto"/>
          <w:kern w:val="0"/>
          <w:sz w:val="28"/>
          <w:highlight w:val="none"/>
        </w:rPr>
      </w:pPr>
    </w:p>
    <w:p>
      <w:pPr>
        <w:spacing w:line="360" w:lineRule="auto"/>
        <w:rPr>
          <w:rFonts w:ascii="宋体" w:hAnsi="宋体" w:cs="宋体"/>
          <w:color w:val="auto"/>
          <w:kern w:val="0"/>
          <w:sz w:val="28"/>
          <w:highlight w:val="none"/>
        </w:rPr>
      </w:pPr>
      <w:r>
        <w:rPr>
          <w:rFonts w:hint="eastAsia" w:ascii="宋体" w:hAnsi="宋体" w:cs="宋体"/>
          <w:color w:val="auto"/>
          <w:kern w:val="0"/>
          <w:sz w:val="28"/>
          <w:highlight w:val="none"/>
        </w:rPr>
        <w:t>附件：环境标志产品政府采购品目清单</w:t>
      </w:r>
    </w:p>
    <w:p>
      <w:pPr>
        <w:spacing w:line="360" w:lineRule="auto"/>
        <w:ind w:firstLine="3360"/>
        <w:rPr>
          <w:rFonts w:ascii="宋体" w:hAnsi="宋体" w:cs="宋体"/>
          <w:color w:val="auto"/>
          <w:kern w:val="0"/>
          <w:sz w:val="28"/>
          <w:highlight w:val="none"/>
        </w:rPr>
      </w:pPr>
    </w:p>
    <w:p>
      <w:pPr>
        <w:spacing w:line="360" w:lineRule="auto"/>
        <w:jc w:val="right"/>
        <w:rPr>
          <w:rFonts w:ascii="宋体" w:hAnsi="宋体" w:cs="宋体"/>
          <w:color w:val="auto"/>
          <w:kern w:val="0"/>
          <w:sz w:val="28"/>
          <w:highlight w:val="none"/>
        </w:rPr>
      </w:pPr>
      <w:r>
        <w:rPr>
          <w:rFonts w:hint="eastAsia" w:ascii="宋体" w:hAnsi="宋体" w:cs="宋体"/>
          <w:color w:val="auto"/>
          <w:kern w:val="0"/>
          <w:sz w:val="28"/>
          <w:highlight w:val="none"/>
        </w:rPr>
        <w:t>财政部  生态环境部</w:t>
      </w:r>
    </w:p>
    <w:p>
      <w:pPr>
        <w:spacing w:line="360" w:lineRule="auto"/>
        <w:jc w:val="right"/>
        <w:rPr>
          <w:rFonts w:ascii="宋体" w:hAnsi="宋体" w:cs="宋体"/>
          <w:color w:val="auto"/>
          <w:kern w:val="0"/>
          <w:sz w:val="28"/>
          <w:highlight w:val="none"/>
        </w:rPr>
      </w:pPr>
      <w:r>
        <w:rPr>
          <w:rFonts w:hint="eastAsia" w:ascii="宋体" w:hAnsi="宋体" w:cs="宋体"/>
          <w:color w:val="auto"/>
          <w:kern w:val="0"/>
          <w:sz w:val="28"/>
          <w:highlight w:val="none"/>
        </w:rPr>
        <w:t>2019年3月29日</w:t>
      </w:r>
    </w:p>
    <w:p>
      <w:pPr>
        <w:keepNext/>
        <w:widowControl/>
        <w:adjustRightInd/>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附：环境标志产品政府采购品目清单</w:t>
      </w:r>
    </w:p>
    <w:tbl>
      <w:tblPr>
        <w:tblStyle w:val="64"/>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390"/>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jc w:val="center"/>
        </w:trPr>
        <w:tc>
          <w:tcPr>
            <w:tcW w:w="709" w:type="dxa"/>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6108" w:type="dxa"/>
            <w:gridSpan w:val="3"/>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名称</w:t>
            </w:r>
          </w:p>
        </w:tc>
        <w:tc>
          <w:tcPr>
            <w:tcW w:w="3390" w:type="dxa"/>
            <w:shd w:val="clear" w:color="auto" w:fill="DAEEF3"/>
            <w:vAlign w:val="center"/>
          </w:tcPr>
          <w:p>
            <w:pPr>
              <w:jc w:val="center"/>
              <w:rPr>
                <w:rFonts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A02010103服务器</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A02010104台式计算机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A02010105便携式计算机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A02010107平板式微型计算机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A02010108网络计算机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A02010109计算机工作站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A02010199其他计算机设备</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268"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A0201060101喷墨打印机</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Merge w:val="continue"/>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A0201060102激光打印机</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Merge w:val="continue"/>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A0201060103热式打印机</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Merge w:val="continue"/>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A0201060104针式打印机</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A0201060401液晶显示器</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Merge w:val="continue"/>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A0201060499其他显示器</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A020201复印机</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5</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6</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A020210文印设备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A02021001速印机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7</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A020301载货汽车（含自卸汽车）</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8</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A020305乘用车（轿车）</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A02030501轿车</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A02030599其他乘用车（轿车）</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9</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A020306客车</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A02030601小型客车</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10</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A020307专用车辆</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A02030799其他专用汽车</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11</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A02052301制冷压缩机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A02052305空调机组</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A02052309专用制冷、空调设备</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12</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A020618生活用电器</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A02061802空气调节电器</w:t>
            </w:r>
          </w:p>
        </w:tc>
        <w:tc>
          <w:tcPr>
            <w:tcW w:w="185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A0206180203空调机</w:t>
            </w: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13</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A020619照明设备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A02061908室内照明灯具</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14</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A020810传真及数据数字通信设备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A02081001传真通信设备</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15</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A020910电视设备</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A02091001普通电视设备（电视机）</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A02091003特殊功能应用电视设备</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16</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A0601床类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A060101钢木床类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A060104木制床类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A060199其他床类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17</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A0602台、桌类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A060201钢木台、桌类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A060205木制台、桌类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A060299其他台、桌类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18</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A0603椅凳类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A060301金属骨架为主的椅凳类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A060302木骨架为主的椅凳类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A060399其他椅凳类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19</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A0604沙发类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A060499其他沙发类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20</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A0605柜类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A060501木质柜类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A060503金属质柜类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A060599其他柜类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21</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A0606架类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A060601木质架类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A060602金属质架类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22</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A0607屏风类</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A060701木质屏风类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A060702金属质屏风类</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23</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A060804水池</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24</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A060805便器</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25</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A060806水嘴</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26</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A0609组合家具</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27</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A0610家用家具零配件</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28</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A0699其他家具用具</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29</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A070101棉、化纤纺织及印染原料</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30</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A090101复印纸（包括再生复印纸）</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31</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A090201鼓粉盒（包括再生鼓粉盒）</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32</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A100203人造板</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A10020301胶合板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A10020302纤维板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A10020303刨花板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A10020304细木工板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A10020399其他人造板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33</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A100204352二次加工材，相关板材</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A10020435204人造板表面装饰板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A10020435204人造板表面装饰板（地板）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34</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A100301水泥熟料及水泥</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A10030102水泥</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35</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A100303水泥混凝土制品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A10030301商品混凝土</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36</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A100304纤维增强水泥制品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A10030402纤维增强硅酸钙板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A10030403无石棉纤维水泥制品</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37</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A100305轻质建筑材料及制品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A10030501石膏板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A10030503轻质隔墙条板</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38</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A100307建筑陶瓷制品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A10030701瓷质砖</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A10030704炻质砖</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A10030705陶质砖</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A10030799其他建筑陶瓷制品</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39</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A100309建筑防水卷材及制品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A10030901沥青和改性沥青防水卷材</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A10030903自粘防水卷材</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A10030906高分子防水卷（片）材</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40</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A100310隔热、隔音人造矿物材料及其制品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A10031001矿物绝热和吸声材料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A10031002矿物材料制品</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41</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A100601功能性建筑涂料</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42</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A100399其他非金属矿物制品</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A10039901其他非金属建筑材料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43</w:t>
            </w:r>
          </w:p>
        </w:tc>
        <w:tc>
          <w:tcPr>
            <w:tcW w:w="1985" w:type="dxa"/>
            <w:vMerge w:val="restart"/>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A100602墙面涂料</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A10060202合成树脂乳液内墙涂料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A10060203合成树脂乳液外墙涂料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color w:val="auto"/>
                <w:w w:val="90"/>
                <w:szCs w:val="21"/>
                <w:highlight w:val="none"/>
              </w:rPr>
            </w:pPr>
          </w:p>
        </w:tc>
        <w:tc>
          <w:tcPr>
            <w:tcW w:w="1985" w:type="dxa"/>
            <w:vMerge w:val="continue"/>
            <w:vAlign w:val="center"/>
          </w:tcPr>
          <w:p>
            <w:pPr>
              <w:rPr>
                <w:rFonts w:ascii="宋体" w:hAnsi="宋体" w:cs="宋体"/>
                <w:color w:val="auto"/>
                <w:w w:val="90"/>
                <w:szCs w:val="21"/>
                <w:highlight w:val="none"/>
              </w:rPr>
            </w:pP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A10060299其他墙面涂料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44</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A100604防水涂料</w:t>
            </w:r>
          </w:p>
        </w:tc>
        <w:tc>
          <w:tcPr>
            <w:tcW w:w="2268"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A10060499其他防水涂料</w:t>
            </w: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45</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A100699其他建筑涂料</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46</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A100701门、门槛</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HJ/T237塑料门窗/HJ459木质门和钢质门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47</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A100702窗</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48</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A170108涂料（建筑涂料除外）</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49</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A170112密封用填料及类似品</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color w:val="auto"/>
                <w:w w:val="90"/>
                <w:szCs w:val="21"/>
                <w:highlight w:val="none"/>
              </w:rPr>
            </w:pPr>
            <w:r>
              <w:rPr>
                <w:rFonts w:hint="eastAsia" w:ascii="宋体" w:hAnsi="宋体" w:cs="宋体"/>
                <w:color w:val="auto"/>
                <w:w w:val="90"/>
                <w:szCs w:val="21"/>
                <w:highlight w:val="none"/>
              </w:rPr>
              <w:t>50</w:t>
            </w:r>
          </w:p>
        </w:tc>
        <w:tc>
          <w:tcPr>
            <w:tcW w:w="1985"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A180201塑料制品</w:t>
            </w:r>
          </w:p>
        </w:tc>
        <w:tc>
          <w:tcPr>
            <w:tcW w:w="2268" w:type="dxa"/>
            <w:vAlign w:val="center"/>
          </w:tcPr>
          <w:p>
            <w:pPr>
              <w:rPr>
                <w:rFonts w:ascii="宋体" w:hAnsi="宋体" w:cs="宋体"/>
                <w:color w:val="auto"/>
                <w:w w:val="90"/>
                <w:szCs w:val="21"/>
                <w:highlight w:val="none"/>
              </w:rPr>
            </w:pPr>
          </w:p>
        </w:tc>
        <w:tc>
          <w:tcPr>
            <w:tcW w:w="1855" w:type="dxa"/>
            <w:vAlign w:val="center"/>
          </w:tcPr>
          <w:p>
            <w:pPr>
              <w:rPr>
                <w:rFonts w:ascii="宋体" w:hAnsi="宋体" w:cs="宋体"/>
                <w:color w:val="auto"/>
                <w:w w:val="90"/>
                <w:szCs w:val="21"/>
                <w:highlight w:val="none"/>
              </w:rPr>
            </w:pPr>
          </w:p>
        </w:tc>
        <w:tc>
          <w:tcPr>
            <w:tcW w:w="3390" w:type="dxa"/>
            <w:vAlign w:val="center"/>
          </w:tcPr>
          <w:p>
            <w:pPr>
              <w:rPr>
                <w:rFonts w:ascii="宋体" w:hAnsi="宋体" w:cs="宋体"/>
                <w:color w:val="auto"/>
                <w:w w:val="90"/>
                <w:szCs w:val="21"/>
                <w:highlight w:val="none"/>
              </w:rPr>
            </w:pPr>
            <w:r>
              <w:rPr>
                <w:rFonts w:hint="eastAsia" w:ascii="宋体" w:hAnsi="宋体" w:cs="宋体"/>
                <w:color w:val="auto"/>
                <w:w w:val="90"/>
                <w:szCs w:val="21"/>
                <w:highlight w:val="none"/>
              </w:rPr>
              <w:t>HJ/T226建筑用塑料管材/HJ/T231再生塑料制品</w:t>
            </w:r>
          </w:p>
        </w:tc>
      </w:tr>
    </w:tbl>
    <w:p>
      <w:pPr>
        <w:spacing w:line="360" w:lineRule="auto"/>
        <w:ind w:left="-850" w:leftChars="-405" w:right="-1050" w:rightChars="-500" w:firstLine="382" w:firstLineChars="201"/>
        <w:rPr>
          <w:rFonts w:ascii="宋体" w:hAnsi="宋体" w:cs="宋体"/>
          <w:color w:val="auto"/>
          <w:kern w:val="0"/>
          <w:sz w:val="28"/>
          <w:highlight w:val="none"/>
        </w:rPr>
      </w:pPr>
      <w:r>
        <w:rPr>
          <w:rFonts w:hint="eastAsia" w:ascii="宋体" w:hAnsi="宋体" w:cs="宋体"/>
          <w:b/>
          <w:color w:val="auto"/>
          <w:w w:val="90"/>
          <w:highlight w:val="none"/>
        </w:rPr>
        <w:t>注：环境标志产品认证应依据相关标准的最新版本。</w:t>
      </w:r>
    </w:p>
    <w:p>
      <w:pPr>
        <w:pStyle w:val="2"/>
        <w:rPr>
          <w:rFonts w:ascii="宋体" w:hAnsi="宋体" w:cs="宋体"/>
          <w:color w:val="auto"/>
          <w:highlight w:val="none"/>
        </w:rPr>
      </w:pPr>
      <w:r>
        <w:rPr>
          <w:rFonts w:hint="eastAsia" w:ascii="宋体" w:hAnsi="宋体" w:cs="宋体"/>
          <w:color w:val="auto"/>
          <w:highlight w:val="none"/>
        </w:rPr>
        <w:br w:type="page"/>
      </w:r>
      <w:bookmarkStart w:id="462" w:name="_Toc7574705"/>
      <w:bookmarkStart w:id="463" w:name="_Toc10432458"/>
      <w:bookmarkStart w:id="464" w:name="_Toc8007005"/>
      <w:bookmarkStart w:id="465" w:name="_Toc25765010"/>
      <w:bookmarkStart w:id="466" w:name="_Toc7488759"/>
      <w:bookmarkStart w:id="467" w:name="_Toc17428254"/>
      <w:bookmarkStart w:id="468" w:name="_Toc7988475"/>
      <w:bookmarkStart w:id="469" w:name="_Toc7668950"/>
      <w:bookmarkStart w:id="470" w:name="_Toc7492528"/>
      <w:bookmarkStart w:id="471" w:name="_Toc24471818"/>
      <w:bookmarkStart w:id="472" w:name="_Toc7663597"/>
      <w:bookmarkStart w:id="473" w:name="_Toc7664197"/>
      <w:bookmarkStart w:id="474" w:name="_Toc7542916"/>
      <w:bookmarkStart w:id="475" w:name="_Toc17428349"/>
      <w:bookmarkStart w:id="476" w:name="_Toc7993641"/>
      <w:bookmarkStart w:id="477" w:name="_Toc7988421"/>
      <w:bookmarkStart w:id="478" w:name="_Toc20358292"/>
      <w:r>
        <w:rPr>
          <w:rFonts w:hint="eastAsia" w:ascii="宋体" w:hAnsi="宋体" w:cs="宋体"/>
          <w:color w:val="auto"/>
          <w:highlight w:val="none"/>
        </w:rPr>
        <w:t xml:space="preserve">    市场监管总局关于发布参与实施政府采购节能产品、环境标志产品认证机构名录的公告（2019年第16号）</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widowControl/>
        <w:shd w:val="clear" w:color="auto" w:fill="FFFFFF"/>
        <w:spacing w:before="68" w:after="299" w:line="360" w:lineRule="auto"/>
        <w:jc w:val="center"/>
        <w:textAlignment w:val="baseline"/>
        <w:rPr>
          <w:rFonts w:ascii="宋体" w:hAnsi="宋体" w:cs="宋体"/>
          <w:b/>
          <w:color w:val="auto"/>
          <w:kern w:val="0"/>
          <w:sz w:val="28"/>
          <w:highlight w:val="none"/>
        </w:rPr>
      </w:pPr>
    </w:p>
    <w:p>
      <w:pPr>
        <w:widowControl/>
        <w:shd w:val="clear" w:color="auto" w:fill="FFFFFF"/>
        <w:spacing w:before="68" w:after="299" w:line="360" w:lineRule="auto"/>
        <w:jc w:val="center"/>
        <w:textAlignment w:val="baseline"/>
        <w:rPr>
          <w:rFonts w:ascii="宋体" w:hAnsi="宋体" w:cs="宋体"/>
          <w:b/>
          <w:color w:val="auto"/>
          <w:kern w:val="0"/>
          <w:sz w:val="36"/>
          <w:highlight w:val="none"/>
        </w:rPr>
      </w:pPr>
      <w:r>
        <w:rPr>
          <w:rFonts w:hint="eastAsia" w:ascii="宋体" w:hAnsi="宋体" w:cs="宋体"/>
          <w:b/>
          <w:color w:val="auto"/>
          <w:kern w:val="0"/>
          <w:sz w:val="36"/>
          <w:highlight w:val="none"/>
        </w:rPr>
        <w:t>市场监管总局关于发布参与实施政府采购节能产品、环境</w:t>
      </w:r>
    </w:p>
    <w:p>
      <w:pPr>
        <w:widowControl/>
        <w:shd w:val="clear" w:color="auto" w:fill="FFFFFF"/>
        <w:spacing w:before="68" w:after="299" w:line="360" w:lineRule="auto"/>
        <w:jc w:val="center"/>
        <w:textAlignment w:val="baseline"/>
        <w:rPr>
          <w:rFonts w:ascii="宋体" w:hAnsi="宋体" w:cs="宋体"/>
          <w:b/>
          <w:color w:val="auto"/>
          <w:kern w:val="0"/>
          <w:sz w:val="24"/>
          <w:highlight w:val="none"/>
        </w:rPr>
      </w:pPr>
      <w:r>
        <w:rPr>
          <w:rFonts w:hint="eastAsia" w:ascii="宋体" w:hAnsi="宋体" w:cs="宋体"/>
          <w:b/>
          <w:color w:val="auto"/>
          <w:kern w:val="0"/>
          <w:sz w:val="36"/>
          <w:highlight w:val="none"/>
        </w:rPr>
        <w:t>标志产品认证机构名录的公告</w:t>
      </w:r>
    </w:p>
    <w:p>
      <w:pPr>
        <w:widowControl/>
        <w:shd w:val="clear" w:color="auto" w:fill="FFFFFF"/>
        <w:spacing w:before="68" w:after="299"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2019年第16号</w:t>
      </w:r>
    </w:p>
    <w:p>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spacing w:before="68" w:after="299" w:line="360" w:lineRule="auto"/>
        <w:ind w:firstLine="424" w:firstLineChars="177"/>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自本公告发布后，新增认证机构应尽快完成政府采购认证信息系统对接，对接完成后方可开展相关认证工作。</w:t>
      </w:r>
    </w:p>
    <w:p>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市场监管总局</w:t>
      </w:r>
    </w:p>
    <w:p>
      <w:pPr>
        <w:widowControl/>
        <w:shd w:val="clear" w:color="auto" w:fill="FFFFFF"/>
        <w:spacing w:before="68" w:after="299" w:line="360" w:lineRule="auto"/>
        <w:jc w:val="righ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2019年4月3日</w:t>
      </w:r>
    </w:p>
    <w:p>
      <w:pPr>
        <w:keepNext/>
        <w:widowControl/>
        <w:adjustRightInd/>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附1：参与实施政府采购节能产品认证机构名录</w:t>
      </w:r>
    </w:p>
    <w:tbl>
      <w:tblPr>
        <w:tblStyle w:val="64"/>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序号</w:t>
            </w:r>
          </w:p>
        </w:tc>
        <w:tc>
          <w:tcPr>
            <w:tcW w:w="2481"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一级目录</w:t>
            </w:r>
          </w:p>
        </w:tc>
        <w:tc>
          <w:tcPr>
            <w:tcW w:w="3472"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二级目录</w:t>
            </w:r>
          </w:p>
        </w:tc>
        <w:tc>
          <w:tcPr>
            <w:tcW w:w="3261"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tcMar>
              <w:top w:w="0" w:type="dxa"/>
              <w:left w:w="0" w:type="dxa"/>
              <w:bottom w:w="0" w:type="dxa"/>
              <w:right w:w="0" w:type="dxa"/>
            </w:tcMar>
            <w:vAlign w:val="center"/>
          </w:tcPr>
          <w:p>
            <w:pPr>
              <w:spacing w:line="276" w:lineRule="auto"/>
              <w:jc w:val="center"/>
              <w:textAlignment w:val="baseline"/>
              <w:rPr>
                <w:rFonts w:ascii="宋体" w:hAnsi="宋体" w:cs="宋体"/>
                <w:color w:val="auto"/>
                <w:w w:val="90"/>
                <w:kern w:val="0"/>
                <w:sz w:val="22"/>
                <w:szCs w:val="22"/>
                <w:highlight w:val="none"/>
              </w:rPr>
            </w:pPr>
          </w:p>
        </w:tc>
        <w:tc>
          <w:tcPr>
            <w:tcW w:w="1134" w:type="dxa"/>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产品代码</w:t>
            </w:r>
          </w:p>
        </w:tc>
        <w:tc>
          <w:tcPr>
            <w:tcW w:w="1347"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产品名称</w:t>
            </w:r>
          </w:p>
        </w:tc>
        <w:tc>
          <w:tcPr>
            <w:tcW w:w="1402"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产品代码</w:t>
            </w:r>
          </w:p>
        </w:tc>
        <w:tc>
          <w:tcPr>
            <w:tcW w:w="2070"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color w:val="auto"/>
                <w:w w:val="90"/>
                <w:kern w:val="0"/>
                <w:sz w:val="22"/>
                <w:szCs w:val="22"/>
                <w:highlight w:val="none"/>
              </w:rPr>
            </w:pPr>
            <w:r>
              <w:rPr>
                <w:rFonts w:hint="eastAsia" w:ascii="宋体" w:hAnsi="宋体" w:cs="宋体"/>
                <w:b/>
                <w:color w:val="auto"/>
                <w:w w:val="90"/>
                <w:kern w:val="0"/>
                <w:sz w:val="22"/>
                <w:szCs w:val="22"/>
                <w:highlight w:val="none"/>
              </w:rPr>
              <w:t>产品名称</w:t>
            </w:r>
          </w:p>
        </w:tc>
        <w:tc>
          <w:tcPr>
            <w:tcW w:w="3261" w:type="dxa"/>
            <w:vMerge w:val="continue"/>
            <w:shd w:val="clear" w:color="auto" w:fill="DAEEF3"/>
            <w:tcMar>
              <w:top w:w="0" w:type="dxa"/>
              <w:left w:w="0" w:type="dxa"/>
              <w:bottom w:w="0" w:type="dxa"/>
              <w:right w:w="0" w:type="dxa"/>
            </w:tcMar>
            <w:vAlign w:val="center"/>
          </w:tcPr>
          <w:p>
            <w:pPr>
              <w:spacing w:line="276" w:lineRule="auto"/>
              <w:jc w:val="left"/>
              <w:textAlignment w:val="baseline"/>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计算机设备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A02010104</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台式计算机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北京赛西认证有限责任公司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中国网络安全审查技术与认证中心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便携式计算机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A02010107</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平板式微型计算机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2</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输入输出设备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打印设备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A02010604</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显示设备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A02010609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图形图像输入设备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A020202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投影仪</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A020204352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多功能一体机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泵</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A02051901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离心泵</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电能（北京）认证中心有限公司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6</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制冷空调设备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制冷压缩机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合肥通用机械产品认证有限公司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空调机组</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专用制冷、空调设备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A02052399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其他制冷空调设备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A020601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电能（北京）认证中心有限公司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变压器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电能（北京）认证中心有限公司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9</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A020609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镇流器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深圳市计量质量检测研究院</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10</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生活用电器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A0206180101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电冰箱</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A0206180203</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空调机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A0206180301</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洗衣机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color w:val="auto"/>
                <w:w w:val="90"/>
                <w:kern w:val="0"/>
                <w:sz w:val="22"/>
                <w:szCs w:val="22"/>
                <w:highlight w:val="none"/>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A02061808</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热水器</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威凯认证检测有限公司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中家院（北京）检测认证有限公司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11</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A020619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照明设备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深圳市计量质量检测研究院</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12</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电视设备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A02091001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普通电视设备（电视机）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北京泰瑞特认证有限责任公司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视频设备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A02091107</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视频监控设备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A031210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饮食炊事机械</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北京鉴衡认证中心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A060805</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便器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中国质量认证中心</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北京新华节水产品认证有限公司</w:t>
            </w:r>
          </w:p>
          <w:p>
            <w:pPr>
              <w:widowControl/>
              <w:spacing w:line="276" w:lineRule="auto"/>
              <w:jc w:val="left"/>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16</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A060806</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水嘴</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A060807</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便器冲洗阀</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18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A060810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r>
              <w:rPr>
                <w:rFonts w:hint="eastAsia" w:ascii="宋体" w:hAnsi="宋体" w:cs="宋体"/>
                <w:color w:val="auto"/>
                <w:w w:val="90"/>
                <w:kern w:val="0"/>
                <w:sz w:val="22"/>
                <w:szCs w:val="22"/>
                <w:highlight w:val="none"/>
              </w:rPr>
              <w:t>淋浴器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w w:val="90"/>
                <w:kern w:val="0"/>
                <w:sz w:val="22"/>
                <w:szCs w:val="22"/>
                <w:highlight w:val="none"/>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color w:val="auto"/>
                <w:w w:val="90"/>
                <w:kern w:val="0"/>
                <w:sz w:val="22"/>
                <w:szCs w:val="22"/>
                <w:highlight w:val="none"/>
              </w:rPr>
            </w:pPr>
          </w:p>
        </w:tc>
      </w:tr>
    </w:tbl>
    <w:p>
      <w:pPr>
        <w:keepNext/>
        <w:widowControl/>
        <w:adjustRightInd/>
        <w:rPr>
          <w:rFonts w:ascii="宋体" w:hAnsi="宋体" w:cs="宋体"/>
          <w:color w:val="auto"/>
          <w:highlight w:val="none"/>
        </w:rPr>
      </w:pPr>
      <w:r>
        <w:rPr>
          <w:rFonts w:hint="eastAsia" w:ascii="宋体" w:hAnsi="宋体" w:cs="宋体"/>
          <w:color w:val="auto"/>
          <w:highlight w:val="none"/>
        </w:rPr>
        <w:t>附2：参与实施政府采购环境标志产品认证机构名录</w:t>
      </w:r>
    </w:p>
    <w:tbl>
      <w:tblPr>
        <w:tblStyle w:val="64"/>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2288"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目录</w:t>
            </w:r>
          </w:p>
        </w:tc>
        <w:tc>
          <w:tcPr>
            <w:tcW w:w="6643"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28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环境标志产品</w:t>
            </w:r>
          </w:p>
        </w:tc>
        <w:tc>
          <w:tcPr>
            <w:tcW w:w="6643"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中环联合（北京）认证中心有限公司</w:t>
            </w:r>
          </w:p>
          <w:p>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中标合信（北京）认证有限公司</w:t>
            </w:r>
          </w:p>
          <w:p>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中环协（北京）认证有限公司</w:t>
            </w:r>
          </w:p>
          <w:p>
            <w:pPr>
              <w:widowControl/>
              <w:spacing w:line="276" w:lineRule="auto"/>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天津华诚认证有限公司</w:t>
            </w:r>
          </w:p>
        </w:tc>
      </w:tr>
      <w:bookmarkEnd w:id="423"/>
      <w:bookmarkEnd w:id="424"/>
      <w:bookmarkEnd w:id="425"/>
      <w:bookmarkEnd w:id="426"/>
      <w:bookmarkEnd w:id="427"/>
    </w:tbl>
    <w:p>
      <w:pPr>
        <w:rPr>
          <w:rFonts w:ascii="宋体" w:hAnsi="宋体" w:cs="宋体"/>
          <w:color w:val="auto"/>
          <w:highlight w:val="none"/>
        </w:rPr>
      </w:pPr>
    </w:p>
    <w:p>
      <w:pPr>
        <w:rPr>
          <w:rFonts w:ascii="宋体" w:hAnsi="宋体" w:cs="宋体"/>
          <w:color w:val="auto"/>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bookmarkStart w:id="479" w:name="_Toc91899912"/>
    <w:bookmarkStart w:id="480" w:name="_Toc164085800"/>
    <w:bookmarkStart w:id="481" w:name="_Toc36110187"/>
    <w:bookmarkStart w:id="482" w:name="_Toc131845147"/>
    <w:r>
      <w:rPr>
        <w:rFonts w:hint="eastAsia" w:ascii="仿宋_GB2312" w:eastAsia="仿宋_GB2312"/>
        <w:kern w:val="0"/>
        <w:szCs w:val="21"/>
      </w:rPr>
      <w:t xml:space="preserve"> 页</w:t>
    </w:r>
    <w:bookmarkEnd w:id="479"/>
    <w:bookmarkEnd w:id="480"/>
    <w:bookmarkEnd w:id="481"/>
    <w:bookmarkEnd w:id="482"/>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138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138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137</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137</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仿宋_GB2312"/>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wordWrap w:val="0"/>
      <w:snapToGrid w:val="0"/>
      <w:spacing w:line="460" w:lineRule="exact"/>
      <w:rPr>
        <w:rFonts w:ascii="仿宋" w:hAnsi="仿宋" w:eastAsia="仿宋" w:cs="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4">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00000C"/>
    <w:multiLevelType w:val="multilevel"/>
    <w:tmpl w:val="0000000C"/>
    <w:lvl w:ilvl="0" w:tentative="0">
      <w:start w:val="1"/>
      <w:numFmt w:val="chineseCountingThousand"/>
      <w:lvlText w:val="%1、"/>
      <w:lvlJc w:val="left"/>
      <w:pPr>
        <w:tabs>
          <w:tab w:val="left" w:pos="180"/>
        </w:tabs>
        <w:ind w:left="464" w:hanging="284"/>
      </w:pPr>
      <w:rPr>
        <w:rFonts w:hint="default" w:ascii="Times New Roman" w:hAnsi="Times New Roman" w:eastAsia="宋体"/>
        <w:b/>
        <w:sz w:val="24"/>
        <w:u w:val="none"/>
      </w:rPr>
    </w:lvl>
    <w:lvl w:ilvl="1" w:tentative="0">
      <w:start w:val="1"/>
      <w:numFmt w:val="decimal"/>
      <w:pStyle w:val="970"/>
      <w:lvlText w:val="%2、"/>
      <w:lvlJc w:val="left"/>
      <w:pPr>
        <w:tabs>
          <w:tab w:val="left" w:pos="360"/>
        </w:tabs>
        <w:ind w:left="644" w:hanging="284"/>
      </w:pPr>
      <w:rPr>
        <w:rFonts w:hint="default" w:ascii="Times New Roman" w:hAnsi="Times New Roman" w:eastAsia="宋体"/>
        <w:sz w:val="24"/>
        <w:u w:val="none"/>
      </w:rPr>
    </w:lvl>
    <w:lvl w:ilvl="2" w:tentative="0">
      <w:start w:val="1"/>
      <w:numFmt w:val="decimal"/>
      <w:lvlText w:val="%2.%3"/>
      <w:lvlJc w:val="left"/>
      <w:pPr>
        <w:tabs>
          <w:tab w:val="left" w:pos="360"/>
        </w:tabs>
        <w:ind w:left="644" w:hanging="284"/>
      </w:pPr>
      <w:rPr>
        <w:rFonts w:hint="default" w:ascii="Times New Roman" w:hAnsi="Times New Roman" w:eastAsia="宋体"/>
        <w:sz w:val="21"/>
        <w:u w:val="none"/>
      </w:rPr>
    </w:lvl>
    <w:lvl w:ilvl="3" w:tentative="0">
      <w:start w:val="1"/>
      <w:numFmt w:val="decimal"/>
      <w:lvlText w:val="%2.%3.%4"/>
      <w:lvlJc w:val="left"/>
      <w:pPr>
        <w:tabs>
          <w:tab w:val="left" w:pos="1032"/>
        </w:tabs>
        <w:ind w:left="1316" w:hanging="284"/>
      </w:pPr>
      <w:rPr>
        <w:rFonts w:hint="default" w:ascii="Times New Roman" w:hAnsi="Times New Roman" w:eastAsia="宋体"/>
        <w:sz w:val="21"/>
        <w:u w:val="none"/>
      </w:rPr>
    </w:lvl>
    <w:lvl w:ilvl="4" w:tentative="0">
      <w:start w:val="1"/>
      <w:numFmt w:val="decimal"/>
      <w:lvlText w:val="%2.%3.%4.%5"/>
      <w:lvlJc w:val="left"/>
      <w:pPr>
        <w:tabs>
          <w:tab w:val="left" w:pos="1316"/>
        </w:tabs>
        <w:ind w:left="1600" w:hanging="284"/>
      </w:pPr>
      <w:rPr>
        <w:rFonts w:hint="default" w:ascii="Times New Roman" w:hAnsi="Times New Roman" w:eastAsia="宋体"/>
        <w:u w:val="none"/>
      </w:rPr>
    </w:lvl>
    <w:lvl w:ilvl="5" w:tentative="0">
      <w:start w:val="1"/>
      <w:numFmt w:val="decimal"/>
      <w:lvlText w:val="%1.%2.%3.%4.%5.%6"/>
      <w:lvlJc w:val="left"/>
      <w:pPr>
        <w:tabs>
          <w:tab w:val="left" w:pos="1600"/>
        </w:tabs>
        <w:ind w:left="1884" w:hanging="284"/>
      </w:pPr>
      <w:rPr>
        <w:rFonts w:hint="default"/>
        <w:u w:val="none"/>
      </w:rPr>
    </w:lvl>
    <w:lvl w:ilvl="6" w:tentative="0">
      <w:start w:val="1"/>
      <w:numFmt w:val="decimal"/>
      <w:lvlText w:val="%1.%2.%3.%4.%5.%6.%7"/>
      <w:lvlJc w:val="left"/>
      <w:pPr>
        <w:tabs>
          <w:tab w:val="left" w:pos="1884"/>
        </w:tabs>
        <w:ind w:left="2168" w:hanging="284"/>
      </w:pPr>
      <w:rPr>
        <w:rFonts w:hint="default"/>
        <w:u w:val="none"/>
      </w:rPr>
    </w:lvl>
    <w:lvl w:ilvl="7" w:tentative="0">
      <w:start w:val="1"/>
      <w:numFmt w:val="decimal"/>
      <w:lvlText w:val="%1.%2.%3.%4.%5.%6.%7.%8"/>
      <w:lvlJc w:val="left"/>
      <w:pPr>
        <w:tabs>
          <w:tab w:val="left" w:pos="2168"/>
        </w:tabs>
        <w:ind w:left="2452" w:hanging="284"/>
      </w:pPr>
      <w:rPr>
        <w:rFonts w:hint="default"/>
        <w:u w:val="none"/>
      </w:rPr>
    </w:lvl>
    <w:lvl w:ilvl="8" w:tentative="0">
      <w:start w:val="1"/>
      <w:numFmt w:val="decimal"/>
      <w:lvlText w:val="%1.%2.%3.%4.%5.%6.%7.%8.%9"/>
      <w:lvlJc w:val="left"/>
      <w:pPr>
        <w:tabs>
          <w:tab w:val="left" w:pos="2452"/>
        </w:tabs>
        <w:ind w:left="2736" w:hanging="284"/>
      </w:pPr>
      <w:rPr>
        <w:rFonts w:hint="default"/>
        <w:u w:val="none"/>
      </w:rPr>
    </w:lvl>
  </w:abstractNum>
  <w:abstractNum w:abstractNumId="6">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7">
    <w:nsid w:val="638A2C88"/>
    <w:multiLevelType w:val="singleLevel"/>
    <w:tmpl w:val="638A2C88"/>
    <w:lvl w:ilvl="0" w:tentative="0">
      <w:start w:val="1"/>
      <w:numFmt w:val="decimal"/>
      <w:suff w:val="space"/>
      <w:lvlText w:val="%1."/>
      <w:lvlJc w:val="left"/>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1ZjM1ZjljZjc3NmZiMTRjMThiODBmOTg5OTdmY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249"/>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BD5"/>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09A"/>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5EF"/>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711"/>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472F"/>
    <w:rsid w:val="00B35B6D"/>
    <w:rsid w:val="00B35D53"/>
    <w:rsid w:val="00B367C4"/>
    <w:rsid w:val="00B36D3E"/>
    <w:rsid w:val="00B37B8E"/>
    <w:rsid w:val="00B40222"/>
    <w:rsid w:val="00B404C3"/>
    <w:rsid w:val="00B41914"/>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300"/>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00"/>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E64"/>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15DD"/>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1B0"/>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C5F"/>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0F9"/>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DF"/>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84C"/>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C725F7"/>
    <w:rsid w:val="01D55165"/>
    <w:rsid w:val="01DF6BF8"/>
    <w:rsid w:val="01EC2C57"/>
    <w:rsid w:val="020B0E44"/>
    <w:rsid w:val="020B590A"/>
    <w:rsid w:val="025F0711"/>
    <w:rsid w:val="026B2E25"/>
    <w:rsid w:val="02753E85"/>
    <w:rsid w:val="02824D4D"/>
    <w:rsid w:val="02DC4B10"/>
    <w:rsid w:val="02DD76CE"/>
    <w:rsid w:val="02F36323"/>
    <w:rsid w:val="02F5619C"/>
    <w:rsid w:val="0326446A"/>
    <w:rsid w:val="032D5555"/>
    <w:rsid w:val="035717DD"/>
    <w:rsid w:val="036634D2"/>
    <w:rsid w:val="038D16A3"/>
    <w:rsid w:val="03DD35E4"/>
    <w:rsid w:val="03E76624"/>
    <w:rsid w:val="03F040A4"/>
    <w:rsid w:val="04076900"/>
    <w:rsid w:val="041A5A3B"/>
    <w:rsid w:val="042311BA"/>
    <w:rsid w:val="042B157A"/>
    <w:rsid w:val="045521C0"/>
    <w:rsid w:val="048F763B"/>
    <w:rsid w:val="049F330E"/>
    <w:rsid w:val="04AA775C"/>
    <w:rsid w:val="04AF1889"/>
    <w:rsid w:val="04C64E6C"/>
    <w:rsid w:val="04F66F48"/>
    <w:rsid w:val="050E411D"/>
    <w:rsid w:val="05156D48"/>
    <w:rsid w:val="05251E14"/>
    <w:rsid w:val="056652C0"/>
    <w:rsid w:val="057F6DC9"/>
    <w:rsid w:val="05A16594"/>
    <w:rsid w:val="05A7762D"/>
    <w:rsid w:val="060E5941"/>
    <w:rsid w:val="06110FAF"/>
    <w:rsid w:val="061E21DC"/>
    <w:rsid w:val="06493CA7"/>
    <w:rsid w:val="065A6178"/>
    <w:rsid w:val="066F1CF3"/>
    <w:rsid w:val="06930BB8"/>
    <w:rsid w:val="06D1544B"/>
    <w:rsid w:val="06F7130D"/>
    <w:rsid w:val="06FA704F"/>
    <w:rsid w:val="071B3656"/>
    <w:rsid w:val="07245D42"/>
    <w:rsid w:val="07264C62"/>
    <w:rsid w:val="075A6102"/>
    <w:rsid w:val="0779354C"/>
    <w:rsid w:val="07886409"/>
    <w:rsid w:val="078D3A1F"/>
    <w:rsid w:val="07A46B95"/>
    <w:rsid w:val="07B70A9C"/>
    <w:rsid w:val="08061376"/>
    <w:rsid w:val="08452D77"/>
    <w:rsid w:val="084A65FE"/>
    <w:rsid w:val="086401F8"/>
    <w:rsid w:val="08661343"/>
    <w:rsid w:val="08751CAA"/>
    <w:rsid w:val="087E4C40"/>
    <w:rsid w:val="08892F88"/>
    <w:rsid w:val="08923AEE"/>
    <w:rsid w:val="08A871D0"/>
    <w:rsid w:val="08B33959"/>
    <w:rsid w:val="08B66FA6"/>
    <w:rsid w:val="08D062B9"/>
    <w:rsid w:val="08D66AD6"/>
    <w:rsid w:val="08DA33A3"/>
    <w:rsid w:val="08E80F13"/>
    <w:rsid w:val="09335624"/>
    <w:rsid w:val="0944690F"/>
    <w:rsid w:val="09535675"/>
    <w:rsid w:val="095F057D"/>
    <w:rsid w:val="09642282"/>
    <w:rsid w:val="09733572"/>
    <w:rsid w:val="09772C16"/>
    <w:rsid w:val="098353B5"/>
    <w:rsid w:val="09864427"/>
    <w:rsid w:val="09A92330"/>
    <w:rsid w:val="09B06B87"/>
    <w:rsid w:val="09C13146"/>
    <w:rsid w:val="09CF6571"/>
    <w:rsid w:val="09DB4F16"/>
    <w:rsid w:val="09E04166"/>
    <w:rsid w:val="09F2225F"/>
    <w:rsid w:val="0A1C0718"/>
    <w:rsid w:val="0A2A62B8"/>
    <w:rsid w:val="0A3E7710"/>
    <w:rsid w:val="0A5B7E63"/>
    <w:rsid w:val="0A703465"/>
    <w:rsid w:val="0AA374A5"/>
    <w:rsid w:val="0AAB7649"/>
    <w:rsid w:val="0ABC5606"/>
    <w:rsid w:val="0AC34AEB"/>
    <w:rsid w:val="0AF57C2F"/>
    <w:rsid w:val="0B30404E"/>
    <w:rsid w:val="0B4C6C14"/>
    <w:rsid w:val="0B547599"/>
    <w:rsid w:val="0B631A88"/>
    <w:rsid w:val="0B683D45"/>
    <w:rsid w:val="0B7F3F11"/>
    <w:rsid w:val="0B884417"/>
    <w:rsid w:val="0BA31A63"/>
    <w:rsid w:val="0BCB720C"/>
    <w:rsid w:val="0BF6188C"/>
    <w:rsid w:val="0BF73C91"/>
    <w:rsid w:val="0C170175"/>
    <w:rsid w:val="0C571A41"/>
    <w:rsid w:val="0C5C1171"/>
    <w:rsid w:val="0C5E1CBC"/>
    <w:rsid w:val="0C615B50"/>
    <w:rsid w:val="0C8445DA"/>
    <w:rsid w:val="0C87121B"/>
    <w:rsid w:val="0CAC4B76"/>
    <w:rsid w:val="0CC007F7"/>
    <w:rsid w:val="0CC617AC"/>
    <w:rsid w:val="0CE618DF"/>
    <w:rsid w:val="0CFE707A"/>
    <w:rsid w:val="0D063BDA"/>
    <w:rsid w:val="0D08375F"/>
    <w:rsid w:val="0D184CFB"/>
    <w:rsid w:val="0D4A7419"/>
    <w:rsid w:val="0D646FD0"/>
    <w:rsid w:val="0D677926"/>
    <w:rsid w:val="0D827401"/>
    <w:rsid w:val="0D84094E"/>
    <w:rsid w:val="0D8A00E9"/>
    <w:rsid w:val="0D8D589E"/>
    <w:rsid w:val="0DA01C73"/>
    <w:rsid w:val="0DB22432"/>
    <w:rsid w:val="0DB461AA"/>
    <w:rsid w:val="0DD63300"/>
    <w:rsid w:val="0DF50604"/>
    <w:rsid w:val="0DF702FE"/>
    <w:rsid w:val="0E060E51"/>
    <w:rsid w:val="0E214EC1"/>
    <w:rsid w:val="0E5604B2"/>
    <w:rsid w:val="0E6D5D79"/>
    <w:rsid w:val="0E9D0089"/>
    <w:rsid w:val="0EB775D4"/>
    <w:rsid w:val="0EB803EE"/>
    <w:rsid w:val="0EE553EB"/>
    <w:rsid w:val="0EF600FC"/>
    <w:rsid w:val="0EF94D4B"/>
    <w:rsid w:val="0F026AA1"/>
    <w:rsid w:val="0F39623B"/>
    <w:rsid w:val="0F4946D1"/>
    <w:rsid w:val="0F4958DC"/>
    <w:rsid w:val="0F515DF7"/>
    <w:rsid w:val="0F596BA8"/>
    <w:rsid w:val="0F6248D2"/>
    <w:rsid w:val="0F655282"/>
    <w:rsid w:val="0F693536"/>
    <w:rsid w:val="0F7B0511"/>
    <w:rsid w:val="0F7B76D9"/>
    <w:rsid w:val="0F816ACD"/>
    <w:rsid w:val="0F9832DB"/>
    <w:rsid w:val="0FA549DD"/>
    <w:rsid w:val="0FBF3FD2"/>
    <w:rsid w:val="0FBF7FF3"/>
    <w:rsid w:val="10040825"/>
    <w:rsid w:val="10646583"/>
    <w:rsid w:val="107D4B15"/>
    <w:rsid w:val="108A3C80"/>
    <w:rsid w:val="10C26171"/>
    <w:rsid w:val="10F33360"/>
    <w:rsid w:val="10FC16EA"/>
    <w:rsid w:val="110E5BD1"/>
    <w:rsid w:val="110F1D40"/>
    <w:rsid w:val="11266F33"/>
    <w:rsid w:val="113D64B6"/>
    <w:rsid w:val="117B1EC2"/>
    <w:rsid w:val="118963A1"/>
    <w:rsid w:val="119D51A7"/>
    <w:rsid w:val="11C6522A"/>
    <w:rsid w:val="11D54941"/>
    <w:rsid w:val="11E104CC"/>
    <w:rsid w:val="11E20309"/>
    <w:rsid w:val="12255233"/>
    <w:rsid w:val="124124C4"/>
    <w:rsid w:val="12530213"/>
    <w:rsid w:val="12575356"/>
    <w:rsid w:val="127723A9"/>
    <w:rsid w:val="12862074"/>
    <w:rsid w:val="12883966"/>
    <w:rsid w:val="129E45B4"/>
    <w:rsid w:val="12D81596"/>
    <w:rsid w:val="1300779B"/>
    <w:rsid w:val="13072A44"/>
    <w:rsid w:val="135F4BE2"/>
    <w:rsid w:val="13770873"/>
    <w:rsid w:val="139B1A0A"/>
    <w:rsid w:val="139D25C7"/>
    <w:rsid w:val="13BD2F1D"/>
    <w:rsid w:val="13BF3CE4"/>
    <w:rsid w:val="141008D8"/>
    <w:rsid w:val="14125FE6"/>
    <w:rsid w:val="146D271E"/>
    <w:rsid w:val="14982588"/>
    <w:rsid w:val="14990B44"/>
    <w:rsid w:val="149A5AD9"/>
    <w:rsid w:val="14A7619D"/>
    <w:rsid w:val="14B038FA"/>
    <w:rsid w:val="150536C3"/>
    <w:rsid w:val="150C1963"/>
    <w:rsid w:val="150D2C7C"/>
    <w:rsid w:val="151447A0"/>
    <w:rsid w:val="152B4878"/>
    <w:rsid w:val="153C14E1"/>
    <w:rsid w:val="154A6454"/>
    <w:rsid w:val="15567B46"/>
    <w:rsid w:val="156518B5"/>
    <w:rsid w:val="15762120"/>
    <w:rsid w:val="15C50828"/>
    <w:rsid w:val="161672D6"/>
    <w:rsid w:val="163241F6"/>
    <w:rsid w:val="16A8729C"/>
    <w:rsid w:val="16B33777"/>
    <w:rsid w:val="16BC70A7"/>
    <w:rsid w:val="16C6339E"/>
    <w:rsid w:val="172F2D79"/>
    <w:rsid w:val="17557BEF"/>
    <w:rsid w:val="17602EFE"/>
    <w:rsid w:val="177C13BA"/>
    <w:rsid w:val="17C76AD9"/>
    <w:rsid w:val="17CA481C"/>
    <w:rsid w:val="17D349C1"/>
    <w:rsid w:val="17FE0021"/>
    <w:rsid w:val="181066D2"/>
    <w:rsid w:val="1830729E"/>
    <w:rsid w:val="184F1FBD"/>
    <w:rsid w:val="1870062C"/>
    <w:rsid w:val="18817102"/>
    <w:rsid w:val="18830A15"/>
    <w:rsid w:val="18852B28"/>
    <w:rsid w:val="188B5321"/>
    <w:rsid w:val="18AC6A80"/>
    <w:rsid w:val="18BD39C7"/>
    <w:rsid w:val="18E130B6"/>
    <w:rsid w:val="19406B43"/>
    <w:rsid w:val="194556FE"/>
    <w:rsid w:val="19932372"/>
    <w:rsid w:val="19A20DD5"/>
    <w:rsid w:val="19AD147A"/>
    <w:rsid w:val="19AE03F1"/>
    <w:rsid w:val="19C42DE1"/>
    <w:rsid w:val="1A071A03"/>
    <w:rsid w:val="1A1F16AE"/>
    <w:rsid w:val="1A3B5C77"/>
    <w:rsid w:val="1A984BAD"/>
    <w:rsid w:val="1AB8220E"/>
    <w:rsid w:val="1AE4166C"/>
    <w:rsid w:val="1AF06CFB"/>
    <w:rsid w:val="1AF11B8D"/>
    <w:rsid w:val="1B11359C"/>
    <w:rsid w:val="1B2A271F"/>
    <w:rsid w:val="1B530544"/>
    <w:rsid w:val="1B713184"/>
    <w:rsid w:val="1B8151F1"/>
    <w:rsid w:val="1BA209CF"/>
    <w:rsid w:val="1BAD4238"/>
    <w:rsid w:val="1BB4777D"/>
    <w:rsid w:val="1BD75AB8"/>
    <w:rsid w:val="1C0459C2"/>
    <w:rsid w:val="1C1B3B4A"/>
    <w:rsid w:val="1C6D5EB0"/>
    <w:rsid w:val="1C7725CD"/>
    <w:rsid w:val="1C7F3E27"/>
    <w:rsid w:val="1C88086E"/>
    <w:rsid w:val="1CD04682"/>
    <w:rsid w:val="1D266CE1"/>
    <w:rsid w:val="1D3963AF"/>
    <w:rsid w:val="1D3D0FE5"/>
    <w:rsid w:val="1D6A673C"/>
    <w:rsid w:val="1D9247AE"/>
    <w:rsid w:val="1D9E2BD6"/>
    <w:rsid w:val="1DB5319B"/>
    <w:rsid w:val="1DB567EC"/>
    <w:rsid w:val="1DC066FC"/>
    <w:rsid w:val="1DF51A98"/>
    <w:rsid w:val="1E347647"/>
    <w:rsid w:val="1E3D060F"/>
    <w:rsid w:val="1E3F7D2E"/>
    <w:rsid w:val="1E4134E4"/>
    <w:rsid w:val="1E5062B3"/>
    <w:rsid w:val="1E523514"/>
    <w:rsid w:val="1E6A01BF"/>
    <w:rsid w:val="1E714A66"/>
    <w:rsid w:val="1E7B23CC"/>
    <w:rsid w:val="1E802593"/>
    <w:rsid w:val="1E8B6156"/>
    <w:rsid w:val="1EA703CC"/>
    <w:rsid w:val="1EB7330C"/>
    <w:rsid w:val="1ECF119E"/>
    <w:rsid w:val="1ED65854"/>
    <w:rsid w:val="1EE61DDC"/>
    <w:rsid w:val="1F0A0FF3"/>
    <w:rsid w:val="1F5771FF"/>
    <w:rsid w:val="1F904124"/>
    <w:rsid w:val="1FE868A9"/>
    <w:rsid w:val="20034907"/>
    <w:rsid w:val="20173E4B"/>
    <w:rsid w:val="203C322D"/>
    <w:rsid w:val="204E48BC"/>
    <w:rsid w:val="208921B3"/>
    <w:rsid w:val="20973DEB"/>
    <w:rsid w:val="20B02AAE"/>
    <w:rsid w:val="20B26522"/>
    <w:rsid w:val="20B44310"/>
    <w:rsid w:val="20BA4033"/>
    <w:rsid w:val="20BE090B"/>
    <w:rsid w:val="20DE6C42"/>
    <w:rsid w:val="211116EB"/>
    <w:rsid w:val="216133FC"/>
    <w:rsid w:val="219739C1"/>
    <w:rsid w:val="21CF1C8F"/>
    <w:rsid w:val="21D56769"/>
    <w:rsid w:val="21E52EF3"/>
    <w:rsid w:val="21EB1616"/>
    <w:rsid w:val="21FB5D7B"/>
    <w:rsid w:val="22015E94"/>
    <w:rsid w:val="220B1C3D"/>
    <w:rsid w:val="221D1D20"/>
    <w:rsid w:val="22334A87"/>
    <w:rsid w:val="228F6446"/>
    <w:rsid w:val="22BE6801"/>
    <w:rsid w:val="22F866E1"/>
    <w:rsid w:val="233500BF"/>
    <w:rsid w:val="23377FF7"/>
    <w:rsid w:val="236B425F"/>
    <w:rsid w:val="23836192"/>
    <w:rsid w:val="23901F29"/>
    <w:rsid w:val="239C0061"/>
    <w:rsid w:val="23B26485"/>
    <w:rsid w:val="23B908A4"/>
    <w:rsid w:val="23E95BEF"/>
    <w:rsid w:val="23FD0064"/>
    <w:rsid w:val="24054E77"/>
    <w:rsid w:val="2446522A"/>
    <w:rsid w:val="245076FF"/>
    <w:rsid w:val="245375B0"/>
    <w:rsid w:val="24642C0A"/>
    <w:rsid w:val="24B22173"/>
    <w:rsid w:val="24B95AD9"/>
    <w:rsid w:val="24BE24DA"/>
    <w:rsid w:val="24CF5825"/>
    <w:rsid w:val="24D663E6"/>
    <w:rsid w:val="24D77F2B"/>
    <w:rsid w:val="258B00E2"/>
    <w:rsid w:val="25A917A6"/>
    <w:rsid w:val="25BE27CC"/>
    <w:rsid w:val="25F74A5C"/>
    <w:rsid w:val="25FD5FE0"/>
    <w:rsid w:val="2628662C"/>
    <w:rsid w:val="262D45DE"/>
    <w:rsid w:val="26871DC8"/>
    <w:rsid w:val="26A53EF9"/>
    <w:rsid w:val="26A94201"/>
    <w:rsid w:val="26AC274F"/>
    <w:rsid w:val="26E665E8"/>
    <w:rsid w:val="26FB67A0"/>
    <w:rsid w:val="27044A29"/>
    <w:rsid w:val="271D34C8"/>
    <w:rsid w:val="276142BF"/>
    <w:rsid w:val="27783712"/>
    <w:rsid w:val="27907362"/>
    <w:rsid w:val="27B6013D"/>
    <w:rsid w:val="27DB40A7"/>
    <w:rsid w:val="27F31225"/>
    <w:rsid w:val="28333E1D"/>
    <w:rsid w:val="28454BD6"/>
    <w:rsid w:val="28455253"/>
    <w:rsid w:val="28551971"/>
    <w:rsid w:val="285B1C53"/>
    <w:rsid w:val="289F7086"/>
    <w:rsid w:val="28C32028"/>
    <w:rsid w:val="28C4605E"/>
    <w:rsid w:val="28CC490F"/>
    <w:rsid w:val="28D01566"/>
    <w:rsid w:val="28DA78A3"/>
    <w:rsid w:val="28DE40AA"/>
    <w:rsid w:val="28F33BD2"/>
    <w:rsid w:val="28F65471"/>
    <w:rsid w:val="29345E77"/>
    <w:rsid w:val="294C65AD"/>
    <w:rsid w:val="297B3BC8"/>
    <w:rsid w:val="29806583"/>
    <w:rsid w:val="298B3C4C"/>
    <w:rsid w:val="29A643B3"/>
    <w:rsid w:val="29B2694F"/>
    <w:rsid w:val="29DB01C2"/>
    <w:rsid w:val="29DB4666"/>
    <w:rsid w:val="29F26D24"/>
    <w:rsid w:val="2A15033F"/>
    <w:rsid w:val="2A1662C1"/>
    <w:rsid w:val="2A1C7367"/>
    <w:rsid w:val="2A2815FA"/>
    <w:rsid w:val="2A6D6092"/>
    <w:rsid w:val="2A7D76B4"/>
    <w:rsid w:val="2B140E6A"/>
    <w:rsid w:val="2B437463"/>
    <w:rsid w:val="2B616FF0"/>
    <w:rsid w:val="2B6C0CC0"/>
    <w:rsid w:val="2B7807EE"/>
    <w:rsid w:val="2B7B0E1B"/>
    <w:rsid w:val="2BA50BF7"/>
    <w:rsid w:val="2BB1742D"/>
    <w:rsid w:val="2BBF00EC"/>
    <w:rsid w:val="2BC37CFD"/>
    <w:rsid w:val="2BD5237F"/>
    <w:rsid w:val="2BE536CE"/>
    <w:rsid w:val="2BE758D9"/>
    <w:rsid w:val="2C09049E"/>
    <w:rsid w:val="2C0A653C"/>
    <w:rsid w:val="2C191F85"/>
    <w:rsid w:val="2C664427"/>
    <w:rsid w:val="2C762F91"/>
    <w:rsid w:val="2C89133D"/>
    <w:rsid w:val="2CE23610"/>
    <w:rsid w:val="2CE82D6F"/>
    <w:rsid w:val="2CFB12A7"/>
    <w:rsid w:val="2D2F296F"/>
    <w:rsid w:val="2D343236"/>
    <w:rsid w:val="2DA530F5"/>
    <w:rsid w:val="2DD15014"/>
    <w:rsid w:val="2DF72DE4"/>
    <w:rsid w:val="2E0220AF"/>
    <w:rsid w:val="2E19750B"/>
    <w:rsid w:val="2E1B7727"/>
    <w:rsid w:val="2E4B082A"/>
    <w:rsid w:val="2E4E5F57"/>
    <w:rsid w:val="2E552C39"/>
    <w:rsid w:val="2E5D4E86"/>
    <w:rsid w:val="2E5D790B"/>
    <w:rsid w:val="2E8A740C"/>
    <w:rsid w:val="2E9A3C18"/>
    <w:rsid w:val="2EB76E64"/>
    <w:rsid w:val="2EBB0FEE"/>
    <w:rsid w:val="2EC63002"/>
    <w:rsid w:val="2ED01FF5"/>
    <w:rsid w:val="2F0A6B38"/>
    <w:rsid w:val="2F4B1946"/>
    <w:rsid w:val="2F946CCB"/>
    <w:rsid w:val="2FD25781"/>
    <w:rsid w:val="2FDC745C"/>
    <w:rsid w:val="2FFD7934"/>
    <w:rsid w:val="30011EB2"/>
    <w:rsid w:val="3011738D"/>
    <w:rsid w:val="30733ACD"/>
    <w:rsid w:val="30876509"/>
    <w:rsid w:val="308C3862"/>
    <w:rsid w:val="309379D8"/>
    <w:rsid w:val="30A270F7"/>
    <w:rsid w:val="30C9173D"/>
    <w:rsid w:val="30D01BA2"/>
    <w:rsid w:val="30DF1478"/>
    <w:rsid w:val="30EC586F"/>
    <w:rsid w:val="31861AA0"/>
    <w:rsid w:val="319C6071"/>
    <w:rsid w:val="31A11ECE"/>
    <w:rsid w:val="31AC537E"/>
    <w:rsid w:val="31E3679B"/>
    <w:rsid w:val="31E732FD"/>
    <w:rsid w:val="32290665"/>
    <w:rsid w:val="32517576"/>
    <w:rsid w:val="32764F2C"/>
    <w:rsid w:val="32851613"/>
    <w:rsid w:val="32BE5C2C"/>
    <w:rsid w:val="32D54498"/>
    <w:rsid w:val="32D63C1D"/>
    <w:rsid w:val="32E7407C"/>
    <w:rsid w:val="32FB6478"/>
    <w:rsid w:val="32FF3174"/>
    <w:rsid w:val="33117EC6"/>
    <w:rsid w:val="332410BB"/>
    <w:rsid w:val="33263B3F"/>
    <w:rsid w:val="332D5690"/>
    <w:rsid w:val="336963EB"/>
    <w:rsid w:val="33816EEB"/>
    <w:rsid w:val="3392223A"/>
    <w:rsid w:val="33B64E09"/>
    <w:rsid w:val="33DF2AEC"/>
    <w:rsid w:val="33EB55CD"/>
    <w:rsid w:val="33EC4C02"/>
    <w:rsid w:val="34012F1B"/>
    <w:rsid w:val="340D2360"/>
    <w:rsid w:val="3410665D"/>
    <w:rsid w:val="34211214"/>
    <w:rsid w:val="34264730"/>
    <w:rsid w:val="342E63AB"/>
    <w:rsid w:val="34950E68"/>
    <w:rsid w:val="34986E94"/>
    <w:rsid w:val="34AF62C9"/>
    <w:rsid w:val="34CB4388"/>
    <w:rsid w:val="34FA6E12"/>
    <w:rsid w:val="354D7158"/>
    <w:rsid w:val="358D5588"/>
    <w:rsid w:val="35D72186"/>
    <w:rsid w:val="363A3B40"/>
    <w:rsid w:val="365302AE"/>
    <w:rsid w:val="36607A0A"/>
    <w:rsid w:val="366E227C"/>
    <w:rsid w:val="366F2E0D"/>
    <w:rsid w:val="367B6A5C"/>
    <w:rsid w:val="367D2D2D"/>
    <w:rsid w:val="36A74ADA"/>
    <w:rsid w:val="36AD60D5"/>
    <w:rsid w:val="36B224F9"/>
    <w:rsid w:val="36EC0CC9"/>
    <w:rsid w:val="373F410B"/>
    <w:rsid w:val="37772C21"/>
    <w:rsid w:val="37C404E8"/>
    <w:rsid w:val="37EE7094"/>
    <w:rsid w:val="38277B1D"/>
    <w:rsid w:val="38296C89"/>
    <w:rsid w:val="383002EB"/>
    <w:rsid w:val="38586797"/>
    <w:rsid w:val="38BC0149"/>
    <w:rsid w:val="38D87D1C"/>
    <w:rsid w:val="39636459"/>
    <w:rsid w:val="396B7F6C"/>
    <w:rsid w:val="39842625"/>
    <w:rsid w:val="39B417A9"/>
    <w:rsid w:val="39FC5695"/>
    <w:rsid w:val="3A006D8E"/>
    <w:rsid w:val="3A204F94"/>
    <w:rsid w:val="3A3651E5"/>
    <w:rsid w:val="3A6B76C7"/>
    <w:rsid w:val="3A6D130B"/>
    <w:rsid w:val="3A744481"/>
    <w:rsid w:val="3A833E14"/>
    <w:rsid w:val="3A8C7BEF"/>
    <w:rsid w:val="3A906246"/>
    <w:rsid w:val="3AF45D84"/>
    <w:rsid w:val="3B2349B7"/>
    <w:rsid w:val="3B616CFF"/>
    <w:rsid w:val="3B6259F6"/>
    <w:rsid w:val="3B8879B1"/>
    <w:rsid w:val="3B914B85"/>
    <w:rsid w:val="3B94507C"/>
    <w:rsid w:val="3B976654"/>
    <w:rsid w:val="3BC01EFC"/>
    <w:rsid w:val="3BCA786A"/>
    <w:rsid w:val="3BD31E2F"/>
    <w:rsid w:val="3BE9676F"/>
    <w:rsid w:val="3BF15831"/>
    <w:rsid w:val="3C08104E"/>
    <w:rsid w:val="3C100E7D"/>
    <w:rsid w:val="3C105946"/>
    <w:rsid w:val="3C1D696F"/>
    <w:rsid w:val="3C357C06"/>
    <w:rsid w:val="3C471448"/>
    <w:rsid w:val="3C4A3F12"/>
    <w:rsid w:val="3C5F759A"/>
    <w:rsid w:val="3C6C525A"/>
    <w:rsid w:val="3C6E0C7F"/>
    <w:rsid w:val="3C9E1C4F"/>
    <w:rsid w:val="3CCE23CB"/>
    <w:rsid w:val="3CD17D17"/>
    <w:rsid w:val="3D3C7F39"/>
    <w:rsid w:val="3D406863"/>
    <w:rsid w:val="3D440F09"/>
    <w:rsid w:val="3D4504A0"/>
    <w:rsid w:val="3D5B18EE"/>
    <w:rsid w:val="3D7E64A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50E30"/>
    <w:rsid w:val="3E9A59DE"/>
    <w:rsid w:val="3EAF4836"/>
    <w:rsid w:val="3EC33DFA"/>
    <w:rsid w:val="3ED100BA"/>
    <w:rsid w:val="3F060E16"/>
    <w:rsid w:val="3F1D1096"/>
    <w:rsid w:val="3F2F0234"/>
    <w:rsid w:val="3F485812"/>
    <w:rsid w:val="3F590CC3"/>
    <w:rsid w:val="3F6363FE"/>
    <w:rsid w:val="3F756B8F"/>
    <w:rsid w:val="3F95482B"/>
    <w:rsid w:val="3FB05CB3"/>
    <w:rsid w:val="3FFF47B3"/>
    <w:rsid w:val="4019356B"/>
    <w:rsid w:val="40204729"/>
    <w:rsid w:val="404E1307"/>
    <w:rsid w:val="405368AD"/>
    <w:rsid w:val="40592157"/>
    <w:rsid w:val="406549D6"/>
    <w:rsid w:val="406E1CAE"/>
    <w:rsid w:val="40A0133A"/>
    <w:rsid w:val="40C31A53"/>
    <w:rsid w:val="40C477AB"/>
    <w:rsid w:val="40CB28E7"/>
    <w:rsid w:val="40DA423E"/>
    <w:rsid w:val="40EF2A79"/>
    <w:rsid w:val="40FA476F"/>
    <w:rsid w:val="40FF545D"/>
    <w:rsid w:val="410067C8"/>
    <w:rsid w:val="416176D3"/>
    <w:rsid w:val="41792343"/>
    <w:rsid w:val="418F0D2A"/>
    <w:rsid w:val="41D01505"/>
    <w:rsid w:val="41DF2AEE"/>
    <w:rsid w:val="423A5F76"/>
    <w:rsid w:val="42474939"/>
    <w:rsid w:val="4249440B"/>
    <w:rsid w:val="424B1F31"/>
    <w:rsid w:val="424B3CDF"/>
    <w:rsid w:val="424C3C57"/>
    <w:rsid w:val="425B7C9B"/>
    <w:rsid w:val="42613FF3"/>
    <w:rsid w:val="42660D96"/>
    <w:rsid w:val="428667D2"/>
    <w:rsid w:val="42BA2C13"/>
    <w:rsid w:val="42BF022A"/>
    <w:rsid w:val="42CD1CE0"/>
    <w:rsid w:val="42E1381E"/>
    <w:rsid w:val="42E75574"/>
    <w:rsid w:val="42ED6459"/>
    <w:rsid w:val="42FE58DD"/>
    <w:rsid w:val="43174B3D"/>
    <w:rsid w:val="434B790E"/>
    <w:rsid w:val="4360274F"/>
    <w:rsid w:val="43977AB6"/>
    <w:rsid w:val="43A3342B"/>
    <w:rsid w:val="43BD6E5F"/>
    <w:rsid w:val="43C77C27"/>
    <w:rsid w:val="43DE09EE"/>
    <w:rsid w:val="44002FAD"/>
    <w:rsid w:val="44011BC7"/>
    <w:rsid w:val="4412062F"/>
    <w:rsid w:val="441A605F"/>
    <w:rsid w:val="441C37AA"/>
    <w:rsid w:val="44226CC2"/>
    <w:rsid w:val="445A645C"/>
    <w:rsid w:val="449101DD"/>
    <w:rsid w:val="44DE1391"/>
    <w:rsid w:val="44F248E6"/>
    <w:rsid w:val="4517259F"/>
    <w:rsid w:val="451B225C"/>
    <w:rsid w:val="452410C9"/>
    <w:rsid w:val="45317DFB"/>
    <w:rsid w:val="456D3CE4"/>
    <w:rsid w:val="4579042C"/>
    <w:rsid w:val="457F0571"/>
    <w:rsid w:val="45851176"/>
    <w:rsid w:val="45C55BC2"/>
    <w:rsid w:val="45C63B94"/>
    <w:rsid w:val="45CD0A54"/>
    <w:rsid w:val="460E7DA5"/>
    <w:rsid w:val="46422483"/>
    <w:rsid w:val="46430311"/>
    <w:rsid w:val="4659254A"/>
    <w:rsid w:val="465B0637"/>
    <w:rsid w:val="465E3F0D"/>
    <w:rsid w:val="466A16E6"/>
    <w:rsid w:val="46756273"/>
    <w:rsid w:val="46893F2B"/>
    <w:rsid w:val="469045BC"/>
    <w:rsid w:val="46955E71"/>
    <w:rsid w:val="46C444E6"/>
    <w:rsid w:val="46C4686E"/>
    <w:rsid w:val="471A45C8"/>
    <w:rsid w:val="472866DC"/>
    <w:rsid w:val="473F5062"/>
    <w:rsid w:val="477A0BC3"/>
    <w:rsid w:val="477B778F"/>
    <w:rsid w:val="478203EC"/>
    <w:rsid w:val="47B025FA"/>
    <w:rsid w:val="47C63E08"/>
    <w:rsid w:val="4809698F"/>
    <w:rsid w:val="4811697D"/>
    <w:rsid w:val="482A3EE8"/>
    <w:rsid w:val="48621D83"/>
    <w:rsid w:val="487A3E25"/>
    <w:rsid w:val="488B5503"/>
    <w:rsid w:val="48937E21"/>
    <w:rsid w:val="489A0361"/>
    <w:rsid w:val="48A5507D"/>
    <w:rsid w:val="48A8102D"/>
    <w:rsid w:val="48B94FF3"/>
    <w:rsid w:val="48C93BB0"/>
    <w:rsid w:val="48E37AAB"/>
    <w:rsid w:val="48FD4B4C"/>
    <w:rsid w:val="490A68E0"/>
    <w:rsid w:val="491055FE"/>
    <w:rsid w:val="495F5B3E"/>
    <w:rsid w:val="496F77D7"/>
    <w:rsid w:val="497654FD"/>
    <w:rsid w:val="49777AB0"/>
    <w:rsid w:val="49B64211"/>
    <w:rsid w:val="49D40A5E"/>
    <w:rsid w:val="49D41AAC"/>
    <w:rsid w:val="49DE2BBC"/>
    <w:rsid w:val="49F6167F"/>
    <w:rsid w:val="4A064FA0"/>
    <w:rsid w:val="4A16615C"/>
    <w:rsid w:val="4A4424D7"/>
    <w:rsid w:val="4AB82D0F"/>
    <w:rsid w:val="4AEB7664"/>
    <w:rsid w:val="4AFD7C19"/>
    <w:rsid w:val="4B0567D1"/>
    <w:rsid w:val="4B236AAE"/>
    <w:rsid w:val="4B2F799D"/>
    <w:rsid w:val="4B393F0C"/>
    <w:rsid w:val="4B707271"/>
    <w:rsid w:val="4B9739F7"/>
    <w:rsid w:val="4BE75642"/>
    <w:rsid w:val="4BEE2503"/>
    <w:rsid w:val="4BF727EA"/>
    <w:rsid w:val="4C245A30"/>
    <w:rsid w:val="4C836B9D"/>
    <w:rsid w:val="4C8F3363"/>
    <w:rsid w:val="4C910E89"/>
    <w:rsid w:val="4CB6685F"/>
    <w:rsid w:val="4CC367FE"/>
    <w:rsid w:val="4D077F3C"/>
    <w:rsid w:val="4D123355"/>
    <w:rsid w:val="4D2A3B31"/>
    <w:rsid w:val="4D301117"/>
    <w:rsid w:val="4D312C52"/>
    <w:rsid w:val="4D79406E"/>
    <w:rsid w:val="4D905305"/>
    <w:rsid w:val="4D964A72"/>
    <w:rsid w:val="4D9C1254"/>
    <w:rsid w:val="4D9E5B15"/>
    <w:rsid w:val="4DFE2E8F"/>
    <w:rsid w:val="4E191136"/>
    <w:rsid w:val="4E284D0F"/>
    <w:rsid w:val="4E793892"/>
    <w:rsid w:val="4E800872"/>
    <w:rsid w:val="4E9407BC"/>
    <w:rsid w:val="4EC569ED"/>
    <w:rsid w:val="4ECC264C"/>
    <w:rsid w:val="4ED50EA1"/>
    <w:rsid w:val="4EEC050C"/>
    <w:rsid w:val="4F104EC3"/>
    <w:rsid w:val="4F47354A"/>
    <w:rsid w:val="4F644633"/>
    <w:rsid w:val="4F911C54"/>
    <w:rsid w:val="4FC6709B"/>
    <w:rsid w:val="4FDB2DFD"/>
    <w:rsid w:val="4FE625E0"/>
    <w:rsid w:val="4FE70DC0"/>
    <w:rsid w:val="5021480F"/>
    <w:rsid w:val="504948A0"/>
    <w:rsid w:val="505C301C"/>
    <w:rsid w:val="50746077"/>
    <w:rsid w:val="507C7A86"/>
    <w:rsid w:val="50874A7C"/>
    <w:rsid w:val="50962ECB"/>
    <w:rsid w:val="50A3118B"/>
    <w:rsid w:val="50A42E38"/>
    <w:rsid w:val="50A4577F"/>
    <w:rsid w:val="50B73D1F"/>
    <w:rsid w:val="50BD5BC9"/>
    <w:rsid w:val="50C11EEE"/>
    <w:rsid w:val="50E97CFC"/>
    <w:rsid w:val="50FA4028"/>
    <w:rsid w:val="510D65B7"/>
    <w:rsid w:val="511157AB"/>
    <w:rsid w:val="511E4CB5"/>
    <w:rsid w:val="5142540C"/>
    <w:rsid w:val="518832C8"/>
    <w:rsid w:val="519D3C50"/>
    <w:rsid w:val="51A0432A"/>
    <w:rsid w:val="51A86090"/>
    <w:rsid w:val="51B7396D"/>
    <w:rsid w:val="522E4CC3"/>
    <w:rsid w:val="52413940"/>
    <w:rsid w:val="5244713B"/>
    <w:rsid w:val="52615633"/>
    <w:rsid w:val="526F4DE4"/>
    <w:rsid w:val="52977FD4"/>
    <w:rsid w:val="52A25790"/>
    <w:rsid w:val="52A96B6F"/>
    <w:rsid w:val="52B45975"/>
    <w:rsid w:val="52D94AA4"/>
    <w:rsid w:val="52EA3A62"/>
    <w:rsid w:val="52F50BB8"/>
    <w:rsid w:val="53097272"/>
    <w:rsid w:val="53226CDE"/>
    <w:rsid w:val="532E5683"/>
    <w:rsid w:val="534C1537"/>
    <w:rsid w:val="53544462"/>
    <w:rsid w:val="535A0B6D"/>
    <w:rsid w:val="537163ED"/>
    <w:rsid w:val="538C05FC"/>
    <w:rsid w:val="5397158E"/>
    <w:rsid w:val="53E325D5"/>
    <w:rsid w:val="54013861"/>
    <w:rsid w:val="54487265"/>
    <w:rsid w:val="544D6070"/>
    <w:rsid w:val="54605E1E"/>
    <w:rsid w:val="546D3F89"/>
    <w:rsid w:val="54B3506A"/>
    <w:rsid w:val="54CA0D16"/>
    <w:rsid w:val="54DD4057"/>
    <w:rsid w:val="54E5452A"/>
    <w:rsid w:val="54E7490F"/>
    <w:rsid w:val="54F74CF7"/>
    <w:rsid w:val="5507618C"/>
    <w:rsid w:val="550764A4"/>
    <w:rsid w:val="550B2BF6"/>
    <w:rsid w:val="551E7E8F"/>
    <w:rsid w:val="55214EB5"/>
    <w:rsid w:val="55364EFD"/>
    <w:rsid w:val="555D4828"/>
    <w:rsid w:val="557A4C8B"/>
    <w:rsid w:val="558931E1"/>
    <w:rsid w:val="55923347"/>
    <w:rsid w:val="55925180"/>
    <w:rsid w:val="55983B1B"/>
    <w:rsid w:val="55A8376B"/>
    <w:rsid w:val="55DC29B6"/>
    <w:rsid w:val="55DD4241"/>
    <w:rsid w:val="56170651"/>
    <w:rsid w:val="56260894"/>
    <w:rsid w:val="566B6D1E"/>
    <w:rsid w:val="56757125"/>
    <w:rsid w:val="57032A2C"/>
    <w:rsid w:val="57081F8A"/>
    <w:rsid w:val="57087F99"/>
    <w:rsid w:val="570F5219"/>
    <w:rsid w:val="571E7A07"/>
    <w:rsid w:val="572E78E5"/>
    <w:rsid w:val="573C40E7"/>
    <w:rsid w:val="575D12B5"/>
    <w:rsid w:val="57610A87"/>
    <w:rsid w:val="577B1140"/>
    <w:rsid w:val="577B7F21"/>
    <w:rsid w:val="577F181B"/>
    <w:rsid w:val="57921984"/>
    <w:rsid w:val="579737F0"/>
    <w:rsid w:val="57A203EE"/>
    <w:rsid w:val="57AB7B30"/>
    <w:rsid w:val="57AF5251"/>
    <w:rsid w:val="57B26373"/>
    <w:rsid w:val="57B63F04"/>
    <w:rsid w:val="57CD20C2"/>
    <w:rsid w:val="57D675AB"/>
    <w:rsid w:val="57D95FDD"/>
    <w:rsid w:val="58773629"/>
    <w:rsid w:val="58917D2F"/>
    <w:rsid w:val="5894085C"/>
    <w:rsid w:val="58AE4F0C"/>
    <w:rsid w:val="58B85899"/>
    <w:rsid w:val="58C67691"/>
    <w:rsid w:val="58E363A9"/>
    <w:rsid w:val="591E264C"/>
    <w:rsid w:val="595E1678"/>
    <w:rsid w:val="596D5BD4"/>
    <w:rsid w:val="597E3DD8"/>
    <w:rsid w:val="59F80043"/>
    <w:rsid w:val="5A026F22"/>
    <w:rsid w:val="5A09252F"/>
    <w:rsid w:val="5A0B2778"/>
    <w:rsid w:val="5A2A7C7B"/>
    <w:rsid w:val="5A3B04A5"/>
    <w:rsid w:val="5A3E2560"/>
    <w:rsid w:val="5A5D3B6E"/>
    <w:rsid w:val="5A637A76"/>
    <w:rsid w:val="5A6D33BA"/>
    <w:rsid w:val="5A792B1F"/>
    <w:rsid w:val="5A874767"/>
    <w:rsid w:val="5AA85BE2"/>
    <w:rsid w:val="5AAB75B9"/>
    <w:rsid w:val="5AAD6F28"/>
    <w:rsid w:val="5AB1392F"/>
    <w:rsid w:val="5ABE2749"/>
    <w:rsid w:val="5AD63A24"/>
    <w:rsid w:val="5AE51A4D"/>
    <w:rsid w:val="5B1E5FDD"/>
    <w:rsid w:val="5B28637B"/>
    <w:rsid w:val="5B2E1A1D"/>
    <w:rsid w:val="5B835E40"/>
    <w:rsid w:val="5B843A1C"/>
    <w:rsid w:val="5B873E3F"/>
    <w:rsid w:val="5B9067AF"/>
    <w:rsid w:val="5BD90156"/>
    <w:rsid w:val="5BFC3E7E"/>
    <w:rsid w:val="5C02690E"/>
    <w:rsid w:val="5C1807BC"/>
    <w:rsid w:val="5C196DA7"/>
    <w:rsid w:val="5C2A048C"/>
    <w:rsid w:val="5C3D06E5"/>
    <w:rsid w:val="5C4D2220"/>
    <w:rsid w:val="5C595D3A"/>
    <w:rsid w:val="5C80234E"/>
    <w:rsid w:val="5C8A680C"/>
    <w:rsid w:val="5CB0535B"/>
    <w:rsid w:val="5D0C4701"/>
    <w:rsid w:val="5D0F0395"/>
    <w:rsid w:val="5D221076"/>
    <w:rsid w:val="5D397964"/>
    <w:rsid w:val="5D3A69D3"/>
    <w:rsid w:val="5D443CF5"/>
    <w:rsid w:val="5D521F6E"/>
    <w:rsid w:val="5D557CB0"/>
    <w:rsid w:val="5D5A391C"/>
    <w:rsid w:val="5D5F10C0"/>
    <w:rsid w:val="5D790E2F"/>
    <w:rsid w:val="5D891B7B"/>
    <w:rsid w:val="5DAD38EE"/>
    <w:rsid w:val="5DFF4CDA"/>
    <w:rsid w:val="5E006862"/>
    <w:rsid w:val="5E0207B9"/>
    <w:rsid w:val="5E1834A1"/>
    <w:rsid w:val="5E261785"/>
    <w:rsid w:val="5E4A7017"/>
    <w:rsid w:val="5E552BBA"/>
    <w:rsid w:val="5E611C10"/>
    <w:rsid w:val="5E7A0F3F"/>
    <w:rsid w:val="5EB543D3"/>
    <w:rsid w:val="5EFC7377"/>
    <w:rsid w:val="5F06174D"/>
    <w:rsid w:val="5F3A3602"/>
    <w:rsid w:val="5F45733B"/>
    <w:rsid w:val="5F6277C6"/>
    <w:rsid w:val="5F650AC2"/>
    <w:rsid w:val="5F6D0B1D"/>
    <w:rsid w:val="5F7268F8"/>
    <w:rsid w:val="5F8D0B82"/>
    <w:rsid w:val="5FB15AF3"/>
    <w:rsid w:val="5FC1162D"/>
    <w:rsid w:val="5FCC5339"/>
    <w:rsid w:val="5FE34A5B"/>
    <w:rsid w:val="5FFE1E36"/>
    <w:rsid w:val="60232584"/>
    <w:rsid w:val="607330CE"/>
    <w:rsid w:val="60825176"/>
    <w:rsid w:val="609D1752"/>
    <w:rsid w:val="609F2AC4"/>
    <w:rsid w:val="60F409FF"/>
    <w:rsid w:val="60FA2EE8"/>
    <w:rsid w:val="61054A27"/>
    <w:rsid w:val="610A52BC"/>
    <w:rsid w:val="610D059B"/>
    <w:rsid w:val="611D2366"/>
    <w:rsid w:val="61421856"/>
    <w:rsid w:val="615227C4"/>
    <w:rsid w:val="61654E3F"/>
    <w:rsid w:val="61744D49"/>
    <w:rsid w:val="6182292A"/>
    <w:rsid w:val="618F19E3"/>
    <w:rsid w:val="619F7F92"/>
    <w:rsid w:val="61A42FB4"/>
    <w:rsid w:val="61A47CEF"/>
    <w:rsid w:val="61F94C26"/>
    <w:rsid w:val="62000E56"/>
    <w:rsid w:val="621041A6"/>
    <w:rsid w:val="62303FA9"/>
    <w:rsid w:val="624F3E49"/>
    <w:rsid w:val="624F4CCE"/>
    <w:rsid w:val="62632286"/>
    <w:rsid w:val="626764BC"/>
    <w:rsid w:val="62885958"/>
    <w:rsid w:val="62B40FD5"/>
    <w:rsid w:val="62F40B65"/>
    <w:rsid w:val="62FC2CFE"/>
    <w:rsid w:val="63024505"/>
    <w:rsid w:val="632919C3"/>
    <w:rsid w:val="635600A5"/>
    <w:rsid w:val="63597D80"/>
    <w:rsid w:val="635B1DB5"/>
    <w:rsid w:val="63711FED"/>
    <w:rsid w:val="63880DDC"/>
    <w:rsid w:val="638B7F88"/>
    <w:rsid w:val="638D750D"/>
    <w:rsid w:val="63AC6CC0"/>
    <w:rsid w:val="63F23480"/>
    <w:rsid w:val="64055776"/>
    <w:rsid w:val="641F5B67"/>
    <w:rsid w:val="64240056"/>
    <w:rsid w:val="64257609"/>
    <w:rsid w:val="643E143A"/>
    <w:rsid w:val="64491666"/>
    <w:rsid w:val="648570CD"/>
    <w:rsid w:val="648B6EEF"/>
    <w:rsid w:val="64A843E8"/>
    <w:rsid w:val="64C158BF"/>
    <w:rsid w:val="64CE2EAA"/>
    <w:rsid w:val="64F63B27"/>
    <w:rsid w:val="64FA59AF"/>
    <w:rsid w:val="65074934"/>
    <w:rsid w:val="653C3090"/>
    <w:rsid w:val="657E7F74"/>
    <w:rsid w:val="65854376"/>
    <w:rsid w:val="658767BE"/>
    <w:rsid w:val="65892531"/>
    <w:rsid w:val="65914277"/>
    <w:rsid w:val="65CD64F6"/>
    <w:rsid w:val="66195831"/>
    <w:rsid w:val="661A1A97"/>
    <w:rsid w:val="662E75B1"/>
    <w:rsid w:val="66342C2E"/>
    <w:rsid w:val="663E784C"/>
    <w:rsid w:val="668B6A45"/>
    <w:rsid w:val="66A8173D"/>
    <w:rsid w:val="67112C4A"/>
    <w:rsid w:val="671958AB"/>
    <w:rsid w:val="672F3F24"/>
    <w:rsid w:val="673E055F"/>
    <w:rsid w:val="67551CE3"/>
    <w:rsid w:val="67A22552"/>
    <w:rsid w:val="67B22DCC"/>
    <w:rsid w:val="67BE71AA"/>
    <w:rsid w:val="67CF7323"/>
    <w:rsid w:val="67D90273"/>
    <w:rsid w:val="67DE5875"/>
    <w:rsid w:val="67E252A0"/>
    <w:rsid w:val="67E55852"/>
    <w:rsid w:val="67EB1AB4"/>
    <w:rsid w:val="67FA1285"/>
    <w:rsid w:val="680B2B4E"/>
    <w:rsid w:val="681D761D"/>
    <w:rsid w:val="68282344"/>
    <w:rsid w:val="68437083"/>
    <w:rsid w:val="68551F4F"/>
    <w:rsid w:val="68706C6B"/>
    <w:rsid w:val="687C10C9"/>
    <w:rsid w:val="68840C16"/>
    <w:rsid w:val="68876EFB"/>
    <w:rsid w:val="68884654"/>
    <w:rsid w:val="689F444F"/>
    <w:rsid w:val="68B7537B"/>
    <w:rsid w:val="68B96DBB"/>
    <w:rsid w:val="68CA2805"/>
    <w:rsid w:val="68DE188F"/>
    <w:rsid w:val="68E937A3"/>
    <w:rsid w:val="68ED3493"/>
    <w:rsid w:val="68FB149A"/>
    <w:rsid w:val="693E15D3"/>
    <w:rsid w:val="69482477"/>
    <w:rsid w:val="69627681"/>
    <w:rsid w:val="696A2EE4"/>
    <w:rsid w:val="6977531D"/>
    <w:rsid w:val="69A70EE8"/>
    <w:rsid w:val="69B95123"/>
    <w:rsid w:val="69CC2BFF"/>
    <w:rsid w:val="69FD55B8"/>
    <w:rsid w:val="6A0B1C62"/>
    <w:rsid w:val="6A2406C8"/>
    <w:rsid w:val="6A833EAB"/>
    <w:rsid w:val="6A9A1ADF"/>
    <w:rsid w:val="6AAC7A26"/>
    <w:rsid w:val="6ADE0BD1"/>
    <w:rsid w:val="6AE0505D"/>
    <w:rsid w:val="6AE52674"/>
    <w:rsid w:val="6AE81378"/>
    <w:rsid w:val="6AE96859"/>
    <w:rsid w:val="6B147746"/>
    <w:rsid w:val="6B160A7F"/>
    <w:rsid w:val="6B24787C"/>
    <w:rsid w:val="6B481708"/>
    <w:rsid w:val="6B573233"/>
    <w:rsid w:val="6B5B6274"/>
    <w:rsid w:val="6B680B28"/>
    <w:rsid w:val="6B935D53"/>
    <w:rsid w:val="6B9876E6"/>
    <w:rsid w:val="6BAE0CB8"/>
    <w:rsid w:val="6BE9172B"/>
    <w:rsid w:val="6C0B610A"/>
    <w:rsid w:val="6C1316F7"/>
    <w:rsid w:val="6C196F71"/>
    <w:rsid w:val="6C226FCB"/>
    <w:rsid w:val="6C31226F"/>
    <w:rsid w:val="6C517EC7"/>
    <w:rsid w:val="6C552F0B"/>
    <w:rsid w:val="6C7C2CCA"/>
    <w:rsid w:val="6C8C67B7"/>
    <w:rsid w:val="6C9D744C"/>
    <w:rsid w:val="6CA34594"/>
    <w:rsid w:val="6D090170"/>
    <w:rsid w:val="6D167928"/>
    <w:rsid w:val="6D26299B"/>
    <w:rsid w:val="6D284AE9"/>
    <w:rsid w:val="6D4772EC"/>
    <w:rsid w:val="6D513FF0"/>
    <w:rsid w:val="6D5E1362"/>
    <w:rsid w:val="6D6C0E2A"/>
    <w:rsid w:val="6D803BC9"/>
    <w:rsid w:val="6D846D63"/>
    <w:rsid w:val="6D9078AF"/>
    <w:rsid w:val="6DAA3FEF"/>
    <w:rsid w:val="6DB8406F"/>
    <w:rsid w:val="6DC0172B"/>
    <w:rsid w:val="6DCB690C"/>
    <w:rsid w:val="6DD41A5B"/>
    <w:rsid w:val="6DF43C2E"/>
    <w:rsid w:val="6DF51CA3"/>
    <w:rsid w:val="6E44084F"/>
    <w:rsid w:val="6E765193"/>
    <w:rsid w:val="6E8335BD"/>
    <w:rsid w:val="6E8E12EF"/>
    <w:rsid w:val="6E972936"/>
    <w:rsid w:val="6EAC5256"/>
    <w:rsid w:val="6ED446C5"/>
    <w:rsid w:val="6F235519"/>
    <w:rsid w:val="6F2A7D94"/>
    <w:rsid w:val="6F6322D5"/>
    <w:rsid w:val="6F8331F1"/>
    <w:rsid w:val="6FAE1A09"/>
    <w:rsid w:val="6FD75BF8"/>
    <w:rsid w:val="6FDB2F94"/>
    <w:rsid w:val="707723D0"/>
    <w:rsid w:val="707B75D6"/>
    <w:rsid w:val="70CB6F11"/>
    <w:rsid w:val="70E37655"/>
    <w:rsid w:val="70E95306"/>
    <w:rsid w:val="70F5661B"/>
    <w:rsid w:val="711C66C3"/>
    <w:rsid w:val="71213CDA"/>
    <w:rsid w:val="71360107"/>
    <w:rsid w:val="713B688E"/>
    <w:rsid w:val="7148279F"/>
    <w:rsid w:val="71BD7C36"/>
    <w:rsid w:val="71C823A7"/>
    <w:rsid w:val="71D43752"/>
    <w:rsid w:val="71F1796A"/>
    <w:rsid w:val="71FB63D5"/>
    <w:rsid w:val="720B1FC4"/>
    <w:rsid w:val="72154626"/>
    <w:rsid w:val="72262B5D"/>
    <w:rsid w:val="72283FF7"/>
    <w:rsid w:val="722E7212"/>
    <w:rsid w:val="723A0474"/>
    <w:rsid w:val="724265FE"/>
    <w:rsid w:val="724A3704"/>
    <w:rsid w:val="725923E4"/>
    <w:rsid w:val="725E4ABA"/>
    <w:rsid w:val="72693B8A"/>
    <w:rsid w:val="727C7BD2"/>
    <w:rsid w:val="72864BF7"/>
    <w:rsid w:val="729023FC"/>
    <w:rsid w:val="729B1D58"/>
    <w:rsid w:val="729D55E2"/>
    <w:rsid w:val="72C04F5B"/>
    <w:rsid w:val="733D41F3"/>
    <w:rsid w:val="73B5202C"/>
    <w:rsid w:val="73C0646E"/>
    <w:rsid w:val="740530CB"/>
    <w:rsid w:val="74216DA1"/>
    <w:rsid w:val="742222F5"/>
    <w:rsid w:val="74476126"/>
    <w:rsid w:val="74706664"/>
    <w:rsid w:val="747F3682"/>
    <w:rsid w:val="748051BB"/>
    <w:rsid w:val="74830EF7"/>
    <w:rsid w:val="749C4185"/>
    <w:rsid w:val="74B7324C"/>
    <w:rsid w:val="75067759"/>
    <w:rsid w:val="752E6DCD"/>
    <w:rsid w:val="7551380D"/>
    <w:rsid w:val="755D394A"/>
    <w:rsid w:val="75600BE5"/>
    <w:rsid w:val="7564475C"/>
    <w:rsid w:val="7583797F"/>
    <w:rsid w:val="75C612F4"/>
    <w:rsid w:val="75D02172"/>
    <w:rsid w:val="75D20F1D"/>
    <w:rsid w:val="75DA2C18"/>
    <w:rsid w:val="75F54412"/>
    <w:rsid w:val="761D08E0"/>
    <w:rsid w:val="765D347C"/>
    <w:rsid w:val="76826699"/>
    <w:rsid w:val="76C87133"/>
    <w:rsid w:val="76CD08D5"/>
    <w:rsid w:val="76DB4B92"/>
    <w:rsid w:val="76E063E5"/>
    <w:rsid w:val="76F51E90"/>
    <w:rsid w:val="76F56CB1"/>
    <w:rsid w:val="77052AA4"/>
    <w:rsid w:val="77136511"/>
    <w:rsid w:val="77340A39"/>
    <w:rsid w:val="77351FD0"/>
    <w:rsid w:val="77472422"/>
    <w:rsid w:val="777F31F2"/>
    <w:rsid w:val="77851A47"/>
    <w:rsid w:val="77BA6C36"/>
    <w:rsid w:val="77D1700D"/>
    <w:rsid w:val="77EC04CC"/>
    <w:rsid w:val="78207B78"/>
    <w:rsid w:val="784309DA"/>
    <w:rsid w:val="784F32A1"/>
    <w:rsid w:val="78775729"/>
    <w:rsid w:val="78A42DB0"/>
    <w:rsid w:val="78A656AB"/>
    <w:rsid w:val="78A771BA"/>
    <w:rsid w:val="78B2245C"/>
    <w:rsid w:val="78CF226D"/>
    <w:rsid w:val="78E172CC"/>
    <w:rsid w:val="78EA1D1F"/>
    <w:rsid w:val="79036DC3"/>
    <w:rsid w:val="7904172F"/>
    <w:rsid w:val="790E2D96"/>
    <w:rsid w:val="790F7E27"/>
    <w:rsid w:val="791E4FA3"/>
    <w:rsid w:val="791F1447"/>
    <w:rsid w:val="792A231A"/>
    <w:rsid w:val="79316829"/>
    <w:rsid w:val="79507852"/>
    <w:rsid w:val="797E66A9"/>
    <w:rsid w:val="798518A4"/>
    <w:rsid w:val="798D4602"/>
    <w:rsid w:val="79A97383"/>
    <w:rsid w:val="79E27E8B"/>
    <w:rsid w:val="79F850CE"/>
    <w:rsid w:val="79F95EA5"/>
    <w:rsid w:val="79FD443C"/>
    <w:rsid w:val="7A1D1975"/>
    <w:rsid w:val="7A391EF7"/>
    <w:rsid w:val="7A3E5150"/>
    <w:rsid w:val="7A4670D6"/>
    <w:rsid w:val="7A534B63"/>
    <w:rsid w:val="7A615382"/>
    <w:rsid w:val="7A67303B"/>
    <w:rsid w:val="7AAB1D04"/>
    <w:rsid w:val="7ABA4368"/>
    <w:rsid w:val="7AD05746"/>
    <w:rsid w:val="7B257FFD"/>
    <w:rsid w:val="7B343476"/>
    <w:rsid w:val="7B3E3D1C"/>
    <w:rsid w:val="7B5A2978"/>
    <w:rsid w:val="7B5A7E4C"/>
    <w:rsid w:val="7B5F1FCE"/>
    <w:rsid w:val="7B667AF9"/>
    <w:rsid w:val="7B7468F8"/>
    <w:rsid w:val="7BC02B07"/>
    <w:rsid w:val="7BC74A33"/>
    <w:rsid w:val="7BD83B2F"/>
    <w:rsid w:val="7BEE0103"/>
    <w:rsid w:val="7C0A0FE4"/>
    <w:rsid w:val="7C1D2FBD"/>
    <w:rsid w:val="7C254906"/>
    <w:rsid w:val="7C590818"/>
    <w:rsid w:val="7C7C10F6"/>
    <w:rsid w:val="7C853BEA"/>
    <w:rsid w:val="7C881368"/>
    <w:rsid w:val="7CD564F7"/>
    <w:rsid w:val="7CE27788"/>
    <w:rsid w:val="7CED360A"/>
    <w:rsid w:val="7D0C32F1"/>
    <w:rsid w:val="7D0F408D"/>
    <w:rsid w:val="7D142945"/>
    <w:rsid w:val="7D491C6C"/>
    <w:rsid w:val="7D5429C0"/>
    <w:rsid w:val="7D6E6D43"/>
    <w:rsid w:val="7DA4016C"/>
    <w:rsid w:val="7DB57A34"/>
    <w:rsid w:val="7DD878B6"/>
    <w:rsid w:val="7DE60973"/>
    <w:rsid w:val="7DEF0916"/>
    <w:rsid w:val="7E09368F"/>
    <w:rsid w:val="7E1E5218"/>
    <w:rsid w:val="7E3200C4"/>
    <w:rsid w:val="7E470AF8"/>
    <w:rsid w:val="7E631DD5"/>
    <w:rsid w:val="7E6C679B"/>
    <w:rsid w:val="7E9A4E1F"/>
    <w:rsid w:val="7EA7723A"/>
    <w:rsid w:val="7EF56FBB"/>
    <w:rsid w:val="7F0768EB"/>
    <w:rsid w:val="7F143BEC"/>
    <w:rsid w:val="7F2C16E2"/>
    <w:rsid w:val="7F362021"/>
    <w:rsid w:val="7F715AF2"/>
    <w:rsid w:val="7F7B47F9"/>
    <w:rsid w:val="7F886E69"/>
    <w:rsid w:val="7FE1173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toa heading"/>
    <w:basedOn w:val="1"/>
    <w:next w:val="1"/>
    <w:autoRedefine/>
    <w:qFormat/>
    <w:uiPriority w:val="0"/>
    <w:rPr>
      <w:rFonts w:ascii="Arial" w:hAnsi="Arial"/>
      <w:sz w:val="24"/>
    </w:rPr>
  </w:style>
  <w:style w:type="paragraph" w:styleId="20">
    <w:name w:val="annotation text"/>
    <w:basedOn w:val="1"/>
    <w:link w:val="348"/>
    <w:autoRedefine/>
    <w:qFormat/>
    <w:uiPriority w:val="99"/>
    <w:pPr>
      <w:jc w:val="left"/>
    </w:pPr>
  </w:style>
  <w:style w:type="paragraph" w:styleId="21">
    <w:name w:val="Salutation"/>
    <w:basedOn w:val="1"/>
    <w:next w:val="1"/>
    <w:link w:val="302"/>
    <w:autoRedefine/>
    <w:qFormat/>
    <w:uiPriority w:val="0"/>
    <w:rPr>
      <w:rFonts w:ascii="仿宋_GB2312" w:eastAsia="仿宋_GB2312"/>
      <w:sz w:val="28"/>
      <w:szCs w:val="20"/>
    </w:rPr>
  </w:style>
  <w:style w:type="paragraph" w:styleId="22">
    <w:name w:val="Body Text 3"/>
    <w:basedOn w:val="1"/>
    <w:link w:val="33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5"/>
    <w:autoRedefine/>
    <w:qFormat/>
    <w:uiPriority w:val="0"/>
    <w:pPr>
      <w:ind w:firstLine="420"/>
    </w:pPr>
    <w:rPr>
      <w:rFonts w:hAnsi="Calibri" w:cs="Times New Roman"/>
      <w:snapToGrid/>
      <w:szCs w:val="20"/>
    </w:rPr>
  </w:style>
  <w:style w:type="paragraph" w:styleId="26">
    <w:name w:val="Body Text Indent"/>
    <w:basedOn w:val="1"/>
    <w:next w:val="27"/>
    <w:link w:val="269"/>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9"/>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5"/>
    <w:autoRedefine/>
    <w:qFormat/>
    <w:uiPriority w:val="0"/>
    <w:pPr>
      <w:ind w:left="100" w:leftChars="2500"/>
    </w:pPr>
    <w:rPr>
      <w:rFonts w:ascii="宋体"/>
      <w:sz w:val="24"/>
      <w:szCs w:val="21"/>
      <w:lang w:val="zh-CN"/>
    </w:rPr>
  </w:style>
  <w:style w:type="paragraph" w:styleId="39">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5"/>
    <w:autoRedefine/>
    <w:qFormat/>
    <w:uiPriority w:val="0"/>
    <w:rPr>
      <w:lang w:val="zh-CN"/>
    </w:rPr>
  </w:style>
  <w:style w:type="paragraph" w:styleId="41">
    <w:name w:val="Balloon Text"/>
    <w:basedOn w:val="1"/>
    <w:link w:val="192"/>
    <w:autoRedefine/>
    <w:qFormat/>
    <w:uiPriority w:val="0"/>
    <w:rPr>
      <w:sz w:val="18"/>
      <w:szCs w:val="18"/>
    </w:rPr>
  </w:style>
  <w:style w:type="paragraph" w:styleId="42">
    <w:name w:val="footer"/>
    <w:basedOn w:val="1"/>
    <w:link w:val="387"/>
    <w:autoRedefine/>
    <w:qFormat/>
    <w:uiPriority w:val="99"/>
    <w:pPr>
      <w:tabs>
        <w:tab w:val="center" w:pos="4153"/>
        <w:tab w:val="right" w:pos="8306"/>
      </w:tabs>
      <w:snapToGrid w:val="0"/>
      <w:jc w:val="left"/>
    </w:pPr>
    <w:rPr>
      <w:sz w:val="18"/>
      <w:szCs w:val="18"/>
    </w:rPr>
  </w:style>
  <w:style w:type="paragraph" w:styleId="43">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9"/>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6"/>
    <w:autoRedefine/>
    <w:qFormat/>
    <w:uiPriority w:val="0"/>
    <w:pPr>
      <w:spacing w:after="120" w:line="480" w:lineRule="auto"/>
    </w:pPr>
  </w:style>
  <w:style w:type="paragraph" w:styleId="59">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0"/>
    <w:autoRedefine/>
    <w:qFormat/>
    <w:uiPriority w:val="0"/>
    <w:rPr>
      <w:b/>
      <w:bCs/>
    </w:rPr>
  </w:style>
  <w:style w:type="paragraph" w:styleId="63">
    <w:name w:val="Body Text First Indent 2"/>
    <w:basedOn w:val="26"/>
    <w:link w:val="125"/>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2">
    <w:name w:val="正文首行缩进 21"/>
    <w:basedOn w:val="83"/>
    <w:autoRedefine/>
    <w:qFormat/>
    <w:uiPriority w:val="0"/>
  </w:style>
  <w:style w:type="paragraph" w:customStyle="1" w:styleId="83">
    <w:name w:val="正文文本缩进1"/>
    <w:basedOn w:val="1"/>
    <w:next w:val="84"/>
    <w:autoRedefine/>
    <w:qFormat/>
    <w:uiPriority w:val="0"/>
    <w:pPr>
      <w:spacing w:line="500" w:lineRule="exact"/>
      <w:ind w:firstLine="200" w:firstLineChars="200"/>
    </w:pPr>
  </w:style>
  <w:style w:type="paragraph" w:customStyle="1" w:styleId="84">
    <w:name w:val="Body Text First Indent 21"/>
    <w:basedOn w:val="85"/>
    <w:autoRedefine/>
    <w:qFormat/>
    <w:uiPriority w:val="0"/>
    <w:pPr>
      <w:widowControl/>
    </w:pPr>
    <w:rPr>
      <w:szCs w:val="20"/>
    </w:rPr>
  </w:style>
  <w:style w:type="paragraph" w:customStyle="1" w:styleId="85">
    <w:name w:val="Body Text Indent1"/>
    <w:basedOn w:val="1"/>
    <w:autoRedefine/>
    <w:qFormat/>
    <w:uiPriority w:val="0"/>
    <w:pPr>
      <w:spacing w:line="500" w:lineRule="exact"/>
      <w:ind w:firstLine="200" w:firstLineChars="200"/>
    </w:p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2"/>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字符"/>
    <w:link w:val="63"/>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4"/>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8"/>
    <w:autoRedefine/>
    <w:qFormat/>
    <w:uiPriority w:val="0"/>
    <w:rPr>
      <w:rFonts w:ascii="宋体"/>
      <w:kern w:val="2"/>
      <w:sz w:val="24"/>
      <w:szCs w:val="21"/>
      <w:lang w:val="zh-CN"/>
    </w:rPr>
  </w:style>
  <w:style w:type="character" w:customStyle="1" w:styleId="186">
    <w:name w:val="标题 9 字符"/>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41"/>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2"/>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字符1"/>
    <w:link w:val="26"/>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字符1"/>
    <w:link w:val="3"/>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字符"/>
    <w:link w:val="61"/>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字符"/>
    <w:link w:val="6"/>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字符"/>
    <w:link w:val="21"/>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字符"/>
    <w:link w:val="59"/>
    <w:autoRedefine/>
    <w:qFormat/>
    <w:uiPriority w:val="0"/>
    <w:rPr>
      <w:rFonts w:ascii="黑体" w:hAnsi="Courier New" w:eastAsia="黑体"/>
    </w:rPr>
  </w:style>
  <w:style w:type="character" w:customStyle="1" w:styleId="306">
    <w:name w:val="正文文本 2 字符1"/>
    <w:link w:val="58"/>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5"/>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字符"/>
    <w:link w:val="8"/>
    <w:autoRedefine/>
    <w:qFormat/>
    <w:uiPriority w:val="0"/>
    <w:rPr>
      <w:b/>
      <w:bCs/>
      <w:kern w:val="2"/>
      <w:sz w:val="24"/>
      <w:szCs w:val="24"/>
    </w:rPr>
  </w:style>
  <w:style w:type="character" w:customStyle="1" w:styleId="312">
    <w:name w:val="正文文本缩进 2 字符"/>
    <w:link w:val="39"/>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字符"/>
    <w:link w:val="52"/>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字符"/>
    <w:link w:val="25"/>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字符1"/>
    <w:link w:val="5"/>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字符"/>
    <w:link w:val="22"/>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autoRedefine/>
    <w:qFormat/>
    <w:uiPriority w:val="99"/>
    <w:rPr>
      <w:kern w:val="2"/>
      <w:sz w:val="21"/>
      <w:szCs w:val="24"/>
    </w:rPr>
  </w:style>
  <w:style w:type="character" w:customStyle="1" w:styleId="349">
    <w:name w:val="签名 字符"/>
    <w:link w:val="44"/>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字符"/>
    <w:link w:val="55"/>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字符2"/>
    <w:link w:val="42"/>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字符2"/>
    <w:link w:val="43"/>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1"/>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1"/>
    <w:autoRedefine/>
    <w:qFormat/>
    <w:uiPriority w:val="0"/>
    <w:rPr>
      <w:rFonts w:ascii="Arial" w:hAnsi="Arial" w:eastAsia="黑体" w:cs="Arial"/>
      <w:snapToGrid w:val="0"/>
      <w:kern w:val="0"/>
      <w:szCs w:val="21"/>
    </w:rPr>
  </w:style>
  <w:style w:type="character" w:customStyle="1" w:styleId="436">
    <w:name w:val="hui"/>
    <w:basedOn w:val="71"/>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outlineLvl w:val="5"/>
    </w:pPr>
  </w:style>
  <w:style w:type="paragraph" w:customStyle="1" w:styleId="478">
    <w:name w:val="5级标题"/>
    <w:basedOn w:val="479"/>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2"/>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2"/>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autoRedefine/>
    <w:qFormat/>
    <w:uiPriority w:val="0"/>
    <w:rPr>
      <w:rFonts w:ascii="宋体" w:eastAsia="宋体" w:cs="Times New Roman"/>
      <w:color w:val="auto"/>
    </w:rPr>
  </w:style>
  <w:style w:type="paragraph" w:customStyle="1" w:styleId="55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3"/>
    <w:autoRedefine/>
    <w:qFormat/>
    <w:uiPriority w:val="0"/>
    <w:pPr>
      <w:tabs>
        <w:tab w:val="left" w:pos="840"/>
      </w:tabs>
      <w:adjustRightInd/>
      <w:ind w:left="840" w:hanging="420"/>
    </w:pPr>
  </w:style>
  <w:style w:type="paragraph" w:customStyle="1" w:styleId="63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Lines="0" w:afterLines="0"/>
      <w:ind w:left="1680"/>
      <w:outlineLvl w:val="2"/>
    </w:pPr>
  </w:style>
  <w:style w:type="paragraph" w:customStyle="1" w:styleId="662">
    <w:name w:val="章标题"/>
    <w:next w:val="64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2"/>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4"/>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8"/>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2"/>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7"/>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40"/>
    <w:autoRedefine/>
    <w:qFormat/>
    <w:uiPriority w:val="0"/>
    <w:rPr>
      <w:kern w:val="2"/>
      <w:sz w:val="21"/>
      <w:szCs w:val="24"/>
      <w:lang w:val="zh-CN"/>
    </w:rPr>
  </w:style>
  <w:style w:type="character" w:customStyle="1" w:styleId="936">
    <w:name w:val="无间隔 字符"/>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2"/>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Waxiyi2级符号"/>
    <w:basedOn w:val="1"/>
    <w:autoRedefine/>
    <w:unhideWhenUsed/>
    <w:qFormat/>
    <w:uiPriority w:val="0"/>
    <w:pPr>
      <w:numPr>
        <w:ilvl w:val="1"/>
        <w:numId w:val="1"/>
      </w:numPr>
      <w:tabs>
        <w:tab w:val="left" w:pos="464"/>
      </w:tabs>
      <w:spacing w:line="500" w:lineRule="exact"/>
      <w:outlineLvl w:val="2"/>
    </w:pPr>
    <w:rPr>
      <w:rFonts w:ascii="宋体"/>
      <w:lang w:val="zh-CN"/>
    </w:rPr>
  </w:style>
  <w:style w:type="character" w:customStyle="1" w:styleId="971">
    <w:name w:val="批注文字 Char1"/>
    <w:autoRedefine/>
    <w:qFormat/>
    <w:uiPriority w:val="0"/>
    <w:rPr>
      <w:rFonts w:hint="default" w:ascii="Calibri" w:hAnsi="Calibri" w:eastAsia="宋体" w:cs="Times New Roman"/>
      <w:kern w:val="2"/>
      <w:sz w:val="24"/>
      <w:szCs w:val="24"/>
    </w:rPr>
  </w:style>
  <w:style w:type="character" w:customStyle="1" w:styleId="972">
    <w:name w:val="fontstyle01"/>
    <w:autoRedefine/>
    <w:qFormat/>
    <w:uiPriority w:val="0"/>
    <w:rPr>
      <w:rFonts w:hint="eastAsia" w:ascii="仿宋_GB2312" w:hAnsi="Times New Roman" w:eastAsia="仿宋_GB2312" w:cs="Times New Roman"/>
      <w:color w:val="000000"/>
      <w:sz w:val="24"/>
      <w:szCs w:val="24"/>
    </w:rPr>
  </w:style>
  <w:style w:type="paragraph" w:customStyle="1" w:styleId="973">
    <w:name w:val="List Paragraph_41d0cc91-dce1-4733-b767-3adef058dad0"/>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4C770-5D34-4BA8-8BB8-667CE559C8F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156</Pages>
  <Words>66959</Words>
  <Characters>72727</Characters>
  <Lines>689</Lines>
  <Paragraphs>194</Paragraphs>
  <TotalTime>2032</TotalTime>
  <ScaleCrop>false</ScaleCrop>
  <LinksUpToDate>false</LinksUpToDate>
  <CharactersWithSpaces>78859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2023-05-19T03:16:00Z</dcterms:created>
  <dc:creator>玥</dc:creator>
  <cp:lastModifiedBy>吃货旅程</cp:lastModifiedBy>
  <cp:lastPrinted>2021-12-27T03:06:00Z</cp:lastPrinted>
  <dcterms:modified xsi:type="dcterms:W3CDTF">2024-03-23T16:36:45Z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E066D686297C4586B9EBEA46C8EBF135_13</vt:lpwstr>
  </property>
  <property fmtid="{D5CDD505-2E9C-101B-9397-08002B2CF9AE}" pid="5" name="commondata">
    <vt:lpwstr>eyJoZGlkIjoiNGNlMmFkMDQ1NDY0ZmRiM2Q0NjY4NTFjN2IwMTllYjMifQ==</vt:lpwstr>
  </property>
</Properties>
</file>