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color w:val="auto"/>
          <w:sz w:val="24"/>
          <w:highlight w:val="none"/>
        </w:rPr>
      </w:pPr>
    </w:p>
    <w:p>
      <w:pPr>
        <w:jc w:val="center"/>
        <w:rPr>
          <w:rFonts w:ascii="宋体" w:hAnsi="宋体" w:eastAsia="宋体" w:cs="宋体"/>
          <w:b/>
          <w:color w:val="auto"/>
          <w:spacing w:val="-28"/>
          <w:sz w:val="44"/>
          <w:szCs w:val="44"/>
          <w:highlight w:val="none"/>
        </w:rPr>
      </w:pPr>
      <w:r>
        <w:rPr>
          <w:rFonts w:hint="eastAsia" w:asciiTheme="minorEastAsia" w:hAnsiTheme="minorEastAsia" w:eastAsiaTheme="minorEastAsia" w:cstheme="minorEastAsia"/>
          <w:b/>
          <w:bCs w:val="0"/>
          <w:color w:val="auto"/>
          <w:spacing w:val="-28"/>
          <w:sz w:val="44"/>
          <w:szCs w:val="44"/>
          <w:highlight w:val="none"/>
          <w:lang w:eastAsia="zh-CN"/>
        </w:rPr>
        <w:t>杭州市萧山区无偿献血服务中心</w:t>
      </w:r>
      <w:r>
        <w:rPr>
          <w:rFonts w:hint="eastAsia" w:ascii="宋体" w:hAnsi="宋体" w:eastAsia="宋体" w:cs="宋体"/>
          <w:b/>
          <w:color w:val="auto"/>
          <w:spacing w:val="-28"/>
          <w:sz w:val="44"/>
          <w:szCs w:val="44"/>
          <w:highlight w:val="none"/>
        </w:rPr>
        <w:t>血液运输车（血浆运输车）采购项目</w:t>
      </w:r>
    </w:p>
    <w:p>
      <w:pPr>
        <w:tabs>
          <w:tab w:val="left" w:pos="5952"/>
        </w:tabs>
        <w:adjustRightInd/>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val="0"/>
          <w:color w:val="auto"/>
          <w:sz w:val="44"/>
          <w:szCs w:val="44"/>
          <w:highlight w:val="none"/>
          <w:lang w:eastAsia="zh-CN"/>
        </w:rPr>
        <w:tab/>
      </w:r>
    </w:p>
    <w:p>
      <w:pPr>
        <w:pStyle w:val="15"/>
        <w:rPr>
          <w:rFonts w:hint="eastAsia" w:asciiTheme="minorEastAsia" w:hAnsiTheme="minorEastAsia" w:eastAsiaTheme="minorEastAsia" w:cstheme="minorEastAsia"/>
          <w:color w:val="auto"/>
          <w:highlight w:val="none"/>
        </w:rPr>
      </w:pPr>
    </w:p>
    <w:p>
      <w:pPr>
        <w:adjustRightInd/>
        <w:spacing w:line="360" w:lineRule="auto"/>
        <w:jc w:val="center"/>
        <w:rPr>
          <w:rFonts w:hint="eastAsia" w:asciiTheme="minorEastAsia" w:hAnsiTheme="minorEastAsia" w:eastAsiaTheme="minorEastAsia" w:cstheme="minorEastAsia"/>
          <w:b/>
          <w:color w:val="auto"/>
          <w:sz w:val="84"/>
          <w:szCs w:val="84"/>
          <w:highlight w:val="none"/>
          <w:lang w:eastAsia="zh-CN"/>
        </w:rPr>
      </w:pPr>
      <w:r>
        <w:rPr>
          <w:rFonts w:hint="eastAsia" w:asciiTheme="minorEastAsia" w:hAnsiTheme="minorEastAsia" w:eastAsiaTheme="minorEastAsia" w:cstheme="minorEastAsia"/>
          <w:b/>
          <w:color w:val="auto"/>
          <w:sz w:val="84"/>
          <w:szCs w:val="84"/>
          <w:highlight w:val="none"/>
          <w:lang w:val="en-US" w:eastAsia="zh-CN"/>
        </w:rPr>
        <w:t>交易</w:t>
      </w:r>
      <w:r>
        <w:rPr>
          <w:rFonts w:hint="eastAsia" w:asciiTheme="minorEastAsia" w:hAnsiTheme="minorEastAsia" w:eastAsiaTheme="minorEastAsia" w:cstheme="minorEastAsia"/>
          <w:b/>
          <w:color w:val="auto"/>
          <w:sz w:val="84"/>
          <w:szCs w:val="84"/>
          <w:highlight w:val="none"/>
        </w:rPr>
        <w:t>文件</w:t>
      </w:r>
    </w:p>
    <w:p>
      <w:pPr>
        <w:adjustRightInd/>
        <w:spacing w:line="360" w:lineRule="auto"/>
        <w:jc w:val="center"/>
        <w:rPr>
          <w:rFonts w:hint="eastAsia" w:asciiTheme="minorEastAsia" w:hAnsiTheme="minorEastAsia" w:eastAsiaTheme="minorEastAsia" w:cstheme="minorEastAsia"/>
          <w:b/>
          <w:color w:val="auto"/>
          <w:sz w:val="56"/>
          <w:szCs w:val="72"/>
          <w:highlight w:val="none"/>
        </w:rPr>
      </w:pPr>
      <w:r>
        <w:rPr>
          <w:rFonts w:hint="eastAsia" w:asciiTheme="minorEastAsia" w:hAnsiTheme="minorEastAsia" w:eastAsiaTheme="minorEastAsia" w:cstheme="minorEastAsia"/>
          <w:b/>
          <w:color w:val="auto"/>
          <w:sz w:val="56"/>
          <w:szCs w:val="72"/>
          <w:highlight w:val="none"/>
        </w:rPr>
        <w:t>（电子</w:t>
      </w:r>
      <w:r>
        <w:rPr>
          <w:rFonts w:hint="eastAsia" w:asciiTheme="minorEastAsia" w:hAnsiTheme="minorEastAsia" w:eastAsiaTheme="minorEastAsia" w:cstheme="minorEastAsia"/>
          <w:b/>
          <w:color w:val="auto"/>
          <w:sz w:val="56"/>
          <w:szCs w:val="72"/>
          <w:highlight w:val="none"/>
          <w:lang w:val="en-US" w:eastAsia="zh-CN"/>
        </w:rPr>
        <w:t>交易</w:t>
      </w:r>
      <w:r>
        <w:rPr>
          <w:rFonts w:hint="eastAsia" w:asciiTheme="minorEastAsia" w:hAnsiTheme="minorEastAsia" w:eastAsiaTheme="minorEastAsia" w:cstheme="minorEastAsia"/>
          <w:b/>
          <w:color w:val="auto"/>
          <w:sz w:val="56"/>
          <w:szCs w:val="72"/>
          <w:highlight w:val="none"/>
        </w:rPr>
        <w:t>标）</w:t>
      </w:r>
    </w:p>
    <w:p>
      <w:pPr>
        <w:snapToGrid w:val="0"/>
        <w:spacing w:line="360" w:lineRule="auto"/>
        <w:ind w:firstLine="3012" w:firstLineChars="1000"/>
        <w:jc w:val="both"/>
        <w:rPr>
          <w:rStyle w:val="638"/>
          <w:rFonts w:hint="eastAsia" w:eastAsia="宋体"/>
          <w:b/>
          <w:i w:val="0"/>
          <w:caps w:val="0"/>
          <w:color w:val="auto"/>
          <w:spacing w:val="0"/>
          <w:w w:val="100"/>
          <w:kern w:val="2"/>
          <w:sz w:val="24"/>
          <w:szCs w:val="24"/>
          <w:highlight w:val="none"/>
          <w:lang w:val="en-US" w:eastAsia="zh-CN" w:bidi="ar-SA"/>
        </w:rPr>
      </w:pPr>
      <w:r>
        <w:rPr>
          <w:rFonts w:hint="eastAsia" w:asciiTheme="minorEastAsia" w:hAnsiTheme="minorEastAsia" w:eastAsiaTheme="minorEastAsia" w:cstheme="minorEastAsia"/>
          <w:b/>
          <w:bCs/>
          <w:color w:val="auto"/>
          <w:sz w:val="30"/>
          <w:szCs w:val="30"/>
          <w:highlight w:val="none"/>
        </w:rPr>
        <w:t>编号:</w:t>
      </w:r>
      <w:r>
        <w:rPr>
          <w:rStyle w:val="638"/>
          <w:rFonts w:hint="eastAsia"/>
          <w:b/>
          <w:i w:val="0"/>
          <w:caps w:val="0"/>
          <w:color w:val="auto"/>
          <w:spacing w:val="0"/>
          <w:w w:val="100"/>
          <w:kern w:val="2"/>
          <w:sz w:val="24"/>
          <w:szCs w:val="24"/>
          <w:highlight w:val="none"/>
          <w:lang w:val="en-US" w:eastAsia="zh-CN" w:bidi="ar-SA"/>
        </w:rPr>
        <w:t>WCXXZJH</w:t>
      </w:r>
      <w:r>
        <w:rPr>
          <w:rStyle w:val="638"/>
          <w:rFonts w:hint="eastAsia" w:eastAsia="宋体"/>
          <w:b/>
          <w:i w:val="0"/>
          <w:caps w:val="0"/>
          <w:color w:val="auto"/>
          <w:spacing w:val="0"/>
          <w:w w:val="100"/>
          <w:kern w:val="2"/>
          <w:sz w:val="24"/>
          <w:szCs w:val="24"/>
          <w:highlight w:val="none"/>
          <w:lang w:val="en-US" w:eastAsia="zh-CN" w:bidi="ar-SA"/>
        </w:rPr>
        <w:t>YGY-GKJY-2022193</w:t>
      </w:r>
    </w:p>
    <w:p>
      <w:pPr>
        <w:snapToGrid w:val="0"/>
        <w:spacing w:before="0" w:beforeAutospacing="0" w:after="0" w:afterAutospacing="0" w:line="360" w:lineRule="auto"/>
        <w:ind w:firstLine="482" w:firstLineChars="200"/>
        <w:jc w:val="center"/>
        <w:textAlignment w:val="baseline"/>
        <w:rPr>
          <w:rStyle w:val="638"/>
          <w:rFonts w:hint="default" w:eastAsia="宋体"/>
          <w:b/>
          <w:i w:val="0"/>
          <w:caps w:val="0"/>
          <w:color w:val="auto"/>
          <w:spacing w:val="0"/>
          <w:w w:val="100"/>
          <w:kern w:val="2"/>
          <w:sz w:val="24"/>
          <w:szCs w:val="24"/>
          <w:highlight w:val="none"/>
          <w:lang w:val="en-US" w:eastAsia="zh-CN" w:bidi="ar-SA"/>
        </w:rPr>
      </w:pPr>
    </w:p>
    <w:p>
      <w:pPr>
        <w:pStyle w:val="5"/>
        <w:numPr>
          <w:ilvl w:val="2"/>
          <w:numId w:val="0"/>
        </w:num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numPr>
          <w:ilvl w:val="3"/>
          <w:numId w:val="0"/>
        </w:numPr>
        <w:ind w:leftChars="0"/>
        <w:rPr>
          <w:rFonts w:hint="eastAsia"/>
          <w:color w:val="auto"/>
          <w:highlight w:val="none"/>
        </w:rPr>
      </w:pPr>
    </w:p>
    <w:p>
      <w:pPr>
        <w:rPr>
          <w:rFonts w:hint="eastAsia"/>
          <w:color w:val="auto"/>
          <w:highlight w:val="none"/>
        </w:rPr>
      </w:pPr>
    </w:p>
    <w:p>
      <w:pPr>
        <w:pStyle w:val="5"/>
        <w:numPr>
          <w:ilvl w:val="2"/>
          <w:numId w:val="0"/>
        </w:num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napToGrid w:val="0"/>
        <w:spacing w:line="360" w:lineRule="auto"/>
        <w:jc w:val="center"/>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杭州市萧山区无偿献血服务中心</w:t>
      </w:r>
    </w:p>
    <w:p>
      <w:pPr>
        <w:snapToGrid w:val="0"/>
        <w:spacing w:line="360" w:lineRule="auto"/>
        <w:jc w:val="center"/>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浙江华域高宇项目管理有限公司</w:t>
      </w:r>
    </w:p>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32"/>
          <w:szCs w:val="32"/>
          <w:highlight w:val="none"/>
          <w:lang w:val="en-US" w:eastAsia="zh-CN"/>
        </w:rPr>
        <w:t>二〇二二年八月三十日</w:t>
      </w:r>
      <w:r>
        <w:rPr>
          <w:rFonts w:hint="eastAsia" w:asciiTheme="minorEastAsia" w:hAnsiTheme="minorEastAsia" w:eastAsiaTheme="minorEastAsia" w:cstheme="minorEastAsia"/>
          <w:color w:val="auto"/>
          <w:sz w:val="24"/>
          <w:highlight w:val="none"/>
        </w:rPr>
        <w:br w:type="page"/>
      </w:r>
      <w:bookmarkStart w:id="0" w:name="_Hlt67893495"/>
      <w:bookmarkEnd w:id="0"/>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w:t>
      </w:r>
      <w:r>
        <w:rPr>
          <w:rFonts w:hint="eastAsia" w:asciiTheme="minorEastAsia" w:hAnsiTheme="minorEastAsia" w:eastAsiaTheme="minorEastAsia" w:cstheme="minorEastAsia"/>
          <w:color w:val="auto"/>
          <w:sz w:val="32"/>
          <w:szCs w:val="32"/>
          <w:highlight w:val="none"/>
          <w:lang w:eastAsia="zh-CN"/>
        </w:rPr>
        <w:t>审</w:t>
      </w:r>
      <w:r>
        <w:rPr>
          <w:rFonts w:hint="eastAsia" w:asciiTheme="minorEastAsia" w:hAnsiTheme="minorEastAsia" w:eastAsiaTheme="minorEastAsia" w:cstheme="minorEastAsia"/>
          <w:color w:val="auto"/>
          <w:sz w:val="32"/>
          <w:szCs w:val="32"/>
          <w:highlight w:val="none"/>
        </w:rPr>
        <w:t>办法</w:t>
      </w:r>
    </w:p>
    <w:p>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pStyle w:val="3"/>
        <w:rPr>
          <w:rFonts w:hint="eastAsia" w:asciiTheme="minorEastAsia" w:hAnsiTheme="minorEastAsia" w:eastAsiaTheme="minorEastAsia" w:cstheme="minorEastAsia"/>
          <w:color w:val="auto"/>
          <w:highlight w:val="none"/>
        </w:rPr>
      </w:pPr>
      <w:bookmarkStart w:id="3" w:name="第一部分"/>
      <w:r>
        <w:rPr>
          <w:rFonts w:hint="eastAsia" w:asciiTheme="minorEastAsia" w:hAnsiTheme="minorEastAsia" w:eastAsiaTheme="minorEastAsia" w:cstheme="minorEastAsia"/>
          <w:color w:val="auto"/>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color w:val="auto"/>
          <w:highlight w:val="none"/>
        </w:rPr>
        <w:t xml:space="preserve">第一部分 </w:t>
      </w:r>
      <w:r>
        <w:rPr>
          <w:rFonts w:hint="eastAsia" w:asciiTheme="minorEastAsia" w:hAnsiTheme="minorEastAsia" w:eastAsiaTheme="minorEastAsia" w:cstheme="minorEastAsia"/>
          <w:color w:val="auto"/>
          <w:highlight w:val="none"/>
          <w:lang w:val="en-US" w:eastAsia="zh-CN"/>
        </w:rPr>
        <w:t>交易</w:t>
      </w:r>
      <w:r>
        <w:rPr>
          <w:rFonts w:hint="eastAsia" w:asciiTheme="minorEastAsia" w:hAnsiTheme="minorEastAsia" w:eastAsiaTheme="minorEastAsia" w:cstheme="minorEastAsia"/>
          <w:color w:val="auto"/>
          <w:highlight w:val="none"/>
        </w:rPr>
        <w:t>公告</w:t>
      </w:r>
    </w:p>
    <w:p>
      <w:pPr>
        <w:pBdr>
          <w:top w:val="single" w:color="auto" w:sz="4" w:space="1"/>
          <w:left w:val="single" w:color="auto" w:sz="4" w:space="4"/>
          <w:bottom w:val="single" w:color="auto" w:sz="4" w:space="1"/>
          <w:right w:val="single" w:color="auto" w:sz="4" w:space="4"/>
        </w:pBdr>
        <w:ind w:left="84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项目概况：</w:t>
      </w:r>
    </w:p>
    <w:p>
      <w:pPr>
        <w:pBdr>
          <w:top w:val="single" w:color="auto" w:sz="4" w:space="1"/>
          <w:left w:val="single" w:color="auto" w:sz="4" w:space="4"/>
          <w:bottom w:val="single" w:color="auto" w:sz="4" w:space="1"/>
          <w:right w:val="single" w:color="auto" w:sz="4" w:space="4"/>
        </w:pBdr>
        <w:ind w:left="840"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highlight w:val="none"/>
          <w:u w:val="single"/>
          <w:lang w:eastAsia="zh-CN"/>
        </w:rPr>
        <w:t>杭州市萧山区无偿献血服务中心血液运输车（血浆运输车）采购项目</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"https://www.zcygov.cn/）获取（下载）招标文件，并于2021年" </w:instrText>
      </w:r>
      <w:r>
        <w:rPr>
          <w:rFonts w:hint="eastAsia" w:asciiTheme="minorEastAsia" w:hAnsiTheme="minorEastAsia" w:eastAsiaTheme="minorEastAsia" w:cstheme="minorEastAsia"/>
          <w:color w:val="auto"/>
          <w:highlight w:val="none"/>
        </w:rPr>
        <w:fldChar w:fldCharType="separate"/>
      </w:r>
      <w:r>
        <w:rPr>
          <w:rStyle w:val="68"/>
          <w:rFonts w:hint="eastAsia" w:asciiTheme="minorEastAsia" w:hAnsiTheme="minorEastAsia" w:eastAsiaTheme="minorEastAsia" w:cstheme="minorEastAsia"/>
          <w:color w:val="auto"/>
          <w:sz w:val="24"/>
          <w:szCs w:val="24"/>
          <w:highlight w:val="none"/>
        </w:rPr>
        <w:t>https://</w:t>
      </w:r>
      <w:r>
        <w:rPr>
          <w:rStyle w:val="68"/>
          <w:rFonts w:hint="eastAsia" w:asciiTheme="minorEastAsia" w:hAnsiTheme="minorEastAsia" w:eastAsiaTheme="minorEastAsia" w:cstheme="minorEastAsia"/>
          <w:color w:val="auto"/>
          <w:sz w:val="24"/>
          <w:szCs w:val="24"/>
          <w:highlight w:val="none"/>
          <w:lang w:eastAsia="zh-CN"/>
        </w:rPr>
        <w:t>xsnbsc.lecaiyun.com</w:t>
      </w:r>
      <w:r>
        <w:rPr>
          <w:rStyle w:val="68"/>
          <w:rFonts w:hint="eastAsia" w:asciiTheme="minorEastAsia" w:hAnsiTheme="minorEastAsia" w:eastAsiaTheme="minorEastAsia" w:cstheme="minorEastAsia"/>
          <w:color w:val="auto"/>
          <w:sz w:val="24"/>
          <w:szCs w:val="24"/>
          <w:highlight w:val="none"/>
        </w:rPr>
        <w:t>）获取（下载）</w:t>
      </w:r>
      <w:r>
        <w:rPr>
          <w:rStyle w:val="68"/>
          <w:rFonts w:hint="eastAsia" w:asciiTheme="minorEastAsia" w:hAnsiTheme="minorEastAsia" w:eastAsiaTheme="minorEastAsia" w:cstheme="minorEastAsia"/>
          <w:color w:val="auto"/>
          <w:sz w:val="24"/>
          <w:szCs w:val="24"/>
          <w:highlight w:val="none"/>
          <w:lang w:eastAsia="zh-CN"/>
        </w:rPr>
        <w:t>交易</w:t>
      </w:r>
      <w:r>
        <w:rPr>
          <w:rStyle w:val="68"/>
          <w:rFonts w:hint="eastAsia" w:asciiTheme="minorEastAsia" w:hAnsiTheme="minorEastAsia" w:eastAsiaTheme="minorEastAsia" w:cstheme="minorEastAsia"/>
          <w:color w:val="auto"/>
          <w:sz w:val="24"/>
          <w:szCs w:val="24"/>
          <w:highlight w:val="none"/>
        </w:rPr>
        <w:t>文件，并于202</w:t>
      </w:r>
      <w:r>
        <w:rPr>
          <w:rStyle w:val="68"/>
          <w:rFonts w:hint="eastAsia" w:asciiTheme="minorEastAsia" w:hAnsiTheme="minorEastAsia" w:eastAsiaTheme="minorEastAsia" w:cstheme="minorEastAsia"/>
          <w:color w:val="auto"/>
          <w:sz w:val="24"/>
          <w:szCs w:val="24"/>
          <w:highlight w:val="none"/>
          <w:lang w:val="en-US" w:eastAsia="zh-CN"/>
        </w:rPr>
        <w:t>2</w:t>
      </w:r>
      <w:r>
        <w:rPr>
          <w:rStyle w:val="68"/>
          <w:rFonts w:hint="eastAsia" w:asciiTheme="minorEastAsia" w:hAnsiTheme="minorEastAsia" w:eastAsiaTheme="minorEastAsia" w:cstheme="minorEastAsia"/>
          <w:color w:val="auto"/>
          <w:sz w:val="24"/>
          <w:szCs w:val="24"/>
          <w:highlight w:val="none"/>
        </w:rPr>
        <w:t>年</w:t>
      </w:r>
      <w:r>
        <w:rPr>
          <w:rStyle w:val="68"/>
          <w:rFonts w:hint="eastAsia" w:asciiTheme="minorEastAsia" w:hAnsiTheme="minorEastAsia" w:eastAsiaTheme="minorEastAsia" w:cstheme="minorEastAsia"/>
          <w:color w:val="auto"/>
          <w:sz w:val="24"/>
          <w:szCs w:val="24"/>
          <w:highlight w:val="none"/>
        </w:rPr>
        <w:fldChar w:fldCharType="end"/>
      </w:r>
      <w:r>
        <w:rPr>
          <w:rStyle w:val="68"/>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19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bCs/>
          <w:color w:val="auto"/>
          <w:sz w:val="24"/>
          <w:highlight w:val="none"/>
          <w:u w:val="single"/>
        </w:rPr>
        <w:t>点</w:t>
      </w:r>
      <w:r>
        <w:rPr>
          <w:rFonts w:hint="eastAsia" w:asciiTheme="minorEastAsia" w:hAnsiTheme="minorEastAsia" w:eastAsiaTheme="minorEastAsia" w:cstheme="minorEastAsia"/>
          <w:bCs/>
          <w:color w:val="auto"/>
          <w:sz w:val="24"/>
          <w:highlight w:val="none"/>
          <w:u w:val="single"/>
          <w:lang w:val="en-US" w:eastAsia="zh-CN"/>
        </w:rPr>
        <w:t>30</w:t>
      </w:r>
      <w:r>
        <w:rPr>
          <w:rFonts w:hint="eastAsia" w:asciiTheme="minorEastAsia" w:hAnsiTheme="minorEastAsia" w:eastAsiaTheme="minorEastAsia" w:cstheme="minorEastAsia"/>
          <w:bCs/>
          <w:color w:val="auto"/>
          <w:sz w:val="24"/>
          <w:highlight w:val="none"/>
          <w:u w:val="single"/>
        </w:rPr>
        <w:t xml:space="preserve"> 分</w:t>
      </w:r>
      <w:r>
        <w:rPr>
          <w:rFonts w:hint="eastAsia" w:asciiTheme="minorEastAsia" w:hAnsiTheme="minorEastAsia" w:eastAsiaTheme="minorEastAsia" w:cstheme="minorEastAsia"/>
          <w:bCs/>
          <w:color w:val="auto"/>
          <w:sz w:val="24"/>
          <w:highlight w:val="none"/>
          <w:u w:val="single"/>
          <w:lang w:val="en-US" w:eastAsia="zh-CN"/>
        </w:rPr>
        <w:t>00</w:t>
      </w:r>
      <w:r>
        <w:rPr>
          <w:rFonts w:hint="eastAsia" w:asciiTheme="minorEastAsia" w:hAnsiTheme="minorEastAsia" w:eastAsiaTheme="minorEastAsia" w:cstheme="minorEastAsia"/>
          <w:bCs/>
          <w:color w:val="auto"/>
          <w:sz w:val="24"/>
          <w:highlight w:val="none"/>
          <w:u w:val="single"/>
        </w:rPr>
        <w:t xml:space="preserve"> 秒</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文件</w:t>
      </w:r>
    </w:p>
    <w:p>
      <w:pPr>
        <w:pStyle w:val="4"/>
        <w:numPr>
          <w:ilvl w:val="0"/>
          <w:numId w:val="0"/>
        </w:numPr>
        <w:rPr>
          <w:rFonts w:hint="eastAsia" w:asciiTheme="minorEastAsia" w:hAnsiTheme="minorEastAsia" w:eastAsiaTheme="minorEastAsia" w:cstheme="minorEastAsia"/>
          <w:color w:val="auto"/>
          <w:sz w:val="24"/>
          <w:szCs w:val="28"/>
          <w:highlight w:val="none"/>
        </w:rPr>
      </w:pPr>
      <w:bookmarkStart w:id="11" w:name="_Toc28359079"/>
      <w:bookmarkStart w:id="12" w:name="_Toc35393790"/>
      <w:bookmarkStart w:id="13" w:name="_Toc35393621"/>
      <w:bookmarkStart w:id="14" w:name="_Toc28359002"/>
      <w:bookmarkStart w:id="15" w:name="_Hlk24379207"/>
      <w:r>
        <w:rPr>
          <w:rFonts w:hint="eastAsia" w:asciiTheme="minorEastAsia" w:hAnsiTheme="minorEastAsia" w:eastAsiaTheme="minorEastAsia" w:cstheme="minorEastAsia"/>
          <w:color w:val="auto"/>
          <w:sz w:val="24"/>
          <w:szCs w:val="28"/>
          <w:highlight w:val="none"/>
        </w:rPr>
        <w:t>一、项目基本情况</w:t>
      </w:r>
      <w:bookmarkEnd w:id="11"/>
      <w:bookmarkEnd w:id="12"/>
      <w:bookmarkEnd w:id="13"/>
      <w:bookmarkEnd w:id="14"/>
    </w:p>
    <w:p>
      <w:pPr>
        <w:spacing w:line="360" w:lineRule="auto"/>
        <w:ind w:left="420" w:left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项目编号：</w:t>
      </w:r>
      <w:r>
        <w:rPr>
          <w:rFonts w:hint="eastAsia" w:asciiTheme="minorEastAsia" w:hAnsiTheme="minorEastAsia" w:eastAsiaTheme="minorEastAsia" w:cstheme="minorEastAsia"/>
          <w:color w:val="auto"/>
          <w:sz w:val="24"/>
          <w:highlight w:val="none"/>
          <w:lang w:val="en-US" w:eastAsia="zh-CN"/>
        </w:rPr>
        <w:t>WCXXZJHYGY-GKJY-2022193</w:t>
      </w:r>
    </w:p>
    <w:p>
      <w:pPr>
        <w:spacing w:line="360" w:lineRule="auto"/>
        <w:ind w:left="1620" w:leftChars="200" w:hanging="1200" w:hangingChars="5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szCs w:val="28"/>
          <w:highlight w:val="none"/>
        </w:rPr>
        <w:t>项目名称：</w:t>
      </w:r>
      <w:bookmarkEnd w:id="15"/>
      <w:r>
        <w:rPr>
          <w:rFonts w:hint="eastAsia" w:asciiTheme="minorEastAsia" w:hAnsiTheme="minorEastAsia" w:eastAsiaTheme="minorEastAsia" w:cstheme="minorEastAsia"/>
          <w:color w:val="auto"/>
          <w:sz w:val="24"/>
          <w:highlight w:val="none"/>
          <w:lang w:eastAsia="zh-CN"/>
        </w:rPr>
        <w:t>杭州市萧山区无偿献血服务中心血液运输车（血浆运输车）采购项目</w:t>
      </w:r>
    </w:p>
    <w:p>
      <w:pPr>
        <w:spacing w:line="360" w:lineRule="auto"/>
        <w:ind w:left="420" w:left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预算金额：</w:t>
      </w:r>
      <w:r>
        <w:rPr>
          <w:rFonts w:hint="eastAsia" w:asciiTheme="minorEastAsia" w:hAnsiTheme="minorEastAsia" w:eastAsiaTheme="minorEastAsia" w:cstheme="minorEastAsia"/>
          <w:color w:val="auto"/>
          <w:sz w:val="24"/>
          <w:szCs w:val="28"/>
          <w:highlight w:val="none"/>
          <w:lang w:val="en-US" w:eastAsia="zh-CN"/>
        </w:rPr>
        <w:t>29万元</w:t>
      </w:r>
    </w:p>
    <w:p>
      <w:pPr>
        <w:spacing w:line="360" w:lineRule="auto"/>
        <w:ind w:left="420" w:left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最高限价：</w:t>
      </w:r>
      <w:r>
        <w:rPr>
          <w:rFonts w:hint="eastAsia" w:asciiTheme="minorEastAsia" w:hAnsiTheme="minorEastAsia" w:eastAsiaTheme="minorEastAsia" w:cstheme="minorEastAsia"/>
          <w:color w:val="auto"/>
          <w:sz w:val="24"/>
          <w:szCs w:val="28"/>
          <w:highlight w:val="none"/>
          <w:lang w:val="en-US" w:eastAsia="zh-CN"/>
        </w:rPr>
        <w:t>29万元</w:t>
      </w:r>
    </w:p>
    <w:p>
      <w:pPr>
        <w:spacing w:line="360" w:lineRule="auto"/>
        <w:ind w:left="420" w:leftChars="200"/>
        <w:jc w:val="left"/>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采购需求：</w:t>
      </w:r>
      <w:r>
        <w:rPr>
          <w:rFonts w:hint="eastAsia" w:asciiTheme="minorEastAsia" w:hAnsiTheme="minorEastAsia" w:eastAsiaTheme="minorEastAsia" w:cstheme="minorEastAsia"/>
          <w:color w:val="auto"/>
          <w:sz w:val="24"/>
          <w:szCs w:val="28"/>
          <w:highlight w:val="none"/>
          <w:lang w:eastAsia="zh-CN"/>
        </w:rPr>
        <w:t>详见交易需求</w:t>
      </w:r>
      <w:r>
        <w:rPr>
          <w:rFonts w:hint="eastAsia" w:asciiTheme="minorEastAsia" w:hAnsiTheme="minorEastAsia" w:eastAsiaTheme="minorEastAsia" w:cstheme="minorEastAsia"/>
          <w:color w:val="auto"/>
          <w:sz w:val="24"/>
          <w:szCs w:val="28"/>
          <w:highlight w:val="none"/>
        </w:rPr>
        <w:t>。</w:t>
      </w:r>
    </w:p>
    <w:p>
      <w:pPr>
        <w:spacing w:line="360" w:lineRule="auto"/>
        <w:ind w:left="420" w:left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标项名称:杭州市萧山区无偿献血服务中心血液运输车（血浆运输车）采购项目</w:t>
      </w:r>
    </w:p>
    <w:p>
      <w:pPr>
        <w:pStyle w:val="15"/>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数量：</w:t>
      </w:r>
      <w:r>
        <w:rPr>
          <w:rFonts w:hint="eastAsia" w:asciiTheme="minorEastAsia" w:hAnsiTheme="minorEastAsia" w:eastAsiaTheme="minorEastAsia" w:cstheme="minorEastAsia"/>
          <w:color w:val="auto"/>
          <w:sz w:val="24"/>
          <w:highlight w:val="none"/>
          <w:lang w:val="en-US" w:eastAsia="zh-CN"/>
        </w:rPr>
        <w:t>1项</w:t>
      </w:r>
    </w:p>
    <w:p>
      <w:pPr>
        <w:pStyle w:val="15"/>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预算金额：</w:t>
      </w:r>
      <w:r>
        <w:rPr>
          <w:rFonts w:hint="eastAsia" w:asciiTheme="minorEastAsia" w:hAnsiTheme="minorEastAsia" w:eastAsiaTheme="minorEastAsia" w:cstheme="minorEastAsia"/>
          <w:color w:val="auto"/>
          <w:sz w:val="24"/>
          <w:highlight w:val="none"/>
          <w:lang w:val="en-US" w:eastAsia="zh-CN"/>
        </w:rPr>
        <w:t>29万元</w:t>
      </w:r>
    </w:p>
    <w:p>
      <w:pPr>
        <w:pStyle w:val="15"/>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简要规格描述或项目基本概况介绍、用途：详见交易需求</w:t>
      </w:r>
    </w:p>
    <w:p>
      <w:pPr>
        <w:pStyle w:val="15"/>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备注：</w:t>
      </w:r>
    </w:p>
    <w:p>
      <w:pPr>
        <w:pStyle w:val="15"/>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合同履约期限：</w:t>
      </w:r>
      <w:r>
        <w:rPr>
          <w:rFonts w:hint="eastAsia" w:asciiTheme="minorEastAsia" w:hAnsiTheme="minorEastAsia" w:eastAsiaTheme="minorEastAsia" w:cstheme="minorEastAsia"/>
          <w:color w:val="auto"/>
          <w:sz w:val="24"/>
          <w:highlight w:val="none"/>
          <w:lang w:eastAsia="zh-CN"/>
        </w:rPr>
        <w:t>详见交易需求</w:t>
      </w:r>
    </w:p>
    <w:p>
      <w:pPr>
        <w:spacing w:line="360" w:lineRule="auto"/>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本项目是否接受联合体</w:t>
      </w:r>
      <w:r>
        <w:rPr>
          <w:rFonts w:hint="eastAsia" w:ascii="宋体" w:hAnsi="宋体" w:cs="宋体"/>
          <w:b/>
          <w:color w:val="auto"/>
          <w:sz w:val="24"/>
          <w:highlight w:val="none"/>
        </w:rPr>
        <w:t>交易</w:t>
      </w:r>
      <w:r>
        <w:rPr>
          <w:rFonts w:hint="eastAsia" w:asciiTheme="minorEastAsia" w:hAnsiTheme="minorEastAsia" w:eastAsiaTheme="minorEastAsia" w:cstheme="minorEastAsia"/>
          <w:b/>
          <w:color w:val="auto"/>
          <w:sz w:val="24"/>
          <w:highlight w:val="none"/>
        </w:rPr>
        <w:t>：（）是；（√</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 xml:space="preserve">）否 </w:t>
      </w:r>
    </w:p>
    <w:p>
      <w:pPr>
        <w:pStyle w:val="4"/>
        <w:numPr>
          <w:ilvl w:val="0"/>
          <w:numId w:val="0"/>
        </w:numP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二、</w:t>
      </w:r>
      <w:bookmarkStart w:id="16" w:name="_Toc28359080"/>
      <w:bookmarkStart w:id="17" w:name="_Toc35393791"/>
      <w:bookmarkStart w:id="18" w:name="_Toc28359003"/>
      <w:bookmarkStart w:id="19" w:name="_Toc35393622"/>
      <w:r>
        <w:rPr>
          <w:rFonts w:hint="eastAsia" w:asciiTheme="minorEastAsia" w:hAnsiTheme="minorEastAsia" w:eastAsiaTheme="minorEastAsia" w:cstheme="minorEastAsia"/>
          <w:color w:val="auto"/>
          <w:sz w:val="24"/>
          <w:szCs w:val="28"/>
          <w:highlight w:val="none"/>
        </w:rPr>
        <w:t>申请人的资格要求：</w:t>
      </w:r>
      <w:bookmarkEnd w:id="16"/>
      <w:bookmarkEnd w:id="17"/>
      <w:bookmarkEnd w:id="18"/>
      <w:bookmarkEnd w:id="19"/>
    </w:p>
    <w:p>
      <w:pPr>
        <w:spacing w:line="360" w:lineRule="auto"/>
        <w:ind w:firstLine="480" w:firstLineChars="200"/>
        <w:rPr>
          <w:rFonts w:hint="eastAsia" w:asciiTheme="minorEastAsia" w:hAnsiTheme="minorEastAsia" w:eastAsiaTheme="minorEastAsia" w:cstheme="minorEastAsia"/>
          <w:color w:val="auto"/>
          <w:sz w:val="24"/>
          <w:highlight w:val="none"/>
        </w:rPr>
      </w:pPr>
      <w:bookmarkStart w:id="20" w:name="_Toc35393623"/>
      <w:bookmarkStart w:id="21" w:name="_Toc28359081"/>
      <w:bookmarkStart w:id="22" w:name="_Toc28359004"/>
      <w:bookmarkStart w:id="23" w:name="_Toc35393792"/>
      <w:r>
        <w:rPr>
          <w:rFonts w:hint="eastAsia" w:asciiTheme="minorEastAsia" w:hAnsiTheme="minorEastAsia" w:eastAsiaTheme="minorEastAsia" w:cstheme="minorEastAsia"/>
          <w:color w:val="auto"/>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）无；</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（）专门面向中小企业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（）货物全部由符合政策要求的中小企业制造，提供中小企业声明函；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）货物全部由符合政策要求的小微企业制造，提供中小企业声明函；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）服务全部由符合政策要求的中小企业承接，提供中小企业声明函；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）服务全部由符合政策要求的小微企业承接，提供中小企业声明函；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3.本项目的特定资格要求：</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numPr>
          <w:ilvl w:val="0"/>
          <w:numId w:val="0"/>
        </w:numP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三、获取</w:t>
      </w:r>
      <w:r>
        <w:rPr>
          <w:rFonts w:hint="eastAsia" w:asciiTheme="minorEastAsia" w:hAnsiTheme="minorEastAsia" w:eastAsiaTheme="minorEastAsia" w:cstheme="minorEastAsia"/>
          <w:color w:val="auto"/>
          <w:sz w:val="24"/>
          <w:szCs w:val="28"/>
          <w:highlight w:val="none"/>
          <w:lang w:eastAsia="zh-CN"/>
        </w:rPr>
        <w:t>交易</w:t>
      </w:r>
      <w:r>
        <w:rPr>
          <w:rFonts w:hint="eastAsia" w:asciiTheme="minorEastAsia" w:hAnsiTheme="minorEastAsia" w:eastAsiaTheme="minorEastAsia" w:cstheme="minorEastAsia"/>
          <w:color w:val="auto"/>
          <w:sz w:val="24"/>
          <w:szCs w:val="28"/>
          <w:highlight w:val="none"/>
        </w:rPr>
        <w:t>文件</w:t>
      </w:r>
      <w:bookmarkEnd w:id="20"/>
      <w:bookmarkEnd w:id="21"/>
      <w:bookmarkEnd w:id="22"/>
      <w:bookmarkEnd w:id="23"/>
    </w:p>
    <w:p>
      <w:pPr>
        <w:spacing w:line="360" w:lineRule="auto"/>
        <w:ind w:firstLine="482" w:firstLineChars="200"/>
        <w:rPr>
          <w:rFonts w:hint="eastAsia" w:asciiTheme="minorEastAsia" w:hAnsiTheme="minorEastAsia" w:eastAsiaTheme="minorEastAsia" w:cstheme="minorEastAsia"/>
          <w:color w:val="auto"/>
          <w:sz w:val="24"/>
          <w:highlight w:val="none"/>
        </w:rPr>
      </w:pPr>
      <w:bookmarkStart w:id="24" w:name="_Toc28359082"/>
      <w:bookmarkStart w:id="25" w:name="_Toc28359005"/>
      <w:bookmarkStart w:id="26" w:name="_Toc35393624"/>
      <w:bookmarkStart w:id="27" w:name="_Toc35393793"/>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lang w:val="en-US" w:eastAsia="zh-CN"/>
        </w:rPr>
        <w:t>2022</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9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19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平台（https://</w:t>
      </w:r>
      <w:r>
        <w:rPr>
          <w:rFonts w:hint="eastAsia" w:asciiTheme="minorEastAsia" w:hAnsiTheme="minorEastAsia" w:eastAsiaTheme="minorEastAsia" w:cstheme="minorEastAsia"/>
          <w:color w:val="auto"/>
          <w:sz w:val="24"/>
          <w:highlight w:val="none"/>
          <w:lang w:eastAsia="zh-CN"/>
        </w:rPr>
        <w:t>xsnbsc.lecaiyun.com</w:t>
      </w:r>
      <w:r>
        <w:rPr>
          <w:rFonts w:hint="eastAsia" w:asciiTheme="minorEastAsia" w:hAnsiTheme="minorEastAsia" w:eastAsiaTheme="minorEastAsia" w:cstheme="minorEastAsia"/>
          <w:color w:val="auto"/>
          <w:sz w:val="24"/>
          <w:highlight w:val="none"/>
        </w:rPr>
        <w:t xml:space="preserve">）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平台https://</w:t>
      </w:r>
      <w:r>
        <w:rPr>
          <w:rFonts w:hint="eastAsia" w:asciiTheme="minorEastAsia" w:hAnsiTheme="minorEastAsia" w:eastAsiaTheme="minorEastAsia" w:cstheme="minorEastAsia"/>
          <w:color w:val="auto"/>
          <w:sz w:val="24"/>
          <w:highlight w:val="none"/>
          <w:lang w:eastAsia="zh-CN"/>
        </w:rPr>
        <w:t>xsnbsc.lecaiyun.com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bookmarkStart w:id="435" w:name="_GoBack"/>
      <w:bookmarkEnd w:id="435"/>
    </w:p>
    <w:p>
      <w:pPr>
        <w:pStyle w:val="4"/>
        <w:numPr>
          <w:ilvl w:val="0"/>
          <w:numId w:val="0"/>
        </w:numP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四、提交</w:t>
      </w:r>
      <w:bookmarkEnd w:id="24"/>
      <w:bookmarkEnd w:id="25"/>
      <w:r>
        <w:rPr>
          <w:rFonts w:hint="eastAsia" w:asciiTheme="minorEastAsia" w:hAnsiTheme="minorEastAsia" w:eastAsiaTheme="minorEastAsia" w:cstheme="minorEastAsia"/>
          <w:color w:val="auto"/>
          <w:sz w:val="24"/>
          <w:szCs w:val="28"/>
          <w:highlight w:val="none"/>
          <w:lang w:val="en-US" w:eastAsia="zh-CN"/>
        </w:rPr>
        <w:t>响应文件</w:t>
      </w:r>
      <w:r>
        <w:rPr>
          <w:rFonts w:hint="eastAsia" w:asciiTheme="minorEastAsia" w:hAnsiTheme="minorEastAsia" w:eastAsiaTheme="minorEastAsia" w:cstheme="minorEastAsia"/>
          <w:color w:val="auto"/>
          <w:sz w:val="24"/>
          <w:szCs w:val="28"/>
          <w:highlight w:val="none"/>
        </w:rPr>
        <w:t>截止时间、</w:t>
      </w:r>
      <w:r>
        <w:rPr>
          <w:rFonts w:hint="eastAsia" w:asciiTheme="minorEastAsia" w:hAnsiTheme="minorEastAsia" w:eastAsiaTheme="minorEastAsia" w:cstheme="minorEastAsia"/>
          <w:color w:val="auto"/>
          <w:sz w:val="24"/>
          <w:szCs w:val="28"/>
          <w:highlight w:val="none"/>
          <w:lang w:val="en-US" w:eastAsia="zh-CN"/>
        </w:rPr>
        <w:t>交易</w:t>
      </w:r>
      <w:r>
        <w:rPr>
          <w:rFonts w:hint="eastAsia" w:asciiTheme="minorEastAsia" w:hAnsiTheme="minorEastAsia" w:eastAsiaTheme="minorEastAsia" w:cstheme="minorEastAsia"/>
          <w:color w:val="auto"/>
          <w:sz w:val="24"/>
          <w:szCs w:val="28"/>
          <w:highlight w:val="none"/>
        </w:rPr>
        <w:t>时间和地点</w:t>
      </w:r>
      <w:bookmarkEnd w:id="26"/>
      <w:bookmarkEnd w:id="27"/>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val="en-US"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szCs w:val="28"/>
          <w:highlight w:val="none"/>
        </w:rPr>
        <w:t>202</w:t>
      </w:r>
      <w:r>
        <w:rPr>
          <w:rFonts w:hint="eastAsia" w:asciiTheme="minorEastAsia" w:hAnsiTheme="minorEastAsia" w:eastAsiaTheme="minorEastAsia" w:cstheme="minorEastAsia"/>
          <w:color w:val="auto"/>
          <w:sz w:val="24"/>
          <w:szCs w:val="28"/>
          <w:highlight w:val="none"/>
          <w:lang w:val="en-US" w:eastAsia="zh-CN"/>
        </w:rPr>
        <w:t>2</w:t>
      </w:r>
      <w:r>
        <w:rPr>
          <w:rFonts w:hint="eastAsia" w:asciiTheme="minorEastAsia" w:hAnsiTheme="minorEastAsia" w:eastAsiaTheme="minorEastAsia" w:cstheme="minorEastAsia"/>
          <w:color w:val="auto"/>
          <w:sz w:val="24"/>
          <w:szCs w:val="28"/>
          <w:highlight w:val="none"/>
        </w:rPr>
        <w:t>年</w:t>
      </w:r>
      <w:r>
        <w:rPr>
          <w:rFonts w:hint="eastAsia" w:asciiTheme="minorEastAsia" w:hAnsiTheme="minorEastAsia" w:eastAsiaTheme="minorEastAsia" w:cstheme="minorEastAsia"/>
          <w:color w:val="auto"/>
          <w:sz w:val="24"/>
          <w:szCs w:val="28"/>
          <w:highlight w:val="none"/>
          <w:lang w:val="en-US" w:eastAsia="zh-CN"/>
        </w:rPr>
        <w:t xml:space="preserve"> 9</w:t>
      </w:r>
      <w:r>
        <w:rPr>
          <w:rFonts w:hint="eastAsia" w:asciiTheme="minorEastAsia" w:hAnsiTheme="minorEastAsia" w:eastAsiaTheme="minorEastAsia" w:cstheme="minorEastAsia"/>
          <w:color w:val="auto"/>
          <w:sz w:val="24"/>
          <w:szCs w:val="28"/>
          <w:highlight w:val="none"/>
        </w:rPr>
        <w:t>月</w:t>
      </w:r>
      <w:r>
        <w:rPr>
          <w:rFonts w:hint="eastAsia" w:asciiTheme="minorEastAsia" w:hAnsiTheme="minorEastAsia" w:eastAsiaTheme="minorEastAsia" w:cstheme="minorEastAsia"/>
          <w:color w:val="auto"/>
          <w:sz w:val="24"/>
          <w:szCs w:val="28"/>
          <w:highlight w:val="none"/>
          <w:lang w:val="en-US" w:eastAsia="zh-CN"/>
        </w:rPr>
        <w:t xml:space="preserve"> 19 </w:t>
      </w:r>
      <w:r>
        <w:rPr>
          <w:rFonts w:hint="eastAsia" w:asciiTheme="minorEastAsia" w:hAnsiTheme="minorEastAsia" w:eastAsiaTheme="minorEastAsia" w:cstheme="minorEastAsia"/>
          <w:color w:val="auto"/>
          <w:sz w:val="24"/>
          <w:szCs w:val="28"/>
          <w:highlight w:val="none"/>
        </w:rPr>
        <w:t>日</w:t>
      </w:r>
      <w:r>
        <w:rPr>
          <w:rFonts w:hint="eastAsia" w:asciiTheme="minorEastAsia" w:hAnsiTheme="minorEastAsia" w:eastAsiaTheme="minorEastAsia" w:cstheme="minorEastAsia"/>
          <w:color w:val="auto"/>
          <w:sz w:val="24"/>
          <w:szCs w:val="28"/>
          <w:highlight w:val="none"/>
          <w:lang w:val="en-US" w:eastAsia="zh-CN"/>
        </w:rPr>
        <w:t>09</w:t>
      </w:r>
      <w:r>
        <w:rPr>
          <w:rFonts w:hint="eastAsia" w:asciiTheme="minorEastAsia" w:hAnsiTheme="minorEastAsia" w:eastAsiaTheme="minorEastAsia" w:cstheme="minorEastAsia"/>
          <w:color w:val="auto"/>
          <w:sz w:val="24"/>
          <w:szCs w:val="28"/>
          <w:highlight w:val="none"/>
        </w:rPr>
        <w:t>点</w:t>
      </w:r>
      <w:r>
        <w:rPr>
          <w:rFonts w:hint="eastAsia" w:asciiTheme="minorEastAsia" w:hAnsiTheme="minorEastAsia" w:eastAsiaTheme="minorEastAsia" w:cstheme="minorEastAsia"/>
          <w:color w:val="auto"/>
          <w:sz w:val="24"/>
          <w:szCs w:val="28"/>
          <w:highlight w:val="none"/>
          <w:lang w:val="en-US" w:eastAsia="zh-CN"/>
        </w:rPr>
        <w:t>30</w:t>
      </w:r>
      <w:r>
        <w:rPr>
          <w:rFonts w:hint="eastAsia" w:asciiTheme="minorEastAsia" w:hAnsiTheme="minorEastAsia" w:eastAsiaTheme="minorEastAsia" w:cstheme="minorEastAsia"/>
          <w:color w:val="auto"/>
          <w:sz w:val="24"/>
          <w:szCs w:val="28"/>
          <w:highlight w:val="none"/>
        </w:rPr>
        <w:t>分00秒（</w:t>
      </w:r>
      <w:r>
        <w:rPr>
          <w:rFonts w:hint="eastAsia" w:asciiTheme="minorEastAsia" w:hAnsiTheme="minorEastAsia" w:eastAsiaTheme="minorEastAsia" w:cstheme="minorEastAsia"/>
          <w:color w:val="auto"/>
          <w:sz w:val="24"/>
          <w:highlight w:val="none"/>
        </w:rPr>
        <w:t>北京时间）</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szCs w:val="28"/>
          <w:highlight w:val="none"/>
        </w:rPr>
        <w:t>202</w:t>
      </w:r>
      <w:r>
        <w:rPr>
          <w:rFonts w:hint="eastAsia" w:asciiTheme="minorEastAsia" w:hAnsiTheme="minorEastAsia" w:eastAsiaTheme="minorEastAsia" w:cstheme="minorEastAsia"/>
          <w:color w:val="auto"/>
          <w:sz w:val="24"/>
          <w:szCs w:val="28"/>
          <w:highlight w:val="none"/>
          <w:lang w:val="en-US" w:eastAsia="zh-CN"/>
        </w:rPr>
        <w:t>2</w:t>
      </w:r>
      <w:r>
        <w:rPr>
          <w:rFonts w:hint="eastAsia" w:asciiTheme="minorEastAsia" w:hAnsiTheme="minorEastAsia" w:eastAsiaTheme="minorEastAsia" w:cstheme="minorEastAsia"/>
          <w:color w:val="auto"/>
          <w:sz w:val="24"/>
          <w:szCs w:val="28"/>
          <w:highlight w:val="none"/>
        </w:rPr>
        <w:t>年</w:t>
      </w:r>
      <w:r>
        <w:rPr>
          <w:rFonts w:hint="eastAsia" w:asciiTheme="minorEastAsia" w:hAnsiTheme="minorEastAsia" w:eastAsiaTheme="minorEastAsia" w:cstheme="minorEastAsia"/>
          <w:color w:val="auto"/>
          <w:sz w:val="24"/>
          <w:szCs w:val="28"/>
          <w:highlight w:val="none"/>
          <w:lang w:val="en-US" w:eastAsia="zh-CN"/>
        </w:rPr>
        <w:t>9</w:t>
      </w:r>
      <w:r>
        <w:rPr>
          <w:rFonts w:hint="eastAsia" w:asciiTheme="minorEastAsia" w:hAnsiTheme="minorEastAsia" w:eastAsiaTheme="minorEastAsia" w:cstheme="minorEastAsia"/>
          <w:color w:val="auto"/>
          <w:sz w:val="24"/>
          <w:szCs w:val="28"/>
          <w:highlight w:val="none"/>
        </w:rPr>
        <w:t>月</w:t>
      </w:r>
      <w:r>
        <w:rPr>
          <w:rFonts w:hint="eastAsia" w:asciiTheme="minorEastAsia" w:hAnsiTheme="minorEastAsia" w:eastAsiaTheme="minorEastAsia" w:cstheme="minorEastAsia"/>
          <w:color w:val="auto"/>
          <w:sz w:val="24"/>
          <w:szCs w:val="28"/>
          <w:highlight w:val="none"/>
          <w:lang w:val="en-US" w:eastAsia="zh-CN"/>
        </w:rPr>
        <w:t xml:space="preserve">  19</w:t>
      </w:r>
      <w:r>
        <w:rPr>
          <w:rFonts w:hint="eastAsia" w:asciiTheme="minorEastAsia" w:hAnsiTheme="minorEastAsia" w:eastAsiaTheme="minorEastAsia" w:cstheme="minorEastAsia"/>
          <w:color w:val="auto"/>
          <w:sz w:val="24"/>
          <w:szCs w:val="28"/>
          <w:highlight w:val="none"/>
        </w:rPr>
        <w:t>日</w:t>
      </w:r>
      <w:r>
        <w:rPr>
          <w:rFonts w:hint="eastAsia" w:asciiTheme="minorEastAsia" w:hAnsiTheme="minorEastAsia" w:eastAsiaTheme="minorEastAsia" w:cstheme="minorEastAsia"/>
          <w:color w:val="auto"/>
          <w:sz w:val="24"/>
          <w:szCs w:val="28"/>
          <w:highlight w:val="none"/>
          <w:lang w:val="en-US" w:eastAsia="zh-CN"/>
        </w:rPr>
        <w:t>09</w:t>
      </w:r>
      <w:r>
        <w:rPr>
          <w:rFonts w:hint="eastAsia" w:asciiTheme="minorEastAsia" w:hAnsiTheme="minorEastAsia" w:eastAsiaTheme="minorEastAsia" w:cstheme="minorEastAsia"/>
          <w:color w:val="auto"/>
          <w:sz w:val="24"/>
          <w:szCs w:val="28"/>
          <w:highlight w:val="none"/>
        </w:rPr>
        <w:t>点</w:t>
      </w:r>
      <w:r>
        <w:rPr>
          <w:rFonts w:hint="eastAsia" w:asciiTheme="minorEastAsia" w:hAnsiTheme="minorEastAsia" w:eastAsiaTheme="minorEastAsia" w:cstheme="minorEastAsia"/>
          <w:color w:val="auto"/>
          <w:sz w:val="24"/>
          <w:szCs w:val="28"/>
          <w:highlight w:val="none"/>
          <w:lang w:val="en-US" w:eastAsia="zh-CN"/>
        </w:rPr>
        <w:t>30</w:t>
      </w:r>
      <w:r>
        <w:rPr>
          <w:rFonts w:hint="eastAsia" w:asciiTheme="minorEastAsia" w:hAnsiTheme="minorEastAsia" w:eastAsiaTheme="minorEastAsia" w:cstheme="minorEastAsia"/>
          <w:color w:val="auto"/>
          <w:sz w:val="24"/>
          <w:szCs w:val="28"/>
          <w:highlight w:val="none"/>
        </w:rPr>
        <w:t>分00秒</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w:t>
      </w: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地点：</w:t>
      </w:r>
      <w:r>
        <w:rPr>
          <w:rFonts w:hint="eastAsia" w:asciiTheme="minorEastAsia" w:hAnsiTheme="minorEastAsia" w:eastAsiaTheme="minorEastAsia" w:cstheme="minorEastAsia"/>
          <w:b/>
          <w:color w:val="auto"/>
          <w:sz w:val="24"/>
          <w:highlight w:val="none"/>
          <w:lang w:val="en-US" w:eastAsia="zh-CN"/>
        </w:rPr>
        <w:t>乐</w:t>
      </w:r>
      <w:r>
        <w:rPr>
          <w:rFonts w:hint="eastAsia" w:asciiTheme="minorEastAsia" w:hAnsiTheme="minorEastAsia" w:eastAsiaTheme="minorEastAsia" w:cstheme="minorEastAsia"/>
          <w:color w:val="auto"/>
          <w:sz w:val="24"/>
          <w:szCs w:val="28"/>
          <w:highlight w:val="none"/>
        </w:rPr>
        <w:t>采云平台网上</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highlight w:val="none"/>
        </w:rPr>
        <w:t>https://</w:t>
      </w:r>
      <w:r>
        <w:rPr>
          <w:rFonts w:hint="eastAsia" w:asciiTheme="minorEastAsia" w:hAnsiTheme="minorEastAsia" w:eastAsiaTheme="minorEastAsia" w:cstheme="minorEastAsia"/>
          <w:color w:val="auto"/>
          <w:sz w:val="24"/>
          <w:highlight w:val="none"/>
          <w:lang w:eastAsia="zh-CN"/>
        </w:rPr>
        <w:t>xsnbsc.lecaiyun.com</w:t>
      </w:r>
      <w:r>
        <w:rPr>
          <w:rFonts w:hint="eastAsia" w:asciiTheme="minorEastAsia" w:hAnsiTheme="minorEastAsia" w:eastAsiaTheme="minorEastAsia" w:cstheme="minorEastAsia"/>
          <w:color w:val="auto"/>
          <w:sz w:val="24"/>
          <w:szCs w:val="28"/>
          <w:highlight w:val="none"/>
          <w:lang w:eastAsia="zh-CN"/>
        </w:rPr>
        <w:t>）</w:t>
      </w:r>
      <w:r>
        <w:rPr>
          <w:rFonts w:hint="eastAsia" w:asciiTheme="minorEastAsia" w:hAnsiTheme="minorEastAsia" w:eastAsiaTheme="minorEastAsia" w:cstheme="minorEastAsia"/>
          <w:color w:val="auto"/>
          <w:sz w:val="24"/>
          <w:szCs w:val="28"/>
          <w:highlight w:val="none"/>
        </w:rPr>
        <w:t>递交。</w:t>
      </w:r>
    </w:p>
    <w:p>
      <w:pPr>
        <w:pStyle w:val="4"/>
        <w:numPr>
          <w:ilvl w:val="0"/>
          <w:numId w:val="0"/>
        </w:numPr>
        <w:rPr>
          <w:rFonts w:hint="eastAsia" w:asciiTheme="minorEastAsia" w:hAnsiTheme="minorEastAsia" w:eastAsiaTheme="minorEastAsia" w:cstheme="minorEastAsia"/>
          <w:color w:val="auto"/>
          <w:sz w:val="24"/>
          <w:szCs w:val="28"/>
          <w:highlight w:val="none"/>
        </w:rPr>
      </w:pPr>
      <w:bookmarkStart w:id="28" w:name="_Toc28359007"/>
      <w:bookmarkStart w:id="29" w:name="_Toc28359084"/>
      <w:bookmarkStart w:id="30" w:name="_Toc35393794"/>
      <w:bookmarkStart w:id="31" w:name="_Toc35393625"/>
      <w:r>
        <w:rPr>
          <w:rFonts w:hint="eastAsia" w:asciiTheme="minorEastAsia" w:hAnsiTheme="minorEastAsia" w:eastAsiaTheme="minorEastAsia" w:cstheme="minorEastAsia"/>
          <w:color w:val="auto"/>
          <w:sz w:val="24"/>
          <w:szCs w:val="28"/>
          <w:highlight w:val="none"/>
        </w:rPr>
        <w:t>五、公告期限</w:t>
      </w:r>
      <w:bookmarkEnd w:id="28"/>
      <w:bookmarkEnd w:id="29"/>
      <w:bookmarkEnd w:id="30"/>
      <w:bookmarkEnd w:id="31"/>
    </w:p>
    <w:p>
      <w:pPr>
        <w:spacing w:line="360" w:lineRule="auto"/>
        <w:ind w:firstLine="480" w:firstLineChars="200"/>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自本公告发布之日起5个工作日。</w:t>
      </w:r>
    </w:p>
    <w:p>
      <w:pPr>
        <w:pStyle w:val="4"/>
        <w:numPr>
          <w:ilvl w:val="0"/>
          <w:numId w:val="0"/>
        </w:numPr>
        <w:rPr>
          <w:rFonts w:hint="eastAsia" w:asciiTheme="minorEastAsia" w:hAnsiTheme="minorEastAsia" w:eastAsiaTheme="minorEastAsia" w:cstheme="minorEastAsia"/>
          <w:color w:val="auto"/>
          <w:sz w:val="24"/>
          <w:szCs w:val="28"/>
          <w:highlight w:val="none"/>
        </w:rPr>
      </w:pPr>
      <w:bookmarkStart w:id="32" w:name="_Toc35393626"/>
      <w:bookmarkStart w:id="33" w:name="_Toc35393795"/>
      <w:r>
        <w:rPr>
          <w:rFonts w:hint="eastAsia" w:asciiTheme="minorEastAsia" w:hAnsiTheme="minorEastAsia" w:eastAsiaTheme="minorEastAsia" w:cstheme="minorEastAsia"/>
          <w:color w:val="auto"/>
          <w:sz w:val="24"/>
          <w:szCs w:val="28"/>
          <w:highlight w:val="none"/>
        </w:rPr>
        <w:t>六、其他补充事宜</w:t>
      </w:r>
      <w:bookmarkEnd w:id="32"/>
      <w:bookmarkEnd w:id="33"/>
    </w:p>
    <w:p>
      <w:pPr>
        <w:spacing w:line="360" w:lineRule="auto"/>
        <w:ind w:firstLine="480" w:firstLineChars="200"/>
        <w:rPr>
          <w:rFonts w:hint="eastAsia" w:asciiTheme="minorEastAsia" w:hAnsiTheme="minorEastAsia" w:eastAsiaTheme="minorEastAsia" w:cstheme="minorEastAsia"/>
          <w:color w:val="auto"/>
          <w:sz w:val="24"/>
          <w:highlight w:val="none"/>
        </w:rPr>
      </w:pPr>
      <w:bookmarkStart w:id="34" w:name="_Toc28359008"/>
      <w:bookmarkStart w:id="35" w:name="_Toc35393627"/>
      <w:bookmarkStart w:id="36" w:name="_Toc28359085"/>
      <w:bookmarkStart w:id="37" w:name="_Toc35393796"/>
      <w:r>
        <w:rPr>
          <w:rFonts w:hint="eastAsia" w:asciiTheme="minorEastAsia" w:hAnsiTheme="minorEastAsia" w:eastAsiaTheme="minorEastAsia" w:cstheme="minorEastAsia"/>
          <w:color w:val="auto"/>
          <w:sz w:val="24"/>
          <w:highlight w:val="none"/>
        </w:rPr>
        <w:t>1.供应商认为</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文件使自己的权益受到损害的，可以自获取</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文件之日或者</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文件公告期限届满之日（公告期限届满后获取</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2.需要落实的政府采购政策：包括节约资源、保护环境、支持创新、促进中小企业发展等。详见</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文件的第二部分总则。电子招投标的说明</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1）电子招投标：本项目以数据电文形式，依托“政府采购云平台（www.zcygov.cn）”进行招投标活动，不接受纸质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。2）投标准备：注册账号--点击“商家入驻”，进行政府采购供应商资料填写；申领CA数字证书---申领流程详见“浙江政府采购网-下载专区-电子交易客户端-CA驱动和申领流程”；安装“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电子交易客户端”----前往“浙江政府采购网-下载专区-电子交易客户端”进行下载并安装。3）</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文件的获取：使用账号登录或者使用CA登录</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文件。4）</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”、“标书关联”、“标书检查”、“电子签章”、“生成电子标书”等操作。5）采购人、采购机构将依托</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文件的供应商进行投标活动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6）对未按上述方式获取</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文件的供应商对该文件提出的质疑，采购人或采购代理机构将不予处理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7）不提供</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文件纸质版。8）</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在投标截止时间前将加密的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上传至政府采购云平台，还可以在投标截止时间前直接提交。备份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文件第二部分。9）</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文件的规定在半小时内完成在线解密。通过“政府采购云平台”上传递交的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无法按时解密，投标供应商递交了备份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撤回。通过“政府采购云平台”上传递交的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，没有在电子交易平台传输递交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的，投标无效。10）具体操作指南：详见</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平台“服务中心-帮助文档-项目采购-操作流程-电子招投标-政府采购项目电子交易管理操作指南-供应商”。</w:t>
      </w:r>
    </w:p>
    <w:p>
      <w:pPr>
        <w:pStyle w:val="4"/>
        <w:numPr>
          <w:ilvl w:val="0"/>
          <w:numId w:val="0"/>
        </w:numP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七、对本次</w:t>
      </w:r>
      <w:r>
        <w:rPr>
          <w:rFonts w:hint="eastAsia" w:asciiTheme="minorEastAsia" w:hAnsiTheme="minorEastAsia" w:eastAsiaTheme="minorEastAsia" w:cstheme="minorEastAsia"/>
          <w:color w:val="auto"/>
          <w:sz w:val="24"/>
          <w:szCs w:val="28"/>
          <w:highlight w:val="none"/>
          <w:lang w:eastAsia="zh-CN"/>
        </w:rPr>
        <w:t>交易</w:t>
      </w:r>
      <w:r>
        <w:rPr>
          <w:rFonts w:hint="eastAsia" w:asciiTheme="minorEastAsia" w:hAnsiTheme="minorEastAsia" w:eastAsiaTheme="minorEastAsia" w:cstheme="minorEastAsia"/>
          <w:color w:val="auto"/>
          <w:sz w:val="24"/>
          <w:szCs w:val="28"/>
          <w:highlight w:val="none"/>
        </w:rPr>
        <w:t>提出询问，请按以下方式联系。</w:t>
      </w:r>
      <w:bookmarkEnd w:id="34"/>
      <w:bookmarkEnd w:id="35"/>
      <w:bookmarkEnd w:id="36"/>
      <w:bookmarkEnd w:id="37"/>
    </w:p>
    <w:p>
      <w:pPr>
        <w:spacing w:line="360" w:lineRule="auto"/>
        <w:jc w:val="left"/>
        <w:rPr>
          <w:rFonts w:hint="eastAsia" w:asciiTheme="minorEastAsia" w:hAnsiTheme="minorEastAsia" w:eastAsiaTheme="minorEastAsia" w:cstheme="minorEastAsia"/>
          <w:b w:val="0"/>
          <w:bCs w:val="0"/>
          <w:color w:val="auto"/>
          <w:sz w:val="24"/>
          <w:szCs w:val="28"/>
          <w:highlight w:val="none"/>
        </w:rPr>
      </w:pPr>
      <w:r>
        <w:rPr>
          <w:rFonts w:hint="eastAsia" w:asciiTheme="minorEastAsia" w:hAnsiTheme="minorEastAsia" w:eastAsiaTheme="minorEastAsia" w:cstheme="minorEastAsia"/>
          <w:b w:val="0"/>
          <w:bCs w:val="0"/>
          <w:color w:val="auto"/>
          <w:sz w:val="24"/>
          <w:szCs w:val="28"/>
          <w:highlight w:val="none"/>
        </w:rPr>
        <w:t>1.采购人信息</w:t>
      </w:r>
    </w:p>
    <w:p>
      <w:pPr>
        <w:spacing w:line="360" w:lineRule="auto"/>
        <w:jc w:val="left"/>
        <w:rPr>
          <w:rFonts w:hint="eastAsia" w:asciiTheme="minorEastAsia" w:hAnsiTheme="minorEastAsia" w:eastAsiaTheme="minorEastAsia" w:cstheme="minorEastAsia"/>
          <w:b w:val="0"/>
          <w:bCs w:val="0"/>
          <w:color w:val="auto"/>
          <w:sz w:val="24"/>
          <w:szCs w:val="28"/>
          <w:highlight w:val="none"/>
          <w:lang w:eastAsia="zh-CN"/>
        </w:rPr>
      </w:pPr>
      <w:r>
        <w:rPr>
          <w:rFonts w:hint="eastAsia" w:asciiTheme="minorEastAsia" w:hAnsiTheme="minorEastAsia" w:eastAsiaTheme="minorEastAsia" w:cstheme="minorEastAsia"/>
          <w:b w:val="0"/>
          <w:bCs w:val="0"/>
          <w:color w:val="auto"/>
          <w:sz w:val="24"/>
          <w:szCs w:val="28"/>
          <w:highlight w:val="none"/>
        </w:rPr>
        <w:t>名 称：</w:t>
      </w:r>
      <w:r>
        <w:rPr>
          <w:rFonts w:hint="eastAsia" w:asciiTheme="minorEastAsia" w:hAnsiTheme="minorEastAsia" w:eastAsiaTheme="minorEastAsia" w:cstheme="minorEastAsia"/>
          <w:b w:val="0"/>
          <w:bCs w:val="0"/>
          <w:color w:val="auto"/>
          <w:sz w:val="24"/>
          <w:szCs w:val="28"/>
          <w:highlight w:val="none"/>
          <w:lang w:eastAsia="zh-CN"/>
        </w:rPr>
        <w:t>杭州市萧山区无偿献血服务中心</w:t>
      </w:r>
    </w:p>
    <w:p>
      <w:pPr>
        <w:spacing w:line="360" w:lineRule="auto"/>
        <w:jc w:val="left"/>
        <w:rPr>
          <w:rFonts w:hint="eastAsia" w:asciiTheme="minorEastAsia" w:hAnsiTheme="minorEastAsia" w:eastAsiaTheme="minorEastAsia" w:cstheme="minorEastAsia"/>
          <w:b w:val="0"/>
          <w:bCs w:val="0"/>
          <w:color w:val="auto"/>
          <w:sz w:val="24"/>
          <w:szCs w:val="28"/>
          <w:highlight w:val="none"/>
          <w:lang w:val="en-US" w:eastAsia="zh-CN"/>
        </w:rPr>
      </w:pPr>
      <w:r>
        <w:rPr>
          <w:rFonts w:hint="eastAsia" w:asciiTheme="minorEastAsia" w:hAnsiTheme="minorEastAsia" w:eastAsiaTheme="minorEastAsia" w:cstheme="minorEastAsia"/>
          <w:b w:val="0"/>
          <w:bCs w:val="0"/>
          <w:color w:val="auto"/>
          <w:sz w:val="24"/>
          <w:szCs w:val="28"/>
          <w:highlight w:val="none"/>
          <w:lang w:eastAsia="zh-CN"/>
        </w:rPr>
        <w:t>地址：萧山区风情大道3258号</w:t>
      </w:r>
    </w:p>
    <w:p>
      <w:pPr>
        <w:spacing w:line="360" w:lineRule="auto"/>
        <w:jc w:val="left"/>
        <w:rPr>
          <w:rFonts w:hint="eastAsia" w:asciiTheme="minorEastAsia" w:hAnsiTheme="minorEastAsia" w:eastAsiaTheme="minorEastAsia" w:cstheme="minorEastAsia"/>
          <w:b w:val="0"/>
          <w:bCs w:val="0"/>
          <w:color w:val="auto"/>
          <w:sz w:val="24"/>
          <w:szCs w:val="28"/>
          <w:highlight w:val="none"/>
          <w:lang w:val="en-US" w:eastAsia="zh-CN"/>
        </w:rPr>
      </w:pPr>
      <w:r>
        <w:rPr>
          <w:rFonts w:hint="eastAsia" w:asciiTheme="minorEastAsia" w:hAnsiTheme="minorEastAsia" w:eastAsiaTheme="minorEastAsia" w:cstheme="minorEastAsia"/>
          <w:b w:val="0"/>
          <w:bCs w:val="0"/>
          <w:color w:val="auto"/>
          <w:sz w:val="24"/>
          <w:szCs w:val="28"/>
          <w:highlight w:val="none"/>
        </w:rPr>
        <w:t>项目联系人（询问）：</w:t>
      </w:r>
      <w:r>
        <w:rPr>
          <w:rFonts w:hint="eastAsia" w:ascii="仿宋" w:hAnsi="仿宋" w:eastAsia="仿宋" w:cs="仿宋"/>
          <w:color w:val="auto"/>
          <w:sz w:val="24"/>
          <w:highlight w:val="none"/>
          <w:lang w:eastAsia="zh-CN"/>
        </w:rPr>
        <w:t>张璟晶</w:t>
      </w:r>
    </w:p>
    <w:p>
      <w:pPr>
        <w:spacing w:line="360" w:lineRule="auto"/>
        <w:jc w:val="left"/>
        <w:rPr>
          <w:rFonts w:hint="eastAsia" w:asciiTheme="minorEastAsia" w:hAnsiTheme="minorEastAsia" w:eastAsiaTheme="minorEastAsia" w:cstheme="minorEastAsia"/>
          <w:b w:val="0"/>
          <w:bCs w:val="0"/>
          <w:color w:val="auto"/>
          <w:sz w:val="24"/>
          <w:szCs w:val="28"/>
          <w:highlight w:val="none"/>
          <w:lang w:val="en-US" w:eastAsia="zh-CN"/>
        </w:rPr>
      </w:pPr>
      <w:r>
        <w:rPr>
          <w:rFonts w:hint="eastAsia" w:asciiTheme="minorEastAsia" w:hAnsiTheme="minorEastAsia" w:eastAsiaTheme="minorEastAsia" w:cstheme="minorEastAsia"/>
          <w:b w:val="0"/>
          <w:bCs w:val="0"/>
          <w:color w:val="auto"/>
          <w:sz w:val="24"/>
          <w:szCs w:val="28"/>
          <w:highlight w:val="none"/>
        </w:rPr>
        <w:t>项目联系方式（询问）：</w:t>
      </w:r>
      <w:bookmarkStart w:id="38" w:name="_Toc28359086"/>
      <w:bookmarkStart w:id="39" w:name="_Toc28359009"/>
      <w:r>
        <w:rPr>
          <w:rFonts w:hint="eastAsia" w:asciiTheme="minorEastAsia" w:hAnsiTheme="minorEastAsia" w:eastAsiaTheme="minorEastAsia" w:cstheme="minorEastAsia"/>
          <w:b w:val="0"/>
          <w:bCs w:val="0"/>
          <w:color w:val="auto"/>
          <w:sz w:val="24"/>
          <w:szCs w:val="28"/>
          <w:highlight w:val="none"/>
          <w:lang w:val="en-US" w:eastAsia="zh-CN"/>
        </w:rPr>
        <w:t xml:space="preserve"> </w:t>
      </w:r>
      <w:r>
        <w:rPr>
          <w:rFonts w:hint="eastAsia" w:ascii="仿宋" w:hAnsi="仿宋" w:eastAsia="仿宋" w:cs="仿宋"/>
          <w:color w:val="auto"/>
          <w:sz w:val="24"/>
          <w:highlight w:val="none"/>
          <w:lang w:eastAsia="zh-CN"/>
        </w:rPr>
        <w:t>(0571)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 xml:space="preserve"> 82739163 </w:t>
      </w:r>
    </w:p>
    <w:p>
      <w:pPr>
        <w:spacing w:line="360" w:lineRule="auto"/>
        <w:jc w:val="left"/>
        <w:rPr>
          <w:rFonts w:hint="eastAsia" w:asciiTheme="minorEastAsia" w:hAnsiTheme="minorEastAsia" w:eastAsiaTheme="minorEastAsia" w:cstheme="minorEastAsia"/>
          <w:b w:val="0"/>
          <w:bCs w:val="0"/>
          <w:color w:val="auto"/>
          <w:sz w:val="24"/>
          <w:szCs w:val="28"/>
          <w:highlight w:val="none"/>
        </w:rPr>
      </w:pPr>
      <w:r>
        <w:rPr>
          <w:rFonts w:hint="eastAsia" w:asciiTheme="minorEastAsia" w:hAnsiTheme="minorEastAsia" w:eastAsiaTheme="minorEastAsia" w:cstheme="minorEastAsia"/>
          <w:b w:val="0"/>
          <w:bCs w:val="0"/>
          <w:color w:val="auto"/>
          <w:sz w:val="24"/>
          <w:szCs w:val="28"/>
          <w:highlight w:val="none"/>
        </w:rPr>
        <w:t>2.采购代理机构信息</w:t>
      </w:r>
      <w:bookmarkEnd w:id="38"/>
      <w:bookmarkEnd w:id="39"/>
    </w:p>
    <w:p>
      <w:pPr>
        <w:spacing w:line="360" w:lineRule="auto"/>
        <w:jc w:val="left"/>
        <w:rPr>
          <w:rFonts w:hint="eastAsia" w:asciiTheme="minorEastAsia" w:hAnsiTheme="minorEastAsia" w:eastAsiaTheme="minorEastAsia" w:cstheme="minorEastAsia"/>
          <w:b w:val="0"/>
          <w:bCs w:val="0"/>
          <w:color w:val="auto"/>
          <w:sz w:val="24"/>
          <w:szCs w:val="28"/>
          <w:highlight w:val="none"/>
        </w:rPr>
      </w:pPr>
      <w:r>
        <w:rPr>
          <w:rFonts w:hint="eastAsia" w:asciiTheme="minorEastAsia" w:hAnsiTheme="minorEastAsia" w:eastAsiaTheme="minorEastAsia" w:cstheme="minorEastAsia"/>
          <w:b w:val="0"/>
          <w:bCs w:val="0"/>
          <w:color w:val="auto"/>
          <w:sz w:val="24"/>
          <w:szCs w:val="28"/>
          <w:highlight w:val="none"/>
        </w:rPr>
        <w:t>名 称：浙江华域高宇项目管理有限公司</w:t>
      </w:r>
    </w:p>
    <w:p>
      <w:pPr>
        <w:spacing w:line="360" w:lineRule="auto"/>
        <w:jc w:val="left"/>
        <w:rPr>
          <w:rFonts w:hint="eastAsia" w:asciiTheme="minorEastAsia" w:hAnsiTheme="minorEastAsia" w:eastAsiaTheme="minorEastAsia" w:cstheme="minorEastAsia"/>
          <w:b w:val="0"/>
          <w:bCs w:val="0"/>
          <w:color w:val="auto"/>
          <w:sz w:val="24"/>
          <w:szCs w:val="28"/>
          <w:highlight w:val="none"/>
        </w:rPr>
      </w:pPr>
      <w:r>
        <w:rPr>
          <w:rFonts w:hint="eastAsia" w:asciiTheme="minorEastAsia" w:hAnsiTheme="minorEastAsia" w:eastAsiaTheme="minorEastAsia" w:cstheme="minorEastAsia"/>
          <w:b w:val="0"/>
          <w:bCs w:val="0"/>
          <w:color w:val="auto"/>
          <w:sz w:val="24"/>
          <w:szCs w:val="28"/>
          <w:highlight w:val="none"/>
        </w:rPr>
        <w:t>地址：</w:t>
      </w:r>
      <w:r>
        <w:rPr>
          <w:rFonts w:hint="eastAsia" w:asciiTheme="minorEastAsia" w:hAnsiTheme="minorEastAsia" w:eastAsiaTheme="minorEastAsia" w:cstheme="minorEastAsia"/>
          <w:b w:val="0"/>
          <w:bCs w:val="0"/>
          <w:color w:val="auto"/>
          <w:sz w:val="24"/>
          <w:szCs w:val="28"/>
          <w:highlight w:val="none"/>
          <w:lang w:eastAsia="zh-CN"/>
        </w:rPr>
        <w:t>萧山区北干街道金城路560号心意广场2幢1101室</w:t>
      </w:r>
    </w:p>
    <w:p>
      <w:pPr>
        <w:spacing w:line="360" w:lineRule="auto"/>
        <w:jc w:val="left"/>
        <w:rPr>
          <w:rFonts w:hint="default" w:asciiTheme="minorEastAsia" w:hAnsiTheme="minorEastAsia" w:eastAsiaTheme="minorEastAsia" w:cstheme="minorEastAsia"/>
          <w:b w:val="0"/>
          <w:bCs w:val="0"/>
          <w:color w:val="auto"/>
          <w:sz w:val="24"/>
          <w:szCs w:val="28"/>
          <w:highlight w:val="none"/>
          <w:lang w:val="en-US" w:eastAsia="zh-CN"/>
        </w:rPr>
      </w:pPr>
      <w:r>
        <w:rPr>
          <w:rFonts w:hint="eastAsia" w:asciiTheme="minorEastAsia" w:hAnsiTheme="minorEastAsia" w:eastAsiaTheme="minorEastAsia" w:cstheme="minorEastAsia"/>
          <w:b w:val="0"/>
          <w:bCs w:val="0"/>
          <w:color w:val="auto"/>
          <w:sz w:val="24"/>
          <w:szCs w:val="28"/>
          <w:highlight w:val="none"/>
        </w:rPr>
        <w:t>项目联系人（询问）：</w:t>
      </w:r>
      <w:r>
        <w:rPr>
          <w:rFonts w:hint="eastAsia" w:asciiTheme="minorEastAsia" w:hAnsiTheme="minorEastAsia" w:eastAsiaTheme="minorEastAsia" w:cstheme="minorEastAsia"/>
          <w:b w:val="0"/>
          <w:bCs w:val="0"/>
          <w:color w:val="auto"/>
          <w:sz w:val="24"/>
          <w:szCs w:val="28"/>
          <w:highlight w:val="none"/>
          <w:lang w:val="en-US" w:eastAsia="zh-CN"/>
        </w:rPr>
        <w:t>高帅奇</w:t>
      </w:r>
    </w:p>
    <w:p>
      <w:pPr>
        <w:spacing w:line="360" w:lineRule="auto"/>
        <w:jc w:val="left"/>
        <w:rPr>
          <w:rFonts w:hint="default" w:asciiTheme="minorEastAsia" w:hAnsiTheme="minorEastAsia" w:eastAsiaTheme="minorEastAsia" w:cstheme="minorEastAsia"/>
          <w:b w:val="0"/>
          <w:bCs w:val="0"/>
          <w:color w:val="auto"/>
          <w:sz w:val="24"/>
          <w:szCs w:val="28"/>
          <w:highlight w:val="none"/>
          <w:lang w:val="en-US" w:eastAsia="zh-CN"/>
        </w:rPr>
      </w:pPr>
      <w:r>
        <w:rPr>
          <w:rFonts w:hint="eastAsia" w:asciiTheme="minorEastAsia" w:hAnsiTheme="minorEastAsia" w:eastAsiaTheme="minorEastAsia" w:cstheme="minorEastAsia"/>
          <w:b w:val="0"/>
          <w:bCs w:val="0"/>
          <w:color w:val="auto"/>
          <w:sz w:val="24"/>
          <w:szCs w:val="28"/>
          <w:highlight w:val="none"/>
        </w:rPr>
        <w:t>项目联系方式（询问）：</w:t>
      </w:r>
      <w:r>
        <w:rPr>
          <w:rFonts w:hint="eastAsia" w:asciiTheme="minorEastAsia" w:hAnsiTheme="minorEastAsia" w:eastAsiaTheme="minorEastAsia" w:cstheme="minorEastAsia"/>
          <w:b w:val="0"/>
          <w:bCs w:val="0"/>
          <w:color w:val="auto"/>
          <w:sz w:val="24"/>
          <w:szCs w:val="28"/>
          <w:highlight w:val="none"/>
          <w:lang w:val="en-US" w:eastAsia="zh-CN"/>
        </w:rPr>
        <w:t>13567177116</w:t>
      </w:r>
    </w:p>
    <w:p>
      <w:pPr>
        <w:wordWrap w:val="0"/>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wordWrap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（https://</w:t>
      </w:r>
      <w:r>
        <w:rPr>
          <w:rFonts w:hint="eastAsia" w:asciiTheme="minorEastAsia" w:hAnsiTheme="minorEastAsia" w:eastAsiaTheme="minorEastAsia" w:cstheme="minorEastAsia"/>
          <w:color w:val="auto"/>
          <w:sz w:val="24"/>
          <w:highlight w:val="none"/>
          <w:lang w:eastAsia="zh-CN"/>
        </w:rPr>
        <w:t>xsnbsc.lecaiyun.com</w:t>
      </w:r>
      <w:r>
        <w:rPr>
          <w:rFonts w:hint="eastAsia" w:asciiTheme="minorEastAsia" w:hAnsiTheme="minorEastAsia" w:eastAsiaTheme="minorEastAsia" w:cstheme="minorEastAsia"/>
          <w:color w:val="auto"/>
          <w:sz w:val="24"/>
          <w:highlight w:val="none"/>
        </w:rPr>
        <w:t>），点击右侧咨询小采，获取采小蜜智能服务管家帮助，或拨打</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 xml:space="preserve">服务热线400-881-7190获取热线服务帮助。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第二部分</w:t>
      </w:r>
      <w:bookmarkEnd w:id="8"/>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须知</w:t>
      </w:r>
      <w:bookmarkEnd w:id="9"/>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0"/>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有关本项目开展所需的</w:t>
            </w:r>
            <w:r>
              <w:rPr>
                <w:rFonts w:hint="eastAsia" w:asciiTheme="minorEastAsia" w:hAnsiTheme="minorEastAsia" w:eastAsiaTheme="minorEastAsia" w:cstheme="minorEastAsia"/>
                <w:color w:val="auto"/>
                <w:sz w:val="24"/>
                <w:highlight w:val="none"/>
              </w:rPr>
              <w:t>所有</w:t>
            </w:r>
            <w:r>
              <w:rPr>
                <w:rFonts w:hint="eastAsia" w:asciiTheme="minorEastAsia" w:hAnsiTheme="minorEastAsia" w:eastAsiaTheme="minorEastAsia" w:cstheme="minorEastAsia"/>
                <w:color w:val="auto"/>
                <w:kern w:val="0"/>
                <w:sz w:val="24"/>
                <w:highlight w:val="none"/>
                <w:lang w:val="zh-CN"/>
              </w:rPr>
              <w:t>费用均计入报价。</w:t>
            </w:r>
            <w:r>
              <w:rPr>
                <w:rFonts w:hint="eastAsia" w:asciiTheme="minorEastAsia" w:hAnsiTheme="minorEastAsia" w:eastAsiaTheme="minorEastAsia" w:cstheme="minorEastAsia"/>
                <w:color w:val="auto"/>
                <w:sz w:val="24"/>
                <w:highlight w:val="none"/>
              </w:rPr>
              <w:t>《投标（开标）一览表》是报价的唯一载体</w:t>
            </w:r>
            <w:r>
              <w:rPr>
                <w:rFonts w:hint="eastAsia" w:asciiTheme="minorEastAsia" w:hAnsiTheme="minorEastAsia" w:eastAsiaTheme="minorEastAsia" w:cstheme="minorEastAsia"/>
                <w:color w:val="auto"/>
                <w:kern w:val="0"/>
                <w:sz w:val="24"/>
                <w:highlight w:val="none"/>
                <w:lang w:val="zh-CN"/>
              </w:rPr>
              <w:t>。响应文件中价格全部采用人民币报价。交易文件未列明，而供应商认为必需的费用也需列入报价。</w:t>
            </w:r>
          </w:p>
          <w:p>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kern w:val="0"/>
                <w:sz w:val="24"/>
                <w:highlight w:val="none"/>
                <w:lang w:val="zh-CN"/>
              </w:rPr>
              <w:t>响应文件出现不是唯一的、有选择性投标报价的；</w:t>
            </w:r>
          </w:p>
          <w:p>
            <w:pPr>
              <w:snapToGrid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▲投标报价高于本项目采购预算或者最高限价的;</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kern w:val="0"/>
                <w:sz w:val="24"/>
                <w:highlight w:val="none"/>
              </w:rPr>
              <w:t>报价明显低于其他通过符合性审查</w:t>
            </w:r>
            <w:r>
              <w:rPr>
                <w:rFonts w:hint="eastAsia" w:asciiTheme="minorEastAsia" w:hAnsiTheme="minorEastAsia" w:eastAsiaTheme="minorEastAsia" w:cstheme="minorEastAsia"/>
                <w:b/>
                <w:color w:val="auto"/>
                <w:kern w:val="0"/>
                <w:sz w:val="24"/>
                <w:highlight w:val="none"/>
                <w:lang w:eastAsia="zh-CN"/>
              </w:rPr>
              <w:t>供应商</w:t>
            </w:r>
            <w:r>
              <w:rPr>
                <w:rFonts w:hint="eastAsia" w:asciiTheme="minorEastAsia" w:hAnsiTheme="minorEastAsia" w:eastAsiaTheme="minorEastAsia" w:cstheme="minorEastAsia"/>
                <w:b/>
                <w:color w:val="auto"/>
                <w:kern w:val="0"/>
                <w:sz w:val="24"/>
                <w:highlight w:val="none"/>
              </w:rPr>
              <w:t>的报价，有可能影响产品质量或者不能诚信履约的，未能按要求提供书面说明或者提交相关证明材料，不能证明其报价合理性的</w:t>
            </w:r>
            <w:r>
              <w:rPr>
                <w:rFonts w:hint="eastAsia" w:asciiTheme="minorEastAsia" w:hAnsiTheme="minorEastAsia" w:eastAsiaTheme="minorEastAsia" w:cstheme="minorEastAsia"/>
                <w:b/>
                <w:color w:val="auto"/>
                <w:sz w:val="24"/>
                <w:szCs w:val="21"/>
                <w:highlight w:val="none"/>
              </w:rPr>
              <w:t>;</w:t>
            </w:r>
          </w:p>
          <w:p>
            <w:pPr>
              <w:spacing w:line="360" w:lineRule="auto"/>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color w:val="auto"/>
                <w:sz w:val="24"/>
                <w:highlight w:val="none"/>
              </w:rPr>
              <w:t>▲《投标（开标）一览表》填写不完整或字迹不能辨认或有漏项的；</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w:t>
            </w:r>
            <w:r>
              <w:rPr>
                <w:rFonts w:hint="eastAsia" w:asciiTheme="minorEastAsia" w:hAnsiTheme="minorEastAsia" w:eastAsiaTheme="minorEastAsia" w:cstheme="minorEastAsia"/>
                <w:b/>
                <w:color w:val="auto"/>
                <w:kern w:val="0"/>
                <w:sz w:val="24"/>
                <w:highlight w:val="none"/>
                <w:lang w:eastAsia="zh-CN"/>
              </w:rPr>
              <w:t>供应商</w:t>
            </w:r>
            <w:r>
              <w:rPr>
                <w:rFonts w:hint="eastAsia" w:asciiTheme="minorEastAsia" w:hAnsiTheme="minorEastAsia" w:eastAsiaTheme="minorEastAsia" w:cstheme="minorEastAsia"/>
                <w:b/>
                <w:color w:val="auto"/>
                <w:kern w:val="0"/>
                <w:sz w:val="24"/>
                <w:highlight w:val="none"/>
              </w:rPr>
              <w:t>对根据修正原则修正后的报价不确认的</w:t>
            </w:r>
            <w:r>
              <w:rPr>
                <w:rFonts w:hint="eastAsia" w:asciiTheme="minorEastAsia" w:hAnsiTheme="minorEastAsia" w:eastAsiaTheme="minorEastAsia" w:cstheme="minorEastAsia"/>
                <w:b/>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▲资格文件、商务技术文件与报价文件未分开制作</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本项目不允许转包或分包。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360" w:lineRule="auto"/>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资格证明文件：</w:t>
            </w:r>
            <w:r>
              <w:rPr>
                <w:rFonts w:hint="eastAsia" w:asciiTheme="minorEastAsia" w:hAnsiTheme="minorEastAsia" w:eastAsiaTheme="minorEastAsia" w:cstheme="minorEastAsia"/>
                <w:color w:val="auto"/>
                <w:kern w:val="0"/>
                <w:sz w:val="24"/>
                <w:highlight w:val="none"/>
              </w:rPr>
              <w:t>见</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文件第二部分11.1。</w:t>
            </w:r>
          </w:p>
          <w:p>
            <w:pPr>
              <w:numPr>
                <w:ilvl w:val="0"/>
                <w:numId w:val="0"/>
              </w:numPr>
              <w:spacing w:line="360" w:lineRule="auto"/>
              <w:ind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资信证明文件：根据</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文件第四部分评标标准提供。</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未提供（1）的有效的资格证明文件的，视为</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不具备</w:t>
            </w: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文件中规定的资格要求，</w:t>
            </w: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pPr>
              <w:pStyle w:val="32"/>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w:t>
            </w: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（√）A不要求提供。</w:t>
            </w:r>
          </w:p>
          <w:p>
            <w:pPr>
              <w:spacing w:line="360" w:lineRule="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val="0"/>
                <w:bCs/>
                <w:color w:val="auto"/>
                <w:sz w:val="24"/>
                <w:highlight w:val="none"/>
              </w:rPr>
              <w:t>（  ）B要求提供</w:t>
            </w:r>
            <w:r>
              <w:rPr>
                <w:rFonts w:hint="eastAsia" w:asciiTheme="minorEastAsia" w:hAnsiTheme="minorEastAsia" w:eastAsiaTheme="minorEastAsia" w:cstheme="minorEastAsia"/>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文件的</w:t>
            </w: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before="120" w:after="12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本项目实行电子投标。</w:t>
            </w:r>
          </w:p>
          <w:p>
            <w:pPr>
              <w:pStyle w:val="32"/>
              <w:snapToGrid w:val="0"/>
              <w:spacing w:before="120" w:after="120"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供应商应准备电子</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参与投标：</w:t>
            </w:r>
          </w:p>
          <w:p>
            <w:pPr>
              <w:pStyle w:val="32"/>
              <w:numPr>
                <w:ilvl w:val="0"/>
                <w:numId w:val="0"/>
              </w:numPr>
              <w:snapToGrid w:val="0"/>
              <w:spacing w:before="120" w:after="120" w:line="360" w:lineRule="auto"/>
              <w:ind w:left="360"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，按</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平台项目采购-电子招投标操作指南及本</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文件要求递交。</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▲未传输递交电子</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的，投标无效。</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▲未在系统解密时间内完成解密的，视为</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自行放弃投标，投标无效。</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本项目备份</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：不提供</w:t>
            </w:r>
            <w:r>
              <w:rPr>
                <w:rFonts w:hint="eastAsia" w:asciiTheme="minorEastAsia" w:hAnsiTheme="minorEastAsia" w:eastAsiaTheme="minorEastAsia" w:cstheme="minorEastAsia"/>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本项目的代理费由成交人支付。 </w:t>
            </w:r>
          </w:p>
          <w:p>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计费标准：以中标金额为计费基准，按《计价格［2002］1980 号》及《发改办价格［2003］857 号》规定的收费标准计取。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响应保证金</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响应保证金：不收取。</w:t>
            </w:r>
          </w:p>
          <w:p>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履约保证金：成交金额的1%。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kern w:val="0"/>
                <w:sz w:val="24"/>
                <w:highlight w:val="none"/>
              </w:rPr>
              <w:t>采购标的</w:t>
            </w:r>
            <w:r>
              <w:rPr>
                <w:rFonts w:hint="eastAsia" w:asciiTheme="minorEastAsia" w:hAnsiTheme="minorEastAsia" w:eastAsiaTheme="minorEastAsia" w:cstheme="minorEastAsia"/>
                <w:color w:val="auto"/>
                <w:kern w:val="0"/>
                <w:sz w:val="24"/>
                <w:highlight w:val="none"/>
                <w:u w:val="single"/>
                <w:lang w:eastAsia="zh-CN"/>
              </w:rPr>
              <w:t>：血液运输车（血浆运输车），</w:t>
            </w:r>
            <w:r>
              <w:rPr>
                <w:rFonts w:hint="eastAsia" w:asciiTheme="minorEastAsia" w:hAnsiTheme="minorEastAsia" w:eastAsiaTheme="minorEastAsia" w:cstheme="minorEastAsia"/>
                <w:color w:val="auto"/>
                <w:kern w:val="0"/>
                <w:sz w:val="24"/>
                <w:highlight w:val="none"/>
              </w:rPr>
              <w:t>所属行业：</w:t>
            </w:r>
            <w:r>
              <w:rPr>
                <w:rFonts w:hint="eastAsia" w:asciiTheme="minorEastAsia" w:hAnsiTheme="minorEastAsia" w:eastAsiaTheme="minorEastAsia" w:cstheme="minorEastAsia"/>
                <w:color w:val="auto"/>
                <w:kern w:val="0"/>
                <w:sz w:val="24"/>
                <w:highlight w:val="none"/>
                <w:u w:val="single"/>
                <w:lang w:eastAsia="zh-CN"/>
              </w:rPr>
              <w:t>工业</w:t>
            </w:r>
            <w:r>
              <w:rPr>
                <w:rFonts w:hint="eastAsia" w:asciiTheme="minorEastAsia" w:hAnsiTheme="minorEastAsia" w:eastAsiaTheme="minorEastAsia" w:cstheme="minorEastAsia"/>
                <w:color w:val="auto"/>
                <w:sz w:val="24"/>
                <w:highlight w:val="none"/>
                <w:u w:val="single"/>
              </w:rPr>
              <w:t>。</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行业划分标准：</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jc w:val="both"/>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val="0"/>
                <w:bCs/>
                <w:color w:val="auto"/>
                <w:sz w:val="24"/>
                <w:highlight w:val="none"/>
              </w:rPr>
              <w:t>本项目</w:t>
            </w:r>
            <w:r>
              <w:rPr>
                <w:rFonts w:hint="eastAsia" w:asciiTheme="minorEastAsia" w:hAnsiTheme="minorEastAsia" w:eastAsiaTheme="minorEastAsia" w:cstheme="minorEastAsia"/>
                <w:b w:val="0"/>
                <w:bCs/>
                <w:color w:val="auto"/>
                <w:sz w:val="24"/>
                <w:highlight w:val="none"/>
                <w:u w:val="single"/>
                <w:lang w:val="en-US" w:eastAsia="zh-CN"/>
              </w:rPr>
              <w:t xml:space="preserve">  </w:t>
            </w:r>
            <w:r>
              <w:rPr>
                <w:rFonts w:hint="eastAsia" w:asciiTheme="minorEastAsia" w:hAnsiTheme="minorEastAsia" w:eastAsiaTheme="minorEastAsia" w:cstheme="minorEastAsia"/>
                <w:b w:val="0"/>
                <w:bCs/>
                <w:color w:val="auto"/>
                <w:sz w:val="24"/>
                <w:highlight w:val="none"/>
                <w:u w:val="single"/>
              </w:rPr>
              <w:t>预留</w:t>
            </w:r>
            <w:r>
              <w:rPr>
                <w:rFonts w:hint="eastAsia" w:asciiTheme="minorEastAsia" w:hAnsiTheme="minorEastAsia" w:eastAsiaTheme="minorEastAsia" w:cstheme="minorEastAsia"/>
                <w:b w:val="0"/>
                <w:bCs/>
                <w:color w:val="auto"/>
                <w:sz w:val="24"/>
                <w:highlight w:val="none"/>
                <w:u w:val="single"/>
                <w:lang w:val="en-US" w:eastAsia="zh-CN"/>
              </w:rPr>
              <w:t xml:space="preserve">0% </w:t>
            </w:r>
            <w:r>
              <w:rPr>
                <w:rFonts w:hint="eastAsia" w:asciiTheme="minorEastAsia" w:hAnsiTheme="minorEastAsia" w:eastAsiaTheme="minorEastAsia" w:cstheme="minorEastAsia"/>
                <w:b w:val="0"/>
                <w:bCs/>
                <w:color w:val="auto"/>
                <w:sz w:val="24"/>
                <w:highlight w:val="none"/>
              </w:rPr>
              <w:t>份额专门面向中小企业采购</w:t>
            </w:r>
            <w:r>
              <w:rPr>
                <w:rFonts w:hint="eastAsia" w:asciiTheme="minorEastAsia" w:hAnsiTheme="minorEastAsia" w:eastAsiaTheme="minorEastAsia" w:cstheme="minorEastAsia"/>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质疑接收人</w:t>
            </w: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采购机构质疑接收人：</w:t>
            </w:r>
            <w:r>
              <w:rPr>
                <w:rFonts w:hint="eastAsia" w:asciiTheme="minorEastAsia" w:hAnsiTheme="minorEastAsia" w:eastAsiaTheme="minorEastAsia" w:cstheme="minorEastAsia"/>
                <w:color w:val="auto"/>
                <w:sz w:val="24"/>
                <w:highlight w:val="none"/>
                <w:u w:val="single"/>
              </w:rPr>
              <w:t>高</w:t>
            </w:r>
            <w:r>
              <w:rPr>
                <w:rFonts w:hint="eastAsia" w:asciiTheme="minorEastAsia" w:hAnsiTheme="minorEastAsia" w:eastAsiaTheme="minorEastAsia" w:cstheme="minorEastAsia"/>
                <w:color w:val="auto"/>
                <w:sz w:val="24"/>
                <w:highlight w:val="none"/>
                <w:u w:val="single"/>
                <w:lang w:eastAsia="zh-CN"/>
              </w:rPr>
              <w:t>天宇</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 xml:space="preserve"> 0571-228</w:t>
            </w:r>
            <w:r>
              <w:rPr>
                <w:rFonts w:hint="eastAsia" w:asciiTheme="minorEastAsia" w:hAnsiTheme="minorEastAsia" w:eastAsiaTheme="minorEastAsia" w:cstheme="minorEastAsia"/>
                <w:color w:val="auto"/>
                <w:sz w:val="24"/>
                <w:highlight w:val="none"/>
                <w:u w:val="single"/>
                <w:lang w:val="en-US" w:eastAsia="zh-CN"/>
              </w:rPr>
              <w:t>16663</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lang w:eastAsia="zh-CN"/>
              </w:rPr>
              <w:t>萧山区北干街道金城路560号心意广场2幢1101室</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lang w:val="en-US" w:eastAsia="zh-CN"/>
              </w:rPr>
              <w:t>313008505</w:t>
            </w:r>
            <w:r>
              <w:rPr>
                <w:rFonts w:hint="eastAsia" w:asciiTheme="minorEastAsia" w:hAnsiTheme="minorEastAsia" w:eastAsiaTheme="minorEastAsia" w:cstheme="minorEastAsia"/>
                <w:color w:val="auto"/>
                <w:sz w:val="24"/>
                <w:highlight w:val="none"/>
                <w:u w:val="single"/>
              </w:rPr>
              <w:t>@qq.com</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如通过邮箱方式发送质疑，须提交符合法规及</w:t>
            </w: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文件要求的质疑文件（参考附件2），盖章扫描后发送，质疑的受理按答复主体划分以采购人或采购机构邮箱回复确认受理为准。</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本项目涉及资格条件、采购需求、评分办法及采购过程中有关现场考察或开标前答疑会事项由采购人进行答复。</w:t>
            </w:r>
          </w:p>
          <w:p>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本项目为</w:t>
            </w:r>
            <w:r>
              <w:rPr>
                <w:rFonts w:hint="eastAsia" w:asciiTheme="minorEastAsia" w:hAnsiTheme="minorEastAsia" w:eastAsiaTheme="minorEastAsia" w:cstheme="minorEastAsia"/>
                <w:color w:val="auto"/>
                <w:sz w:val="24"/>
                <w:highlight w:val="none"/>
                <w:u w:val="single"/>
                <w:lang w:eastAsia="zh-CN"/>
              </w:rPr>
              <w:t>货物</w:t>
            </w:r>
            <w:r>
              <w:rPr>
                <w:rFonts w:hint="eastAsia" w:asciiTheme="minorEastAsia" w:hAnsiTheme="minorEastAsia" w:eastAsiaTheme="minorEastAsia" w:cstheme="minorEastAsia"/>
                <w:color w:val="auto"/>
                <w:sz w:val="24"/>
                <w:highlight w:val="none"/>
                <w:u w:val="single"/>
              </w:rPr>
              <w:t>类</w:t>
            </w:r>
            <w:r>
              <w:rPr>
                <w:rFonts w:hint="eastAsia" w:asciiTheme="minorEastAsia" w:hAnsiTheme="minorEastAsia" w:eastAsiaTheme="minorEastAsia" w:cstheme="minorEastAsia"/>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评审办法</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标项一</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综合评分法</w:t>
            </w:r>
            <w:r>
              <w:rPr>
                <w:rFonts w:hint="eastAsia" w:asciiTheme="minorEastAsia" w:hAnsiTheme="minorEastAsia" w:eastAsiaTheme="minorEastAsia" w:cstheme="minorEastAsia"/>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注：本项目通用总则条款与前附表等专用特别规定有冲突之处，以专用条款（特别规定）为准</w:t>
      </w:r>
    </w:p>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bookmarkEnd w:id="10"/>
      <w:bookmarkStart w:id="40" w:name="_Toc164416483"/>
      <w:bookmarkStart w:id="41" w:name="第三部分"/>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文件适用于该项目的</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、投标、开标、资格审查及信用信息查询、评标、定标、合同、验收等行为（法律、法规另有规定的，从其规定）。</w:t>
      </w:r>
    </w:p>
    <w:p>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公告中载明的本项目的采购人。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“采购机构”系指</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公告中载明的本项目的采购机构。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”系指是指响应</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、参加投标竞争的法人、其他组织或者自然人。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 “▲” 系指实质性要求条款，“★”系产品采购项目中单一产品或核心产品。</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b/>
          <w:color w:val="auto"/>
          <w:sz w:val="24"/>
          <w:highlight w:val="none"/>
        </w:rPr>
        <w:t>（  ）</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系指不适用本项目的要求。</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3.采购项目需要落实的政府采购政策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节能环保要求</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Theme="minorEastAsia" w:hAnsiTheme="minorEastAsia" w:eastAsiaTheme="minorEastAsia" w:cstheme="minorEastAsia"/>
          <w:color w:val="auto"/>
          <w:sz w:val="24"/>
          <w:highlight w:val="none"/>
        </w:rPr>
        <w:t>（注：在最新一期节能产品品目清单发布之后开展的政府采购活动，执行最新一期节能清单。在此之前已经开展但尚未进入评审环节的政府采购活动，执行上期或最新一期品目清单。</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1"/>
          <w:highlight w:val="none"/>
        </w:rPr>
        <w:t>本项目如需采购节能品目清单中的政府强制采购的节能产品的，必须以强制采购的品目清单内产品投标，</w:t>
      </w:r>
      <w:r>
        <w:rPr>
          <w:rFonts w:hint="eastAsia" w:asciiTheme="minorEastAsia" w:hAnsiTheme="minorEastAsia" w:eastAsiaTheme="minorEastAsia" w:cstheme="minorEastAsia"/>
          <w:b/>
          <w:color w:val="auto"/>
          <w:sz w:val="24"/>
          <w:szCs w:val="21"/>
          <w:highlight w:val="none"/>
          <w:lang w:eastAsia="zh-CN"/>
        </w:rPr>
        <w:t>供应商</w:t>
      </w:r>
      <w:r>
        <w:rPr>
          <w:rFonts w:hint="eastAsia" w:asciiTheme="minorEastAsia" w:hAnsiTheme="minorEastAsia" w:eastAsiaTheme="minorEastAsia" w:cstheme="minorEastAsia"/>
          <w:b/>
          <w:color w:val="auto"/>
          <w:sz w:val="24"/>
          <w:szCs w:val="21"/>
          <w:highlight w:val="none"/>
        </w:rPr>
        <w:t>未按要求提供品目清单内的节能产品或相关证明，投标无效。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.1 采购人优先采购被认定为首台套产品和“制造精品”的自主创新产品。</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4.询问、质疑、投诉</w:t>
      </w:r>
      <w:r>
        <w:rPr>
          <w:rFonts w:hint="eastAsia" w:asciiTheme="minorEastAsia" w:hAnsiTheme="minorEastAsia" w:eastAsiaTheme="minorEastAsia" w:cstheme="minorEastAsia"/>
          <w:color w:val="auto"/>
          <w:kern w:val="0"/>
          <w:sz w:val="24"/>
          <w:highlight w:val="none"/>
          <w:lang w:val="zh-CN"/>
        </w:rPr>
        <w:t xml:space="preserve"> </w:t>
      </w:r>
    </w:p>
    <w:p>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15"/>
        <w:spacing w:line="360" w:lineRule="auto"/>
        <w:ind w:left="0" w:leftChars="0" w:firstLine="0" w:firstLineChars="0"/>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4.2供应商质疑</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w:t>
      </w:r>
      <w:r>
        <w:rPr>
          <w:rFonts w:hint="eastAsia" w:asciiTheme="minorEastAsia" w:hAnsiTheme="minorEastAsia" w:eastAsiaTheme="minorEastAsia" w:cstheme="minorEastAsia"/>
          <w:snapToGrid/>
          <w:color w:val="auto"/>
          <w:kern w:val="2"/>
          <w:sz w:val="24"/>
          <w:highlight w:val="none"/>
        </w:rPr>
        <w:t>.1提出质疑的供应商应当是参与所质疑项目采购活动的供应商。潜在供应商已依法获取其可质疑的采购文件的，可以对该文件提出质疑。</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w:t>
      </w:r>
      <w:r>
        <w:rPr>
          <w:rFonts w:hint="eastAsia" w:asciiTheme="minorEastAsia" w:hAnsiTheme="minorEastAsia" w:eastAsiaTheme="minorEastAsia" w:cstheme="minorEastAsia"/>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w:t>
      </w:r>
      <w:r>
        <w:rPr>
          <w:rFonts w:hint="eastAsia" w:asciiTheme="minorEastAsia" w:hAnsiTheme="minorEastAsia" w:eastAsiaTheme="minorEastAsia" w:cstheme="minorEastAsia"/>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w:t>
      </w:r>
      <w:r>
        <w:rPr>
          <w:rFonts w:hint="eastAsia" w:asciiTheme="minorEastAsia" w:hAnsiTheme="minorEastAsia" w:eastAsiaTheme="minorEastAsia" w:cstheme="minorEastAsia"/>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w:t>
      </w:r>
      <w:r>
        <w:rPr>
          <w:rFonts w:hint="eastAsia" w:asciiTheme="minorEastAsia" w:hAnsiTheme="minorEastAsia" w:eastAsiaTheme="minorEastAsia" w:cstheme="minorEastAsia"/>
          <w:snapToGrid/>
          <w:color w:val="auto"/>
          <w:kern w:val="2"/>
          <w:sz w:val="24"/>
          <w:highlight w:val="none"/>
        </w:rPr>
        <w:t>.2.3对采购结果提出质疑的，质疑期限自采购结果公告期限届满之日起计算。对采购结果提出质疑的，采购人或采购机构负责答复。（详见前附表相关规定）</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4.2.3</w:t>
      </w:r>
      <w:r>
        <w:rPr>
          <w:rFonts w:hint="eastAsia" w:asciiTheme="minorEastAsia" w:hAnsiTheme="minorEastAsia" w:eastAsiaTheme="minorEastAsia" w:cstheme="minorEastAsia"/>
          <w:snapToGrid/>
          <w:color w:val="auto"/>
          <w:kern w:val="2"/>
          <w:sz w:val="24"/>
          <w:highlight w:val="none"/>
        </w:rPr>
        <w:t>供应商提出质疑应当提交质疑函和必要的证明材料。质疑函应当包括下列内容：</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4.2.3.1</w:t>
      </w:r>
      <w:r>
        <w:rPr>
          <w:rFonts w:hint="eastAsia" w:asciiTheme="minorEastAsia" w:hAnsiTheme="minorEastAsia" w:eastAsiaTheme="minorEastAsia" w:cstheme="minorEastAsia"/>
          <w:snapToGrid/>
          <w:color w:val="auto"/>
          <w:kern w:val="2"/>
          <w:sz w:val="24"/>
          <w:highlight w:val="none"/>
        </w:rPr>
        <w:t>供应商的姓名或者名称、地址、邮编、联系人及联系电话；</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4.2.3.2</w:t>
      </w:r>
      <w:r>
        <w:rPr>
          <w:rFonts w:hint="eastAsia" w:asciiTheme="minorEastAsia" w:hAnsiTheme="minorEastAsia" w:eastAsiaTheme="minorEastAsia" w:cstheme="minorEastAsia"/>
          <w:snapToGrid/>
          <w:color w:val="auto"/>
          <w:kern w:val="2"/>
          <w:sz w:val="24"/>
          <w:highlight w:val="none"/>
        </w:rPr>
        <w:t>质疑项目的名称、编号；</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4.2.3.3</w:t>
      </w:r>
      <w:r>
        <w:rPr>
          <w:rFonts w:hint="eastAsia" w:asciiTheme="minorEastAsia" w:hAnsiTheme="minorEastAsia" w:eastAsiaTheme="minorEastAsia" w:cstheme="minorEastAsia"/>
          <w:snapToGrid/>
          <w:color w:val="auto"/>
          <w:kern w:val="2"/>
          <w:sz w:val="24"/>
          <w:highlight w:val="none"/>
        </w:rPr>
        <w:t>具体、明确的质疑事项和与质疑事项相关的请求；</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4.2.3.4</w:t>
      </w:r>
      <w:r>
        <w:rPr>
          <w:rFonts w:hint="eastAsia" w:asciiTheme="minorEastAsia" w:hAnsiTheme="minorEastAsia" w:eastAsiaTheme="minorEastAsia" w:cstheme="minorEastAsia"/>
          <w:snapToGrid/>
          <w:color w:val="auto"/>
          <w:kern w:val="2"/>
          <w:sz w:val="24"/>
          <w:highlight w:val="none"/>
        </w:rPr>
        <w:t>事实依据；</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4.2.3.5</w:t>
      </w:r>
      <w:r>
        <w:rPr>
          <w:rFonts w:hint="eastAsia" w:asciiTheme="minorEastAsia" w:hAnsiTheme="minorEastAsia" w:eastAsiaTheme="minorEastAsia" w:cstheme="minorEastAsia"/>
          <w:snapToGrid/>
          <w:color w:val="auto"/>
          <w:kern w:val="2"/>
          <w:sz w:val="24"/>
          <w:highlight w:val="none"/>
        </w:rPr>
        <w:t>必要的法律依据；</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4.2.3.6</w:t>
      </w:r>
      <w:r>
        <w:rPr>
          <w:rFonts w:hint="eastAsia" w:asciiTheme="minorEastAsia" w:hAnsiTheme="minorEastAsia" w:eastAsiaTheme="minorEastAsia" w:cstheme="minorEastAsia"/>
          <w:snapToGrid/>
          <w:color w:val="auto"/>
          <w:kern w:val="2"/>
          <w:sz w:val="24"/>
          <w:highlight w:val="none"/>
        </w:rPr>
        <w:t>提出质疑的日期。</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w:t>
      </w:r>
      <w:r>
        <w:rPr>
          <w:rFonts w:hint="eastAsia" w:asciiTheme="minorEastAsia" w:hAnsiTheme="minorEastAsia" w:eastAsiaTheme="minorEastAsia" w:cstheme="minorEastAsia"/>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lang w:val="zh-CN"/>
        </w:rPr>
        <w:t>4.2</w:t>
      </w:r>
      <w:r>
        <w:rPr>
          <w:rFonts w:hint="eastAsia" w:asciiTheme="minorEastAsia" w:hAnsiTheme="minorEastAsia" w:eastAsiaTheme="minorEastAsia" w:cstheme="minorEastAsia"/>
          <w:snapToGrid/>
          <w:color w:val="auto"/>
          <w:kern w:val="2"/>
          <w:sz w:val="24"/>
          <w:highlight w:val="none"/>
        </w:rPr>
        <w:t>.5询问或者质疑事项可能影响采购结果的，采购人应当暂停签订合同，已经签订合同的，应当中止履行合同。</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4.2.6质疑接收人：详见前附表</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4.3供应商投诉</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4.3.2供应商投诉的事项不得超出已质疑事项的范围，基于质疑答复内容提出的投诉事项除外。</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4.3.3供应商投诉应当有明确的请求和必要的证明材料。</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4.3.5 以联合体形式参加政府采购活动的，其投诉应当由组成联合体的所有供应商共同提出。</w:t>
      </w:r>
    </w:p>
    <w:p>
      <w:pPr>
        <w:pStyle w:val="15"/>
        <w:spacing w:line="360" w:lineRule="auto"/>
        <w:ind w:firstLine="434" w:firstLineChars="181"/>
        <w:rPr>
          <w:rFonts w:hint="eastAsia" w:asciiTheme="minorEastAsia" w:hAnsiTheme="minorEastAsia" w:eastAsiaTheme="minorEastAsia" w:cstheme="minorEastAsia"/>
          <w:snapToGrid/>
          <w:color w:val="auto"/>
          <w:kern w:val="2"/>
          <w:sz w:val="24"/>
          <w:highlight w:val="none"/>
          <w:lang w:val="zh-CN"/>
        </w:rPr>
      </w:pPr>
      <w:r>
        <w:rPr>
          <w:rFonts w:hint="eastAsia" w:asciiTheme="minorEastAsia" w:hAnsiTheme="minorEastAsia" w:eastAsiaTheme="minorEastAsia" w:cstheme="minorEastAsia"/>
          <w:snapToGrid/>
          <w:color w:val="auto"/>
          <w:kern w:val="2"/>
          <w:sz w:val="24"/>
          <w:highlight w:val="none"/>
          <w:lang w:val="zh-CN"/>
        </w:rPr>
        <w:t>投诉书范本及制作说明详见附件3。</w:t>
      </w:r>
    </w:p>
    <w:p>
      <w:pPr>
        <w:pStyle w:val="219"/>
        <w:snapToGrid w:val="0"/>
        <w:spacing w:before="0"/>
        <w:ind w:firstLine="360"/>
        <w:rPr>
          <w:rFonts w:hint="eastAsia" w:asciiTheme="minorEastAsia" w:hAnsiTheme="minorEastAsia" w:eastAsiaTheme="minorEastAsia" w:cstheme="minorEastAsia"/>
          <w:color w:val="auto"/>
          <w:sz w:val="18"/>
          <w:szCs w:val="18"/>
          <w:highlight w:val="none"/>
        </w:rPr>
      </w:pPr>
    </w:p>
    <w:p>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bookmarkStart w:id="42" w:name="_Hlt74729768"/>
      <w:bookmarkEnd w:id="42"/>
      <w:bookmarkStart w:id="43" w:name="_Hlt68072990"/>
      <w:bookmarkEnd w:id="43"/>
      <w:bookmarkStart w:id="44" w:name="_Hlt75236290"/>
      <w:bookmarkEnd w:id="44"/>
      <w:bookmarkStart w:id="45" w:name="_Hlt68057669"/>
      <w:bookmarkEnd w:id="45"/>
      <w:bookmarkStart w:id="46" w:name="_Hlt74714665"/>
      <w:bookmarkEnd w:id="46"/>
      <w:bookmarkStart w:id="47" w:name="_Hlt74707468"/>
      <w:bookmarkEnd w:id="47"/>
      <w:bookmarkStart w:id="48" w:name="_Hlt74730295"/>
      <w:bookmarkEnd w:id="48"/>
      <w:bookmarkStart w:id="49" w:name="_Toc91899879"/>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交易</w:t>
      </w:r>
      <w:r>
        <w:rPr>
          <w:rFonts w:hint="eastAsia" w:asciiTheme="minorEastAsia" w:hAnsiTheme="minorEastAsia" w:eastAsiaTheme="minorEastAsia" w:cstheme="minorEastAsia"/>
          <w:b/>
          <w:color w:val="auto"/>
          <w:sz w:val="32"/>
          <w:szCs w:val="20"/>
          <w:highlight w:val="none"/>
        </w:rPr>
        <w:t>文件</w:t>
      </w:r>
      <w:bookmarkEnd w:id="49"/>
      <w:r>
        <w:rPr>
          <w:rFonts w:hint="eastAsia" w:asciiTheme="minorEastAsia" w:hAnsiTheme="minorEastAsia" w:eastAsiaTheme="minorEastAsia" w:cstheme="minorEastAsia"/>
          <w:b/>
          <w:color w:val="auto"/>
          <w:sz w:val="32"/>
          <w:szCs w:val="20"/>
          <w:highlight w:val="none"/>
        </w:rPr>
        <w:t>的构成、澄清、修改</w:t>
      </w:r>
    </w:p>
    <w:p>
      <w:pPr>
        <w:pStyle w:val="32"/>
        <w:spacing w:line="360" w:lineRule="auto"/>
        <w:ind w:right="-512" w:firstLine="576"/>
        <w:rPr>
          <w:rFonts w:hint="eastAsia" w:asciiTheme="minorEastAsia" w:hAnsiTheme="minorEastAsia" w:eastAsiaTheme="minorEastAsia" w:cstheme="minorEastAsia"/>
          <w:b/>
          <w:color w:val="auto"/>
          <w:sz w:val="24"/>
          <w:szCs w:val="24"/>
          <w:highlight w:val="none"/>
        </w:rPr>
      </w:pPr>
      <w:bookmarkStart w:id="50" w:name="_Toc91899880"/>
      <w:bookmarkStart w:id="51" w:name="_Hlt74730307"/>
      <w:r>
        <w:rPr>
          <w:rFonts w:hint="eastAsia" w:asciiTheme="minorEastAsia" w:hAnsiTheme="minorEastAsia" w:eastAsiaTheme="minorEastAsia" w:cstheme="minorEastAsia"/>
          <w:b/>
          <w:color w:val="auto"/>
          <w:sz w:val="24"/>
          <w:szCs w:val="24"/>
          <w:highlight w:val="none"/>
        </w:rPr>
        <w:t>5．</w:t>
      </w:r>
      <w:r>
        <w:rPr>
          <w:rFonts w:hint="eastAsia" w:asciiTheme="minorEastAsia" w:hAnsiTheme="minorEastAsia" w:eastAsiaTheme="minorEastAsia" w:cstheme="minorEastAsia"/>
          <w:b/>
          <w:color w:val="auto"/>
          <w:sz w:val="24"/>
          <w:szCs w:val="24"/>
          <w:highlight w:val="none"/>
          <w:lang w:eastAsia="zh-CN"/>
        </w:rPr>
        <w:t>交易</w:t>
      </w:r>
      <w:r>
        <w:rPr>
          <w:rFonts w:hint="eastAsia" w:asciiTheme="minorEastAsia" w:hAnsiTheme="minorEastAsia" w:eastAsiaTheme="minorEastAsia" w:cstheme="minorEastAsia"/>
          <w:b/>
          <w:color w:val="auto"/>
          <w:sz w:val="24"/>
          <w:szCs w:val="24"/>
          <w:highlight w:val="none"/>
        </w:rPr>
        <w:t>文件的构成</w:t>
      </w:r>
      <w:bookmarkEnd w:id="50"/>
    </w:p>
    <w:bookmarkEnd w:id="51"/>
    <w:p>
      <w:pPr>
        <w:pStyle w:val="32"/>
        <w:spacing w:line="360" w:lineRule="auto"/>
        <w:ind w:right="-5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5.1 </w:t>
      </w:r>
      <w:r>
        <w:rPr>
          <w:rFonts w:hint="eastAsia" w:asciiTheme="minorEastAsia" w:hAnsiTheme="minorEastAsia" w:eastAsiaTheme="minorEastAsia" w:cstheme="minorEastAsia"/>
          <w:color w:val="auto"/>
          <w:sz w:val="24"/>
          <w:szCs w:val="24"/>
          <w:highlight w:val="none"/>
          <w:lang w:eastAsia="zh-CN"/>
        </w:rPr>
        <w:t>交易</w:t>
      </w:r>
      <w:r>
        <w:rPr>
          <w:rFonts w:hint="eastAsia" w:asciiTheme="minorEastAsia" w:hAnsiTheme="minorEastAsia" w:eastAsiaTheme="minorEastAsia" w:cstheme="minorEastAsia"/>
          <w:color w:val="auto"/>
          <w:sz w:val="24"/>
          <w:szCs w:val="24"/>
          <w:highlight w:val="none"/>
        </w:rPr>
        <w:t>文件包括下列文件及附件</w:t>
      </w:r>
    </w:p>
    <w:p>
      <w:pPr>
        <w:spacing w:line="360" w:lineRule="auto"/>
        <w:ind w:firstLine="960" w:firstLineChars="4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第一部分      </w:t>
      </w:r>
      <w:r>
        <w:rPr>
          <w:rFonts w:hint="eastAsia" w:asciiTheme="minorEastAsia" w:hAnsiTheme="minorEastAsia" w:eastAsiaTheme="minorEastAsia" w:cstheme="minorEastAsia"/>
          <w:color w:val="auto"/>
          <w:sz w:val="24"/>
          <w:szCs w:val="24"/>
          <w:highlight w:val="none"/>
          <w:lang w:eastAsia="zh-CN"/>
        </w:rPr>
        <w:t>交易公告</w:t>
      </w:r>
    </w:p>
    <w:p>
      <w:pPr>
        <w:spacing w:line="360" w:lineRule="auto"/>
        <w:ind w:firstLine="960" w:firstLineChars="4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第二部分      </w:t>
      </w:r>
      <w:r>
        <w:rPr>
          <w:rFonts w:hint="eastAsia" w:asciiTheme="minorEastAsia" w:hAnsiTheme="minorEastAsia" w:eastAsiaTheme="minorEastAsia" w:cstheme="minorEastAsia"/>
          <w:color w:val="auto"/>
          <w:sz w:val="24"/>
          <w:szCs w:val="24"/>
          <w:highlight w:val="none"/>
          <w:lang w:eastAsia="zh-CN"/>
        </w:rPr>
        <w:t>供应商须知</w:t>
      </w:r>
    </w:p>
    <w:p>
      <w:pPr>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第三部分      采购需求</w:t>
      </w:r>
    </w:p>
    <w:p>
      <w:pPr>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第四部分      评</w:t>
      </w:r>
      <w:r>
        <w:rPr>
          <w:rFonts w:hint="eastAsia" w:asciiTheme="minorEastAsia" w:hAnsiTheme="minorEastAsia" w:eastAsiaTheme="minorEastAsia" w:cstheme="minorEastAsia"/>
          <w:color w:val="auto"/>
          <w:sz w:val="24"/>
          <w:szCs w:val="24"/>
          <w:highlight w:val="none"/>
          <w:lang w:eastAsia="zh-CN"/>
        </w:rPr>
        <w:t>审</w:t>
      </w:r>
      <w:r>
        <w:rPr>
          <w:rFonts w:hint="eastAsia" w:asciiTheme="minorEastAsia" w:hAnsiTheme="minorEastAsia" w:eastAsiaTheme="minorEastAsia" w:cstheme="minorEastAsia"/>
          <w:color w:val="auto"/>
          <w:sz w:val="24"/>
          <w:szCs w:val="24"/>
          <w:highlight w:val="none"/>
        </w:rPr>
        <w:t>办法</w:t>
      </w:r>
    </w:p>
    <w:p>
      <w:pPr>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第五部分      拟签订的合同文本</w:t>
      </w:r>
    </w:p>
    <w:p>
      <w:pPr>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第六部分      应提交的有关格式范例</w:t>
      </w:r>
    </w:p>
    <w:p>
      <w:pPr>
        <w:wordWrap w:val="0"/>
        <w:spacing w:line="360"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澄清或者修改等公告、内容亦为</w:t>
      </w:r>
      <w:r>
        <w:rPr>
          <w:rFonts w:hint="eastAsia" w:asciiTheme="minorEastAsia" w:hAnsiTheme="minorEastAsia" w:eastAsiaTheme="minorEastAsia" w:cstheme="minorEastAsia"/>
          <w:bCs/>
          <w:color w:val="auto"/>
          <w:sz w:val="24"/>
          <w:highlight w:val="none"/>
          <w:lang w:eastAsia="zh-CN"/>
        </w:rPr>
        <w:t>交易</w:t>
      </w:r>
      <w:r>
        <w:rPr>
          <w:rFonts w:hint="eastAsia" w:asciiTheme="minorEastAsia" w:hAnsiTheme="minorEastAsia" w:eastAsiaTheme="minorEastAsia" w:cstheme="minorEastAsia"/>
          <w:bCs/>
          <w:color w:val="auto"/>
          <w:sz w:val="24"/>
          <w:highlight w:val="none"/>
        </w:rPr>
        <w:t>文件的组成部分，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须自行于</w:t>
      </w:r>
      <w:r>
        <w:rPr>
          <w:rFonts w:hint="eastAsia" w:asciiTheme="minorEastAsia" w:hAnsiTheme="minorEastAsia" w:eastAsiaTheme="minorEastAsia" w:cstheme="minorEastAsia"/>
          <w:bCs/>
          <w:color w:val="auto"/>
          <w:sz w:val="24"/>
          <w:highlight w:val="none"/>
          <w:lang w:eastAsia="zh-CN"/>
        </w:rPr>
        <w:t>交易</w:t>
      </w:r>
      <w:r>
        <w:rPr>
          <w:rFonts w:hint="eastAsia" w:asciiTheme="minorEastAsia" w:hAnsiTheme="minorEastAsia" w:eastAsiaTheme="minorEastAsia" w:cstheme="minorEastAsia"/>
          <w:bCs/>
          <w:color w:val="auto"/>
          <w:sz w:val="24"/>
          <w:highlight w:val="none"/>
        </w:rPr>
        <w:t>公告所在网站获取相关信息（浙江政府采购网）</w:t>
      </w:r>
      <w:r>
        <w:rPr>
          <w:rFonts w:hint="eastAsia" w:asciiTheme="minorEastAsia" w:hAnsiTheme="minorEastAsia" w:eastAsiaTheme="minorEastAsia" w:cstheme="minorEastAsia"/>
          <w:color w:val="auto"/>
          <w:sz w:val="24"/>
          <w:highlight w:val="none"/>
        </w:rPr>
        <w:t>。</w:t>
      </w:r>
    </w:p>
    <w:p>
      <w:pPr>
        <w:pStyle w:val="32"/>
        <w:spacing w:line="360" w:lineRule="auto"/>
        <w:ind w:right="-512"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w:t>
      </w:r>
      <w:r>
        <w:rPr>
          <w:rFonts w:hint="eastAsia" w:asciiTheme="minorEastAsia" w:hAnsiTheme="minorEastAsia" w:eastAsiaTheme="minorEastAsia" w:cstheme="minorEastAsia"/>
          <w:b/>
          <w:color w:val="auto"/>
          <w:sz w:val="24"/>
          <w:szCs w:val="24"/>
          <w:highlight w:val="none"/>
          <w:lang w:eastAsia="zh-CN"/>
        </w:rPr>
        <w:t>交易</w:t>
      </w:r>
      <w:r>
        <w:rPr>
          <w:rFonts w:hint="eastAsia" w:asciiTheme="minorEastAsia" w:hAnsiTheme="minorEastAsia" w:eastAsiaTheme="minorEastAsia" w:cstheme="minorEastAsia"/>
          <w:b/>
          <w:color w:val="auto"/>
          <w:sz w:val="24"/>
          <w:szCs w:val="24"/>
          <w:highlight w:val="none"/>
        </w:rPr>
        <w:t>文件的澄清、修改</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文件的潜在</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，若有问题需要澄清，应于投标截止时间前，以书面形式向采购机构提出，采购机构与采购人研究后，对认为有必要回答的问题，将以公告形式通知所有</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文件收受人。</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6.2采购机构如对已发出的</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文件进行必要澄清或者修改的，将在发布</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公告的网站上发布更正、补遗公告，同时视情况延长投标截止时间和开标时间。该公告澄清或者修改的内容为</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文件的组成部分。</w:t>
      </w:r>
    </w:p>
    <w:p>
      <w:pPr>
        <w:spacing w:line="360" w:lineRule="auto"/>
        <w:ind w:firstLine="482"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1"/>
          <w:highlight w:val="none"/>
          <w:lang w:eastAsia="zh-CN"/>
        </w:rPr>
        <w:t>响应文件</w:t>
      </w:r>
      <w:r>
        <w:rPr>
          <w:rFonts w:hint="eastAsia" w:asciiTheme="minorEastAsia" w:hAnsiTheme="minorEastAsia" w:eastAsiaTheme="minorEastAsia" w:cstheme="minorEastAsia"/>
          <w:b/>
          <w:color w:val="auto"/>
          <w:sz w:val="24"/>
          <w:szCs w:val="21"/>
          <w:highlight w:val="none"/>
        </w:rPr>
        <w:t>未按</w:t>
      </w:r>
      <w:r>
        <w:rPr>
          <w:rFonts w:hint="eastAsia" w:asciiTheme="minorEastAsia" w:hAnsiTheme="minorEastAsia" w:eastAsiaTheme="minorEastAsia" w:cstheme="minorEastAsia"/>
          <w:b/>
          <w:color w:val="auto"/>
          <w:sz w:val="24"/>
          <w:szCs w:val="21"/>
          <w:highlight w:val="none"/>
          <w:lang w:eastAsia="zh-CN"/>
        </w:rPr>
        <w:t>交易</w:t>
      </w:r>
      <w:r>
        <w:rPr>
          <w:rFonts w:hint="eastAsia" w:asciiTheme="minorEastAsia" w:hAnsiTheme="minorEastAsia" w:eastAsiaTheme="minorEastAsia" w:cstheme="minorEastAsia"/>
          <w:b/>
          <w:color w:val="auto"/>
          <w:sz w:val="24"/>
          <w:szCs w:val="21"/>
          <w:highlight w:val="none"/>
        </w:rPr>
        <w:t>文件更正、补遗公告的澄清、修改的内容编制，又不符合实质性要求的，投标无效。</w:t>
      </w:r>
    </w:p>
    <w:p>
      <w:pPr>
        <w:pStyle w:val="22"/>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bookmarkStart w:id="52" w:name="_Hlt75236011"/>
      <w:bookmarkEnd w:id="52"/>
      <w:bookmarkStart w:id="53" w:name="_Toc91899884"/>
      <w:r>
        <w:rPr>
          <w:rFonts w:hint="eastAsia" w:asciiTheme="minorEastAsia" w:hAnsiTheme="minorEastAsia" w:eastAsiaTheme="minorEastAsia" w:cstheme="minorEastAsia"/>
          <w:b/>
          <w:color w:val="auto"/>
          <w:sz w:val="30"/>
          <w:szCs w:val="20"/>
          <w:highlight w:val="none"/>
        </w:rPr>
        <w:t>三、</w:t>
      </w:r>
      <w:bookmarkEnd w:id="53"/>
      <w:r>
        <w:rPr>
          <w:rFonts w:hint="eastAsia" w:asciiTheme="minorEastAsia" w:hAnsiTheme="minorEastAsia" w:eastAsiaTheme="minorEastAsia" w:cstheme="minorEastAsia"/>
          <w:b/>
          <w:color w:val="auto"/>
          <w:sz w:val="30"/>
          <w:szCs w:val="20"/>
          <w:highlight w:val="none"/>
          <w:lang w:val="en-US" w:eastAsia="zh-CN"/>
        </w:rPr>
        <w:t>交易</w:t>
      </w:r>
    </w:p>
    <w:p>
      <w:pPr>
        <w:pStyle w:val="32"/>
        <w:spacing w:line="360" w:lineRule="auto"/>
        <w:ind w:right="-512" w:firstLine="482" w:firstLineChars="200"/>
        <w:rPr>
          <w:rFonts w:hint="eastAsia" w:asciiTheme="minorEastAsia" w:hAnsiTheme="minorEastAsia" w:eastAsiaTheme="minorEastAsia" w:cstheme="minorEastAsia"/>
          <w:b/>
          <w:color w:val="auto"/>
          <w:sz w:val="24"/>
          <w:szCs w:val="24"/>
          <w:highlight w:val="none"/>
        </w:rPr>
      </w:pPr>
      <w:bookmarkStart w:id="54" w:name="_Toc91899892"/>
      <w:bookmarkStart w:id="55" w:name="_Toc86216991"/>
      <w:r>
        <w:rPr>
          <w:rFonts w:hint="eastAsia" w:asciiTheme="minorEastAsia" w:hAnsiTheme="minorEastAsia" w:eastAsiaTheme="minorEastAsia" w:cstheme="minorEastAsia"/>
          <w:b/>
          <w:color w:val="auto"/>
          <w:sz w:val="24"/>
          <w:szCs w:val="24"/>
          <w:highlight w:val="none"/>
        </w:rPr>
        <w:t>7.</w:t>
      </w:r>
      <w:r>
        <w:rPr>
          <w:rFonts w:hint="eastAsia" w:asciiTheme="minorEastAsia" w:hAnsiTheme="minorEastAsia" w:eastAsiaTheme="minorEastAsia" w:cstheme="minorEastAsia"/>
          <w:b/>
          <w:color w:val="auto"/>
          <w:sz w:val="24"/>
          <w:szCs w:val="24"/>
          <w:highlight w:val="none"/>
          <w:lang w:eastAsia="zh-CN"/>
        </w:rPr>
        <w:t>交易</w:t>
      </w:r>
      <w:r>
        <w:rPr>
          <w:rFonts w:hint="eastAsia" w:asciiTheme="minorEastAsia" w:hAnsiTheme="minorEastAsia" w:eastAsiaTheme="minorEastAsia" w:cstheme="minorEastAsia"/>
          <w:b/>
          <w:color w:val="auto"/>
          <w:sz w:val="24"/>
          <w:szCs w:val="24"/>
          <w:highlight w:val="none"/>
        </w:rPr>
        <w:t>文件的获取</w:t>
      </w:r>
    </w:p>
    <w:p>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snapToGrid w:val="0"/>
          <w:color w:val="auto"/>
          <w:kern w:val="28"/>
          <w:sz w:val="24"/>
          <w:highlight w:val="none"/>
          <w:lang w:eastAsia="zh-CN"/>
        </w:rPr>
        <w:t>交易</w:t>
      </w:r>
      <w:r>
        <w:rPr>
          <w:rFonts w:hint="eastAsia" w:asciiTheme="minorEastAsia" w:hAnsiTheme="minorEastAsia" w:eastAsiaTheme="minorEastAsia" w:cstheme="minorEastAsia"/>
          <w:snapToGrid w:val="0"/>
          <w:color w:val="auto"/>
          <w:kern w:val="28"/>
          <w:sz w:val="24"/>
          <w:highlight w:val="none"/>
        </w:rPr>
        <w:t>公告中获取</w:t>
      </w:r>
      <w:r>
        <w:rPr>
          <w:rFonts w:hint="eastAsia" w:asciiTheme="minorEastAsia" w:hAnsiTheme="minorEastAsia" w:eastAsiaTheme="minorEastAsia" w:cstheme="minorEastAsia"/>
          <w:snapToGrid w:val="0"/>
          <w:color w:val="auto"/>
          <w:kern w:val="28"/>
          <w:sz w:val="24"/>
          <w:highlight w:val="none"/>
          <w:lang w:eastAsia="zh-CN"/>
        </w:rPr>
        <w:t>交易</w:t>
      </w:r>
      <w:r>
        <w:rPr>
          <w:rFonts w:hint="eastAsia" w:asciiTheme="minorEastAsia" w:hAnsiTheme="minorEastAsia" w:eastAsiaTheme="minorEastAsia" w:cstheme="minorEastAsia"/>
          <w:snapToGrid w:val="0"/>
          <w:color w:val="auto"/>
          <w:kern w:val="28"/>
          <w:sz w:val="24"/>
          <w:highlight w:val="none"/>
        </w:rPr>
        <w:t>文件的时间期限、地点、方式。附件中直接下载仅供浏览使用。</w:t>
      </w:r>
    </w:p>
    <w:p>
      <w:pPr>
        <w:spacing w:line="360" w:lineRule="auto"/>
        <w:ind w:firstLine="482"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1"/>
          <w:highlight w:val="none"/>
        </w:rPr>
        <w:t>未按照公告要求完成采购文件获取的，</w:t>
      </w:r>
      <w:r>
        <w:rPr>
          <w:rFonts w:hint="eastAsia" w:asciiTheme="minorEastAsia" w:hAnsiTheme="minorEastAsia" w:eastAsiaTheme="minorEastAsia" w:cstheme="minorEastAsia"/>
          <w:b/>
          <w:color w:val="auto"/>
          <w:sz w:val="24"/>
          <w:szCs w:val="21"/>
          <w:highlight w:val="none"/>
          <w:lang w:val="en-US" w:eastAsia="zh-CN"/>
        </w:rPr>
        <w:t>响应</w:t>
      </w:r>
      <w:r>
        <w:rPr>
          <w:rFonts w:hint="eastAsia" w:asciiTheme="minorEastAsia" w:hAnsiTheme="minorEastAsia" w:eastAsiaTheme="minorEastAsia" w:cstheme="minorEastAsia"/>
          <w:b/>
          <w:color w:val="auto"/>
          <w:sz w:val="24"/>
          <w:szCs w:val="21"/>
          <w:highlight w:val="none"/>
        </w:rPr>
        <w:t>无效。</w:t>
      </w:r>
    </w:p>
    <w:p>
      <w:pPr>
        <w:pStyle w:val="32"/>
        <w:spacing w:line="360" w:lineRule="auto"/>
        <w:ind w:right="-512" w:firstLine="5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32"/>
        <w:spacing w:line="360" w:lineRule="auto"/>
        <w:ind w:right="-51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采购人视采购项目的具体情况，如果采购人组织潜在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现场考察或者召开开标前答疑会的，潜在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按前附表的规定参加现场考察或者开标前答疑会。</w:t>
      </w:r>
      <w:r>
        <w:rPr>
          <w:rFonts w:hint="eastAsia" w:asciiTheme="minorEastAsia" w:hAnsiTheme="minorEastAsia" w:eastAsiaTheme="minorEastAsia" w:cstheme="minorEastAsia"/>
          <w:b/>
          <w:color w:val="auto"/>
          <w:sz w:val="24"/>
          <w:szCs w:val="24"/>
          <w:highlight w:val="none"/>
        </w:rPr>
        <w:t>采购人不单独或分别组织只有一个供应商参加的现场考察和答疑会。</w:t>
      </w:r>
    </w:p>
    <w:p>
      <w:pPr>
        <w:pStyle w:val="32"/>
        <w:spacing w:line="360" w:lineRule="auto"/>
        <w:ind w:right="-512" w:firstLine="576"/>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kern w:val="28"/>
          <w:sz w:val="24"/>
          <w:szCs w:val="24"/>
          <w:highlight w:val="none"/>
        </w:rPr>
        <w:t>9.</w:t>
      </w:r>
      <w:r>
        <w:rPr>
          <w:rFonts w:hint="eastAsia" w:asciiTheme="minorEastAsia" w:hAnsiTheme="minorEastAsia" w:eastAsiaTheme="minorEastAsia" w:cstheme="minorEastAsia"/>
          <w:b/>
          <w:color w:val="auto"/>
          <w:kern w:val="28"/>
          <w:sz w:val="24"/>
          <w:szCs w:val="24"/>
          <w:highlight w:val="none"/>
          <w:lang w:eastAsia="zh-CN"/>
        </w:rPr>
        <w:t>响应保证金</w:t>
      </w:r>
    </w:p>
    <w:p>
      <w:pPr>
        <w:pStyle w:val="219"/>
        <w:snapToGrid w:val="0"/>
        <w:spacing w:before="0"/>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本项目不收取</w:t>
      </w:r>
      <w:r>
        <w:rPr>
          <w:rFonts w:hint="eastAsia" w:asciiTheme="minorEastAsia" w:hAnsiTheme="minorEastAsia" w:eastAsiaTheme="minorEastAsia" w:cstheme="minorEastAsia"/>
          <w:color w:val="auto"/>
          <w:highlight w:val="none"/>
          <w:lang w:eastAsia="zh-CN"/>
        </w:rPr>
        <w:t>响应保证金</w:t>
      </w:r>
      <w:r>
        <w:rPr>
          <w:rFonts w:hint="eastAsia" w:asciiTheme="minorEastAsia" w:hAnsiTheme="minorEastAsia" w:eastAsiaTheme="minorEastAsia" w:cstheme="minorEastAsia"/>
          <w:color w:val="auto"/>
          <w:highlight w:val="none"/>
        </w:rPr>
        <w:t>。</w:t>
      </w:r>
    </w:p>
    <w:p>
      <w:pPr>
        <w:pStyle w:val="32"/>
        <w:spacing w:line="360" w:lineRule="auto"/>
        <w:ind w:right="-512" w:firstLine="5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10. </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的语言</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及</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与采购有关的来往通知、函件和文件均应使用中文。</w:t>
      </w:r>
    </w:p>
    <w:p>
      <w:pPr>
        <w:pStyle w:val="32"/>
        <w:spacing w:line="360" w:lineRule="auto"/>
        <w:ind w:right="-512" w:firstLine="5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11. </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的组成</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bookmarkStart w:id="56" w:name="_Toc91899887"/>
      <w:r>
        <w:rPr>
          <w:rFonts w:hint="eastAsia" w:asciiTheme="minorEastAsia" w:hAnsiTheme="minorEastAsia" w:eastAsiaTheme="minorEastAsia" w:cstheme="minorEastAsia"/>
          <w:b/>
          <w:bCs/>
          <w:color w:val="auto"/>
          <w:sz w:val="24"/>
          <w:highlight w:val="none"/>
        </w:rPr>
        <w:t>11.1资格文件：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11.1.2落实政府采购政策需满足的资格要求；</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11.1.3本项目的特定资格要求。</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w:t>
      </w:r>
      <w:r>
        <w:rPr>
          <w:rFonts w:hint="eastAsia" w:asciiTheme="minorEastAsia" w:hAnsiTheme="minorEastAsia" w:eastAsiaTheme="minorEastAsia" w:cstheme="minorEastAsia"/>
          <w:b/>
          <w:bCs/>
          <w:color w:val="auto"/>
          <w:sz w:val="24"/>
          <w:highlight w:val="none"/>
        </w:rPr>
        <w:t>2</w:t>
      </w:r>
      <w:r>
        <w:rPr>
          <w:rFonts w:hint="eastAsia" w:asciiTheme="minorEastAsia" w:hAnsiTheme="minorEastAsia" w:eastAsiaTheme="minorEastAsia" w:cstheme="minorEastAsia"/>
          <w:b/>
          <w:bCs/>
          <w:color w:val="auto"/>
          <w:sz w:val="24"/>
          <w:highlight w:val="none"/>
          <w:lang w:val="zh-CN"/>
        </w:rPr>
        <w:t xml:space="preserve"> </w:t>
      </w:r>
      <w:r>
        <w:rPr>
          <w:rFonts w:hint="eastAsia" w:asciiTheme="minorEastAsia" w:hAnsiTheme="minorEastAsia" w:eastAsiaTheme="minorEastAsia" w:cstheme="minorEastAsia"/>
          <w:b/>
          <w:bCs/>
          <w:color w:val="auto"/>
          <w:sz w:val="24"/>
          <w:highlight w:val="none"/>
        </w:rPr>
        <w:t>商务技术</w:t>
      </w:r>
      <w:r>
        <w:rPr>
          <w:rFonts w:hint="eastAsia" w:asciiTheme="minorEastAsia" w:hAnsiTheme="minorEastAsia" w:eastAsiaTheme="minorEastAsia" w:cstheme="minorEastAsia"/>
          <w:b/>
          <w:bCs/>
          <w:color w:val="auto"/>
          <w:sz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符合性审查资料；</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w:t>
      </w:r>
      <w:r>
        <w:rPr>
          <w:rFonts w:hint="eastAsia" w:asciiTheme="minorEastAsia" w:hAnsiTheme="minorEastAsia" w:eastAsiaTheme="minorEastAsia" w:cstheme="minorEastAsia"/>
          <w:color w:val="auto"/>
          <w:sz w:val="24"/>
          <w:highlight w:val="none"/>
          <w:lang w:val="en-US" w:eastAsia="zh-CN"/>
        </w:rPr>
        <w:t>4评审</w:t>
      </w:r>
      <w:r>
        <w:rPr>
          <w:rFonts w:hint="eastAsia" w:asciiTheme="minorEastAsia" w:hAnsiTheme="minorEastAsia" w:eastAsiaTheme="minorEastAsia" w:cstheme="minorEastAsia"/>
          <w:color w:val="auto"/>
          <w:sz w:val="24"/>
          <w:highlight w:val="none"/>
        </w:rPr>
        <w:t>标准相应的商务技术资料；</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商务技术偏离表；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lang w:val="zh-CN" w:eastAsia="zh-CN"/>
        </w:rPr>
        <w:t>。</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11.</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 xml:space="preserve">报价文件：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一览表（报价表）；</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含有采购人不能接受的附加条件的，投标无效；</w:t>
      </w:r>
    </w:p>
    <w:p>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提供虚假材料投标的，投标无效。</w:t>
      </w:r>
    </w:p>
    <w:p>
      <w:pPr>
        <w:pStyle w:val="219"/>
        <w:snapToGrid w:val="0"/>
        <w:spacing w:before="0"/>
        <w:ind w:left="0" w:leftChars="0" w:firstLine="482" w:firstLineChars="20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lang w:eastAsia="zh-CN"/>
        </w:rPr>
        <w:t>响应文件</w:t>
      </w:r>
      <w:r>
        <w:rPr>
          <w:rFonts w:hint="eastAsia" w:asciiTheme="minorEastAsia" w:hAnsiTheme="minorEastAsia" w:eastAsiaTheme="minorEastAsia" w:cstheme="minorEastAsia"/>
          <w:b/>
          <w:color w:val="auto"/>
          <w:szCs w:val="24"/>
          <w:highlight w:val="none"/>
        </w:rPr>
        <w:t>的编制</w:t>
      </w:r>
    </w:p>
    <w:p>
      <w:pPr>
        <w:spacing w:line="360" w:lineRule="auto"/>
        <w:ind w:firstLine="482"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未按本条规定的格式编制的，投标无效；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12.2供应商进行电子投标应安装客户端软件—“乐采云电子交易客户端”，并按照交易文件和电子交易平台的要求编制并加密响应文件。供应商未按规定加密的响应文件，电子交易平台将拒收并提示。</w:t>
      </w:r>
    </w:p>
    <w:bookmarkEnd w:id="56"/>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pPr>
        <w:pStyle w:val="219"/>
        <w:snapToGrid w:val="0"/>
        <w:spacing w:before="0"/>
        <w:ind w:firstLine="48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12.4纸质备份文件（如有）的制作要求：</w:t>
      </w:r>
    </w:p>
    <w:p>
      <w:pPr>
        <w:pStyle w:val="219"/>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12.4.1</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制作纸质</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须在</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封面上标明“正本”与“副本”字样、项目名称与标项号，并加盖</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公章。正本内容与副本不一致时，以正本为准。</w:t>
      </w:r>
    </w:p>
    <w:p>
      <w:pPr>
        <w:pStyle w:val="219"/>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12.4.2</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正本应使用不能擦去的墨水打印或书写</w:t>
      </w:r>
      <w:r>
        <w:rPr>
          <w:rFonts w:hint="eastAsia" w:asciiTheme="minorEastAsia" w:hAnsiTheme="minorEastAsia" w:eastAsiaTheme="minorEastAsia" w:cstheme="minorEastAsia"/>
          <w:color w:val="auto"/>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12.4.3全套</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应无涂改和行间插字，除非这些删改是根据采购机构要求进行，或者是</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造成的必须修改的错误。所修改处应由法定代表人或其授权代表签字盖章予以确认。</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12.4.4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建议采用A4幅面，按顺序统一编目编码装订成册。</w:t>
      </w:r>
      <w:r>
        <w:rPr>
          <w:rFonts w:hint="eastAsia" w:asciiTheme="minorEastAsia" w:hAnsiTheme="minorEastAsia" w:eastAsiaTheme="minorEastAsia" w:cstheme="minorEastAsia"/>
          <w:b/>
          <w:color w:val="auto"/>
          <w:sz w:val="24"/>
          <w:highlight w:val="none"/>
        </w:rPr>
        <w:t>提倡双面打印</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的装订、签署、盖章</w:t>
      </w:r>
    </w:p>
    <w:p>
      <w:pPr>
        <w:pStyle w:val="219"/>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按照</w:t>
      </w:r>
      <w:r>
        <w:rPr>
          <w:rFonts w:hint="eastAsia" w:asciiTheme="minorEastAsia" w:hAnsiTheme="minorEastAsia" w:eastAsiaTheme="minorEastAsia" w:cstheme="minorEastAsia"/>
          <w:color w:val="auto"/>
          <w:szCs w:val="24"/>
          <w:highlight w:val="none"/>
          <w:lang w:eastAsia="zh-CN"/>
        </w:rPr>
        <w:t>交易</w:t>
      </w:r>
      <w:r>
        <w:rPr>
          <w:rFonts w:hint="eastAsia" w:asciiTheme="minorEastAsia" w:hAnsiTheme="minorEastAsia" w:eastAsiaTheme="minorEastAsia" w:cstheme="minorEastAsia"/>
          <w:color w:val="auto"/>
          <w:szCs w:val="24"/>
          <w:highlight w:val="none"/>
        </w:rPr>
        <w:t>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lang w:eastAsia="zh-CN"/>
        </w:rPr>
        <w:t>供应商</w:t>
      </w:r>
      <w:r>
        <w:rPr>
          <w:rFonts w:hint="eastAsia" w:asciiTheme="minorEastAsia" w:hAnsiTheme="minorEastAsia" w:eastAsiaTheme="minorEastAsia" w:cstheme="minorEastAsia"/>
          <w:b/>
          <w:color w:val="auto"/>
          <w:highlight w:val="none"/>
        </w:rPr>
        <w:t>的</w:t>
      </w:r>
      <w:r>
        <w:rPr>
          <w:rFonts w:hint="eastAsia" w:asciiTheme="minorEastAsia" w:hAnsiTheme="minorEastAsia" w:eastAsiaTheme="minorEastAsia" w:cstheme="minorEastAsia"/>
          <w:b/>
          <w:color w:val="auto"/>
          <w:highlight w:val="none"/>
          <w:lang w:eastAsia="zh-CN"/>
        </w:rPr>
        <w:t>响应文件</w:t>
      </w:r>
      <w:r>
        <w:rPr>
          <w:rFonts w:hint="eastAsia" w:asciiTheme="minorEastAsia" w:hAnsiTheme="minorEastAsia" w:eastAsiaTheme="minorEastAsia" w:cstheme="minorEastAsia"/>
          <w:b/>
          <w:color w:val="auto"/>
          <w:highlight w:val="none"/>
        </w:rPr>
        <w:t>未按照</w:t>
      </w:r>
      <w:r>
        <w:rPr>
          <w:rFonts w:hint="eastAsia" w:asciiTheme="minorEastAsia" w:hAnsiTheme="minorEastAsia" w:eastAsiaTheme="minorEastAsia" w:cstheme="minorEastAsia"/>
          <w:b/>
          <w:color w:val="auto"/>
          <w:highlight w:val="none"/>
          <w:lang w:eastAsia="zh-CN"/>
        </w:rPr>
        <w:t>交易</w:t>
      </w:r>
      <w:r>
        <w:rPr>
          <w:rFonts w:hint="eastAsia" w:asciiTheme="minorEastAsia" w:hAnsiTheme="minorEastAsia" w:eastAsiaTheme="minorEastAsia" w:cstheme="minorEastAsia"/>
          <w:b/>
          <w:color w:val="auto"/>
          <w:highlight w:val="none"/>
        </w:rPr>
        <w:t>文件要求签署、盖章的，其投标无效</w:t>
      </w:r>
      <w:r>
        <w:rPr>
          <w:rFonts w:hint="eastAsia" w:asciiTheme="minorEastAsia" w:hAnsiTheme="minorEastAsia" w:eastAsiaTheme="minorEastAsia" w:cstheme="minorEastAsia"/>
          <w:color w:val="auto"/>
          <w:szCs w:val="24"/>
          <w:highlight w:val="none"/>
        </w:rPr>
        <w:t>。</w:t>
      </w:r>
    </w:p>
    <w:p>
      <w:pPr>
        <w:pStyle w:val="219"/>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13.2为确保网上操作合法、有效和安全，</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纸质备份文件（如有）须将</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的资格文件、商务技术文件、报价文件</w:t>
      </w:r>
      <w:r>
        <w:rPr>
          <w:rFonts w:hint="eastAsia" w:asciiTheme="minorEastAsia" w:hAnsiTheme="minorEastAsia" w:eastAsiaTheme="minorEastAsia" w:cstheme="minorEastAsia"/>
          <w:b/>
          <w:color w:val="auto"/>
          <w:sz w:val="24"/>
          <w:highlight w:val="none"/>
        </w:rPr>
        <w:t>三</w:t>
      </w:r>
      <w:r>
        <w:rPr>
          <w:rFonts w:hint="eastAsia" w:asciiTheme="minorEastAsia" w:hAnsiTheme="minorEastAsia" w:eastAsiaTheme="minorEastAsia" w:cstheme="minorEastAsia"/>
          <w:color w:val="auto"/>
          <w:sz w:val="24"/>
          <w:highlight w:val="none"/>
        </w:rPr>
        <w:t>部分分别装订成册，</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的装订必须采用</w:t>
      </w:r>
      <w:r>
        <w:rPr>
          <w:rFonts w:hint="eastAsia" w:asciiTheme="minorEastAsia" w:hAnsiTheme="minorEastAsia" w:eastAsiaTheme="minorEastAsia" w:cstheme="minorEastAsia"/>
          <w:b/>
          <w:color w:val="auto"/>
          <w:sz w:val="24"/>
          <w:highlight w:val="none"/>
        </w:rPr>
        <w:t>胶订或线订</w:t>
      </w:r>
      <w:r>
        <w:rPr>
          <w:rFonts w:hint="eastAsia" w:asciiTheme="minorEastAsia" w:hAnsiTheme="minorEastAsia" w:eastAsiaTheme="minorEastAsia" w:cstheme="minorEastAsia"/>
          <w:color w:val="auto"/>
          <w:sz w:val="24"/>
          <w:highlight w:val="none"/>
        </w:rPr>
        <w:t>形式，不得采用活页装订方式（胶订或线订以外装订形式视为活页装订）。</w:t>
      </w:r>
      <w:r>
        <w:rPr>
          <w:rFonts w:hint="eastAsia" w:asciiTheme="minorEastAsia" w:hAnsiTheme="minorEastAsia" w:eastAsiaTheme="minorEastAsia" w:cstheme="minorEastAsia"/>
          <w:b/>
          <w:color w:val="auto"/>
          <w:sz w:val="24"/>
          <w:highlight w:val="none"/>
        </w:rPr>
        <w:t>▲对不符合装订要求的</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，按投标无效处理。</w:t>
      </w:r>
    </w:p>
    <w:p>
      <w:pPr>
        <w:pStyle w:val="219"/>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文件对</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签署、盖章的要求适用于电子签章（盖章）。</w:t>
      </w:r>
    </w:p>
    <w:p>
      <w:pPr>
        <w:pStyle w:val="219"/>
        <w:spacing w:before="0"/>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highlight w:val="none"/>
        </w:rPr>
        <w:t xml:space="preserve">14. </w:t>
      </w:r>
      <w:r>
        <w:rPr>
          <w:rFonts w:hint="eastAsia" w:asciiTheme="minorEastAsia" w:hAnsiTheme="minorEastAsia" w:eastAsiaTheme="minorEastAsia" w:cstheme="minorEastAsia"/>
          <w:b/>
          <w:color w:val="auto"/>
          <w:szCs w:val="24"/>
          <w:highlight w:val="none"/>
          <w:lang w:eastAsia="zh-CN"/>
        </w:rPr>
        <w:t>响应文件</w:t>
      </w:r>
      <w:r>
        <w:rPr>
          <w:rFonts w:hint="eastAsia" w:asciiTheme="minorEastAsia" w:hAnsiTheme="minorEastAsia" w:eastAsiaTheme="minorEastAsia" w:cstheme="minorEastAsia"/>
          <w:b/>
          <w:color w:val="auto"/>
          <w:szCs w:val="24"/>
          <w:highlight w:val="none"/>
        </w:rPr>
        <w:t>的提交、补充、修改、撤回</w:t>
      </w:r>
    </w:p>
    <w:p>
      <w:pPr>
        <w:pStyle w:val="219"/>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的传输递交，并可以补充、修改或者撤回</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。补充或者修改</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的，应当先行撤回原文件，补充、修改后重新传输递交。投标截止时间前未完成传输的，视为撤回</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。投标截止时间后递交的</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，电子交易平台将拒收。</w:t>
      </w:r>
    </w:p>
    <w:p>
      <w:pPr>
        <w:pStyle w:val="219"/>
        <w:spacing w:before="0"/>
        <w:ind w:left="0" w:leftChars="0"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，将妥善保存并即时向供应商发出确认回执通知。在投标截止时间前，除供应商补充、修改或者撤回</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外，任何单位和个人不得解密或提取</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14.3采购机构可以视情况延长</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提交的截止时间。在上述情况下，采购机构与</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以前在投标截止期方面的全部权利、责任和义务，将适用于延长至新的投标截止期。</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14.4</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备份：</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递交</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以后，在规定的投标截止时间之前，可以书面形式对</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进行补充、修改，补充、修改纸质文件须加盖单位公章，并由法定代表人或其授权代表签字或盖章，电子</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备份须书面撤回后按所有密封要求重新递交。在投标截止时间以后，不能补充、修改</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14.4.1 </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的补充、修改文件，应按本须知规定编制、密封、标志和递交，如果一份</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有几份函件时，应注明哪一份有效，否则所作修改视为无效。</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14.4.2</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对</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的修改均要加以说明，否则其修改将被视为无效。</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14.4.3</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在投标截止时间前，可以对所提交的</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进行补充、修改或者撤回，并书面通知采购人、采购机构。补充、修改的内容作为</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的组成部分。补充、修改的内容与</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不一致的，以补充、修改的内容为准。</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14.4.4</w:t>
      </w:r>
      <w:r>
        <w:rPr>
          <w:rFonts w:hint="eastAsia" w:asciiTheme="minorEastAsia" w:hAnsiTheme="minorEastAsia" w:eastAsiaTheme="minorEastAsia" w:cstheme="minorEastAsia"/>
          <w:color w:val="auto"/>
          <w:highlight w:val="none"/>
        </w:rPr>
        <w:t>在开标后规定的投标有效期内</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不能撤销</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w:t>
      </w:r>
    </w:p>
    <w:p>
      <w:pPr>
        <w:snapToGrid w:val="0"/>
        <w:spacing w:line="360" w:lineRule="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15. 备份</w:t>
      </w:r>
      <w:r>
        <w:rPr>
          <w:rFonts w:hint="eastAsia" w:asciiTheme="minorEastAsia" w:hAnsiTheme="minorEastAsia" w:eastAsiaTheme="minorEastAsia" w:cstheme="minorEastAsia"/>
          <w:b w:val="0"/>
          <w:bCs/>
          <w:color w:val="auto"/>
          <w:sz w:val="24"/>
          <w:highlight w:val="none"/>
          <w:lang w:eastAsia="zh-CN"/>
        </w:rPr>
        <w:t>响应文件</w:t>
      </w:r>
      <w:r>
        <w:rPr>
          <w:rFonts w:hint="eastAsia" w:asciiTheme="minorEastAsia" w:hAnsiTheme="minorEastAsia" w:eastAsiaTheme="minorEastAsia" w:cstheme="minorEastAsia"/>
          <w:b w:val="0"/>
          <w:bCs/>
          <w:color w:val="auto"/>
          <w:sz w:val="24"/>
          <w:highlight w:val="none"/>
        </w:rPr>
        <w:t>（如有）以及</w:t>
      </w:r>
      <w:r>
        <w:rPr>
          <w:rFonts w:hint="eastAsia" w:asciiTheme="minorEastAsia" w:hAnsiTheme="minorEastAsia" w:eastAsiaTheme="minorEastAsia" w:cstheme="minorEastAsia"/>
          <w:b w:val="0"/>
          <w:bCs/>
          <w:color w:val="auto"/>
          <w:sz w:val="24"/>
          <w:highlight w:val="none"/>
          <w:lang w:eastAsia="zh-CN"/>
        </w:rPr>
        <w:t>响应文件</w:t>
      </w:r>
      <w:r>
        <w:rPr>
          <w:rFonts w:hint="eastAsia" w:asciiTheme="minorEastAsia" w:hAnsiTheme="minorEastAsia" w:eastAsiaTheme="minorEastAsia" w:cstheme="minorEastAsia"/>
          <w:b w:val="0"/>
          <w:bCs/>
          <w:color w:val="auto"/>
          <w:sz w:val="24"/>
          <w:highlight w:val="none"/>
        </w:rPr>
        <w:t>的递交</w:t>
      </w:r>
    </w:p>
    <w:p>
      <w:pPr>
        <w:pStyle w:val="219"/>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15.1备份</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须</w:t>
      </w:r>
      <w:r>
        <w:rPr>
          <w:rFonts w:hint="eastAsia" w:asciiTheme="minorEastAsia" w:hAnsiTheme="minorEastAsia" w:eastAsiaTheme="minorEastAsia" w:cstheme="minorEastAsia"/>
          <w:b/>
          <w:color w:val="auto"/>
          <w:szCs w:val="24"/>
          <w:highlight w:val="none"/>
        </w:rPr>
        <w:t>密封包装</w:t>
      </w:r>
      <w:r>
        <w:rPr>
          <w:rFonts w:hint="eastAsia" w:asciiTheme="minorEastAsia" w:hAnsiTheme="minorEastAsia" w:eastAsiaTheme="minorEastAsia" w:cstheme="minorEastAsia"/>
          <w:color w:val="auto"/>
          <w:szCs w:val="24"/>
          <w:highlight w:val="none"/>
        </w:rPr>
        <w:t>，密封包装指：所有</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应密封包装，包含资格文件、商务技术文件、报价文件三部分。其中，报价文件必须单独密封，未单独密封的，在开标时发生报价泄露的，由</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自行承担相关责任</w:t>
      </w:r>
      <w:r>
        <w:rPr>
          <w:rFonts w:hint="eastAsia" w:asciiTheme="minorEastAsia" w:hAnsiTheme="minorEastAsia" w:eastAsiaTheme="minorEastAsia" w:cstheme="minorEastAsia"/>
          <w:b/>
          <w:color w:val="auto"/>
          <w:szCs w:val="24"/>
          <w:highlight w:val="none"/>
        </w:rPr>
        <w:t>。没有密封包装的</w:t>
      </w:r>
      <w:r>
        <w:rPr>
          <w:rFonts w:hint="eastAsia" w:asciiTheme="minorEastAsia" w:hAnsiTheme="minorEastAsia" w:eastAsiaTheme="minorEastAsia" w:cstheme="minorEastAsia"/>
          <w:b/>
          <w:color w:val="auto"/>
          <w:szCs w:val="24"/>
          <w:highlight w:val="none"/>
          <w:lang w:eastAsia="zh-CN"/>
        </w:rPr>
        <w:t>响应文件</w:t>
      </w:r>
      <w:r>
        <w:rPr>
          <w:rFonts w:hint="eastAsia" w:asciiTheme="minorEastAsia" w:hAnsiTheme="minorEastAsia" w:eastAsiaTheme="minorEastAsia" w:cstheme="minorEastAsia"/>
          <w:b/>
          <w:color w:val="auto"/>
          <w:szCs w:val="24"/>
          <w:highlight w:val="none"/>
        </w:rPr>
        <w:t>，将被拒收。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15.2所有备份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包装封面物应写明项目名称、</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名称(联合体投标的，包装物封面需注明联合体投标，并注明联合体成员各方的名称和联合体协议中约定的牵头人的名称)。</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15.3电子备份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须在“</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投标客户端”制作生成，并储存在DVD光盘中。备份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应当密封包装并在包装上加盖公章并注明投标项目名称，</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名称(联合体投标的，包装物封面需注明联合体投标，并注明联合体成员各方的名称和联合体协议中约定的牵头人的名称)</w:t>
      </w:r>
    </w:p>
    <w:p>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▲不符合上述制作、存储、密封规定的备份</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将被视为无效或者被拒绝接收。</w:t>
      </w:r>
    </w:p>
    <w:p>
      <w:pPr>
        <w:snapToGrid w:val="0"/>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仅提交备份</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，没有在电子交易平台传输递交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的，投标无效。</w:t>
      </w:r>
    </w:p>
    <w:p>
      <w:pPr>
        <w:pStyle w:val="219"/>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15.4 供应商应当在投标截止时间前完成</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的传输递交，并可以补充、修改或者撤回</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。补充或者修改</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的，应当先行撤回原文件，补充、修改后重新传输递交。投标截止时间前未完成传输的，视为撤回</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。投标截止时间后递交的</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，电子交易平台将拒收。</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15.5采购机构可以视情况延长</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提交的截止时间。在上述情况下，采购机构与</w:t>
      </w:r>
      <w:r>
        <w:rPr>
          <w:rFonts w:hint="eastAsia" w:asciiTheme="minorEastAsia" w:hAnsiTheme="minorEastAsia" w:eastAsia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以前在投标截止期方面的全部权利、责任和义务，将适用于延长至新的投标截止期。</w:t>
      </w:r>
    </w:p>
    <w:p>
      <w:pPr>
        <w:pStyle w:val="21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15.6如项目须备份</w:t>
      </w:r>
      <w:r>
        <w:rPr>
          <w:rFonts w:hint="eastAsia" w:asciiTheme="minorEastAsia" w:hAnsiTheme="minorEastAsia" w:eastAsiaTheme="minorEastAsia" w:cstheme="minorEastAsia"/>
          <w:color w:val="auto"/>
          <w:szCs w:val="24"/>
          <w:highlight w:val="none"/>
          <w:lang w:eastAsia="zh-CN"/>
        </w:rPr>
        <w:t>响应文件</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应按“</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公告”及前附表规定的时间、地点完成采购文件获取手续并将</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提交给</w:t>
      </w:r>
      <w:r>
        <w:rPr>
          <w:rFonts w:hint="eastAsia" w:asciiTheme="minorEastAsia" w:hAnsiTheme="minorEastAsia" w:eastAsiaTheme="minorEastAsia" w:cstheme="minorEastAsia"/>
          <w:color w:val="auto"/>
          <w:szCs w:val="24"/>
          <w:highlight w:val="none"/>
        </w:rPr>
        <w:t>采购机构</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Cs w:val="24"/>
          <w:highlight w:val="none"/>
        </w:rPr>
        <w:t>采购机构</w:t>
      </w:r>
      <w:r>
        <w:rPr>
          <w:rFonts w:hint="eastAsia" w:asciiTheme="minorEastAsia" w:hAnsiTheme="minorEastAsia" w:eastAsiaTheme="minorEastAsia" w:cstheme="minorEastAsia"/>
          <w:color w:val="auto"/>
          <w:highlight w:val="none"/>
        </w:rPr>
        <w:t>将拒绝接受逾期送达的</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和未按公告要求完成采购文件获取的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递交的</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w:t>
      </w:r>
    </w:p>
    <w:bookmarkEnd w:id="54"/>
    <w:bookmarkEnd w:id="55"/>
    <w:p>
      <w:pPr>
        <w:pStyle w:val="21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w:t>
      </w:r>
      <w:r>
        <w:rPr>
          <w:rFonts w:hint="eastAsia" w:asciiTheme="minorEastAsia" w:hAnsiTheme="minorEastAsia" w:eastAsiaTheme="minorEastAsia" w:cstheme="minorEastAsia"/>
          <w:b/>
          <w:color w:val="auto"/>
          <w:szCs w:val="24"/>
          <w:highlight w:val="none"/>
          <w:lang w:eastAsia="zh-CN"/>
        </w:rPr>
        <w:t>响应文件</w:t>
      </w:r>
      <w:r>
        <w:rPr>
          <w:rFonts w:hint="eastAsia" w:asciiTheme="minorEastAsia" w:hAnsiTheme="minorEastAsia" w:eastAsiaTheme="minorEastAsia" w:cstheme="minorEastAsia"/>
          <w:b/>
          <w:color w:val="auto"/>
          <w:szCs w:val="24"/>
          <w:highlight w:val="none"/>
        </w:rPr>
        <w:t>的无效处理</w:t>
      </w:r>
    </w:p>
    <w:p>
      <w:pPr>
        <w:pStyle w:val="24"/>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w:t>
      </w:r>
      <w:r>
        <w:rPr>
          <w:rFonts w:hint="eastAsia" w:asciiTheme="minorEastAsia" w:hAnsiTheme="minorEastAsia" w:eastAsiaTheme="minorEastAsia" w:cstheme="minorEastAsia"/>
          <w:color w:val="auto"/>
          <w:szCs w:val="21"/>
          <w:highlight w:val="none"/>
          <w:lang w:eastAsia="zh-CN"/>
        </w:rPr>
        <w:t>交易</w:t>
      </w:r>
      <w:r>
        <w:rPr>
          <w:rFonts w:hint="eastAsia" w:asciiTheme="minorEastAsia" w:hAnsiTheme="minorEastAsia" w:eastAsiaTheme="minorEastAsia" w:cstheme="minorEastAsia"/>
          <w:color w:val="auto"/>
          <w:szCs w:val="21"/>
          <w:highlight w:val="none"/>
        </w:rPr>
        <w:t>文件第四部分</w:t>
      </w:r>
      <w:r>
        <w:rPr>
          <w:rFonts w:hint="eastAsia" w:asciiTheme="minorEastAsia" w:hAnsiTheme="minorEastAsia" w:eastAsiaTheme="minorEastAsia" w:cstheme="minorEastAsia"/>
          <w:color w:val="auto"/>
          <w:highlight w:val="none"/>
        </w:rPr>
        <w:t>第13项规定</w:t>
      </w:r>
      <w:r>
        <w:rPr>
          <w:rFonts w:hint="eastAsia" w:asciiTheme="minorEastAsia" w:hAnsiTheme="minorEastAsia" w:eastAsiaTheme="minorEastAsia" w:cstheme="minorEastAsia"/>
          <w:color w:val="auto"/>
          <w:szCs w:val="21"/>
          <w:highlight w:val="none"/>
        </w:rPr>
        <w:t>的情形之一的，投标无效：</w:t>
      </w:r>
    </w:p>
    <w:p>
      <w:pPr>
        <w:pStyle w:val="21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w:t>
      </w:r>
      <w:r>
        <w:rPr>
          <w:rFonts w:hint="eastAsia" w:asciiTheme="minorEastAsia" w:hAnsiTheme="minorEastAsia" w:eastAsiaTheme="minorEastAsia" w:cstheme="minorEastAsia"/>
          <w:color w:val="auto"/>
          <w:sz w:val="24"/>
          <w:szCs w:val="20"/>
          <w:highlight w:val="none"/>
          <w:lang w:eastAsia="zh-CN"/>
        </w:rPr>
        <w:t>响应文件</w:t>
      </w:r>
      <w:r>
        <w:rPr>
          <w:rFonts w:hint="eastAsia" w:asciiTheme="minorEastAsia" w:hAnsiTheme="minorEastAsia" w:eastAsiaTheme="minorEastAsia" w:cstheme="minorEastAsia"/>
          <w:color w:val="auto"/>
          <w:sz w:val="24"/>
          <w:szCs w:val="20"/>
          <w:highlight w:val="none"/>
        </w:rPr>
        <w:t>的截止之日起90天。▲</w:t>
      </w:r>
      <w:r>
        <w:rPr>
          <w:rFonts w:hint="eastAsia" w:asciiTheme="minorEastAsia" w:hAnsiTheme="minorEastAsia" w:eastAsiaTheme="minorEastAsia" w:cstheme="minorEastAsia"/>
          <w:b/>
          <w:color w:val="auto"/>
          <w:sz w:val="24"/>
          <w:szCs w:val="20"/>
          <w:highlight w:val="none"/>
          <w:lang w:eastAsia="zh-CN"/>
        </w:rPr>
        <w:t>供应商</w:t>
      </w:r>
      <w:r>
        <w:rPr>
          <w:rFonts w:hint="eastAsia" w:asciiTheme="minorEastAsia" w:hAnsiTheme="minorEastAsia" w:eastAsiaTheme="minorEastAsia" w:cstheme="minorEastAsia"/>
          <w:b/>
          <w:color w:val="auto"/>
          <w:sz w:val="24"/>
          <w:szCs w:val="20"/>
          <w:highlight w:val="none"/>
        </w:rPr>
        <w:t>的</w:t>
      </w:r>
      <w:r>
        <w:rPr>
          <w:rFonts w:hint="eastAsia" w:asciiTheme="minorEastAsia" w:hAnsiTheme="minorEastAsia" w:eastAsiaTheme="minorEastAsia" w:cstheme="minorEastAsia"/>
          <w:b/>
          <w:color w:val="auto"/>
          <w:sz w:val="24"/>
          <w:szCs w:val="20"/>
          <w:highlight w:val="none"/>
          <w:lang w:eastAsia="zh-CN"/>
        </w:rPr>
        <w:t>响应文件</w:t>
      </w:r>
      <w:r>
        <w:rPr>
          <w:rFonts w:hint="eastAsia" w:asciiTheme="minorEastAsia" w:hAnsiTheme="minorEastAsia" w:eastAsiaTheme="minorEastAsia" w:cstheme="minorEastAsia"/>
          <w:b/>
          <w:color w:val="auto"/>
          <w:sz w:val="24"/>
          <w:szCs w:val="20"/>
          <w:highlight w:val="none"/>
        </w:rPr>
        <w:t>中承</w:t>
      </w:r>
      <w:r>
        <w:rPr>
          <w:rFonts w:hint="eastAsia" w:asciiTheme="minorEastAsia" w:hAnsiTheme="minorEastAsia" w:eastAsiaTheme="minorEastAsia" w:cstheme="minorEastAsia"/>
          <w:b/>
          <w:color w:val="auto"/>
          <w:sz w:val="24"/>
          <w:szCs w:val="21"/>
          <w:highlight w:val="none"/>
        </w:rPr>
        <w:t>诺的投标有效期少于</w:t>
      </w:r>
      <w:r>
        <w:rPr>
          <w:rFonts w:hint="eastAsia" w:asciiTheme="minorEastAsia" w:hAnsiTheme="minorEastAsia" w:eastAsiaTheme="minorEastAsia" w:cstheme="minorEastAsia"/>
          <w:b/>
          <w:color w:val="auto"/>
          <w:sz w:val="24"/>
          <w:szCs w:val="21"/>
          <w:highlight w:val="none"/>
          <w:lang w:eastAsia="zh-CN"/>
        </w:rPr>
        <w:t>交易</w:t>
      </w:r>
      <w:r>
        <w:rPr>
          <w:rFonts w:hint="eastAsia" w:asciiTheme="minorEastAsia" w:hAnsiTheme="minorEastAsia" w:eastAsiaTheme="minorEastAsia" w:cstheme="minorEastAsia"/>
          <w:b/>
          <w:color w:val="auto"/>
          <w:sz w:val="24"/>
          <w:szCs w:val="21"/>
          <w:highlight w:val="none"/>
        </w:rPr>
        <w:t>文件中载明的投标有效期的，投标无效。</w:t>
      </w:r>
    </w:p>
    <w:p>
      <w:pPr>
        <w:pStyle w:val="21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合格投递后，自投标截止日期起，在投标有效期内有效。</w:t>
      </w:r>
    </w:p>
    <w:p>
      <w:pPr>
        <w:pStyle w:val="21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17.3在原定投标有效期满之前，如果出现特殊情况，采购机构可以以公告形式通知</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延长投标有效期。</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同意延长的，不得要求或被允许修改其</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拒绝延长的，其投标无效。</w:t>
      </w:r>
    </w:p>
    <w:p>
      <w:pPr>
        <w:pStyle w:val="219"/>
        <w:spacing w:before="0"/>
        <w:ind w:firstLine="643"/>
        <w:rPr>
          <w:rFonts w:hint="eastAsia" w:asciiTheme="minorEastAsia" w:hAnsiTheme="minorEastAsia" w:eastAsiaTheme="minorEastAsia" w:cstheme="minorEastAsia"/>
          <w:b/>
          <w:color w:val="auto"/>
          <w:sz w:val="32"/>
          <w:highlight w:val="none"/>
        </w:rPr>
      </w:pPr>
      <w:bookmarkStart w:id="57" w:name="_Toc91899897"/>
    </w:p>
    <w:p>
      <w:pPr>
        <w:pStyle w:val="219"/>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r>
        <w:rPr>
          <w:rFonts w:hint="eastAsia" w:asciiTheme="minorEastAsia" w:hAnsiTheme="minorEastAsia" w:eastAsiaTheme="minorEastAsia" w:cstheme="minorEastAsia"/>
          <w:b/>
          <w:color w:val="auto"/>
          <w:sz w:val="32"/>
          <w:highlight w:val="none"/>
        </w:rPr>
        <w:t>四、开标</w:t>
      </w:r>
      <w:bookmarkEnd w:id="57"/>
      <w:r>
        <w:rPr>
          <w:rFonts w:hint="eastAsia" w:asciiTheme="minorEastAsia" w:hAnsiTheme="minorEastAsia" w:eastAsiaTheme="minorEastAsia" w:cstheme="minorEastAsia"/>
          <w:b/>
          <w:color w:val="auto"/>
          <w:sz w:val="32"/>
          <w:highlight w:val="none"/>
        </w:rPr>
        <w:t>、资格审查与信用信息查询</w:t>
      </w:r>
    </w:p>
    <w:p>
      <w:pPr>
        <w:pStyle w:val="498"/>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49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18.1采购机构按照</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文件规定的时间通过电子交易平台组织开标，所有</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均应当准时在线参加。</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不足3家的，不得开标。</w:t>
      </w:r>
    </w:p>
    <w:p>
      <w:pPr>
        <w:pStyle w:val="49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18.2开标时，电子交易平台按开标时间自动提取所有</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。采购机构依托电子交易平台发起开始解密指令，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文件的规定在半小时内完成在线解密。</w:t>
      </w:r>
    </w:p>
    <w:p>
      <w:pPr>
        <w:pStyle w:val="49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18.3项目允许提供备份文件时，仅因</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平台或CA原因无法读取或电子开评标无法正常进行，采购代理将按顺序启用备份文件完成开标。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因自身原因（不会使用、使用不当等）未按时完成解密的，投标无效，不启用备份文件。</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已按时解密的，备份</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自动失效。</w:t>
      </w:r>
    </w:p>
    <w:p>
      <w:pPr>
        <w:pStyle w:val="49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18.4 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的接收在</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文件确定的时间、地点进行。</w:t>
      </w:r>
    </w:p>
    <w:p>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pPr>
        <w:pStyle w:val="21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19.1开标后，采购人将依法对</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的资格进行审查。</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19.2</w:t>
      </w:r>
      <w:r>
        <w:rPr>
          <w:rFonts w:hint="eastAsia" w:asciiTheme="minorEastAsia" w:hAnsiTheme="minorEastAsia" w:eastAsiaTheme="minorEastAsia" w:cstheme="minorEastAsia"/>
          <w:color w:val="auto"/>
          <w:sz w:val="24"/>
          <w:highlight w:val="none"/>
        </w:rPr>
        <w:t>采购人或采购机构依据法律法规和</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文件的规定，对</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的基本资格条件、特定资格条件进行审查。</w:t>
      </w:r>
    </w:p>
    <w:p>
      <w:pPr>
        <w:pStyle w:val="21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19.3</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未按照</w:t>
      </w:r>
      <w:r>
        <w:rPr>
          <w:rFonts w:hint="eastAsia" w:asciiTheme="minorEastAsia" w:hAnsiTheme="minorEastAsia" w:eastAsiaTheme="minorEastAsia" w:cstheme="minorEastAsia"/>
          <w:color w:val="auto"/>
          <w:kern w:val="0"/>
          <w:szCs w:val="24"/>
          <w:highlight w:val="none"/>
          <w:lang w:eastAsia="zh-CN"/>
        </w:rPr>
        <w:t>交易</w:t>
      </w:r>
      <w:r>
        <w:rPr>
          <w:rFonts w:hint="eastAsia" w:asciiTheme="minorEastAsia" w:hAnsiTheme="minorEastAsia" w:eastAsiaTheme="minorEastAsia" w:cstheme="minorEastAsia"/>
          <w:color w:val="auto"/>
          <w:kern w:val="0"/>
          <w:szCs w:val="24"/>
          <w:highlight w:val="none"/>
        </w:rPr>
        <w:t>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不具备</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文件中规定的资格要求，其投标无效。</w:t>
      </w:r>
    </w:p>
    <w:p>
      <w:pPr>
        <w:pStyle w:val="21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19.4对未通过资格审查的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，采购人或采购机构告知其未通过的原因。</w:t>
      </w:r>
    </w:p>
    <w:p>
      <w:pPr>
        <w:pStyle w:val="21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19.5合格</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不足3家的，不再评标。</w:t>
      </w:r>
    </w:p>
    <w:p>
      <w:pPr>
        <w:pStyle w:val="21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w:t>
      </w:r>
      <w:r>
        <w:rPr>
          <w:rFonts w:hint="eastAsia" w:asciiTheme="minorEastAsia" w:hAnsiTheme="minorEastAsia" w:eastAsiaTheme="minorEastAsia" w:cstheme="minorEastAsia"/>
          <w:b/>
          <w:color w:val="auto"/>
          <w:szCs w:val="24"/>
          <w:highlight w:val="none"/>
          <w:lang w:val="en-US" w:eastAsia="zh-CN"/>
        </w:rPr>
        <w:t>.</w:t>
      </w:r>
      <w:r>
        <w:rPr>
          <w:rFonts w:hint="eastAsia" w:asciiTheme="minorEastAsia" w:hAnsiTheme="minorEastAsia" w:eastAsiaTheme="minorEastAsia" w:cstheme="minorEastAsia"/>
          <w:b/>
          <w:color w:val="auto"/>
          <w:szCs w:val="24"/>
          <w:highlight w:val="none"/>
        </w:rPr>
        <w:t>信用信息查询</w:t>
      </w:r>
    </w:p>
    <w:p>
      <w:pPr>
        <w:pStyle w:val="21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20.1信用信息查询渠道及截止时间：采购人或采购机构将通过“信用中国”网站(www.creditchina.gov.cn)、中国政府采购网(www.ccgp.gov.cn)渠道查询</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投标截止时间前的信用记录。</w:t>
      </w:r>
    </w:p>
    <w:p>
      <w:pPr>
        <w:pStyle w:val="21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的信用记录、查询结果经确认后将与采购文件一起存档。</w:t>
      </w:r>
    </w:p>
    <w:p>
      <w:pPr>
        <w:pStyle w:val="21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将被拒绝参与政府采购活动。</w:t>
      </w:r>
    </w:p>
    <w:p>
      <w:pPr>
        <w:pStyle w:val="21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pStyle w:val="219"/>
        <w:spacing w:before="0"/>
        <w:ind w:firstLine="0" w:firstLineChars="0"/>
        <w:rPr>
          <w:rFonts w:hint="eastAsia" w:asciiTheme="minorEastAsia" w:hAnsiTheme="minorEastAsia" w:eastAsiaTheme="minorEastAsia" w:cstheme="minorEastAsia"/>
          <w:color w:val="auto"/>
          <w:kern w:val="0"/>
          <w:szCs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58" w:name="_Hlt75236101"/>
      <w:bookmarkEnd w:id="58"/>
      <w:bookmarkStart w:id="59" w:name="_Toc91899902"/>
      <w:r>
        <w:rPr>
          <w:rFonts w:hint="eastAsia" w:asciiTheme="minorEastAsia" w:hAnsiTheme="minorEastAsia" w:eastAsiaTheme="minorEastAsia" w:cstheme="minorEastAsia"/>
          <w:b/>
          <w:color w:val="auto"/>
          <w:sz w:val="36"/>
          <w:szCs w:val="36"/>
          <w:highlight w:val="none"/>
        </w:rPr>
        <w:t>五、评标</w:t>
      </w:r>
      <w:bookmarkEnd w:id="59"/>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本项目原则上采用电子评审方法，若因</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平台原因（或CA软件系统）无法读取或电子开评标无法正常进行，采购代理机构将开启所有</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递交的纸质备份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，以完成开、评标，电子</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及以介质存储的数据电文形式的备份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评审办法</w:t>
      </w:r>
      <w:r>
        <w:rPr>
          <w:rFonts w:hint="eastAsia" w:asciiTheme="minorEastAsia" w:hAnsiTheme="minorEastAsia" w:eastAsiaTheme="minorEastAsia" w:cstheme="minorEastAsia"/>
          <w:color w:val="auto"/>
          <w:sz w:val="24"/>
          <w:highlight w:val="none"/>
        </w:rPr>
        <w:t>及评分标准等。详见</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文件第四部分“</w:t>
      </w:r>
      <w:r>
        <w:rPr>
          <w:rFonts w:hint="eastAsia" w:asciiTheme="minorEastAsia" w:hAnsiTheme="minorEastAsia" w:eastAsiaTheme="minorEastAsia" w:cstheme="minorEastAsia"/>
          <w:color w:val="auto"/>
          <w:sz w:val="24"/>
          <w:highlight w:val="none"/>
          <w:lang w:eastAsia="zh-CN"/>
        </w:rPr>
        <w:t>评审办法</w:t>
      </w:r>
      <w:r>
        <w:rPr>
          <w:rFonts w:hint="eastAsia" w:asciiTheme="minorEastAsia" w:hAnsiTheme="minorEastAsia" w:eastAsiaTheme="minorEastAsia" w:cstheme="minorEastAsia"/>
          <w:color w:val="auto"/>
          <w:sz w:val="24"/>
          <w:highlight w:val="none"/>
        </w:rPr>
        <w:t>及评分标准”</w:t>
      </w:r>
    </w:p>
    <w:p>
      <w:pPr>
        <w:spacing w:line="360" w:lineRule="auto"/>
        <w:rPr>
          <w:rFonts w:hint="eastAsia" w:asciiTheme="minorEastAsia" w:hAnsiTheme="minorEastAsia" w:eastAsiaTheme="minorEastAsia" w:cstheme="minorEastAsia"/>
          <w:b/>
          <w:color w:val="auto"/>
          <w:sz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pPr>
        <w:pStyle w:val="219"/>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pPr>
        <w:pStyle w:val="219"/>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pPr>
        <w:widowControl/>
        <w:shd w:val="clea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23.1采购机构将在自</w:t>
      </w:r>
      <w:r>
        <w:rPr>
          <w:rFonts w:hint="eastAsia" w:asciiTheme="minorEastAsia" w:hAnsiTheme="minorEastAsia" w:eastAsiaTheme="minorEastAsia" w:cstheme="minorEastAsia"/>
          <w:color w:val="auto"/>
          <w:sz w:val="24"/>
          <w:highlight w:val="none"/>
          <w:lang w:eastAsia="zh-CN"/>
        </w:rPr>
        <w:t>成交人</w:t>
      </w:r>
      <w:r>
        <w:rPr>
          <w:rFonts w:hint="eastAsia" w:asciiTheme="minorEastAsia" w:hAnsiTheme="minorEastAsia" w:eastAsiaTheme="minorEastAsia" w:cstheme="minorEastAsia"/>
          <w:color w:val="auto"/>
          <w:sz w:val="24"/>
          <w:highlight w:val="none"/>
        </w:rPr>
        <w:t>确定之日起2个工作日内，发布</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公告的网站上公告中标结果，同时发出中标通知书。</w:t>
      </w:r>
    </w:p>
    <w:p>
      <w:pPr>
        <w:widowControl/>
        <w:shd w:val="clea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23.2中标结果公告内容包括采购人及其委托的采购机构的名称、地址、联系方式，项目名称和项目编号，</w:t>
      </w:r>
      <w:r>
        <w:rPr>
          <w:rFonts w:hint="eastAsia" w:asciiTheme="minorEastAsia" w:hAnsiTheme="minorEastAsia" w:eastAsiaTheme="minorEastAsia" w:cstheme="minorEastAsia"/>
          <w:color w:val="auto"/>
          <w:sz w:val="24"/>
          <w:highlight w:val="none"/>
          <w:lang w:eastAsia="zh-CN"/>
        </w:rPr>
        <w:t>成交人</w:t>
      </w:r>
      <w:r>
        <w:rPr>
          <w:rFonts w:hint="eastAsia" w:asciiTheme="minorEastAsia" w:hAnsiTheme="minorEastAsia" w:eastAsiaTheme="minorEastAsia" w:cstheme="minorEastAsia"/>
          <w:color w:val="auto"/>
          <w:sz w:val="24"/>
          <w:highlight w:val="none"/>
        </w:rPr>
        <w:t>名称、地址和中标金额，主要中标标的的名称、规格型号、数量、单价、服务要求，</w:t>
      </w:r>
      <w:r>
        <w:rPr>
          <w:rFonts w:hint="eastAsia" w:asciiTheme="minorEastAsia" w:hAnsiTheme="minorEastAsia" w:eastAsiaTheme="minorEastAsia" w:cstheme="minorEastAsia"/>
          <w:color w:val="auto"/>
          <w:sz w:val="24"/>
          <w:highlight w:val="none"/>
          <w:lang w:eastAsia="zh-CN"/>
        </w:rPr>
        <w:t>开标记录、未中标情况说明、</w:t>
      </w:r>
      <w:r>
        <w:rPr>
          <w:rFonts w:hint="eastAsia" w:asciiTheme="minorEastAsia" w:hAnsiTheme="minorEastAsia" w:eastAsiaTheme="minorEastAsia" w:cstheme="minorEastAsia"/>
          <w:color w:val="auto"/>
          <w:sz w:val="24"/>
          <w:highlight w:val="none"/>
        </w:rPr>
        <w:t>中标公告期限以及评审专家名单、评分汇总及明细。</w:t>
      </w:r>
    </w:p>
    <w:p>
      <w:pPr>
        <w:widowControl/>
        <w:shd w:val="clea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shd w:val="clea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pPr>
        <w:shd w:val="clea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24"/>
        <w:shd w:val="clear"/>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w:t>
      </w:r>
      <w:r>
        <w:rPr>
          <w:rFonts w:hint="eastAsia" w:asciiTheme="minorEastAsia" w:hAnsiTheme="minorEastAsia" w:eastAsiaTheme="minorEastAsia" w:cstheme="minorEastAsia"/>
          <w:color w:val="auto"/>
          <w:highlight w:val="none"/>
        </w:rPr>
        <w:t>合同主要条款详见第五部分拟签订的合同文本。</w:t>
      </w:r>
    </w:p>
    <w:p>
      <w:pPr>
        <w:pStyle w:val="24"/>
        <w:shd w:val="clear"/>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25.合同的签订</w:t>
      </w:r>
    </w:p>
    <w:p>
      <w:pPr>
        <w:widowControl/>
        <w:shd w:val="clear"/>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w:t>
      </w:r>
      <w:r>
        <w:rPr>
          <w:rFonts w:hint="eastAsia" w:asciiTheme="minorEastAsia" w:hAnsiTheme="minorEastAsia" w:eastAsiaTheme="minorEastAsia" w:cstheme="minorEastAsia"/>
          <w:color w:val="auto"/>
          <w:kern w:val="0"/>
          <w:sz w:val="24"/>
          <w:highlight w:val="none"/>
          <w:lang w:eastAsia="zh-CN"/>
        </w:rPr>
        <w:t>成交人</w:t>
      </w:r>
      <w:r>
        <w:rPr>
          <w:rFonts w:hint="eastAsia" w:asciiTheme="minorEastAsia" w:hAnsiTheme="minorEastAsia" w:eastAsiaTheme="minorEastAsia" w:cstheme="minorEastAsia"/>
          <w:color w:val="auto"/>
          <w:kern w:val="0"/>
          <w:sz w:val="24"/>
          <w:highlight w:val="none"/>
        </w:rPr>
        <w:t>应当在中标通知书发出之日起三十日内，按照</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文件确定的事项签订政府采购合同。</w:t>
      </w:r>
    </w:p>
    <w:p>
      <w:pPr>
        <w:pStyle w:val="219"/>
        <w:shd w:val="clear"/>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26.履约保证金</w:t>
      </w:r>
    </w:p>
    <w:p>
      <w:pPr>
        <w:tabs>
          <w:tab w:val="left" w:pos="0"/>
        </w:tabs>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 xml:space="preserve">。履约保证金的数额不得超过政府采购合同金额的5%。 </w:t>
      </w:r>
    </w:p>
    <w:p>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219"/>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27</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采购过程中出现以下情形，导致电子交易平台无法正常运行，或者无法保证电子交易的公平、公正和安全时，采购机构可中止电子交易活动：</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27.1电子交易平台发生故障而无法登录访问的； </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27.2电子交易平台应用或数据库出现错误，不能进行正常操作的；</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27.3电子交易平台发现严重安全漏洞，有潜在泄密危险的；</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27.4病毒发作导致不能进行正常操作的； </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27.5其他无法保证电子交易的公平、公正和安全的情况。</w:t>
      </w:r>
    </w:p>
    <w:p>
      <w:pPr>
        <w:pStyle w:val="21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hd w:val="clea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24"/>
        <w:shd w:val="clear"/>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28.验收</w:t>
      </w:r>
    </w:p>
    <w:p>
      <w:pPr>
        <w:shd w:val="clear"/>
        <w:tabs>
          <w:tab w:val="left" w:pos="0"/>
        </w:tabs>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28.1采购人应当组织对供应商履约的验收。验收采用采购人自行组织验收</w:t>
      </w:r>
      <w:r>
        <w:rPr>
          <w:rFonts w:hint="eastAsia" w:asciiTheme="minorEastAsia" w:hAnsiTheme="minorEastAsia" w:eastAsiaTheme="minorEastAsia" w:cstheme="minorEastAsia"/>
          <w:color w:val="auto"/>
          <w:kern w:val="0"/>
          <w:sz w:val="24"/>
          <w:highlight w:val="none"/>
          <w:lang w:eastAsia="zh-CN"/>
        </w:rPr>
        <w:t>，参</w:t>
      </w:r>
      <w:r>
        <w:rPr>
          <w:rFonts w:hint="eastAsia" w:asciiTheme="minorEastAsia" w:hAnsiTheme="minorEastAsia" w:eastAsiaTheme="minorEastAsia" w:cstheme="minorEastAsia"/>
          <w:color w:val="auto"/>
          <w:kern w:val="0"/>
          <w:sz w:val="24"/>
          <w:highlight w:val="none"/>
        </w:rPr>
        <w:t>照萧政办发[2014]217号文件执行。验收方成员应当在验收书上签字，并承担相应的法律责任。</w:t>
      </w:r>
    </w:p>
    <w:p>
      <w:pPr>
        <w:shd w:val="clea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28.2除28.1规定情形外，采购人可以自行验收或邀请参加本项目的其他</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或者第三方机构参与验收。</w:t>
      </w:r>
    </w:p>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208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40"/>
    <w:bookmarkEnd w:id="41"/>
    <w:p>
      <w:pPr>
        <w:pStyle w:val="3"/>
        <w:rPr>
          <w:rFonts w:hint="eastAsia" w:asciiTheme="minorEastAsia" w:hAnsiTheme="minorEastAsia" w:eastAsiaTheme="minorEastAsia" w:cstheme="minorEastAsia"/>
          <w:color w:val="auto"/>
          <w:highlight w:val="none"/>
        </w:rPr>
      </w:pPr>
      <w:bookmarkStart w:id="60" w:name="第四部分"/>
      <w:r>
        <w:rPr>
          <w:rFonts w:hint="eastAsia" w:asciiTheme="minorEastAsia" w:hAnsiTheme="minorEastAsia" w:eastAsiaTheme="minorEastAsia" w:cstheme="minorEastAsia"/>
          <w:color w:val="auto"/>
          <w:highlight w:val="none"/>
        </w:rPr>
        <w:t>第三部分   采购需求</w:t>
      </w:r>
    </w:p>
    <w:p>
      <w:pPr>
        <w:adjustRightInd w:val="0"/>
        <w:snapToGrid w:val="0"/>
        <w:spacing w:line="360" w:lineRule="auto"/>
        <w:ind w:firstLine="240" w:firstLineChars="10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w:t>
      </w:r>
    </w:p>
    <w:p>
      <w:pPr>
        <w:spacing w:line="360" w:lineRule="auto"/>
        <w:ind w:firstLine="470" w:firstLineChars="196"/>
        <w:jc w:val="center"/>
        <w:rPr>
          <w:rFonts w:hint="eastAsia" w:ascii="宋体" w:hAnsi="宋体" w:eastAsia="宋体" w:cs="宋体"/>
          <w:color w:val="auto"/>
          <w:sz w:val="24"/>
          <w:szCs w:val="24"/>
          <w:highlight w:val="none"/>
          <w:lang w:eastAsia="zh-CN"/>
        </w:rPr>
      </w:pPr>
      <w:bookmarkStart w:id="61" w:name="_Toc518046409"/>
      <w:r>
        <w:rPr>
          <w:rFonts w:hint="eastAsia" w:ascii="宋体" w:hAnsi="宋体" w:eastAsia="宋体" w:cs="宋体"/>
          <w:color w:val="auto"/>
          <w:sz w:val="24"/>
          <w:szCs w:val="24"/>
          <w:highlight w:val="none"/>
          <w:lang w:eastAsia="zh-CN"/>
        </w:rPr>
        <w:t>（一）、交易一览表</w:t>
      </w:r>
      <w:bookmarkEnd w:id="61"/>
    </w:p>
    <w:p>
      <w:pPr>
        <w:spacing w:line="360" w:lineRule="auto"/>
        <w:ind w:firstLine="470" w:firstLineChars="196"/>
        <w:rPr>
          <w:rFonts w:hint="eastAsia" w:ascii="宋体" w:hAnsi="宋体" w:eastAsia="宋体" w:cs="宋体"/>
          <w:color w:val="auto"/>
          <w:sz w:val="24"/>
          <w:szCs w:val="24"/>
          <w:highlight w:val="none"/>
          <w:lang w:eastAsia="zh-CN"/>
        </w:rPr>
      </w:pPr>
      <w:bookmarkStart w:id="62" w:name="_Toc518046410"/>
      <w:r>
        <w:rPr>
          <w:rFonts w:hint="eastAsia" w:ascii="宋体" w:hAnsi="宋体" w:eastAsia="宋体" w:cs="宋体"/>
          <w:color w:val="auto"/>
          <w:sz w:val="24"/>
          <w:szCs w:val="24"/>
          <w:highlight w:val="none"/>
          <w:lang w:eastAsia="zh-CN"/>
        </w:rPr>
        <w:t>交易项：一</w:t>
      </w:r>
    </w:p>
    <w:tbl>
      <w:tblPr>
        <w:tblStyle w:val="60"/>
        <w:tblW w:w="9542" w:type="dxa"/>
        <w:jc w:val="center"/>
        <w:tblLayout w:type="fixed"/>
        <w:tblCellMar>
          <w:top w:w="0" w:type="dxa"/>
          <w:left w:w="0" w:type="dxa"/>
          <w:bottom w:w="0" w:type="dxa"/>
          <w:right w:w="0" w:type="dxa"/>
        </w:tblCellMar>
      </w:tblPr>
      <w:tblGrid>
        <w:gridCol w:w="920"/>
        <w:gridCol w:w="3750"/>
        <w:gridCol w:w="1980"/>
        <w:gridCol w:w="720"/>
        <w:gridCol w:w="720"/>
        <w:gridCol w:w="1452"/>
      </w:tblGrid>
      <w:tr>
        <w:tblPrEx>
          <w:tblCellMar>
            <w:top w:w="0" w:type="dxa"/>
            <w:left w:w="0" w:type="dxa"/>
            <w:bottom w:w="0" w:type="dxa"/>
            <w:right w:w="0" w:type="dxa"/>
          </w:tblCellMar>
        </w:tblPrEx>
        <w:trPr>
          <w:cantSplit/>
          <w:trHeight w:val="663"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规格型号与参数</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1452"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tblPrEx>
          <w:tblCellMar>
            <w:top w:w="0" w:type="dxa"/>
            <w:left w:w="0" w:type="dxa"/>
            <w:bottom w:w="0" w:type="dxa"/>
            <w:right w:w="0" w:type="dxa"/>
          </w:tblCellMar>
        </w:tblPrEx>
        <w:trPr>
          <w:cantSplit/>
          <w:trHeight w:val="927"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杭州市萧山区无偿献血服务中心血液运输车（血浆运输车）采购项目</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辆</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470" w:firstLineChars="19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452" w:type="dxa"/>
            <w:tcBorders>
              <w:top w:val="single" w:color="auto" w:sz="4" w:space="0"/>
              <w:left w:val="nil"/>
              <w:bottom w:val="single" w:color="auto" w:sz="4" w:space="0"/>
              <w:right w:val="single" w:color="auto" w:sz="4" w:space="0"/>
            </w:tcBorders>
            <w:vAlign w:val="center"/>
          </w:tcPr>
          <w:p>
            <w:pPr>
              <w:spacing w:line="360" w:lineRule="auto"/>
              <w:ind w:firstLine="470" w:firstLineChars="196"/>
              <w:jc w:val="center"/>
              <w:rPr>
                <w:rFonts w:hint="eastAsia" w:ascii="宋体" w:hAnsi="宋体" w:eastAsia="宋体" w:cs="宋体"/>
                <w:color w:val="auto"/>
                <w:sz w:val="24"/>
                <w:szCs w:val="24"/>
                <w:highlight w:val="none"/>
                <w:lang w:eastAsia="zh-CN"/>
              </w:rPr>
            </w:pPr>
          </w:p>
        </w:tc>
      </w:tr>
    </w:tbl>
    <w:p>
      <w:pPr>
        <w:rPr>
          <w:color w:val="auto"/>
          <w:highlight w:val="none"/>
        </w:rPr>
      </w:pPr>
      <w:r>
        <w:rPr>
          <w:rStyle w:val="639"/>
          <w:rFonts w:hint="eastAsia"/>
          <w:i w:val="0"/>
          <w:iCs w:val="0"/>
          <w:color w:val="auto"/>
          <w:highlight w:val="none"/>
        </w:rPr>
        <w:t>▲</w:t>
      </w:r>
      <w:r>
        <w:rPr>
          <w:rFonts w:hint="eastAsia"/>
          <w:b/>
          <w:bCs/>
          <w:color w:val="auto"/>
          <w:highlight w:val="none"/>
        </w:rPr>
        <w:t>注：供应商的投标报价应包含购车费、购置税、改装费、上牌费、车辆保险费、运输、税费、代理服务费等响应过程中产生的所有费用。</w:t>
      </w:r>
    </w:p>
    <w:p>
      <w:pPr>
        <w:jc w:val="center"/>
        <w:rPr>
          <w:color w:val="auto"/>
          <w:highlight w:val="none"/>
        </w:rPr>
      </w:pPr>
      <w:r>
        <w:rPr>
          <w:color w:val="auto"/>
          <w:highlight w:val="none"/>
        </w:rPr>
        <w:t>招标需求</w:t>
      </w:r>
    </w:p>
    <w:p>
      <w:pPr>
        <w:rPr>
          <w:color w:val="auto"/>
          <w:highlight w:val="none"/>
        </w:rPr>
      </w:pPr>
      <w:r>
        <w:rPr>
          <w:rFonts w:hint="eastAsia"/>
          <w:color w:val="auto"/>
          <w:highlight w:val="none"/>
        </w:rPr>
        <w:t>1、技术需求</w:t>
      </w:r>
    </w:p>
    <w:p>
      <w:pPr>
        <w:jc w:val="center"/>
        <w:rPr>
          <w:rFonts w:ascii="宋体" w:hAnsi="宋体" w:eastAsia="宋体"/>
          <w:b/>
          <w:color w:val="auto"/>
          <w:sz w:val="30"/>
          <w:szCs w:val="30"/>
          <w:highlight w:val="none"/>
        </w:rPr>
      </w:pPr>
      <w:r>
        <w:rPr>
          <w:rFonts w:hint="eastAsia" w:ascii="宋体" w:hAnsi="宋体" w:eastAsia="宋体" w:cs="Times New Roman"/>
          <w:b/>
          <w:color w:val="auto"/>
          <w:sz w:val="30"/>
          <w:szCs w:val="30"/>
          <w:highlight w:val="none"/>
        </w:rPr>
        <w:t>血浆运输车采购项目采购需求</w:t>
      </w:r>
      <w:r>
        <w:rPr>
          <w:rFonts w:hint="eastAsia" w:ascii="宋体" w:hAnsi="宋体" w:eastAsia="宋体"/>
          <w:b/>
          <w:color w:val="auto"/>
          <w:sz w:val="30"/>
          <w:szCs w:val="30"/>
          <w:highlight w:val="none"/>
        </w:rPr>
        <w:t>表</w:t>
      </w:r>
    </w:p>
    <w:tbl>
      <w:tblPr>
        <w:tblStyle w:val="60"/>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9"/>
        <w:gridCol w:w="1953"/>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车辆部分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整车要求</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●总长</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≥5490mm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总宽</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总高</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●轴距</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≤3300KG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油箱容量</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发动机</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发动机燃料</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汽油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≥149KW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●排放标准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国六排放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排量</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≥1900ml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底盘</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变速器</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五档手动变速器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●悬架系统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麦弗逊式独立前悬/钢板弹簧非独立悬挂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制动系统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前后盘式制动，博世9.1版ABS+EBD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车身电子稳定系统（ESP）</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液压助力转向</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车轮及轮胎</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轮胎≥215/65R16C，钢制轮毂, 胎压监测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车身及电器配置参数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驾驶室座椅</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驾驶员安全气囊，司机椅六向调节， 驾驶员安全带未系提醒, 副司机双人座椅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车门及门泵</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正副司机门，右侧滑移门（带推拉窗），后双开门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门锁</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中控锁，遥控钥匙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倒车雷达</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车窗</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前排电动窗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视听系统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数字调频收音机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前挡风雨刮</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前挡风雨刮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后视系统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普通倒车镜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空调系统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冷暖空调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素白漆，冰白漆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车辆外观</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后舱侧窗贴深灰色太阳膜</w:t>
            </w:r>
            <w:r>
              <w:rPr>
                <w:rFonts w:hint="eastAsia" w:ascii="宋体" w:hAnsi="宋体" w:eastAsia="宋体" w:cs="宋体"/>
                <w:bCs/>
                <w:color w:val="auto"/>
                <w:sz w:val="21"/>
                <w:szCs w:val="21"/>
                <w:highlight w:val="none"/>
              </w:rPr>
              <w:t>，外观标准彩条标识（贴膜）</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彩条标识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客户定制彩条标识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空调及通风装置</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驾驶室与乘坐区之间前后独立循环空调及暖风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照明系统</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乘坐区与冰箱区长条照明灯1套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内部装饰</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铝塑板内饰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板式结构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，防水防腐，易清洁消毒；司机后PVC免漆板隔断，带推拉窗；车辆中部PVC免漆板隔断，带推拉窗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医疗舱布局</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驾驶区隔断后双人椅1件，可折叠单人椅1件，后部厢体长度≥</w:t>
            </w:r>
            <w:r>
              <w:rPr>
                <w:rFonts w:ascii="宋体" w:hAnsi="宋体" w:eastAsia="宋体" w:cs="宋体"/>
                <w:bCs/>
                <w:color w:val="auto"/>
                <w:sz w:val="21"/>
                <w:szCs w:val="21"/>
                <w:highlight w:val="none"/>
              </w:rPr>
              <w:t>1850mm，宽度≥1650，高度≥1650mm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供电系统</w:t>
            </w:r>
          </w:p>
        </w:tc>
        <w:tc>
          <w:tcPr>
            <w:tcW w:w="6237" w:type="dxa"/>
            <w:tcBorders>
              <w:top w:val="single" w:color="auto" w:sz="4" w:space="0"/>
              <w:left w:val="single" w:color="auto" w:sz="4" w:space="0"/>
              <w:bottom w:val="single" w:color="auto" w:sz="4" w:space="0"/>
              <w:right w:val="single" w:color="auto" w:sz="4" w:space="0"/>
            </w:tcBorders>
            <w:vAlign w:val="center"/>
          </w:tcPr>
          <w:p>
            <w:pPr>
              <w:pStyle w:val="74"/>
              <w:numPr>
                <w:ilvl w:val="0"/>
                <w:numId w:val="7"/>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不小于2kW充逆变一体机1台；</w:t>
            </w:r>
          </w:p>
          <w:p>
            <w:pPr>
              <w:pStyle w:val="74"/>
              <w:numPr>
                <w:ilvl w:val="0"/>
                <w:numId w:val="7"/>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高能免维护蓄电池≥90AH1个；</w:t>
            </w:r>
          </w:p>
          <w:p>
            <w:pPr>
              <w:pStyle w:val="74"/>
              <w:numPr>
                <w:ilvl w:val="0"/>
                <w:numId w:val="7"/>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交流220V插座(乘坐区4件，冰箱区2件)</w:t>
            </w:r>
          </w:p>
          <w:p>
            <w:pPr>
              <w:pStyle w:val="74"/>
              <w:numPr>
                <w:ilvl w:val="0"/>
                <w:numId w:val="7"/>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快速外接充电系统1套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安全措施</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附加蓄电池和启动蓄电池在车辆启动时自动连接,在车辆熄火时自动断开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6237" w:type="dxa"/>
            <w:tcBorders>
              <w:top w:val="single" w:color="auto" w:sz="4" w:space="0"/>
              <w:left w:val="single" w:color="auto" w:sz="4" w:space="0"/>
              <w:bottom w:val="single" w:color="auto" w:sz="4" w:space="0"/>
              <w:right w:val="single" w:color="auto" w:sz="4" w:space="0"/>
            </w:tcBorders>
            <w:vAlign w:val="center"/>
          </w:tcPr>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后部固定式踏步</w:t>
            </w:r>
          </w:p>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医用高分子防滑地板革</w:t>
            </w:r>
          </w:p>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驾驶舱与医疗舱之间免提对讲系统1套</w:t>
            </w:r>
          </w:p>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中门上车处安装安全扶手，方便上车</w:t>
            </w:r>
          </w:p>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紫外线消毒灯2件（中部乘坐区、后部冰箱区各1件）：12V供电，有延时调节装置</w:t>
            </w:r>
          </w:p>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灭火器共2个：驾驶室1个，冰箱区1个</w:t>
            </w:r>
          </w:p>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反光背心1件</w:t>
            </w:r>
          </w:p>
          <w:p>
            <w:pPr>
              <w:pStyle w:val="74"/>
              <w:numPr>
                <w:ilvl w:val="0"/>
                <w:numId w:val="8"/>
              </w:num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1个电子钟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Style w:val="639"/>
                <w:rFonts w:hint="eastAsia"/>
                <w:i w:val="0"/>
                <w:iCs w:val="0"/>
                <w:color w:val="auto"/>
                <w:highlight w:val="none"/>
              </w:rPr>
              <w:t>▲</w:t>
            </w:r>
            <w:r>
              <w:rPr>
                <w:rFonts w:hint="eastAsia" w:ascii="宋体" w:hAnsi="宋体" w:eastAsia="宋体" w:cs="宋体"/>
                <w:color w:val="auto"/>
                <w:sz w:val="21"/>
                <w:szCs w:val="21"/>
                <w:highlight w:val="none"/>
              </w:rPr>
              <w:t>专用设备</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属于医疗器械的设备，需提供相关证书。</w:t>
            </w:r>
            <w:r>
              <w:rPr>
                <w:rFonts w:hint="eastAsia" w:ascii="宋体" w:hAnsi="宋体" w:eastAsia="宋体" w:cs="宋体"/>
                <w:color w:val="auto"/>
                <w:sz w:val="21"/>
                <w:szCs w:val="21"/>
                <w:highlight w:val="none"/>
              </w:rPr>
              <w:t>质保期≥1年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医用冷藏箱</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医用冷藏箱2台，技术要求如下：</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微电脑控制，数字温度显示，调整增量为1℃;</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风冷系统，箱内温度波动范围±3℃，可通过调整设定温度使箱内温度恒定控制在2~8℃;</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完善的报警系统，有声音蜂鸣报警及灯光闪烁报警功能，可实现超温报警、传感器报警、开门报警;</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直流内风机，风冷式结构，合理设计风道及风量，箱内温度稳定均匀;</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多层搁架设计，可根据存放药品的规格合理的调整间隙;</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安全门锁设计，防止随意开启;</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宽电压带，适合电压不稳定地区;</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适合环境温度10℃~32℃，湿度60％以下地区使用;</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功率≤84W；</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箱内温度℃：2-8；</w:t>
            </w:r>
          </w:p>
          <w:p>
            <w:pPr>
              <w:pStyle w:val="74"/>
              <w:numPr>
                <w:ilvl w:val="0"/>
                <w:numId w:val="9"/>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有效容积≥60L。</w:t>
            </w:r>
          </w:p>
          <w:p>
            <w:pPr>
              <w:pStyle w:val="74"/>
              <w:numPr>
                <w:ilvl w:val="0"/>
                <w:numId w:val="9"/>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外部尺寸≥495*580*660mm</w:t>
            </w:r>
          </w:p>
          <w:p>
            <w:pPr>
              <w:pStyle w:val="74"/>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便携式运血箱</w:t>
            </w:r>
          </w:p>
        </w:tc>
        <w:tc>
          <w:tcPr>
            <w:tcW w:w="6237" w:type="dxa"/>
            <w:tcBorders>
              <w:top w:val="single" w:color="auto" w:sz="4" w:space="0"/>
              <w:left w:val="single" w:color="auto" w:sz="4" w:space="0"/>
              <w:bottom w:val="single" w:color="auto" w:sz="4" w:space="0"/>
              <w:right w:val="single" w:color="auto" w:sz="4" w:space="0"/>
            </w:tcBorders>
            <w:vAlign w:val="center"/>
          </w:tcPr>
          <w:p>
            <w:pPr>
              <w:pStyle w:val="74"/>
              <w:numPr>
                <w:ilvl w:val="0"/>
                <w:numId w:val="0"/>
              </w:numPr>
              <w:ind w:leftChars="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便携式运血箱2件（随车带走）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●整车改装线束要求：</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1.改装线束采用汽车用薄壁绝缘低压电线，电线为镀锡铜线，提供检测报告；</w:t>
            </w:r>
          </w:p>
          <w:p>
            <w:pPr>
              <w:spacing w:line="276" w:lineRule="auto"/>
              <w:outlineLv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2.高温压力测试，测试条件为100°、4h、1KV、1min情况下，按照GB/T 25085-2010标准进行测试，要求满足标准，提供检测报告。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血浆运输车交付地市须有血浆运输车改装厂家（血浆运输车公告申报厂家）授权售后服务机构（具备主管部门颁发的汽车维修或汽车售后服务资质，提供血浆运输车改装厂家售后服务协议书）。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●焊接质量</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所有焊缝应符合技术图纸要求，焊缝牢固、焊缝平滑，不得有咬边、根部收缩、弧坑裂纹、表面夹渣、气孔、虚焊、漏焊等影响使用的缺陷存在，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中需提供焊接质量体系认证证书扫描件并加盖血浆运输车车生产企业公章。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●整车防腐性能要求</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1、改装部位采用阴极电泳工艺，能够满足1000小时盐雾性能，保证8-10年不生锈，提供实车照片。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●专用车生产资质要求</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血浆运输车车生产厂家具有专用车生产资质。提供生产项目备案批复证明文件、准入审查通过报告和生产准入审查批复证明文件。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行车记录仪</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全新（未使用过的），具有高清摄像录音等功能</w:t>
            </w:r>
          </w:p>
        </w:tc>
      </w:tr>
    </w:tbl>
    <w:p>
      <w:pPr>
        <w:rPr>
          <w:color w:val="auto"/>
          <w:highlight w:val="none"/>
        </w:rPr>
      </w:pPr>
    </w:p>
    <w:p>
      <w:pPr>
        <w:rPr>
          <w:color w:val="auto"/>
          <w:highlight w:val="none"/>
        </w:rPr>
      </w:pPr>
      <w:r>
        <w:rPr>
          <w:rFonts w:hint="eastAsia"/>
          <w:color w:val="auto"/>
          <w:highlight w:val="none"/>
        </w:rPr>
        <w:t>2、商务需求：</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2.1交货时间及地点：</w:t>
      </w:r>
    </w:p>
    <w:p>
      <w:pPr>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▲2.1.1 合同签订后60天内供货完成。</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交货地点：采购人指定地点。</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2.1.2成交人提供的物品，必须符合本交易文件要求、原包装送达采购单位；如有不符，采购人可以无条件退货，所造成的损失由成交人承担。更换后的零部件质保期按更换日起顺延。</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2.2质保期及售后技术服务要求：</w:t>
      </w:r>
    </w:p>
    <w:p>
      <w:pPr>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▲2.2.1质保期：不少于1年。（质保期自验收合格之日起计算）其中（底盘质保3年或6万公里）</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▲2.2.2供应商应提供技术支持方案，内容由供应商根据实际选择以下要点：服务机构（维保点）的地址、人员状况、维修能力、联系方式、营业执照、公司资质材料、相关案例等。</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2.2.3完整准确地表述原厂家的标准售后服务承诺（范围、标准及期限等）、供应商可能增加的服务承诺等。</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2.2.4明示服务承诺可能涉及的前提设定和费用，否则将被认为是无条件和免费的。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质量保证期内提供免费上门维护、升级服务，如设备出现故障，供货单位在接到电话后，立即作出响应，1小时以内到现场处理，12小时内修复，现场不能修复的，必须采取无偿提供采购物品的备用件或整机等措施，保证用户单位的正常使用。质保期内故障率不得超过7天，每超过1天，质保期相应延长10天。</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2.2.6</w:t>
      </w:r>
      <w:r>
        <w:rPr>
          <w:rFonts w:hint="eastAsia" w:ascii="宋体" w:hAnsi="宋体" w:cs="宋体"/>
          <w:color w:val="auto"/>
          <w:sz w:val="21"/>
          <w:szCs w:val="21"/>
          <w:highlight w:val="none"/>
          <w:lang w:val="en-US" w:eastAsia="zh-CN"/>
        </w:rPr>
        <w:t>成交供应商在签订合同后10天内，</w:t>
      </w:r>
      <w:r>
        <w:rPr>
          <w:rFonts w:hint="eastAsia" w:ascii="宋体" w:hAnsi="宋体" w:eastAsia="宋体" w:cs="宋体"/>
          <w:color w:val="auto"/>
          <w:sz w:val="21"/>
          <w:szCs w:val="21"/>
          <w:highlight w:val="none"/>
        </w:rPr>
        <w:t>必须提供所投型号“血浆运输车”专用</w:t>
      </w:r>
      <w:r>
        <w:rPr>
          <w:rFonts w:hint="eastAsia" w:ascii="宋体" w:hAnsi="宋体" w:eastAsia="宋体" w:cs="宋体"/>
          <w:color w:val="auto"/>
          <w:sz w:val="21"/>
          <w:szCs w:val="21"/>
          <w:highlight w:val="none"/>
          <w:lang w:val="en-US" w:eastAsia="zh-CN"/>
        </w:rPr>
        <w:t>汽</w:t>
      </w:r>
      <w:r>
        <w:rPr>
          <w:rFonts w:hint="eastAsia" w:ascii="宋体" w:hAnsi="宋体" w:eastAsia="宋体" w:cs="宋体"/>
          <w:color w:val="auto"/>
          <w:sz w:val="21"/>
          <w:szCs w:val="21"/>
          <w:highlight w:val="none"/>
        </w:rPr>
        <w:t>车公告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否则采购人有权解除合同关系。</w:t>
      </w:r>
    </w:p>
    <w:p>
      <w:pPr>
        <w:pStyle w:val="637"/>
        <w:rPr>
          <w:rFonts w:ascii="宋体" w:hAnsi="宋体" w:eastAsia="宋体" w:cs="宋体"/>
          <w:color w:val="auto"/>
          <w:sz w:val="21"/>
          <w:szCs w:val="21"/>
          <w:highlight w:val="none"/>
        </w:rPr>
      </w:pPr>
    </w:p>
    <w:p>
      <w:pPr>
        <w:spacing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▲2.3付款方式：</w:t>
      </w:r>
    </w:p>
    <w:p>
      <w:pPr>
        <w:numPr>
          <w:ilvl w:val="0"/>
          <w:numId w:val="10"/>
        </w:numPr>
        <w:spacing w:line="360" w:lineRule="auto"/>
        <w:ind w:firstLine="420" w:firstLineChars="200"/>
        <w:rPr>
          <w:rFonts w:ascii="宋体" w:hAnsi="宋体" w:eastAsia="宋体" w:cs="宋体"/>
          <w:bCs/>
          <w:snapToGrid w:val="0"/>
          <w:color w:val="auto"/>
          <w:kern w:val="28"/>
          <w:sz w:val="21"/>
          <w:szCs w:val="21"/>
          <w:highlight w:val="none"/>
        </w:rPr>
      </w:pPr>
      <w:r>
        <w:rPr>
          <w:rFonts w:hint="eastAsia" w:ascii="宋体" w:hAnsi="宋体" w:eastAsia="宋体" w:cs="宋体"/>
          <w:bCs/>
          <w:snapToGrid w:val="0"/>
          <w:color w:val="auto"/>
          <w:kern w:val="28"/>
          <w:sz w:val="21"/>
          <w:szCs w:val="21"/>
          <w:highlight w:val="none"/>
        </w:rPr>
        <w:t>合同签订后10个工作日内，成交人支付合同总价的1%作为履约保证金（接受保函）。</w:t>
      </w:r>
    </w:p>
    <w:p>
      <w:pPr>
        <w:snapToGrid w:val="0"/>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（2）合同签订后采购人10个工作日内支付40%合同价款，成交人将货物送到采购人指定地点，安装调试并经验收合格且该血浆运输车可以正常落地行驶后，采购人10个工作日内一次性支付剩余合同价款。</w:t>
      </w:r>
    </w:p>
    <w:bookmarkEnd w:id="62"/>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1、除采购文件标注的参考品牌外，欢迎其它能满足本项目技术需求且性能与所注品牌相当的产品参与。</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2、如有附图，仅作参考。</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2"/>
          <w:sz w:val="21"/>
          <w:szCs w:val="21"/>
          <w:highlight w:val="none"/>
          <w:lang w:val="en-US" w:eastAsia="zh-CN" w:bidi="ar-SA"/>
        </w:rPr>
        <w:t>3、交易文件中打▲内容为实质性要求，不允许有负偏离，否则将以涉及无效投标条款作无效投标。</w:t>
      </w:r>
    </w:p>
    <w:p>
      <w:pPr>
        <w:pStyle w:val="3"/>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 xml:space="preserve">第四部分   </w:t>
      </w:r>
      <w:bookmarkStart w:id="63" w:name="_Toc184312132"/>
      <w:bookmarkEnd w:id="63"/>
      <w:bookmarkStart w:id="64" w:name="_Toc184312110"/>
      <w:bookmarkEnd w:id="64"/>
      <w:bookmarkStart w:id="65" w:name="_Toc184313249"/>
      <w:bookmarkEnd w:id="65"/>
      <w:bookmarkStart w:id="66" w:name="_Toc184312117"/>
      <w:bookmarkEnd w:id="66"/>
      <w:bookmarkStart w:id="67" w:name="_Toc184313244"/>
      <w:bookmarkEnd w:id="67"/>
      <w:bookmarkStart w:id="68" w:name="_Toc184314431"/>
      <w:bookmarkEnd w:id="68"/>
      <w:bookmarkStart w:id="69" w:name="_Toc184308105"/>
      <w:bookmarkEnd w:id="69"/>
      <w:bookmarkStart w:id="70" w:name="_Toc184308062"/>
      <w:bookmarkEnd w:id="70"/>
      <w:bookmarkStart w:id="71" w:name="_Toc184308102"/>
      <w:bookmarkEnd w:id="71"/>
      <w:bookmarkStart w:id="72" w:name="_Toc184314469"/>
      <w:bookmarkEnd w:id="72"/>
      <w:bookmarkStart w:id="73" w:name="_Toc184313277"/>
      <w:bookmarkEnd w:id="73"/>
      <w:bookmarkStart w:id="74" w:name="_Toc184308097"/>
      <w:bookmarkEnd w:id="74"/>
      <w:bookmarkStart w:id="75" w:name="_Toc184308101"/>
      <w:bookmarkEnd w:id="75"/>
      <w:bookmarkStart w:id="76" w:name="_Toc184314467"/>
      <w:bookmarkEnd w:id="76"/>
      <w:bookmarkStart w:id="77" w:name="_Toc184310272"/>
      <w:bookmarkEnd w:id="77"/>
      <w:bookmarkStart w:id="78" w:name="_Toc184310299"/>
      <w:bookmarkEnd w:id="78"/>
      <w:bookmarkStart w:id="79" w:name="_Toc184313269"/>
      <w:bookmarkEnd w:id="79"/>
      <w:bookmarkStart w:id="80" w:name="_Toc184308059"/>
      <w:bookmarkEnd w:id="80"/>
      <w:bookmarkStart w:id="81" w:name="_Toc184310294"/>
      <w:bookmarkEnd w:id="81"/>
      <w:bookmarkStart w:id="82" w:name="_Toc184312101"/>
      <w:bookmarkEnd w:id="82"/>
      <w:bookmarkStart w:id="83" w:name="_Toc184310341"/>
      <w:bookmarkEnd w:id="83"/>
      <w:bookmarkStart w:id="84" w:name="_Toc184310285"/>
      <w:bookmarkEnd w:id="84"/>
      <w:bookmarkStart w:id="85" w:name="_Toc184308064"/>
      <w:bookmarkEnd w:id="85"/>
      <w:bookmarkStart w:id="86" w:name="_Toc184312068"/>
      <w:bookmarkEnd w:id="86"/>
      <w:bookmarkStart w:id="87" w:name="_Toc184310276"/>
      <w:bookmarkEnd w:id="87"/>
      <w:bookmarkStart w:id="88" w:name="_Toc184312074"/>
      <w:bookmarkEnd w:id="88"/>
      <w:bookmarkStart w:id="89" w:name="_Toc184310296"/>
      <w:bookmarkEnd w:id="89"/>
      <w:bookmarkStart w:id="90" w:name="_Toc184312102"/>
      <w:bookmarkEnd w:id="90"/>
      <w:bookmarkStart w:id="91" w:name="_Toc184313278"/>
      <w:bookmarkEnd w:id="91"/>
      <w:bookmarkStart w:id="92" w:name="_Toc184310283"/>
      <w:bookmarkEnd w:id="92"/>
      <w:bookmarkStart w:id="93" w:name="_Toc184308106"/>
      <w:bookmarkEnd w:id="93"/>
      <w:bookmarkStart w:id="94" w:name="_Toc184308080"/>
      <w:bookmarkEnd w:id="94"/>
      <w:bookmarkStart w:id="95" w:name="_Toc184314414"/>
      <w:bookmarkEnd w:id="95"/>
      <w:bookmarkStart w:id="96" w:name="_Toc184312104"/>
      <w:bookmarkEnd w:id="96"/>
      <w:bookmarkStart w:id="97" w:name="_Toc184308070"/>
      <w:bookmarkEnd w:id="97"/>
      <w:bookmarkStart w:id="98" w:name="_Toc184314444"/>
      <w:bookmarkEnd w:id="98"/>
      <w:bookmarkStart w:id="99" w:name="_Toc184310342"/>
      <w:bookmarkEnd w:id="99"/>
      <w:bookmarkStart w:id="100" w:name="_Toc184313252"/>
      <w:bookmarkEnd w:id="100"/>
      <w:bookmarkStart w:id="101" w:name="_Toc184308055"/>
      <w:bookmarkEnd w:id="101"/>
      <w:bookmarkStart w:id="102" w:name="_Toc184314439"/>
      <w:bookmarkEnd w:id="102"/>
      <w:bookmarkStart w:id="103" w:name="_Toc184314413"/>
      <w:bookmarkEnd w:id="103"/>
      <w:bookmarkStart w:id="104" w:name="_Toc184314450"/>
      <w:bookmarkEnd w:id="104"/>
      <w:bookmarkStart w:id="105" w:name="_Toc184308046"/>
      <w:bookmarkEnd w:id="105"/>
      <w:bookmarkStart w:id="106" w:name="_Toc184314438"/>
      <w:bookmarkEnd w:id="106"/>
      <w:bookmarkStart w:id="107" w:name="_Toc184314480"/>
      <w:bookmarkEnd w:id="107"/>
      <w:bookmarkStart w:id="108" w:name="_Toc184312075"/>
      <w:bookmarkEnd w:id="108"/>
      <w:bookmarkStart w:id="109" w:name="_Toc184314430"/>
      <w:bookmarkEnd w:id="109"/>
      <w:bookmarkStart w:id="110" w:name="_Toc184314411"/>
      <w:bookmarkEnd w:id="110"/>
      <w:bookmarkStart w:id="111" w:name="_Toc184312079"/>
      <w:bookmarkEnd w:id="111"/>
      <w:bookmarkStart w:id="112" w:name="_Toc184314448"/>
      <w:bookmarkEnd w:id="112"/>
      <w:bookmarkStart w:id="113" w:name="_Toc184308058"/>
      <w:bookmarkEnd w:id="113"/>
      <w:bookmarkStart w:id="114" w:name="_Toc184314419"/>
      <w:bookmarkEnd w:id="114"/>
      <w:bookmarkStart w:id="115" w:name="_Toc184310307"/>
      <w:bookmarkEnd w:id="115"/>
      <w:bookmarkStart w:id="116" w:name="_Toc184314424"/>
      <w:bookmarkEnd w:id="116"/>
      <w:bookmarkStart w:id="117" w:name="_Toc184312113"/>
      <w:bookmarkEnd w:id="117"/>
      <w:bookmarkStart w:id="118" w:name="_Toc184314453"/>
      <w:bookmarkEnd w:id="118"/>
      <w:bookmarkStart w:id="119" w:name="_Toc184310275"/>
      <w:bookmarkEnd w:id="119"/>
      <w:bookmarkStart w:id="120" w:name="_Toc184310305"/>
      <w:bookmarkEnd w:id="120"/>
      <w:bookmarkStart w:id="121" w:name="_Toc184310332"/>
      <w:bookmarkEnd w:id="121"/>
      <w:bookmarkStart w:id="122" w:name="_Toc184313308"/>
      <w:bookmarkEnd w:id="122"/>
      <w:bookmarkStart w:id="123" w:name="_Toc184314442"/>
      <w:bookmarkEnd w:id="123"/>
      <w:bookmarkStart w:id="124" w:name="_Toc184312131"/>
      <w:bookmarkEnd w:id="124"/>
      <w:bookmarkStart w:id="125" w:name="_Toc184308071"/>
      <w:bookmarkEnd w:id="125"/>
      <w:bookmarkStart w:id="126" w:name="_Toc184313274"/>
      <w:bookmarkEnd w:id="126"/>
      <w:bookmarkStart w:id="127" w:name="_Toc184310295"/>
      <w:bookmarkEnd w:id="127"/>
      <w:bookmarkStart w:id="128" w:name="_Toc184312121"/>
      <w:bookmarkEnd w:id="128"/>
      <w:bookmarkStart w:id="129" w:name="_Toc184312089"/>
      <w:bookmarkEnd w:id="129"/>
      <w:bookmarkStart w:id="130" w:name="_Toc184308108"/>
      <w:bookmarkEnd w:id="130"/>
      <w:bookmarkStart w:id="131" w:name="_Toc184313301"/>
      <w:bookmarkEnd w:id="131"/>
      <w:bookmarkStart w:id="132" w:name="_Toc184310319"/>
      <w:bookmarkEnd w:id="132"/>
      <w:bookmarkStart w:id="133" w:name="_Toc184313298"/>
      <w:bookmarkEnd w:id="133"/>
      <w:bookmarkStart w:id="134" w:name="_Toc184314432"/>
      <w:bookmarkEnd w:id="134"/>
      <w:bookmarkStart w:id="135" w:name="_Toc184310320"/>
      <w:bookmarkEnd w:id="135"/>
      <w:bookmarkStart w:id="136" w:name="_Toc184312084"/>
      <w:bookmarkEnd w:id="136"/>
      <w:bookmarkStart w:id="137" w:name="_Toc184313266"/>
      <w:bookmarkEnd w:id="137"/>
      <w:bookmarkStart w:id="138" w:name="_Toc184308099"/>
      <w:bookmarkEnd w:id="138"/>
      <w:bookmarkStart w:id="139" w:name="_Toc184312096"/>
      <w:bookmarkEnd w:id="139"/>
      <w:bookmarkStart w:id="140" w:name="_Toc184308082"/>
      <w:bookmarkEnd w:id="140"/>
      <w:bookmarkStart w:id="141" w:name="_Toc184312137"/>
      <w:bookmarkEnd w:id="141"/>
      <w:bookmarkStart w:id="142" w:name="_Toc184314418"/>
      <w:bookmarkEnd w:id="142"/>
      <w:bookmarkStart w:id="143" w:name="_Toc184314454"/>
      <w:bookmarkEnd w:id="143"/>
      <w:bookmarkStart w:id="144" w:name="_Toc184310335"/>
      <w:bookmarkEnd w:id="144"/>
      <w:bookmarkStart w:id="145" w:name="_Toc184308072"/>
      <w:bookmarkEnd w:id="145"/>
      <w:bookmarkStart w:id="146" w:name="_Toc184308042"/>
      <w:bookmarkEnd w:id="146"/>
      <w:bookmarkStart w:id="147" w:name="_Toc184313238"/>
      <w:bookmarkEnd w:id="147"/>
      <w:bookmarkStart w:id="148" w:name="_Toc184310282"/>
      <w:bookmarkEnd w:id="148"/>
      <w:bookmarkStart w:id="149" w:name="_Toc184310329"/>
      <w:bookmarkEnd w:id="149"/>
      <w:bookmarkStart w:id="150" w:name="_Toc184313273"/>
      <w:bookmarkEnd w:id="150"/>
      <w:bookmarkStart w:id="151" w:name="_Toc184308053"/>
      <w:bookmarkEnd w:id="151"/>
      <w:bookmarkStart w:id="152" w:name="_Toc184314465"/>
      <w:bookmarkEnd w:id="152"/>
      <w:bookmarkStart w:id="153" w:name="_Toc184313255"/>
      <w:bookmarkEnd w:id="153"/>
      <w:bookmarkStart w:id="154" w:name="_Toc184314473"/>
      <w:bookmarkEnd w:id="154"/>
      <w:bookmarkStart w:id="155" w:name="_Toc184312115"/>
      <w:bookmarkEnd w:id="155"/>
      <w:bookmarkStart w:id="156" w:name="_Toc184314477"/>
      <w:bookmarkEnd w:id="156"/>
      <w:bookmarkStart w:id="157" w:name="_Toc184314455"/>
      <w:bookmarkEnd w:id="157"/>
      <w:bookmarkStart w:id="158" w:name="_Toc184312136"/>
      <w:bookmarkEnd w:id="158"/>
      <w:bookmarkStart w:id="159" w:name="_Toc184314460"/>
      <w:bookmarkEnd w:id="159"/>
      <w:bookmarkStart w:id="160" w:name="_Toc184308045"/>
      <w:bookmarkEnd w:id="160"/>
      <w:bookmarkStart w:id="161" w:name="_Toc184313303"/>
      <w:bookmarkEnd w:id="161"/>
      <w:bookmarkStart w:id="162" w:name="_Toc184308066"/>
      <w:bookmarkEnd w:id="162"/>
      <w:bookmarkStart w:id="163" w:name="_Toc184314462"/>
      <w:bookmarkEnd w:id="163"/>
      <w:bookmarkStart w:id="164" w:name="_Toc184314449"/>
      <w:bookmarkEnd w:id="164"/>
      <w:bookmarkStart w:id="165" w:name="_Toc184308069"/>
      <w:bookmarkEnd w:id="165"/>
      <w:bookmarkStart w:id="166" w:name="_Toc184312093"/>
      <w:bookmarkEnd w:id="166"/>
      <w:bookmarkStart w:id="167" w:name="_Toc184312099"/>
      <w:bookmarkEnd w:id="167"/>
      <w:bookmarkStart w:id="168" w:name="_Toc184308086"/>
      <w:bookmarkEnd w:id="168"/>
      <w:bookmarkStart w:id="169" w:name="_Toc184314474"/>
      <w:bookmarkEnd w:id="169"/>
      <w:bookmarkStart w:id="170" w:name="_Toc184313257"/>
      <w:bookmarkEnd w:id="170"/>
      <w:bookmarkStart w:id="171" w:name="_Toc184314472"/>
      <w:bookmarkEnd w:id="171"/>
      <w:bookmarkStart w:id="172" w:name="_Toc184312071"/>
      <w:bookmarkEnd w:id="172"/>
      <w:bookmarkStart w:id="173" w:name="_Toc184314475"/>
      <w:bookmarkEnd w:id="173"/>
      <w:bookmarkStart w:id="174" w:name="_Toc184313275"/>
      <w:bookmarkEnd w:id="174"/>
      <w:bookmarkStart w:id="175" w:name="_Toc184314482"/>
      <w:bookmarkEnd w:id="175"/>
      <w:bookmarkStart w:id="176" w:name="_Toc184310280"/>
      <w:bookmarkEnd w:id="176"/>
      <w:bookmarkStart w:id="177" w:name="_Toc184310315"/>
      <w:bookmarkEnd w:id="177"/>
      <w:bookmarkStart w:id="178" w:name="_Toc184313265"/>
      <w:bookmarkEnd w:id="178"/>
      <w:bookmarkStart w:id="179" w:name="_Toc184308083"/>
      <w:bookmarkEnd w:id="179"/>
      <w:bookmarkStart w:id="180" w:name="_Toc184310293"/>
      <w:bookmarkEnd w:id="180"/>
      <w:bookmarkStart w:id="181" w:name="_Toc184308043"/>
      <w:bookmarkEnd w:id="181"/>
      <w:bookmarkStart w:id="182" w:name="_Toc184312097"/>
      <w:bookmarkEnd w:id="182"/>
      <w:bookmarkStart w:id="183" w:name="_Toc184308054"/>
      <w:bookmarkEnd w:id="183"/>
      <w:bookmarkStart w:id="184" w:name="_Toc184308074"/>
      <w:bookmarkEnd w:id="184"/>
      <w:bookmarkStart w:id="185" w:name="_Toc184313241"/>
      <w:bookmarkEnd w:id="185"/>
      <w:bookmarkStart w:id="186" w:name="_Toc184313261"/>
      <w:bookmarkEnd w:id="186"/>
      <w:bookmarkStart w:id="187" w:name="_Toc184312111"/>
      <w:bookmarkEnd w:id="187"/>
      <w:bookmarkStart w:id="188" w:name="_Toc184310273"/>
      <w:bookmarkEnd w:id="188"/>
      <w:bookmarkStart w:id="189" w:name="_Toc184308044"/>
      <w:bookmarkEnd w:id="189"/>
      <w:bookmarkStart w:id="190" w:name="_Toc184314423"/>
      <w:bookmarkEnd w:id="190"/>
      <w:bookmarkStart w:id="191" w:name="_Toc184308091"/>
      <w:bookmarkEnd w:id="191"/>
      <w:bookmarkStart w:id="192" w:name="_Toc184312092"/>
      <w:bookmarkEnd w:id="192"/>
      <w:bookmarkStart w:id="193" w:name="_Toc184310326"/>
      <w:bookmarkEnd w:id="193"/>
      <w:bookmarkStart w:id="194" w:name="_Toc184313253"/>
      <w:bookmarkEnd w:id="194"/>
      <w:bookmarkStart w:id="195" w:name="_Toc184310311"/>
      <w:bookmarkEnd w:id="195"/>
      <w:bookmarkStart w:id="196" w:name="_Toc184313243"/>
      <w:bookmarkEnd w:id="196"/>
      <w:bookmarkStart w:id="197" w:name="_Toc184314422"/>
      <w:bookmarkEnd w:id="197"/>
      <w:bookmarkStart w:id="198" w:name="_Toc184313268"/>
      <w:bookmarkEnd w:id="198"/>
      <w:bookmarkStart w:id="199" w:name="_Toc184313242"/>
      <w:bookmarkEnd w:id="199"/>
      <w:bookmarkStart w:id="200" w:name="_Toc184312076"/>
      <w:bookmarkEnd w:id="200"/>
      <w:bookmarkStart w:id="201" w:name="_Toc184310338"/>
      <w:bookmarkEnd w:id="201"/>
      <w:bookmarkStart w:id="202" w:name="_Toc184310287"/>
      <w:bookmarkEnd w:id="202"/>
      <w:bookmarkStart w:id="203" w:name="_Toc184313296"/>
      <w:bookmarkEnd w:id="203"/>
      <w:bookmarkStart w:id="204" w:name="_Toc184312085"/>
      <w:bookmarkEnd w:id="204"/>
      <w:bookmarkStart w:id="205" w:name="_Toc184314429"/>
      <w:bookmarkEnd w:id="205"/>
      <w:bookmarkStart w:id="206" w:name="_Toc184314456"/>
      <w:bookmarkEnd w:id="206"/>
      <w:bookmarkStart w:id="207" w:name="_Toc184312088"/>
      <w:bookmarkEnd w:id="207"/>
      <w:bookmarkStart w:id="208" w:name="_Toc184313307"/>
      <w:bookmarkEnd w:id="208"/>
      <w:bookmarkStart w:id="209" w:name="_Toc184310330"/>
      <w:bookmarkEnd w:id="209"/>
      <w:bookmarkStart w:id="210" w:name="_Toc184312070"/>
      <w:bookmarkEnd w:id="210"/>
      <w:bookmarkStart w:id="211" w:name="_Toc184310292"/>
      <w:bookmarkEnd w:id="211"/>
      <w:bookmarkStart w:id="212" w:name="_Toc184313283"/>
      <w:bookmarkEnd w:id="212"/>
      <w:bookmarkStart w:id="213" w:name="_Toc184308065"/>
      <w:bookmarkEnd w:id="213"/>
      <w:bookmarkStart w:id="214" w:name="_Toc184313259"/>
      <w:bookmarkEnd w:id="214"/>
      <w:bookmarkStart w:id="215" w:name="_Toc184312108"/>
      <w:bookmarkEnd w:id="215"/>
      <w:bookmarkStart w:id="216" w:name="_Toc184308104"/>
      <w:bookmarkEnd w:id="216"/>
      <w:bookmarkStart w:id="217" w:name="_Toc184312098"/>
      <w:bookmarkEnd w:id="217"/>
      <w:bookmarkStart w:id="218" w:name="_Toc184314445"/>
      <w:bookmarkEnd w:id="218"/>
      <w:bookmarkStart w:id="219" w:name="_Toc184313263"/>
      <w:bookmarkEnd w:id="219"/>
      <w:bookmarkStart w:id="220" w:name="_Toc184314436"/>
      <w:bookmarkEnd w:id="220"/>
      <w:bookmarkStart w:id="221" w:name="_Toc184308073"/>
      <w:bookmarkEnd w:id="221"/>
      <w:bookmarkStart w:id="222" w:name="_Toc184314428"/>
      <w:bookmarkEnd w:id="222"/>
      <w:bookmarkStart w:id="223" w:name="_Toc184308037"/>
      <w:bookmarkEnd w:id="223"/>
      <w:bookmarkStart w:id="224" w:name="_Toc184310284"/>
      <w:bookmarkEnd w:id="224"/>
      <w:bookmarkStart w:id="225" w:name="_Toc184314470"/>
      <w:bookmarkEnd w:id="225"/>
      <w:bookmarkStart w:id="226" w:name="_Toc184310301"/>
      <w:bookmarkEnd w:id="226"/>
      <w:bookmarkStart w:id="227" w:name="_Toc184310321"/>
      <w:bookmarkEnd w:id="227"/>
      <w:bookmarkStart w:id="228" w:name="_Toc184310343"/>
      <w:bookmarkEnd w:id="228"/>
      <w:bookmarkStart w:id="229" w:name="_Toc184312081"/>
      <w:bookmarkEnd w:id="229"/>
      <w:bookmarkStart w:id="230" w:name="_Toc184308078"/>
      <w:bookmarkEnd w:id="230"/>
      <w:bookmarkStart w:id="231" w:name="_Toc184310337"/>
      <w:bookmarkEnd w:id="231"/>
      <w:bookmarkStart w:id="232" w:name="_Toc184310289"/>
      <w:bookmarkEnd w:id="232"/>
      <w:bookmarkStart w:id="233" w:name="_Toc184310304"/>
      <w:bookmarkEnd w:id="233"/>
      <w:bookmarkStart w:id="234" w:name="_Toc184312094"/>
      <w:bookmarkEnd w:id="234"/>
      <w:bookmarkStart w:id="235" w:name="_Toc184312067"/>
      <w:bookmarkEnd w:id="235"/>
      <w:bookmarkStart w:id="236" w:name="_Toc184310344"/>
      <w:bookmarkEnd w:id="236"/>
      <w:bookmarkStart w:id="237" w:name="_Toc184312087"/>
      <w:bookmarkEnd w:id="237"/>
      <w:bookmarkStart w:id="238" w:name="_Toc184314434"/>
      <w:bookmarkEnd w:id="238"/>
      <w:bookmarkStart w:id="239" w:name="_Toc184310297"/>
      <w:bookmarkEnd w:id="239"/>
      <w:bookmarkStart w:id="240" w:name="_Toc184314458"/>
      <w:bookmarkEnd w:id="240"/>
      <w:bookmarkStart w:id="241" w:name="_Toc184308103"/>
      <w:bookmarkEnd w:id="241"/>
      <w:bookmarkStart w:id="242" w:name="_Toc184308040"/>
      <w:bookmarkEnd w:id="242"/>
      <w:bookmarkStart w:id="243" w:name="_Toc184308047"/>
      <w:bookmarkEnd w:id="243"/>
      <w:bookmarkStart w:id="244" w:name="_Toc184313292"/>
      <w:bookmarkEnd w:id="244"/>
      <w:bookmarkStart w:id="245" w:name="_Toc184312095"/>
      <w:bookmarkEnd w:id="245"/>
      <w:bookmarkStart w:id="246" w:name="_Toc184314457"/>
      <w:bookmarkEnd w:id="246"/>
      <w:bookmarkStart w:id="247" w:name="_Toc184313247"/>
      <w:bookmarkEnd w:id="247"/>
      <w:bookmarkStart w:id="248" w:name="_Toc184312077"/>
      <w:bookmarkEnd w:id="248"/>
      <w:bookmarkStart w:id="249" w:name="_Toc184313272"/>
      <w:bookmarkEnd w:id="249"/>
      <w:bookmarkStart w:id="250" w:name="_Toc184314410"/>
      <w:bookmarkEnd w:id="250"/>
      <w:bookmarkStart w:id="251" w:name="_Toc184314452"/>
      <w:bookmarkEnd w:id="251"/>
      <w:bookmarkStart w:id="252" w:name="_Toc184310291"/>
      <w:bookmarkEnd w:id="252"/>
      <w:bookmarkStart w:id="253" w:name="_Toc184310328"/>
      <w:bookmarkEnd w:id="253"/>
      <w:bookmarkStart w:id="254" w:name="_Toc184310277"/>
      <w:bookmarkEnd w:id="254"/>
      <w:bookmarkStart w:id="255" w:name="_Toc184313271"/>
      <w:bookmarkEnd w:id="255"/>
      <w:bookmarkStart w:id="256" w:name="_Toc184312126"/>
      <w:bookmarkEnd w:id="256"/>
      <w:bookmarkStart w:id="257" w:name="_Toc184313250"/>
      <w:bookmarkEnd w:id="257"/>
      <w:bookmarkStart w:id="258" w:name="_Toc184310327"/>
      <w:bookmarkEnd w:id="258"/>
      <w:bookmarkStart w:id="259" w:name="_Toc184312078"/>
      <w:bookmarkEnd w:id="259"/>
      <w:bookmarkStart w:id="260" w:name="_Toc184308077"/>
      <w:bookmarkEnd w:id="260"/>
      <w:bookmarkStart w:id="261" w:name="_Toc184312127"/>
      <w:bookmarkEnd w:id="261"/>
      <w:bookmarkStart w:id="262" w:name="_Toc184312128"/>
      <w:bookmarkEnd w:id="262"/>
      <w:bookmarkStart w:id="263" w:name="_Toc184308057"/>
      <w:bookmarkEnd w:id="263"/>
      <w:bookmarkStart w:id="264" w:name="_Toc184314416"/>
      <w:bookmarkEnd w:id="264"/>
      <w:bookmarkStart w:id="265" w:name="_Toc184313279"/>
      <w:bookmarkEnd w:id="265"/>
      <w:bookmarkStart w:id="266" w:name="_Toc184314415"/>
      <w:bookmarkEnd w:id="266"/>
      <w:bookmarkStart w:id="267" w:name="_Toc184312138"/>
      <w:bookmarkEnd w:id="267"/>
      <w:bookmarkStart w:id="268" w:name="_Toc184310278"/>
      <w:bookmarkEnd w:id="268"/>
      <w:bookmarkStart w:id="269" w:name="_Toc184312135"/>
      <w:bookmarkEnd w:id="269"/>
      <w:bookmarkStart w:id="270" w:name="_Toc184313304"/>
      <w:bookmarkEnd w:id="270"/>
      <w:bookmarkStart w:id="271" w:name="_Toc184313285"/>
      <w:bookmarkEnd w:id="271"/>
      <w:bookmarkStart w:id="272" w:name="_Toc184312072"/>
      <w:bookmarkEnd w:id="272"/>
      <w:bookmarkStart w:id="273" w:name="_Toc184310274"/>
      <w:bookmarkEnd w:id="273"/>
      <w:bookmarkStart w:id="274" w:name="_Toc184310312"/>
      <w:bookmarkEnd w:id="274"/>
      <w:bookmarkStart w:id="275" w:name="_Toc184312130"/>
      <w:bookmarkEnd w:id="275"/>
      <w:bookmarkStart w:id="276" w:name="_Toc184314425"/>
      <w:bookmarkEnd w:id="276"/>
      <w:bookmarkStart w:id="277" w:name="_Toc184308084"/>
      <w:bookmarkEnd w:id="277"/>
      <w:bookmarkStart w:id="278" w:name="_Toc184312134"/>
      <w:bookmarkEnd w:id="278"/>
      <w:bookmarkStart w:id="279" w:name="_Toc184314447"/>
      <w:bookmarkEnd w:id="279"/>
      <w:bookmarkStart w:id="280" w:name="_Toc184313251"/>
      <w:bookmarkEnd w:id="280"/>
      <w:bookmarkStart w:id="281" w:name="_Toc184313246"/>
      <w:bookmarkEnd w:id="281"/>
      <w:bookmarkStart w:id="282" w:name="_Toc184314417"/>
      <w:bookmarkEnd w:id="282"/>
      <w:bookmarkStart w:id="283" w:name="_Toc184314479"/>
      <w:bookmarkEnd w:id="283"/>
      <w:bookmarkStart w:id="284" w:name="_Toc184308076"/>
      <w:bookmarkEnd w:id="284"/>
      <w:bookmarkStart w:id="285" w:name="_Toc184312100"/>
      <w:bookmarkEnd w:id="285"/>
      <w:bookmarkStart w:id="286" w:name="_Toc184310310"/>
      <w:bookmarkEnd w:id="286"/>
      <w:bookmarkStart w:id="287" w:name="_Toc184312112"/>
      <w:bookmarkEnd w:id="287"/>
      <w:bookmarkStart w:id="288" w:name="_Toc184314412"/>
      <w:bookmarkEnd w:id="288"/>
      <w:bookmarkStart w:id="289" w:name="_Toc184308090"/>
      <w:bookmarkEnd w:id="289"/>
      <w:bookmarkStart w:id="290" w:name="_Toc184308049"/>
      <w:bookmarkEnd w:id="290"/>
      <w:bookmarkStart w:id="291" w:name="_Toc184314463"/>
      <w:bookmarkEnd w:id="291"/>
      <w:bookmarkStart w:id="292" w:name="_Toc184310279"/>
      <w:bookmarkEnd w:id="292"/>
      <w:bookmarkStart w:id="293" w:name="_Toc184308052"/>
      <w:bookmarkEnd w:id="293"/>
      <w:bookmarkStart w:id="294" w:name="_Toc184308063"/>
      <w:bookmarkEnd w:id="294"/>
      <w:bookmarkStart w:id="295" w:name="_Toc184308092"/>
      <w:bookmarkEnd w:id="295"/>
      <w:bookmarkStart w:id="296" w:name="_Toc184313282"/>
      <w:bookmarkEnd w:id="296"/>
      <w:bookmarkStart w:id="297" w:name="_Toc184312118"/>
      <w:bookmarkEnd w:id="297"/>
      <w:bookmarkStart w:id="298" w:name="_Toc184310288"/>
      <w:bookmarkEnd w:id="298"/>
      <w:bookmarkStart w:id="299" w:name="_Toc184314433"/>
      <w:bookmarkEnd w:id="299"/>
      <w:bookmarkStart w:id="300" w:name="_Toc184314478"/>
      <w:bookmarkEnd w:id="300"/>
      <w:bookmarkStart w:id="301" w:name="_Toc184313245"/>
      <w:bookmarkEnd w:id="301"/>
      <w:bookmarkStart w:id="302" w:name="_Toc184310303"/>
      <w:bookmarkEnd w:id="302"/>
      <w:bookmarkStart w:id="303" w:name="_Toc184310302"/>
      <w:bookmarkEnd w:id="303"/>
      <w:bookmarkStart w:id="304" w:name="_Toc184313262"/>
      <w:bookmarkEnd w:id="304"/>
      <w:bookmarkStart w:id="305" w:name="_Toc184313309"/>
      <w:bookmarkEnd w:id="305"/>
      <w:bookmarkStart w:id="306" w:name="_Toc184308085"/>
      <w:bookmarkEnd w:id="306"/>
      <w:bookmarkStart w:id="307" w:name="_Toc184312120"/>
      <w:bookmarkEnd w:id="307"/>
      <w:bookmarkStart w:id="308" w:name="_Toc184314441"/>
      <w:bookmarkEnd w:id="308"/>
      <w:bookmarkStart w:id="309" w:name="_Toc184312129"/>
      <w:bookmarkEnd w:id="309"/>
      <w:bookmarkStart w:id="310" w:name="_Toc184312073"/>
      <w:bookmarkEnd w:id="310"/>
      <w:bookmarkStart w:id="311" w:name="_Toc184310322"/>
      <w:bookmarkEnd w:id="311"/>
      <w:bookmarkStart w:id="312" w:name="_Toc184312105"/>
      <w:bookmarkEnd w:id="312"/>
      <w:bookmarkStart w:id="313" w:name="_Toc184314471"/>
      <w:bookmarkEnd w:id="313"/>
      <w:bookmarkStart w:id="314" w:name="_Toc184313293"/>
      <w:bookmarkEnd w:id="314"/>
      <w:bookmarkStart w:id="315" w:name="_Toc184313306"/>
      <w:bookmarkEnd w:id="315"/>
      <w:bookmarkStart w:id="316" w:name="_Toc184312139"/>
      <w:bookmarkEnd w:id="316"/>
      <w:bookmarkStart w:id="317" w:name="_Toc184312125"/>
      <w:bookmarkEnd w:id="317"/>
      <w:bookmarkStart w:id="318" w:name="_Toc184313290"/>
      <w:bookmarkEnd w:id="318"/>
      <w:bookmarkStart w:id="319" w:name="_Toc184312103"/>
      <w:bookmarkEnd w:id="319"/>
      <w:bookmarkStart w:id="320" w:name="_Toc184314443"/>
      <w:bookmarkEnd w:id="320"/>
      <w:bookmarkStart w:id="321" w:name="_Toc184312069"/>
      <w:bookmarkEnd w:id="321"/>
      <w:bookmarkStart w:id="322" w:name="_Toc184310317"/>
      <w:bookmarkEnd w:id="322"/>
      <w:bookmarkStart w:id="323" w:name="_Toc184310314"/>
      <w:bookmarkEnd w:id="323"/>
      <w:bookmarkStart w:id="324" w:name="_Toc184313302"/>
      <w:bookmarkEnd w:id="324"/>
      <w:bookmarkStart w:id="325" w:name="_Toc184313270"/>
      <w:bookmarkEnd w:id="325"/>
      <w:bookmarkStart w:id="326" w:name="_Toc184308039"/>
      <w:bookmarkEnd w:id="326"/>
      <w:bookmarkStart w:id="327" w:name="_Toc184312080"/>
      <w:bookmarkEnd w:id="327"/>
      <w:bookmarkStart w:id="328" w:name="_Toc184312086"/>
      <w:bookmarkEnd w:id="328"/>
      <w:bookmarkStart w:id="329" w:name="_Toc184312106"/>
      <w:bookmarkEnd w:id="329"/>
      <w:bookmarkStart w:id="330" w:name="_Toc184313239"/>
      <w:bookmarkEnd w:id="330"/>
      <w:bookmarkStart w:id="331" w:name="_Toc184310290"/>
      <w:bookmarkEnd w:id="331"/>
      <w:bookmarkStart w:id="332" w:name="_Toc184308075"/>
      <w:bookmarkEnd w:id="332"/>
      <w:bookmarkStart w:id="333" w:name="_Toc184312122"/>
      <w:bookmarkEnd w:id="333"/>
      <w:bookmarkStart w:id="334" w:name="_Toc184313248"/>
      <w:bookmarkEnd w:id="334"/>
      <w:bookmarkStart w:id="335" w:name="_Toc184313295"/>
      <w:bookmarkEnd w:id="335"/>
      <w:bookmarkStart w:id="336" w:name="_Toc184313280"/>
      <w:bookmarkEnd w:id="336"/>
      <w:bookmarkStart w:id="337" w:name="_Toc184310298"/>
      <w:bookmarkEnd w:id="337"/>
      <w:bookmarkStart w:id="338" w:name="_Toc184313291"/>
      <w:bookmarkEnd w:id="338"/>
      <w:bookmarkStart w:id="339" w:name="_Toc184313256"/>
      <w:bookmarkEnd w:id="339"/>
      <w:bookmarkStart w:id="340" w:name="_Toc184310336"/>
      <w:bookmarkEnd w:id="340"/>
      <w:bookmarkStart w:id="341" w:name="_Toc184310334"/>
      <w:bookmarkEnd w:id="341"/>
      <w:bookmarkStart w:id="342" w:name="_Toc184314427"/>
      <w:bookmarkEnd w:id="342"/>
      <w:bookmarkStart w:id="343" w:name="_Toc184308036"/>
      <w:bookmarkEnd w:id="343"/>
      <w:bookmarkStart w:id="344" w:name="_Toc184313281"/>
      <w:bookmarkEnd w:id="344"/>
      <w:bookmarkStart w:id="345" w:name="_Toc184312123"/>
      <w:bookmarkEnd w:id="345"/>
      <w:bookmarkStart w:id="346" w:name="_Toc184308094"/>
      <w:bookmarkEnd w:id="346"/>
      <w:bookmarkStart w:id="347" w:name="_Toc184313297"/>
      <w:bookmarkEnd w:id="347"/>
      <w:bookmarkStart w:id="348" w:name="_Toc184308041"/>
      <w:bookmarkEnd w:id="348"/>
      <w:bookmarkStart w:id="349" w:name="_Toc184308060"/>
      <w:bookmarkEnd w:id="349"/>
      <w:bookmarkStart w:id="350" w:name="_Toc184308095"/>
      <w:bookmarkEnd w:id="350"/>
      <w:bookmarkStart w:id="351" w:name="_Toc184312082"/>
      <w:bookmarkEnd w:id="351"/>
      <w:bookmarkStart w:id="352" w:name="_Toc184313254"/>
      <w:bookmarkEnd w:id="352"/>
      <w:bookmarkStart w:id="353" w:name="_Toc184312114"/>
      <w:bookmarkEnd w:id="353"/>
      <w:bookmarkStart w:id="354" w:name="_Toc184313300"/>
      <w:bookmarkEnd w:id="354"/>
      <w:bookmarkStart w:id="355" w:name="_Toc184310308"/>
      <w:bookmarkEnd w:id="355"/>
      <w:bookmarkStart w:id="356" w:name="_Toc184310323"/>
      <w:bookmarkEnd w:id="356"/>
      <w:bookmarkStart w:id="357" w:name="_Toc184313286"/>
      <w:bookmarkEnd w:id="357"/>
      <w:bookmarkStart w:id="358" w:name="_Toc184312107"/>
      <w:bookmarkEnd w:id="358"/>
      <w:bookmarkStart w:id="359" w:name="_Toc184312083"/>
      <w:bookmarkEnd w:id="359"/>
      <w:bookmarkStart w:id="360" w:name="_Toc184313276"/>
      <w:bookmarkEnd w:id="360"/>
      <w:bookmarkStart w:id="361" w:name="_Toc184314435"/>
      <w:bookmarkEnd w:id="361"/>
      <w:bookmarkStart w:id="362" w:name="_Toc184313305"/>
      <w:bookmarkEnd w:id="362"/>
      <w:bookmarkStart w:id="363" w:name="_Toc184313287"/>
      <w:bookmarkEnd w:id="363"/>
      <w:bookmarkStart w:id="364" w:name="_Toc184310325"/>
      <w:bookmarkEnd w:id="364"/>
      <w:bookmarkStart w:id="365" w:name="_Toc184310309"/>
      <w:bookmarkEnd w:id="365"/>
      <w:bookmarkStart w:id="366" w:name="_Toc184314451"/>
      <w:bookmarkEnd w:id="366"/>
      <w:bookmarkStart w:id="367" w:name="_Toc184314476"/>
      <w:bookmarkEnd w:id="367"/>
      <w:bookmarkStart w:id="368" w:name="_Toc184308088"/>
      <w:bookmarkEnd w:id="368"/>
      <w:bookmarkStart w:id="369" w:name="_Toc184314459"/>
      <w:bookmarkEnd w:id="369"/>
      <w:bookmarkStart w:id="370" w:name="_Toc184313284"/>
      <w:bookmarkEnd w:id="370"/>
      <w:bookmarkStart w:id="371" w:name="_Toc184312109"/>
      <w:bookmarkEnd w:id="371"/>
      <w:bookmarkStart w:id="372" w:name="_Toc184310318"/>
      <w:bookmarkEnd w:id="372"/>
      <w:bookmarkStart w:id="373" w:name="_Toc184308038"/>
      <w:bookmarkEnd w:id="373"/>
      <w:bookmarkStart w:id="374" w:name="_Toc184310333"/>
      <w:bookmarkEnd w:id="374"/>
      <w:bookmarkStart w:id="375" w:name="_Toc184308050"/>
      <w:bookmarkEnd w:id="375"/>
      <w:bookmarkStart w:id="376" w:name="_Toc184310331"/>
      <w:bookmarkEnd w:id="376"/>
      <w:bookmarkStart w:id="377" w:name="_Toc184308096"/>
      <w:bookmarkEnd w:id="377"/>
      <w:bookmarkStart w:id="378" w:name="_Toc184314464"/>
      <w:bookmarkEnd w:id="378"/>
      <w:bookmarkStart w:id="379" w:name="_Toc184313310"/>
      <w:bookmarkEnd w:id="379"/>
      <w:bookmarkStart w:id="380" w:name="_Toc184310324"/>
      <w:bookmarkEnd w:id="380"/>
      <w:bookmarkStart w:id="381" w:name="_Toc184313267"/>
      <w:bookmarkEnd w:id="381"/>
      <w:bookmarkStart w:id="382" w:name="_Toc184308048"/>
      <w:bookmarkEnd w:id="382"/>
      <w:bookmarkStart w:id="383" w:name="_Toc184310316"/>
      <w:bookmarkEnd w:id="383"/>
      <w:bookmarkStart w:id="384" w:name="_Toc184312133"/>
      <w:bookmarkEnd w:id="384"/>
      <w:bookmarkStart w:id="385" w:name="_Toc184313258"/>
      <w:bookmarkEnd w:id="385"/>
      <w:bookmarkStart w:id="386" w:name="_Toc184310300"/>
      <w:bookmarkEnd w:id="386"/>
      <w:bookmarkStart w:id="387" w:name="_Toc184312090"/>
      <w:bookmarkEnd w:id="387"/>
      <w:bookmarkStart w:id="388" w:name="_Toc184313288"/>
      <w:bookmarkEnd w:id="388"/>
      <w:bookmarkStart w:id="389" w:name="_Toc184308061"/>
      <w:bookmarkEnd w:id="389"/>
      <w:bookmarkStart w:id="390" w:name="_Toc184310286"/>
      <w:bookmarkEnd w:id="390"/>
      <w:bookmarkStart w:id="391" w:name="_Toc184312124"/>
      <w:bookmarkEnd w:id="391"/>
      <w:bookmarkStart w:id="392" w:name="_Toc184313264"/>
      <w:bookmarkEnd w:id="392"/>
      <w:bookmarkStart w:id="393" w:name="_Toc184313260"/>
      <w:bookmarkEnd w:id="393"/>
      <w:bookmarkStart w:id="394" w:name="_Toc184308068"/>
      <w:bookmarkEnd w:id="394"/>
      <w:bookmarkStart w:id="395" w:name="_Toc184308098"/>
      <w:bookmarkEnd w:id="395"/>
      <w:bookmarkStart w:id="396" w:name="_Toc184314466"/>
      <w:bookmarkEnd w:id="396"/>
      <w:bookmarkStart w:id="397" w:name="_Toc184313294"/>
      <w:bookmarkEnd w:id="397"/>
      <w:bookmarkStart w:id="398" w:name="_Toc184314420"/>
      <w:bookmarkEnd w:id="398"/>
      <w:bookmarkStart w:id="399" w:name="_Toc184308081"/>
      <w:bookmarkEnd w:id="399"/>
      <w:bookmarkStart w:id="400" w:name="_Toc184310313"/>
      <w:bookmarkEnd w:id="400"/>
      <w:bookmarkStart w:id="401" w:name="_Toc184308089"/>
      <w:bookmarkEnd w:id="401"/>
      <w:bookmarkStart w:id="402" w:name="_Toc184313289"/>
      <w:bookmarkEnd w:id="402"/>
      <w:bookmarkStart w:id="403" w:name="_Toc184310281"/>
      <w:bookmarkEnd w:id="403"/>
      <w:bookmarkStart w:id="404" w:name="_Toc184314461"/>
      <w:bookmarkEnd w:id="404"/>
      <w:bookmarkStart w:id="405" w:name="_Toc184308087"/>
      <w:bookmarkEnd w:id="405"/>
      <w:bookmarkStart w:id="406" w:name="_Toc184314440"/>
      <w:bookmarkEnd w:id="406"/>
      <w:bookmarkStart w:id="407" w:name="_Toc184314481"/>
      <w:bookmarkEnd w:id="407"/>
      <w:bookmarkStart w:id="408" w:name="_Toc184308093"/>
      <w:bookmarkEnd w:id="408"/>
      <w:bookmarkStart w:id="409" w:name="_Toc184313240"/>
      <w:bookmarkEnd w:id="409"/>
      <w:bookmarkStart w:id="410" w:name="_Toc184308107"/>
      <w:bookmarkEnd w:id="410"/>
      <w:bookmarkStart w:id="411" w:name="_Toc184313299"/>
      <w:bookmarkEnd w:id="411"/>
      <w:bookmarkStart w:id="412" w:name="_Toc184308100"/>
      <w:bookmarkEnd w:id="412"/>
      <w:bookmarkStart w:id="413" w:name="_Toc184308079"/>
      <w:bookmarkEnd w:id="413"/>
      <w:bookmarkStart w:id="414" w:name="_Toc184314426"/>
      <w:bookmarkEnd w:id="414"/>
      <w:bookmarkStart w:id="415" w:name="_Toc184310339"/>
      <w:bookmarkEnd w:id="415"/>
      <w:bookmarkStart w:id="416" w:name="_Toc184314468"/>
      <w:bookmarkEnd w:id="416"/>
      <w:bookmarkStart w:id="417" w:name="_Toc184314437"/>
      <w:bookmarkEnd w:id="417"/>
      <w:bookmarkStart w:id="418" w:name="_Toc184314446"/>
      <w:bookmarkEnd w:id="418"/>
      <w:bookmarkStart w:id="419" w:name="_Toc184312091"/>
      <w:bookmarkEnd w:id="419"/>
      <w:bookmarkStart w:id="420" w:name="_Toc184312116"/>
      <w:bookmarkEnd w:id="420"/>
      <w:bookmarkStart w:id="421" w:name="_Toc184310340"/>
      <w:bookmarkEnd w:id="421"/>
      <w:bookmarkStart w:id="422" w:name="_Toc184308067"/>
      <w:bookmarkEnd w:id="422"/>
      <w:bookmarkStart w:id="423" w:name="_Toc184310306"/>
      <w:bookmarkEnd w:id="423"/>
      <w:bookmarkStart w:id="424" w:name="_Toc184308056"/>
      <w:bookmarkEnd w:id="424"/>
      <w:bookmarkStart w:id="425" w:name="_Toc184308051"/>
      <w:bookmarkEnd w:id="425"/>
      <w:bookmarkStart w:id="426" w:name="_Toc184312119"/>
      <w:bookmarkEnd w:id="426"/>
      <w:bookmarkStart w:id="427" w:name="_Toc184314421"/>
      <w:bookmarkEnd w:id="427"/>
      <w:r>
        <w:rPr>
          <w:rFonts w:hint="eastAsia" w:asciiTheme="minorEastAsia" w:hAnsiTheme="minorEastAsia" w:eastAsiaTheme="minorEastAsia" w:cstheme="minorEastAsia"/>
          <w:color w:val="auto"/>
          <w:highlight w:val="none"/>
          <w:lang w:val="en-US" w:eastAsia="zh-CN"/>
        </w:rPr>
        <w:t>评审办法</w:t>
      </w:r>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0"/>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pPr>
              <w:autoSpaceDE w:val="0"/>
              <w:autoSpaceDN w:val="0"/>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本项目采用综合评分法</w:t>
            </w:r>
            <w:r>
              <w:rPr>
                <w:rFonts w:hint="eastAsia" w:asciiTheme="minorEastAsia" w:hAnsiTheme="minorEastAsia" w:eastAsiaTheme="minorEastAsia" w:cstheme="minorEastAsia"/>
                <w:color w:val="auto"/>
                <w:sz w:val="24"/>
                <w:highlight w:val="none"/>
              </w:rPr>
              <w:t>：</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评审委员会</w:t>
            </w:r>
            <w:r>
              <w:rPr>
                <w:rFonts w:hint="eastAsia" w:asciiTheme="minorEastAsia" w:hAnsiTheme="minorEastAsia" w:eastAsiaTheme="minorEastAsia" w:cstheme="minorEastAsia"/>
                <w:color w:val="auto"/>
                <w:sz w:val="24"/>
                <w:highlight w:val="none"/>
              </w:rPr>
              <w:t>将对各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的投标报价、</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提供的资信与商务部分、技术部分等方面进行综合评审，</w:t>
            </w:r>
            <w:r>
              <w:rPr>
                <w:rFonts w:hint="eastAsia" w:asciiTheme="minorEastAsia" w:hAnsiTheme="minorEastAsia" w:eastAsiaTheme="minorEastAsia" w:cstheme="minorEastAsia"/>
                <w:color w:val="auto"/>
                <w:sz w:val="24"/>
                <w:highlight w:val="none"/>
                <w:lang w:eastAsia="zh-CN"/>
              </w:rPr>
              <w:t>评审委员会</w:t>
            </w:r>
            <w:r>
              <w:rPr>
                <w:rFonts w:hint="eastAsia" w:asciiTheme="minorEastAsia" w:hAnsiTheme="minorEastAsia" w:eastAsiaTheme="minorEastAsia" w:cstheme="minorEastAsia"/>
                <w:color w:val="auto"/>
                <w:sz w:val="24"/>
                <w:highlight w:val="none"/>
              </w:rPr>
              <w:t>各成员应当独立对每个有效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进行评价、打分。经统计，得出各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的最终评审分,按最终评审分由高到低顺序排列。得分相同的，按投标报价由低到高顺序排列，</w:t>
            </w:r>
            <w:r>
              <w:rPr>
                <w:rFonts w:hint="eastAsia" w:asciiTheme="minorEastAsia" w:hAnsiTheme="minorEastAsia" w:eastAsiaTheme="minorEastAsia" w:cstheme="minorEastAsia"/>
                <w:color w:val="auto"/>
                <w:sz w:val="24"/>
                <w:szCs w:val="21"/>
                <w:highlight w:val="none"/>
              </w:rPr>
              <w:t>得分且投标报价相同的并列</w:t>
            </w:r>
            <w:r>
              <w:rPr>
                <w:rFonts w:hint="eastAsia" w:asciiTheme="minorEastAsia" w:hAnsiTheme="minorEastAsia" w:eastAsiaTheme="minorEastAsia" w:cstheme="minorEastAsia"/>
                <w:color w:val="auto"/>
                <w:sz w:val="24"/>
                <w:highlight w:val="none"/>
              </w:rPr>
              <w:t>，并形成评标意见。</w:t>
            </w:r>
          </w:p>
          <w:p>
            <w:pPr>
              <w:spacing w:line="360" w:lineRule="auto"/>
              <w:ind w:left="105" w:leftChars="50" w:firstLine="427" w:firstLineChars="178"/>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的综合得分为：</w:t>
            </w:r>
            <w:r>
              <w:rPr>
                <w:rFonts w:hint="eastAsia" w:asciiTheme="minorEastAsia" w:hAnsiTheme="minorEastAsia" w:eastAsiaTheme="minorEastAsia" w:cstheme="minorEastAsia"/>
                <w:color w:val="auto"/>
                <w:sz w:val="24"/>
                <w:highlight w:val="none"/>
                <w:lang w:val="en-US" w:eastAsia="zh-CN"/>
              </w:rPr>
              <w:t>商务资信</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color w:val="auto"/>
                <w:sz w:val="24"/>
                <w:highlight w:val="none"/>
              </w:rPr>
              <w:t>得分+</w:t>
            </w:r>
            <w:r>
              <w:rPr>
                <w:rFonts w:hint="eastAsia" w:asciiTheme="minorEastAsia" w:hAnsiTheme="minorEastAsia" w:eastAsiaTheme="minorEastAsia" w:cstheme="minorEastAsia"/>
                <w:color w:val="auto"/>
                <w:sz w:val="24"/>
                <w:highlight w:val="none"/>
                <w:lang w:val="en-US" w:eastAsia="zh-CN"/>
              </w:rPr>
              <w:t>技术</w:t>
            </w:r>
            <w:r>
              <w:rPr>
                <w:rFonts w:hint="eastAsia" w:asciiTheme="minorEastAsia" w:hAnsiTheme="minorEastAsia" w:eastAsiaTheme="minorEastAsia" w:cstheme="minorEastAsia"/>
                <w:color w:val="auto"/>
                <w:sz w:val="24"/>
                <w:highlight w:val="none"/>
              </w:rPr>
              <w:t>得分</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投标价格得分，总和为</w:t>
            </w:r>
            <w:r>
              <w:rPr>
                <w:rFonts w:hint="eastAsia" w:asciiTheme="minorEastAsia" w:hAnsiTheme="minorEastAsia" w:eastAsiaTheme="minorEastAsia" w:cstheme="minorEastAsia"/>
                <w:color w:val="auto"/>
                <w:sz w:val="24"/>
                <w:highlight w:val="none"/>
                <w:u w:val="single"/>
              </w:rPr>
              <w:t>100</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p>
          <w:p>
            <w:pPr>
              <w:autoSpaceDE w:val="0"/>
              <w:autoSpaceDN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各</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的技术和服务方案、</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资信与商务部分得分为：</w:t>
            </w:r>
            <w:r>
              <w:rPr>
                <w:rFonts w:hint="eastAsia" w:asciiTheme="minorEastAsia" w:hAnsiTheme="minorEastAsia" w:eastAsiaTheme="minorEastAsia" w:cstheme="minorEastAsia"/>
                <w:b/>
                <w:color w:val="auto"/>
                <w:sz w:val="24"/>
                <w:highlight w:val="none"/>
                <w:lang w:eastAsia="zh-CN"/>
              </w:rPr>
              <w:t>评审委员会</w:t>
            </w:r>
            <w:r>
              <w:rPr>
                <w:rFonts w:hint="eastAsia" w:asciiTheme="minorEastAsia" w:hAnsiTheme="minorEastAsia" w:eastAsiaTheme="minorEastAsia" w:cstheme="minorEastAsia"/>
                <w:b/>
                <w:color w:val="auto"/>
                <w:sz w:val="24"/>
                <w:highlight w:val="none"/>
              </w:rPr>
              <w:t>各成员评分的算术平均值。各</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的投标价格得分按投标价格评分公式由采购机构计算，</w:t>
            </w:r>
            <w:r>
              <w:rPr>
                <w:rFonts w:hint="eastAsia" w:asciiTheme="minorEastAsia" w:hAnsiTheme="minorEastAsia" w:eastAsiaTheme="minorEastAsia" w:cstheme="minorEastAsia"/>
                <w:b/>
                <w:color w:val="auto"/>
                <w:sz w:val="24"/>
                <w:highlight w:val="none"/>
                <w:lang w:eastAsia="zh-CN"/>
              </w:rPr>
              <w:t>评审委员会</w:t>
            </w:r>
            <w:r>
              <w:rPr>
                <w:rFonts w:hint="eastAsia" w:asciiTheme="minorEastAsia" w:hAnsiTheme="minorEastAsia" w:eastAsiaTheme="minorEastAsia" w:cstheme="minorEastAsia"/>
                <w:b/>
                <w:color w:val="auto"/>
                <w:sz w:val="24"/>
                <w:highlight w:val="none"/>
              </w:rPr>
              <w:t>审核。</w:t>
            </w:r>
            <w:r>
              <w:rPr>
                <w:rFonts w:hint="eastAsia" w:asciiTheme="minorEastAsia" w:hAnsiTheme="minorEastAsia" w:eastAsiaTheme="minorEastAsia" w:cstheme="minorEastAsia"/>
                <w:color w:val="auto"/>
                <w:sz w:val="24"/>
                <w:highlight w:val="none"/>
              </w:rPr>
              <w:t>根据上述评标原则，分值安排如下：</w:t>
            </w:r>
          </w:p>
        </w:tc>
      </w:tr>
    </w:tbl>
    <w:p>
      <w:pPr>
        <w:widowControl/>
        <w:spacing w:line="360" w:lineRule="auto"/>
        <w:rPr>
          <w:rFonts w:hint="eastAsia" w:asciiTheme="minorEastAsia" w:hAnsiTheme="minorEastAsia" w:eastAsiaTheme="minorEastAsia" w:cstheme="minorEastAsia"/>
          <w:b/>
          <w:color w:val="auto"/>
          <w:sz w:val="32"/>
          <w:highlight w:val="none"/>
        </w:rPr>
      </w:pPr>
    </w:p>
    <w:p>
      <w:pPr>
        <w:widowControl/>
        <w:adjustRightInd/>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商务技术部分（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bl>
      <w:tblPr>
        <w:tblStyle w:val="61"/>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70"/>
        <w:gridCol w:w="2126"/>
        <w:gridCol w:w="4394"/>
        <w:gridCol w:w="70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tcPr>
          <w:p>
            <w:pPr>
              <w:spacing w:after="0"/>
              <w:jc w:val="center"/>
              <w:rPr>
                <w:color w:val="auto"/>
                <w:highlight w:val="none"/>
              </w:rPr>
            </w:pPr>
          </w:p>
        </w:tc>
        <w:tc>
          <w:tcPr>
            <w:tcW w:w="1170" w:type="dxa"/>
            <w:vAlign w:val="center"/>
          </w:tcPr>
          <w:p>
            <w:pPr>
              <w:spacing w:after="0"/>
              <w:jc w:val="center"/>
              <w:rPr>
                <w:color w:val="auto"/>
                <w:highlight w:val="none"/>
              </w:rPr>
            </w:pPr>
            <w:r>
              <w:rPr>
                <w:rFonts w:hint="eastAsia"/>
                <w:color w:val="auto"/>
                <w:highlight w:val="none"/>
              </w:rPr>
              <w:t>序号</w:t>
            </w:r>
          </w:p>
        </w:tc>
        <w:tc>
          <w:tcPr>
            <w:tcW w:w="6520" w:type="dxa"/>
            <w:gridSpan w:val="2"/>
            <w:vAlign w:val="center"/>
          </w:tcPr>
          <w:p>
            <w:pPr>
              <w:spacing w:after="0"/>
              <w:jc w:val="center"/>
              <w:rPr>
                <w:color w:val="auto"/>
                <w:highlight w:val="none"/>
              </w:rPr>
            </w:pPr>
            <w:r>
              <w:rPr>
                <w:rFonts w:hint="eastAsia"/>
                <w:color w:val="auto"/>
                <w:highlight w:val="none"/>
              </w:rPr>
              <w:t>评分内容和标准</w:t>
            </w:r>
          </w:p>
        </w:tc>
        <w:tc>
          <w:tcPr>
            <w:tcW w:w="709" w:type="dxa"/>
            <w:vAlign w:val="center"/>
          </w:tcPr>
          <w:p>
            <w:pPr>
              <w:spacing w:after="0"/>
              <w:jc w:val="center"/>
              <w:rPr>
                <w:color w:val="auto"/>
                <w:highlight w:val="none"/>
              </w:rPr>
            </w:pPr>
            <w:r>
              <w:rPr>
                <w:rFonts w:hint="eastAsia"/>
                <w:color w:val="auto"/>
                <w:highlight w:val="none"/>
              </w:rPr>
              <w:t>分值区间</w:t>
            </w:r>
          </w:p>
        </w:tc>
        <w:tc>
          <w:tcPr>
            <w:tcW w:w="687" w:type="dxa"/>
            <w:vAlign w:val="center"/>
          </w:tcPr>
          <w:p>
            <w:pPr>
              <w:spacing w:after="0"/>
              <w:jc w:val="center"/>
              <w:rPr>
                <w:color w:val="auto"/>
                <w:highlight w:val="none"/>
              </w:rPr>
            </w:pPr>
            <w:r>
              <w:rPr>
                <w:rFonts w:hint="eastAsia"/>
                <w:color w:val="auto"/>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spacing w:after="0"/>
              <w:rPr>
                <w:color w:val="auto"/>
                <w:highlight w:val="none"/>
              </w:rPr>
            </w:pPr>
            <w:r>
              <w:rPr>
                <w:rFonts w:hint="eastAsia"/>
                <w:color w:val="auto"/>
                <w:highlight w:val="none"/>
              </w:rPr>
              <w:t>商务资信分</w:t>
            </w:r>
          </w:p>
        </w:tc>
        <w:tc>
          <w:tcPr>
            <w:tcW w:w="1170" w:type="dxa"/>
            <w:vAlign w:val="center"/>
          </w:tcPr>
          <w:p>
            <w:pPr>
              <w:spacing w:after="0"/>
              <w:jc w:val="center"/>
              <w:rPr>
                <w:rFonts w:hint="eastAsia" w:eastAsia="宋体"/>
                <w:color w:val="auto"/>
                <w:highlight w:val="none"/>
                <w:lang w:val="en-US" w:eastAsia="zh-CN"/>
              </w:rPr>
            </w:pPr>
            <w:r>
              <w:rPr>
                <w:rFonts w:hint="eastAsia"/>
                <w:color w:val="auto"/>
                <w:highlight w:val="none"/>
                <w:lang w:val="en-US" w:eastAsia="zh-CN"/>
              </w:rPr>
              <w:t>1</w:t>
            </w:r>
          </w:p>
        </w:tc>
        <w:tc>
          <w:tcPr>
            <w:tcW w:w="2126" w:type="dxa"/>
            <w:vAlign w:val="center"/>
          </w:tcPr>
          <w:p>
            <w:pPr>
              <w:spacing w:after="0"/>
              <w:rPr>
                <w:color w:val="auto"/>
                <w:highlight w:val="none"/>
              </w:rPr>
            </w:pPr>
            <w:r>
              <w:rPr>
                <w:rFonts w:hint="eastAsia"/>
                <w:color w:val="auto"/>
                <w:highlight w:val="none"/>
              </w:rPr>
              <w:t>业绩</w:t>
            </w:r>
          </w:p>
        </w:tc>
        <w:tc>
          <w:tcPr>
            <w:tcW w:w="4394" w:type="dxa"/>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车辆生产厂家自2017年1月1日起（以合同签订日期为准）具备血浆运输车销售业绩的，每个得1分。</w:t>
            </w:r>
          </w:p>
          <w:p>
            <w:pPr>
              <w:spacing w:after="0"/>
              <w:rPr>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中提供合同复印件加盖投标人公章，未提供不得分）</w:t>
            </w:r>
          </w:p>
        </w:tc>
        <w:tc>
          <w:tcPr>
            <w:tcW w:w="709" w:type="dxa"/>
            <w:vAlign w:val="center"/>
          </w:tcPr>
          <w:p>
            <w:pPr>
              <w:spacing w:after="0"/>
              <w:rPr>
                <w:color w:val="auto"/>
                <w:highlight w:val="none"/>
              </w:rPr>
            </w:pPr>
            <w:r>
              <w:rPr>
                <w:rFonts w:hint="eastAsia"/>
                <w:color w:val="auto"/>
                <w:highlight w:val="none"/>
              </w:rPr>
              <w:t>0-3</w:t>
            </w:r>
          </w:p>
        </w:tc>
        <w:tc>
          <w:tcPr>
            <w:tcW w:w="687" w:type="dxa"/>
            <w:vAlign w:val="center"/>
          </w:tcPr>
          <w:p>
            <w:pPr>
              <w:spacing w:after="0"/>
              <w:rPr>
                <w:color w:val="auto"/>
                <w:highlight w:val="none"/>
              </w:rPr>
            </w:pPr>
            <w:r>
              <w:rPr>
                <w:rFonts w:hint="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74"/>
              <w:spacing w:after="0"/>
              <w:ind w:left="420"/>
              <w:rPr>
                <w:color w:val="auto"/>
                <w:highlight w:val="none"/>
              </w:rPr>
            </w:pPr>
          </w:p>
        </w:tc>
        <w:tc>
          <w:tcPr>
            <w:tcW w:w="1170" w:type="dxa"/>
            <w:vAlign w:val="center"/>
          </w:tcPr>
          <w:p>
            <w:pPr>
              <w:spacing w:after="0"/>
              <w:jc w:val="center"/>
              <w:rPr>
                <w:rFonts w:hint="default" w:eastAsia="宋体"/>
                <w:color w:val="auto"/>
                <w:highlight w:val="none"/>
                <w:lang w:val="en-US" w:eastAsia="zh-CN"/>
              </w:rPr>
            </w:pPr>
            <w:r>
              <w:rPr>
                <w:rFonts w:hint="eastAsia"/>
                <w:color w:val="auto"/>
                <w:highlight w:val="none"/>
                <w:lang w:val="en-US" w:eastAsia="zh-CN"/>
              </w:rPr>
              <w:t>2</w:t>
            </w:r>
          </w:p>
        </w:tc>
        <w:tc>
          <w:tcPr>
            <w:tcW w:w="2126" w:type="dxa"/>
            <w:vAlign w:val="center"/>
          </w:tcPr>
          <w:p>
            <w:pPr>
              <w:spacing w:after="0"/>
              <w:rPr>
                <w:color w:val="auto"/>
                <w:highlight w:val="none"/>
              </w:rPr>
            </w:pPr>
            <w:r>
              <w:rPr>
                <w:rFonts w:hint="eastAsia"/>
                <w:color w:val="auto"/>
                <w:highlight w:val="none"/>
              </w:rPr>
              <w:t>投标货物厂家实力</w:t>
            </w:r>
          </w:p>
          <w:p>
            <w:pPr>
              <w:spacing w:after="0"/>
              <w:rPr>
                <w:color w:val="auto"/>
                <w:highlight w:val="none"/>
              </w:rPr>
            </w:pPr>
          </w:p>
        </w:tc>
        <w:tc>
          <w:tcPr>
            <w:tcW w:w="4394" w:type="dxa"/>
            <w:vAlign w:val="center"/>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车辆生产厂家实力：</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①具备ISO 9001质量管理体系认证得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②具备工业和信息化部颁发的工业企业质量标杆证明的得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③具备ISO 3834-2焊接质量体系认证的得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中提供对应证书或材料复印件加盖车辆生产厂家公章，未提供不得分）</w:t>
            </w:r>
          </w:p>
        </w:tc>
        <w:tc>
          <w:tcPr>
            <w:tcW w:w="709" w:type="dxa"/>
            <w:vAlign w:val="center"/>
          </w:tcPr>
          <w:p>
            <w:pPr>
              <w:spacing w:line="360" w:lineRule="auto"/>
              <w:rPr>
                <w:rFonts w:hint="eastAsia" w:eastAsia="宋体"/>
                <w:color w:val="auto"/>
                <w:highlight w:val="none"/>
                <w:lang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p>
        </w:tc>
        <w:tc>
          <w:tcPr>
            <w:tcW w:w="687" w:type="dxa"/>
            <w:vAlign w:val="center"/>
          </w:tcPr>
          <w:p>
            <w:pPr>
              <w:spacing w:after="0"/>
              <w:rPr>
                <w:color w:val="auto"/>
                <w:highlight w:val="none"/>
              </w:rPr>
            </w:pPr>
            <w:r>
              <w:rPr>
                <w:rFonts w:hint="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74"/>
              <w:spacing w:after="0"/>
              <w:ind w:left="420"/>
              <w:rPr>
                <w:color w:val="auto"/>
                <w:highlight w:val="none"/>
              </w:rPr>
            </w:pPr>
          </w:p>
        </w:tc>
        <w:tc>
          <w:tcPr>
            <w:tcW w:w="1170" w:type="dxa"/>
            <w:vAlign w:val="center"/>
          </w:tcPr>
          <w:p>
            <w:pPr>
              <w:spacing w:after="0"/>
              <w:jc w:val="center"/>
              <w:rPr>
                <w:rFonts w:hint="eastAsia" w:eastAsia="宋体"/>
                <w:color w:val="auto"/>
                <w:highlight w:val="none"/>
                <w:lang w:val="en-US" w:eastAsia="zh-CN"/>
              </w:rPr>
            </w:pPr>
            <w:r>
              <w:rPr>
                <w:rFonts w:hint="eastAsia"/>
                <w:color w:val="auto"/>
                <w:highlight w:val="none"/>
                <w:lang w:val="en-US" w:eastAsia="zh-CN"/>
              </w:rPr>
              <w:t>3</w:t>
            </w:r>
          </w:p>
        </w:tc>
        <w:tc>
          <w:tcPr>
            <w:tcW w:w="2126" w:type="dxa"/>
            <w:vAlign w:val="center"/>
          </w:tcPr>
          <w:p>
            <w:pPr>
              <w:spacing w:after="0"/>
              <w:rPr>
                <w:rFonts w:hint="default" w:eastAsia="宋体"/>
                <w:color w:val="auto"/>
                <w:highlight w:val="none"/>
                <w:lang w:val="en-US" w:eastAsia="zh-CN"/>
              </w:rPr>
            </w:pPr>
            <w:r>
              <w:rPr>
                <w:rFonts w:hint="eastAsia"/>
                <w:color w:val="auto"/>
                <w:highlight w:val="none"/>
                <w:lang w:val="en-US" w:eastAsia="zh-CN"/>
              </w:rPr>
              <w:t>汽车公告</w:t>
            </w:r>
          </w:p>
        </w:tc>
        <w:tc>
          <w:tcPr>
            <w:tcW w:w="4394" w:type="dxa"/>
            <w:vAlign w:val="center"/>
          </w:tcPr>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能</w:t>
            </w:r>
            <w:r>
              <w:rPr>
                <w:rFonts w:hint="eastAsia" w:ascii="宋体" w:hAnsi="宋体" w:eastAsia="宋体" w:cs="宋体"/>
                <w:color w:val="auto"/>
                <w:sz w:val="21"/>
                <w:szCs w:val="21"/>
                <w:highlight w:val="none"/>
              </w:rPr>
              <w:t>提供所投型号“血浆运输车”专用汽车公告</w:t>
            </w:r>
            <w:r>
              <w:rPr>
                <w:rFonts w:hint="eastAsia" w:ascii="宋体" w:hAnsi="宋体" w:cs="宋体"/>
                <w:color w:val="auto"/>
                <w:sz w:val="21"/>
                <w:szCs w:val="21"/>
                <w:highlight w:val="none"/>
                <w:lang w:val="en-US" w:eastAsia="zh-CN"/>
              </w:rPr>
              <w:t>的，得3分，（提供相关证明材料或汽车公告网页截图等）</w:t>
            </w:r>
          </w:p>
        </w:tc>
        <w:tc>
          <w:tcPr>
            <w:tcW w:w="709" w:type="dxa"/>
            <w:vAlign w:val="center"/>
          </w:tcPr>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w:t>
            </w:r>
          </w:p>
        </w:tc>
        <w:tc>
          <w:tcPr>
            <w:tcW w:w="687" w:type="dxa"/>
            <w:vAlign w:val="center"/>
          </w:tcPr>
          <w:p>
            <w:pPr>
              <w:spacing w:after="0"/>
              <w:rPr>
                <w:rFonts w:hint="eastAsia"/>
                <w:color w:val="auto"/>
                <w:highlight w:val="none"/>
              </w:rPr>
            </w:pPr>
            <w:r>
              <w:rPr>
                <w:rFonts w:hint="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74"/>
              <w:spacing w:after="0"/>
              <w:ind w:left="420"/>
              <w:rPr>
                <w:color w:val="auto"/>
                <w:highlight w:val="none"/>
              </w:rPr>
            </w:pPr>
          </w:p>
        </w:tc>
        <w:tc>
          <w:tcPr>
            <w:tcW w:w="1170" w:type="dxa"/>
            <w:vAlign w:val="center"/>
          </w:tcPr>
          <w:p>
            <w:pPr>
              <w:spacing w:after="0"/>
              <w:jc w:val="center"/>
              <w:rPr>
                <w:rFonts w:hint="eastAsia" w:eastAsia="宋体"/>
                <w:color w:val="auto"/>
                <w:highlight w:val="none"/>
                <w:lang w:val="en-US" w:eastAsia="zh-CN"/>
              </w:rPr>
            </w:pPr>
            <w:r>
              <w:rPr>
                <w:rFonts w:hint="eastAsia"/>
                <w:color w:val="auto"/>
                <w:highlight w:val="none"/>
                <w:lang w:val="en-US" w:eastAsia="zh-CN"/>
              </w:rPr>
              <w:t>4</w:t>
            </w:r>
          </w:p>
        </w:tc>
        <w:tc>
          <w:tcPr>
            <w:tcW w:w="2126" w:type="dxa"/>
            <w:vAlign w:val="center"/>
          </w:tcPr>
          <w:p>
            <w:pPr>
              <w:spacing w:after="0"/>
              <w:rPr>
                <w:color w:val="auto"/>
                <w:highlight w:val="none"/>
              </w:rPr>
            </w:pPr>
            <w:r>
              <w:rPr>
                <w:rFonts w:hint="eastAsia"/>
                <w:color w:val="auto"/>
                <w:highlight w:val="none"/>
              </w:rPr>
              <w:t>售后服务</w:t>
            </w:r>
          </w:p>
        </w:tc>
        <w:tc>
          <w:tcPr>
            <w:tcW w:w="4394" w:type="dxa"/>
            <w:vAlign w:val="center"/>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①在上一年度中国汽车售后服务满意度调查（CAACS，简称卡思调查）中，得分第一名的得3分，第二名的得2分，第三名及以后的得1分。</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中提供证明资料复印件加盖投标人公章）。</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②车辆生产厂家符合CTEAS1001-2017《CTEAS售后服务体系完善程度认证评价规范》的，达到七星级标准得2分，五星级标准-六星级标准的得1分。其它不得分。</w:t>
            </w:r>
          </w:p>
          <w:p>
            <w:pPr>
              <w:spacing w:line="360" w:lineRule="auto"/>
              <w:rPr>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中提供证明资料复印件并加盖生产厂家公章。）</w:t>
            </w:r>
          </w:p>
        </w:tc>
        <w:tc>
          <w:tcPr>
            <w:tcW w:w="709" w:type="dxa"/>
            <w:vAlign w:val="center"/>
          </w:tcPr>
          <w:p>
            <w:pPr>
              <w:spacing w:line="360" w:lineRule="auto"/>
              <w:rPr>
                <w:color w:val="auto"/>
                <w:highlight w:val="none"/>
              </w:rPr>
            </w:pPr>
            <w:r>
              <w:rPr>
                <w:rFonts w:hint="eastAsia" w:ascii="宋体" w:hAnsi="宋体" w:eastAsia="宋体" w:cs="宋体"/>
                <w:color w:val="auto"/>
                <w:sz w:val="21"/>
                <w:szCs w:val="21"/>
                <w:highlight w:val="none"/>
              </w:rPr>
              <w:t>0-5</w:t>
            </w:r>
          </w:p>
        </w:tc>
        <w:tc>
          <w:tcPr>
            <w:tcW w:w="687" w:type="dxa"/>
            <w:vAlign w:val="center"/>
          </w:tcPr>
          <w:p>
            <w:pPr>
              <w:spacing w:line="360" w:lineRule="auto"/>
              <w:rPr>
                <w:color w:val="auto"/>
                <w:highlight w:val="none"/>
              </w:rPr>
            </w:pPr>
            <w:r>
              <w:rPr>
                <w:rFonts w:hint="eastAsia" w:ascii="宋体" w:hAnsi="宋体" w:eastAsia="宋体" w:cs="宋体"/>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spacing w:after="0"/>
              <w:rPr>
                <w:color w:val="auto"/>
                <w:highlight w:val="none"/>
              </w:rPr>
            </w:pPr>
            <w:r>
              <w:rPr>
                <w:rFonts w:hint="eastAsia"/>
                <w:color w:val="auto"/>
                <w:highlight w:val="none"/>
              </w:rPr>
              <w:t>技术服务分</w:t>
            </w:r>
          </w:p>
        </w:tc>
        <w:tc>
          <w:tcPr>
            <w:tcW w:w="1170" w:type="dxa"/>
            <w:vAlign w:val="center"/>
          </w:tcPr>
          <w:p>
            <w:pPr>
              <w:pStyle w:val="74"/>
              <w:numPr>
                <w:ilvl w:val="0"/>
                <w:numId w:val="0"/>
              </w:numPr>
              <w:spacing w:after="0"/>
              <w:ind w:leftChars="200"/>
              <w:jc w:val="both"/>
              <w:rPr>
                <w:rFonts w:hint="eastAsia" w:eastAsia="楷体_GB2312"/>
                <w:color w:val="auto"/>
                <w:highlight w:val="none"/>
                <w:lang w:eastAsia="zh-CN"/>
              </w:rPr>
            </w:pPr>
            <w:r>
              <w:rPr>
                <w:rFonts w:hint="eastAsia"/>
                <w:color w:val="auto"/>
                <w:highlight w:val="none"/>
                <w:lang w:val="en-US" w:eastAsia="zh-CN"/>
              </w:rPr>
              <w:t>5</w:t>
            </w:r>
          </w:p>
        </w:tc>
        <w:tc>
          <w:tcPr>
            <w:tcW w:w="2126" w:type="dxa"/>
            <w:vAlign w:val="center"/>
          </w:tcPr>
          <w:p>
            <w:pPr>
              <w:spacing w:after="0"/>
              <w:rPr>
                <w:color w:val="auto"/>
                <w:highlight w:val="none"/>
              </w:rPr>
            </w:pPr>
            <w:r>
              <w:rPr>
                <w:rFonts w:hint="eastAsia"/>
                <w:color w:val="auto"/>
                <w:highlight w:val="none"/>
              </w:rPr>
              <w:t>技术需求响应情况</w:t>
            </w:r>
          </w:p>
        </w:tc>
        <w:tc>
          <w:tcPr>
            <w:tcW w:w="4394" w:type="dxa"/>
          </w:tcPr>
          <w:p>
            <w:pPr>
              <w:spacing w:after="0"/>
              <w:rPr>
                <w:color w:val="auto"/>
                <w:highlight w:val="none"/>
              </w:rPr>
            </w:pPr>
            <w:r>
              <w:rPr>
                <w:rFonts w:hint="eastAsia" w:ascii="宋体" w:hAnsi="宋体" w:eastAsia="宋体" w:cs="宋体"/>
                <w:color w:val="auto"/>
                <w:sz w:val="21"/>
                <w:szCs w:val="21"/>
                <w:highlight w:val="none"/>
              </w:rPr>
              <w:t>技术需求响应情况：带●指标负偏离的，每项扣3分，其他指标负偏离的，每项扣1.5分。扣完为止。</w:t>
            </w:r>
          </w:p>
        </w:tc>
        <w:tc>
          <w:tcPr>
            <w:tcW w:w="709"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0-35</w:t>
            </w:r>
          </w:p>
        </w:tc>
        <w:tc>
          <w:tcPr>
            <w:tcW w:w="687"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9" w:type="dxa"/>
            <w:vMerge w:val="continue"/>
          </w:tcPr>
          <w:p>
            <w:pPr>
              <w:pStyle w:val="74"/>
              <w:spacing w:after="0"/>
              <w:ind w:left="420"/>
              <w:rPr>
                <w:color w:val="auto"/>
                <w:highlight w:val="none"/>
              </w:rPr>
            </w:pPr>
          </w:p>
        </w:tc>
        <w:tc>
          <w:tcPr>
            <w:tcW w:w="1170" w:type="dxa"/>
            <w:vAlign w:val="center"/>
          </w:tcPr>
          <w:p>
            <w:pPr>
              <w:pStyle w:val="74"/>
              <w:numPr>
                <w:ilvl w:val="0"/>
                <w:numId w:val="0"/>
              </w:numPr>
              <w:spacing w:after="0"/>
              <w:ind w:leftChars="200"/>
              <w:jc w:val="center"/>
              <w:rPr>
                <w:rFonts w:hint="eastAsia" w:eastAsia="楷体_GB2312"/>
                <w:color w:val="auto"/>
                <w:highlight w:val="none"/>
                <w:lang w:eastAsia="zh-CN"/>
              </w:rPr>
            </w:pPr>
            <w:r>
              <w:rPr>
                <w:rFonts w:hint="eastAsia"/>
                <w:color w:val="auto"/>
                <w:highlight w:val="none"/>
                <w:lang w:val="en-US" w:eastAsia="zh-CN"/>
              </w:rPr>
              <w:t>6</w:t>
            </w:r>
          </w:p>
        </w:tc>
        <w:tc>
          <w:tcPr>
            <w:tcW w:w="2126" w:type="dxa"/>
            <w:vAlign w:val="center"/>
          </w:tcPr>
          <w:p>
            <w:pPr>
              <w:spacing w:after="0"/>
              <w:rPr>
                <w:color w:val="auto"/>
                <w:highlight w:val="none"/>
              </w:rPr>
            </w:pPr>
            <w:r>
              <w:rPr>
                <w:rFonts w:hint="eastAsia"/>
                <w:color w:val="auto"/>
                <w:highlight w:val="none"/>
              </w:rPr>
              <w:t>项目负责人及技术力量安排等</w:t>
            </w:r>
          </w:p>
          <w:p>
            <w:pPr>
              <w:spacing w:after="0"/>
              <w:rPr>
                <w:color w:val="auto"/>
                <w:highlight w:val="none"/>
              </w:rPr>
            </w:pPr>
          </w:p>
        </w:tc>
        <w:tc>
          <w:tcPr>
            <w:tcW w:w="4394" w:type="dxa"/>
          </w:tcPr>
          <w:p>
            <w:pPr>
              <w:spacing w:after="0"/>
              <w:rPr>
                <w:rFonts w:ascii="宋体" w:hAnsi="宋体" w:eastAsia="宋体" w:cs="宋体"/>
                <w:color w:val="auto"/>
                <w:sz w:val="21"/>
                <w:szCs w:val="21"/>
                <w:highlight w:val="none"/>
              </w:rPr>
            </w:pPr>
          </w:p>
          <w:p>
            <w:pPr>
              <w:spacing w:after="0"/>
              <w:rPr>
                <w:rFonts w:hint="default" w:eastAsia="宋体"/>
                <w:color w:val="auto"/>
                <w:highlight w:val="none"/>
                <w:lang w:val="en-US" w:eastAsia="zh-CN"/>
              </w:rPr>
            </w:pPr>
            <w:r>
              <w:rPr>
                <w:rFonts w:hint="eastAsia" w:ascii="宋体" w:hAnsi="宋体" w:eastAsia="宋体" w:cs="宋体"/>
                <w:color w:val="auto"/>
                <w:sz w:val="21"/>
                <w:szCs w:val="21"/>
                <w:highlight w:val="none"/>
              </w:rPr>
              <w:t>项目负责人及技术力量安排等（综合评定）。</w:t>
            </w:r>
            <w:r>
              <w:rPr>
                <w:rFonts w:hint="eastAsia" w:ascii="宋体" w:hAnsi="宋体" w:eastAsia="宋体" w:cs="宋体"/>
                <w:color w:val="auto"/>
                <w:sz w:val="21"/>
                <w:szCs w:val="21"/>
                <w:highlight w:val="none"/>
                <w:lang w:val="en-US" w:eastAsia="zh-CN"/>
              </w:rPr>
              <w:t>人员技术力量安排合理可行的得4-5分，人员技术力量安排</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val="en-US" w:eastAsia="zh-CN"/>
              </w:rPr>
              <w:t>合理可行的得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分，人员技术力量安排</w:t>
            </w:r>
            <w:r>
              <w:rPr>
                <w:rFonts w:hint="eastAsia" w:ascii="宋体" w:hAnsi="宋体" w:cs="宋体"/>
                <w:color w:val="auto"/>
                <w:sz w:val="21"/>
                <w:szCs w:val="21"/>
                <w:highlight w:val="none"/>
                <w:lang w:val="en-US" w:eastAsia="zh-CN"/>
              </w:rPr>
              <w:t>差的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709" w:type="dxa"/>
            <w:vAlign w:val="center"/>
          </w:tcPr>
          <w:p>
            <w:pPr>
              <w:spacing w:line="360" w:lineRule="auto"/>
              <w:jc w:val="center"/>
              <w:rPr>
                <w:color w:val="auto"/>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tc>
        <w:tc>
          <w:tcPr>
            <w:tcW w:w="687"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74"/>
              <w:spacing w:after="0"/>
              <w:ind w:left="420"/>
              <w:rPr>
                <w:color w:val="auto"/>
                <w:highlight w:val="none"/>
              </w:rPr>
            </w:pPr>
          </w:p>
        </w:tc>
        <w:tc>
          <w:tcPr>
            <w:tcW w:w="1170" w:type="dxa"/>
            <w:vAlign w:val="center"/>
          </w:tcPr>
          <w:p>
            <w:pPr>
              <w:pStyle w:val="74"/>
              <w:numPr>
                <w:ilvl w:val="0"/>
                <w:numId w:val="0"/>
              </w:numPr>
              <w:spacing w:after="0"/>
              <w:ind w:leftChars="200"/>
              <w:jc w:val="center"/>
              <w:rPr>
                <w:rFonts w:hint="eastAsia" w:eastAsia="楷体_GB2312"/>
                <w:color w:val="auto"/>
                <w:highlight w:val="none"/>
                <w:lang w:eastAsia="zh-CN"/>
              </w:rPr>
            </w:pPr>
            <w:r>
              <w:rPr>
                <w:rFonts w:hint="eastAsia"/>
                <w:color w:val="auto"/>
                <w:highlight w:val="none"/>
                <w:lang w:val="en-US" w:eastAsia="zh-CN"/>
              </w:rPr>
              <w:t>7</w:t>
            </w:r>
          </w:p>
        </w:tc>
        <w:tc>
          <w:tcPr>
            <w:tcW w:w="2126" w:type="dxa"/>
            <w:vAlign w:val="center"/>
          </w:tcPr>
          <w:p>
            <w:pPr>
              <w:spacing w:after="0"/>
              <w:rPr>
                <w:color w:val="auto"/>
                <w:highlight w:val="none"/>
              </w:rPr>
            </w:pPr>
            <w:r>
              <w:rPr>
                <w:rFonts w:hint="eastAsia" w:ascii="宋体" w:hAnsi="宋体" w:eastAsia="宋体" w:cs="宋体"/>
                <w:color w:val="auto"/>
                <w:sz w:val="21"/>
                <w:szCs w:val="21"/>
                <w:highlight w:val="none"/>
              </w:rPr>
              <w:t>车辆设计方案</w:t>
            </w:r>
          </w:p>
        </w:tc>
        <w:tc>
          <w:tcPr>
            <w:tcW w:w="4394" w:type="dxa"/>
          </w:tcPr>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车辆设计方案的合理性、全面性等。（综合评定）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设计方案可行、合理的得4分，设计方案基本可行的得1-3分，其余的不得分。</w:t>
            </w:r>
          </w:p>
          <w:p>
            <w:pPr>
              <w:spacing w:after="0"/>
              <w:rPr>
                <w:rFonts w:hint="default" w:eastAsia="宋体"/>
                <w:color w:val="auto"/>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中须提供车辆内部布局图和外观设计图，未提供不得分）</w:t>
            </w:r>
          </w:p>
        </w:tc>
        <w:tc>
          <w:tcPr>
            <w:tcW w:w="709"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0-4</w:t>
            </w:r>
          </w:p>
        </w:tc>
        <w:tc>
          <w:tcPr>
            <w:tcW w:w="687"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74"/>
              <w:spacing w:after="0"/>
              <w:ind w:left="420"/>
              <w:rPr>
                <w:color w:val="auto"/>
                <w:highlight w:val="none"/>
              </w:rPr>
            </w:pPr>
          </w:p>
        </w:tc>
        <w:tc>
          <w:tcPr>
            <w:tcW w:w="1170" w:type="dxa"/>
            <w:vAlign w:val="center"/>
          </w:tcPr>
          <w:p>
            <w:pPr>
              <w:pStyle w:val="74"/>
              <w:numPr>
                <w:ilvl w:val="0"/>
                <w:numId w:val="0"/>
              </w:numPr>
              <w:spacing w:after="0"/>
              <w:ind w:leftChars="200"/>
              <w:jc w:val="center"/>
              <w:rPr>
                <w:rFonts w:hint="eastAsia" w:eastAsia="楷体_GB2312"/>
                <w:color w:val="auto"/>
                <w:highlight w:val="none"/>
                <w:lang w:eastAsia="zh-CN"/>
              </w:rPr>
            </w:pPr>
            <w:r>
              <w:rPr>
                <w:rFonts w:hint="eastAsia"/>
                <w:color w:val="auto"/>
                <w:highlight w:val="none"/>
                <w:lang w:val="en-US" w:eastAsia="zh-CN"/>
              </w:rPr>
              <w:t>8</w:t>
            </w:r>
          </w:p>
        </w:tc>
        <w:tc>
          <w:tcPr>
            <w:tcW w:w="2126" w:type="dxa"/>
            <w:vAlign w:val="center"/>
          </w:tcPr>
          <w:p>
            <w:pPr>
              <w:spacing w:after="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培训方案及承诺</w:t>
            </w:r>
          </w:p>
        </w:tc>
        <w:tc>
          <w:tcPr>
            <w:tcW w:w="4394" w:type="dxa"/>
            <w:vAlign w:val="center"/>
          </w:tcPr>
          <w:p>
            <w:pPr>
              <w:spacing w:after="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培训方案及承诺（综合评定）</w:t>
            </w:r>
            <w:r>
              <w:rPr>
                <w:rFonts w:hint="eastAsia" w:ascii="宋体" w:hAnsi="宋体" w:eastAsia="宋体" w:cs="宋体"/>
                <w:color w:val="auto"/>
                <w:sz w:val="21"/>
                <w:szCs w:val="21"/>
                <w:highlight w:val="none"/>
                <w:lang w:val="en-US" w:eastAsia="zh-CN"/>
              </w:rPr>
              <w:t>满足要求的得3分，基本满足要求的得2分，不满足要求的不得分</w:t>
            </w:r>
            <w:r>
              <w:rPr>
                <w:rFonts w:hint="eastAsia" w:ascii="宋体" w:hAnsi="宋体" w:eastAsia="宋体" w:cs="宋体"/>
                <w:color w:val="auto"/>
                <w:sz w:val="21"/>
                <w:szCs w:val="21"/>
                <w:highlight w:val="none"/>
              </w:rPr>
              <w:t>。</w:t>
            </w:r>
          </w:p>
        </w:tc>
        <w:tc>
          <w:tcPr>
            <w:tcW w:w="709"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0-3</w:t>
            </w:r>
          </w:p>
        </w:tc>
        <w:tc>
          <w:tcPr>
            <w:tcW w:w="687"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74"/>
              <w:spacing w:after="0"/>
              <w:ind w:left="420"/>
              <w:rPr>
                <w:color w:val="auto"/>
                <w:highlight w:val="none"/>
              </w:rPr>
            </w:pPr>
          </w:p>
        </w:tc>
        <w:tc>
          <w:tcPr>
            <w:tcW w:w="1170" w:type="dxa"/>
            <w:vAlign w:val="center"/>
          </w:tcPr>
          <w:p>
            <w:pPr>
              <w:pStyle w:val="74"/>
              <w:numPr>
                <w:ilvl w:val="0"/>
                <w:numId w:val="0"/>
              </w:numPr>
              <w:spacing w:after="0"/>
              <w:ind w:leftChars="200"/>
              <w:jc w:val="center"/>
              <w:rPr>
                <w:rFonts w:hint="eastAsia" w:eastAsia="楷体_GB2312"/>
                <w:color w:val="auto"/>
                <w:highlight w:val="none"/>
                <w:lang w:eastAsia="zh-CN"/>
              </w:rPr>
            </w:pPr>
            <w:r>
              <w:rPr>
                <w:rFonts w:hint="eastAsia"/>
                <w:color w:val="auto"/>
                <w:highlight w:val="none"/>
                <w:lang w:val="en-US" w:eastAsia="zh-CN"/>
              </w:rPr>
              <w:t>9</w:t>
            </w:r>
          </w:p>
        </w:tc>
        <w:tc>
          <w:tcPr>
            <w:tcW w:w="2126" w:type="dxa"/>
            <w:vAlign w:val="center"/>
          </w:tcPr>
          <w:p>
            <w:pPr>
              <w:spacing w:after="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售后服务方案及响应</w:t>
            </w:r>
          </w:p>
        </w:tc>
        <w:tc>
          <w:tcPr>
            <w:tcW w:w="4394" w:type="dxa"/>
            <w:vAlign w:val="center"/>
          </w:tcPr>
          <w:p>
            <w:pPr>
              <w:spacing w:after="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售后服务方案及响应（综合评定）。</w:t>
            </w:r>
            <w:r>
              <w:rPr>
                <w:rFonts w:hint="eastAsia" w:ascii="宋体" w:hAnsi="宋体" w:eastAsia="宋体" w:cs="宋体"/>
                <w:color w:val="auto"/>
                <w:sz w:val="21"/>
                <w:szCs w:val="21"/>
                <w:highlight w:val="none"/>
                <w:lang w:val="en-US" w:eastAsia="zh-CN"/>
              </w:rPr>
              <w:t>满足要求的得3分，基本满足要求的得2分，不满足要求的不得分</w:t>
            </w:r>
            <w:r>
              <w:rPr>
                <w:rFonts w:hint="eastAsia" w:ascii="宋体" w:hAnsi="宋体" w:eastAsia="宋体" w:cs="宋体"/>
                <w:color w:val="auto"/>
                <w:sz w:val="21"/>
                <w:szCs w:val="21"/>
                <w:highlight w:val="none"/>
              </w:rPr>
              <w:t>。</w:t>
            </w:r>
          </w:p>
        </w:tc>
        <w:tc>
          <w:tcPr>
            <w:tcW w:w="709"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0-3</w:t>
            </w:r>
          </w:p>
        </w:tc>
        <w:tc>
          <w:tcPr>
            <w:tcW w:w="687" w:type="dxa"/>
            <w:vAlign w:val="center"/>
          </w:tcPr>
          <w:p>
            <w:pPr>
              <w:spacing w:line="360" w:lineRule="auto"/>
              <w:jc w:val="center"/>
              <w:rPr>
                <w:color w:val="auto"/>
                <w:highlight w:val="none"/>
              </w:rPr>
            </w:pPr>
            <w:r>
              <w:rPr>
                <w:rFonts w:hint="eastAsia" w:ascii="宋体" w:hAnsi="宋体" w:eastAsia="宋体" w:cs="宋体"/>
                <w:color w:val="auto"/>
                <w:sz w:val="21"/>
                <w:szCs w:val="21"/>
                <w:highlight w:val="none"/>
              </w:rPr>
              <w:t>主观分</w:t>
            </w:r>
          </w:p>
        </w:tc>
      </w:tr>
    </w:tbl>
    <w:p>
      <w:pPr>
        <w:widowControl/>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8"/>
          <w:sz w:val="21"/>
          <w:szCs w:val="21"/>
          <w:highlight w:val="none"/>
          <w:lang w:val="en-US" w:eastAsia="zh-CN" w:bidi="ar-SA"/>
        </w:rPr>
      </w:pPr>
    </w:p>
    <w:p>
      <w:pPr>
        <w:widowControl/>
        <w:snapToGrid w:val="0"/>
        <w:spacing w:before="0" w:beforeAutospacing="0" w:after="0" w:afterAutospacing="0" w:line="360" w:lineRule="auto"/>
        <w:jc w:val="both"/>
        <w:textAlignment w:val="baseline"/>
        <w:rPr>
          <w:rFonts w:hint="eastAsia" w:ascii="宋体" w:hAnsi="宋体" w:eastAsia="宋体" w:cs="宋体"/>
          <w:b w:val="0"/>
          <w:bCs w:val="0"/>
          <w:i w:val="0"/>
          <w:caps w:val="0"/>
          <w:color w:val="auto"/>
          <w:spacing w:val="0"/>
          <w:w w:val="100"/>
          <w:sz w:val="21"/>
          <w:szCs w:val="21"/>
          <w:highlight w:val="none"/>
          <w:lang w:val="en-US" w:eastAsia="zh-CN"/>
        </w:rPr>
      </w:pPr>
      <w:r>
        <w:rPr>
          <w:rFonts w:hint="eastAsia" w:ascii="宋体" w:hAnsi="宋体" w:eastAsia="宋体" w:cs="宋体"/>
          <w:b/>
          <w:i w:val="0"/>
          <w:caps w:val="0"/>
          <w:color w:val="auto"/>
          <w:spacing w:val="0"/>
          <w:w w:val="100"/>
          <w:sz w:val="21"/>
          <w:szCs w:val="21"/>
          <w:highlight w:val="none"/>
        </w:rPr>
        <w:t>备注：</w:t>
      </w:r>
      <w:r>
        <w:rPr>
          <w:rFonts w:hint="eastAsia" w:ascii="宋体" w:hAnsi="宋体" w:eastAsia="宋体" w:cs="宋体"/>
          <w:b w:val="0"/>
          <w:bCs w:val="0"/>
          <w:i w:val="0"/>
          <w:caps w:val="0"/>
          <w:color w:val="auto"/>
          <w:spacing w:val="0"/>
          <w:w w:val="100"/>
          <w:sz w:val="21"/>
          <w:szCs w:val="21"/>
          <w:highlight w:val="none"/>
          <w:lang w:val="en-US" w:eastAsia="zh-CN"/>
        </w:rPr>
        <w:t>1、评分条款中涉及的业绩、荣誉、人员、社保等分公司均有效。</w:t>
      </w:r>
    </w:p>
    <w:p>
      <w:pPr>
        <w:widowControl/>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cs="宋体"/>
          <w:b w:val="0"/>
          <w:i w:val="0"/>
          <w:caps w:val="0"/>
          <w:color w:val="auto"/>
          <w:spacing w:val="0"/>
          <w:w w:val="100"/>
          <w:sz w:val="21"/>
          <w:szCs w:val="21"/>
          <w:highlight w:val="none"/>
          <w:lang w:eastAsia="zh-CN"/>
        </w:rPr>
        <w:t>响应文件</w:t>
      </w:r>
      <w:r>
        <w:rPr>
          <w:rFonts w:hint="eastAsia" w:ascii="宋体" w:hAnsi="宋体" w:eastAsia="宋体" w:cs="宋体"/>
          <w:b w:val="0"/>
          <w:i w:val="0"/>
          <w:caps w:val="0"/>
          <w:color w:val="auto"/>
          <w:spacing w:val="0"/>
          <w:w w:val="100"/>
          <w:sz w:val="21"/>
          <w:szCs w:val="21"/>
          <w:highlight w:val="none"/>
        </w:rPr>
        <w:t>中如附有外文资料，必须逐一对应翻译成中文并加盖</w:t>
      </w:r>
      <w:r>
        <w:rPr>
          <w:rFonts w:hint="eastAsia" w:ascii="宋体" w:hAnsi="宋体" w:eastAsia="宋体" w:cs="宋体"/>
          <w:b w:val="0"/>
          <w:i w:val="0"/>
          <w:caps w:val="0"/>
          <w:color w:val="auto"/>
          <w:spacing w:val="0"/>
          <w:w w:val="100"/>
          <w:sz w:val="21"/>
          <w:szCs w:val="21"/>
          <w:highlight w:val="none"/>
          <w:lang w:eastAsia="zh-CN"/>
        </w:rPr>
        <w:t>供应商</w:t>
      </w:r>
      <w:r>
        <w:rPr>
          <w:rFonts w:hint="eastAsia" w:ascii="宋体" w:hAnsi="宋体" w:eastAsia="宋体" w:cs="宋体"/>
          <w:b w:val="0"/>
          <w:i w:val="0"/>
          <w:caps w:val="0"/>
          <w:color w:val="auto"/>
          <w:spacing w:val="0"/>
          <w:w w:val="100"/>
          <w:sz w:val="21"/>
          <w:szCs w:val="21"/>
          <w:highlight w:val="none"/>
        </w:rPr>
        <w:t>公章后附在相关外文资料后面，否则外文资料不予认可。翻译的中文资料与外文资料不符的，均不予认可。翻译严重错误的，将视同提供虚假资料。</w:t>
      </w:r>
    </w:p>
    <w:p>
      <w:pPr>
        <w:widowControl/>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3、</w:t>
      </w:r>
      <w:r>
        <w:rPr>
          <w:rFonts w:hint="eastAsia" w:ascii="宋体" w:hAnsi="宋体" w:eastAsia="宋体" w:cs="宋体"/>
          <w:b w:val="0"/>
          <w:i w:val="0"/>
          <w:caps w:val="0"/>
          <w:color w:val="auto"/>
          <w:spacing w:val="0"/>
          <w:w w:val="100"/>
          <w:sz w:val="21"/>
          <w:szCs w:val="21"/>
          <w:highlight w:val="none"/>
          <w:lang w:eastAsia="zh-CN"/>
        </w:rPr>
        <w:t>供应商</w:t>
      </w:r>
      <w:r>
        <w:rPr>
          <w:rFonts w:hint="eastAsia" w:ascii="宋体" w:hAnsi="宋体" w:eastAsia="宋体" w:cs="宋体"/>
          <w:b w:val="0"/>
          <w:i w:val="0"/>
          <w:caps w:val="0"/>
          <w:color w:val="auto"/>
          <w:spacing w:val="0"/>
          <w:w w:val="100"/>
          <w:sz w:val="21"/>
          <w:szCs w:val="21"/>
          <w:highlight w:val="none"/>
        </w:rPr>
        <w:t>编制</w:t>
      </w:r>
      <w:r>
        <w:rPr>
          <w:rFonts w:hint="eastAsia" w:ascii="宋体" w:hAnsi="宋体" w:cs="宋体"/>
          <w:b w:val="0"/>
          <w:i w:val="0"/>
          <w:caps w:val="0"/>
          <w:color w:val="auto"/>
          <w:spacing w:val="0"/>
          <w:w w:val="100"/>
          <w:sz w:val="21"/>
          <w:szCs w:val="21"/>
          <w:highlight w:val="none"/>
          <w:lang w:eastAsia="zh-CN"/>
        </w:rPr>
        <w:t>响应文件</w:t>
      </w:r>
      <w:r>
        <w:rPr>
          <w:rFonts w:hint="eastAsia" w:ascii="宋体" w:hAnsi="宋体" w:eastAsia="宋体" w:cs="宋体"/>
          <w:b w:val="0"/>
          <w:i w:val="0"/>
          <w:caps w:val="0"/>
          <w:color w:val="auto"/>
          <w:spacing w:val="0"/>
          <w:w w:val="100"/>
          <w:sz w:val="21"/>
          <w:szCs w:val="21"/>
          <w:highlight w:val="none"/>
        </w:rPr>
        <w:t>（商务技术文件部分）时，建议按此目录（序号和内容）提供评标标准相应的商务技术资料。 </w:t>
      </w:r>
    </w:p>
    <w:p>
      <w:pPr>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p>
    <w:p>
      <w:pPr>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价格分（</w:t>
      </w:r>
      <w:r>
        <w:rPr>
          <w:rFonts w:hint="eastAsia" w:ascii="宋体" w:hAnsi="宋体" w:eastAsia="宋体" w:cs="宋体"/>
          <w:b w:val="0"/>
          <w:i w:val="0"/>
          <w:caps w:val="0"/>
          <w:color w:val="auto"/>
          <w:spacing w:val="0"/>
          <w:w w:val="100"/>
          <w:sz w:val="21"/>
          <w:szCs w:val="21"/>
          <w:highlight w:val="none"/>
          <w:lang w:val="en-US" w:eastAsia="zh-CN"/>
        </w:rPr>
        <w:t>30</w:t>
      </w:r>
      <w:r>
        <w:rPr>
          <w:rFonts w:hint="eastAsia" w:ascii="宋体" w:hAnsi="宋体" w:eastAsia="宋体" w:cs="宋体"/>
          <w:b w:val="0"/>
          <w:i w:val="0"/>
          <w:caps w:val="0"/>
          <w:color w:val="auto"/>
          <w:spacing w:val="0"/>
          <w:w w:val="100"/>
          <w:sz w:val="21"/>
          <w:szCs w:val="21"/>
          <w:highlight w:val="none"/>
        </w:rPr>
        <w:t>分）</w:t>
      </w:r>
    </w:p>
    <w:tbl>
      <w:tblPr>
        <w:tblStyle w:val="6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b w:val="0"/>
                <w:bCs w:val="0"/>
                <w:i w:val="0"/>
                <w:caps w:val="0"/>
                <w:color w:val="auto"/>
                <w:spacing w:val="0"/>
                <w:w w:val="100"/>
                <w:kern w:val="28"/>
                <w:sz w:val="21"/>
                <w:szCs w:val="21"/>
                <w:highlight w:val="none"/>
                <w:lang w:val="en-US" w:eastAsia="zh-CN" w:bidi="ar-SA"/>
              </w:rPr>
            </w:pPr>
            <w:r>
              <w:rPr>
                <w:rFonts w:hint="eastAsia" w:ascii="宋体" w:hAnsi="宋体" w:eastAsia="宋体" w:cs="宋体"/>
                <w:b w:val="0"/>
                <w:bCs w:val="0"/>
                <w:i w:val="0"/>
                <w:caps w:val="0"/>
                <w:color w:val="auto"/>
                <w:spacing w:val="0"/>
                <w:w w:val="100"/>
                <w:kern w:val="28"/>
                <w:sz w:val="21"/>
                <w:szCs w:val="21"/>
                <w:highlight w:val="none"/>
                <w:lang w:val="en-US" w:eastAsia="zh-CN" w:bidi="ar-SA"/>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b w:val="0"/>
                <w:bCs w:val="0"/>
                <w:i w:val="0"/>
                <w:caps w:val="0"/>
                <w:color w:val="auto"/>
                <w:spacing w:val="0"/>
                <w:w w:val="100"/>
                <w:kern w:val="28"/>
                <w:sz w:val="21"/>
                <w:szCs w:val="21"/>
                <w:highlight w:val="none"/>
                <w:lang w:val="en-US" w:eastAsia="zh-CN" w:bidi="ar-SA"/>
              </w:rPr>
            </w:pPr>
            <w:r>
              <w:rPr>
                <w:rFonts w:hint="eastAsia" w:ascii="宋体" w:hAnsi="宋体" w:eastAsia="宋体" w:cs="宋体"/>
                <w:b w:val="0"/>
                <w:bCs w:val="0"/>
                <w:i w:val="0"/>
                <w:caps w:val="0"/>
                <w:color w:val="auto"/>
                <w:spacing w:val="0"/>
                <w:w w:val="100"/>
                <w:kern w:val="28"/>
                <w:sz w:val="21"/>
                <w:szCs w:val="21"/>
                <w:highlight w:val="none"/>
                <w:lang w:val="en-US" w:eastAsia="zh-CN" w:bidi="ar-SA"/>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jc w:val="both"/>
              <w:textAlignment w:val="baseline"/>
              <w:rPr>
                <w:rFonts w:hint="eastAsia" w:ascii="宋体" w:hAnsi="宋体" w:eastAsia="宋体" w:cs="宋体"/>
                <w:b w:val="0"/>
                <w:bCs w:val="0"/>
                <w:i w:val="0"/>
                <w:caps w:val="0"/>
                <w:color w:val="auto"/>
                <w:spacing w:val="0"/>
                <w:w w:val="100"/>
                <w:kern w:val="28"/>
                <w:sz w:val="21"/>
                <w:szCs w:val="21"/>
                <w:highlight w:val="none"/>
                <w:lang w:val="en-US" w:eastAsia="zh-CN" w:bidi="ar-SA"/>
              </w:rPr>
            </w:pPr>
            <w:r>
              <w:rPr>
                <w:rFonts w:hint="eastAsia" w:ascii="宋体" w:hAnsi="宋体" w:eastAsia="宋体" w:cs="宋体"/>
                <w:b w:val="0"/>
                <w:bCs w:val="0"/>
                <w:i w:val="0"/>
                <w:caps w:val="0"/>
                <w:color w:val="auto"/>
                <w:spacing w:val="0"/>
                <w:w w:val="100"/>
                <w:kern w:val="28"/>
                <w:sz w:val="21"/>
                <w:szCs w:val="21"/>
                <w:highlight w:val="none"/>
                <w:lang w:val="en-US" w:eastAsia="zh-CN" w:bidi="ar-SA"/>
              </w:rPr>
              <w:t>价格权值=0.30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jc w:val="both"/>
              <w:textAlignment w:val="baseline"/>
              <w:rPr>
                <w:rFonts w:hint="eastAsia" w:ascii="宋体" w:hAnsi="宋体" w:eastAsia="宋体" w:cs="宋体"/>
                <w:b w:val="0"/>
                <w:bCs w:val="0"/>
                <w:i w:val="0"/>
                <w:caps w:val="0"/>
                <w:color w:val="auto"/>
                <w:spacing w:val="0"/>
                <w:w w:val="100"/>
                <w:kern w:val="28"/>
                <w:sz w:val="21"/>
                <w:szCs w:val="21"/>
                <w:highlight w:val="none"/>
                <w:lang w:val="en-US" w:eastAsia="zh-CN" w:bidi="ar-SA"/>
              </w:rPr>
            </w:pPr>
            <w:r>
              <w:rPr>
                <w:rFonts w:hint="eastAsia" w:ascii="宋体" w:hAnsi="宋体" w:eastAsia="宋体" w:cs="宋体"/>
                <w:b w:val="0"/>
                <w:bCs w:val="0"/>
                <w:i w:val="0"/>
                <w:caps w:val="0"/>
                <w:color w:val="auto"/>
                <w:spacing w:val="0"/>
                <w:w w:val="100"/>
                <w:kern w:val="28"/>
                <w:sz w:val="21"/>
                <w:szCs w:val="21"/>
                <w:highlight w:val="none"/>
                <w:lang w:val="en-US" w:eastAsia="zh-CN" w:bidi="ar-SA"/>
              </w:rPr>
              <w:t>最低有效投标价格为评标基准价</w:t>
            </w:r>
          </w:p>
          <w:p>
            <w:pPr>
              <w:widowControl/>
              <w:snapToGrid w:val="0"/>
              <w:spacing w:before="0" w:beforeAutospacing="0" w:after="0" w:afterAutospacing="0" w:line="360" w:lineRule="auto"/>
              <w:jc w:val="both"/>
              <w:textAlignment w:val="baseline"/>
              <w:rPr>
                <w:rFonts w:hint="eastAsia" w:ascii="宋体" w:hAnsi="宋体" w:eastAsia="宋体" w:cs="宋体"/>
                <w:b w:val="0"/>
                <w:bCs w:val="0"/>
                <w:i w:val="0"/>
                <w:caps w:val="0"/>
                <w:color w:val="auto"/>
                <w:spacing w:val="0"/>
                <w:w w:val="100"/>
                <w:kern w:val="28"/>
                <w:sz w:val="21"/>
                <w:szCs w:val="21"/>
                <w:highlight w:val="none"/>
                <w:lang w:val="en-US" w:eastAsia="zh-CN" w:bidi="ar-SA"/>
              </w:rPr>
            </w:pPr>
            <w:r>
              <w:rPr>
                <w:rFonts w:hint="eastAsia" w:ascii="宋体" w:hAnsi="宋体" w:eastAsia="宋体" w:cs="宋体"/>
                <w:b w:val="0"/>
                <w:bCs w:val="0"/>
                <w:i w:val="0"/>
                <w:caps w:val="0"/>
                <w:color w:val="auto"/>
                <w:spacing w:val="0"/>
                <w:w w:val="100"/>
                <w:kern w:val="28"/>
                <w:sz w:val="21"/>
                <w:szCs w:val="21"/>
                <w:highlight w:val="none"/>
                <w:lang w:val="en-US" w:eastAsia="zh-CN" w:bidi="ar-SA"/>
              </w:rPr>
              <w:t xml:space="preserve">投标报价得分=(评标基准价／投标报价)×价格权值×100 </w:t>
            </w:r>
          </w:p>
          <w:p>
            <w:pPr>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b w:val="0"/>
                <w:bCs w:val="0"/>
                <w:i w:val="0"/>
                <w:caps w:val="0"/>
                <w:color w:val="auto"/>
                <w:spacing w:val="0"/>
                <w:w w:val="100"/>
                <w:kern w:val="28"/>
                <w:sz w:val="21"/>
                <w:szCs w:val="21"/>
                <w:highlight w:val="none"/>
                <w:lang w:val="en-US" w:eastAsia="zh-CN" w:bidi="ar-SA"/>
              </w:rPr>
            </w:pPr>
            <w:r>
              <w:rPr>
                <w:rFonts w:hint="eastAsia" w:ascii="宋体" w:hAnsi="宋体" w:eastAsia="宋体" w:cs="宋体"/>
                <w:b w:val="0"/>
                <w:bCs w:val="0"/>
                <w:i w:val="0"/>
                <w:caps w:val="0"/>
                <w:color w:val="auto"/>
                <w:spacing w:val="0"/>
                <w:w w:val="100"/>
                <w:kern w:val="28"/>
                <w:sz w:val="21"/>
                <w:szCs w:val="21"/>
                <w:highlight w:val="none"/>
                <w:lang w:val="en-US" w:eastAsia="zh-CN" w:bidi="ar-SA"/>
              </w:rPr>
              <w:t>（计算得分保留小数点后2位）</w:t>
            </w:r>
          </w:p>
        </w:tc>
      </w:tr>
    </w:tbl>
    <w:p>
      <w:pPr>
        <w:snapToGrid w:val="0"/>
        <w:spacing w:line="360" w:lineRule="auto"/>
        <w:rPr>
          <w:rFonts w:hint="eastAsia" w:ascii="宋体" w:hAnsi="宋体" w:eastAsia="宋体" w:cs="宋体"/>
          <w:b/>
          <w:color w:val="auto"/>
          <w:sz w:val="21"/>
          <w:szCs w:val="21"/>
          <w:highlight w:val="none"/>
        </w:rPr>
      </w:pPr>
    </w:p>
    <w:p>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（商务技术文件部分）时，建议按此目录（序号和内容）提供评标标准相应的商务技术资料。</w:t>
      </w:r>
    </w:p>
    <w:p>
      <w:pPr>
        <w:widowControl/>
        <w:adjustRightInd/>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pPr>
        <w:snapToGrid w:val="0"/>
        <w:spacing w:line="360" w:lineRule="auto"/>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32"/>
          <w:highlight w:val="none"/>
        </w:rPr>
        <w:t>一、</w:t>
      </w:r>
      <w:r>
        <w:rPr>
          <w:rFonts w:hint="eastAsia" w:asciiTheme="minorEastAsia" w:hAnsiTheme="minorEastAsia" w:eastAsiaTheme="minorEastAsia" w:cstheme="minorEastAsia"/>
          <w:b/>
          <w:color w:val="auto"/>
          <w:sz w:val="32"/>
          <w:highlight w:val="none"/>
          <w:lang w:eastAsia="zh-CN"/>
        </w:rPr>
        <w:t>评审办法</w:t>
      </w:r>
    </w:p>
    <w:p>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满足</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为中标候选人的</w:t>
      </w:r>
      <w:r>
        <w:rPr>
          <w:rFonts w:hint="eastAsia" w:asciiTheme="minorEastAsia" w:hAnsiTheme="minorEastAsia" w:eastAsiaTheme="minorEastAsia" w:cstheme="minorEastAsia"/>
          <w:color w:val="auto"/>
          <w:kern w:val="0"/>
          <w:sz w:val="24"/>
          <w:highlight w:val="none"/>
          <w:lang w:eastAsia="zh-CN"/>
        </w:rPr>
        <w:t>评审办法</w:t>
      </w:r>
      <w:r>
        <w:rPr>
          <w:rFonts w:hint="eastAsia" w:asciiTheme="minorEastAsia" w:hAnsiTheme="minorEastAsia" w:eastAsiaTheme="minorEastAsia" w:cstheme="minorEastAsia"/>
          <w:color w:val="auto"/>
          <w:kern w:val="0"/>
          <w:sz w:val="24"/>
          <w:highlight w:val="none"/>
        </w:rPr>
        <w:t>。</w:t>
      </w:r>
    </w:p>
    <w:p>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adjustRightInd/>
        <w:spacing w:line="360" w:lineRule="auto"/>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lang w:eastAsia="zh-CN"/>
        </w:rPr>
        <w:t>评审委员会</w:t>
      </w:r>
      <w:r>
        <w:rPr>
          <w:rFonts w:hint="eastAsia" w:asciiTheme="minorEastAsia" w:hAnsiTheme="minorEastAsia" w:eastAsiaTheme="minorEastAsia" w:cstheme="minorEastAsia"/>
          <w:color w:val="auto"/>
          <w:kern w:val="0"/>
          <w:sz w:val="24"/>
          <w:highlight w:val="none"/>
        </w:rPr>
        <w:t>应当对符合资格的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进行符合性审查，以确定其是否满足</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文件的实质性要求。不满足</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文件的实质性要求的，投标无效。</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lang w:eastAsia="zh-CN"/>
        </w:rPr>
        <w:t>评审委员会</w:t>
      </w:r>
      <w:r>
        <w:rPr>
          <w:rFonts w:hint="eastAsia" w:asciiTheme="minorEastAsia" w:hAnsiTheme="minorEastAsia" w:eastAsiaTheme="minorEastAsia" w:cstheme="minorEastAsia"/>
          <w:color w:val="auto"/>
          <w:kern w:val="0"/>
          <w:sz w:val="24"/>
          <w:highlight w:val="none"/>
        </w:rPr>
        <w:t>应当按照</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文件中规定的</w:t>
      </w:r>
      <w:r>
        <w:rPr>
          <w:rFonts w:hint="eastAsia" w:asciiTheme="minorEastAsia" w:hAnsiTheme="minorEastAsia" w:eastAsiaTheme="minorEastAsia" w:cstheme="minorEastAsia"/>
          <w:color w:val="auto"/>
          <w:kern w:val="0"/>
          <w:sz w:val="24"/>
          <w:highlight w:val="none"/>
          <w:lang w:eastAsia="zh-CN"/>
        </w:rPr>
        <w:t>评审办法</w:t>
      </w:r>
      <w:r>
        <w:rPr>
          <w:rFonts w:hint="eastAsia" w:asciiTheme="minorEastAsia" w:hAnsiTheme="minorEastAsia" w:eastAsiaTheme="minorEastAsia" w:cstheme="minorEastAsia"/>
          <w:color w:val="auto"/>
          <w:kern w:val="0"/>
          <w:sz w:val="24"/>
          <w:highlight w:val="none"/>
        </w:rPr>
        <w:t>和标准，对符合性审查合格的</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进行商务和技术评估，综合比较与评价。</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lang w:eastAsia="zh-CN"/>
        </w:rPr>
        <w:t>评审委员会</w:t>
      </w:r>
      <w:r>
        <w:rPr>
          <w:rFonts w:hint="eastAsia" w:asciiTheme="minorEastAsia" w:hAnsiTheme="minorEastAsia" w:eastAsiaTheme="minorEastAsia" w:cstheme="minorEastAsia"/>
          <w:color w:val="auto"/>
          <w:kern w:val="0"/>
          <w:sz w:val="24"/>
          <w:highlight w:val="none"/>
        </w:rPr>
        <w:t>各成员应当独立对每个</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的商务和技术文件进行评价，并汇总商务技术得分情况。</w:t>
      </w:r>
    </w:p>
    <w:p>
      <w:pPr>
        <w:spacing w:line="360" w:lineRule="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219"/>
        <w:spacing w:before="0"/>
        <w:ind w:firstLine="0" w:firstLineChars="0"/>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3.4.1</w:t>
      </w:r>
      <w:r>
        <w:rPr>
          <w:rFonts w:hint="eastAsia" w:asciiTheme="minorEastAsia" w:hAnsiTheme="minorEastAsia" w:eastAsiaTheme="minorEastAsia" w:cstheme="minorEastAsia"/>
          <w:b/>
          <w:color w:val="auto"/>
          <w:kern w:val="0"/>
          <w:highlight w:val="none"/>
          <w:lang w:eastAsia="zh-CN"/>
        </w:rPr>
        <w:t>响应文件</w:t>
      </w:r>
      <w:r>
        <w:rPr>
          <w:rFonts w:hint="eastAsia" w:asciiTheme="minorEastAsia" w:hAnsiTheme="minorEastAsia" w:eastAsiaTheme="minorEastAsia" w:cstheme="minorEastAsia"/>
          <w:b/>
          <w:color w:val="auto"/>
          <w:kern w:val="0"/>
          <w:highlight w:val="none"/>
        </w:rPr>
        <w:t>报价出现前后不一致的，按照下列规定修正：</w:t>
      </w:r>
    </w:p>
    <w:p>
      <w:pPr>
        <w:pStyle w:val="219"/>
        <w:spacing w:before="0"/>
        <w:ind w:firstLine="0"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w:t>
      </w:r>
      <w:r>
        <w:rPr>
          <w:rFonts w:hint="eastAsia" w:asciiTheme="minorEastAsia" w:hAnsiTheme="minorEastAsia" w:eastAsiaTheme="minorEastAsia" w:cstheme="minorEastAsia"/>
          <w:color w:val="auto"/>
          <w:kern w:val="0"/>
          <w:szCs w:val="24"/>
          <w:highlight w:val="none"/>
          <w:lang w:eastAsia="zh-CN"/>
        </w:rPr>
        <w:t>响应文件</w:t>
      </w:r>
      <w:r>
        <w:rPr>
          <w:rFonts w:hint="eastAsia" w:asciiTheme="minorEastAsia" w:hAnsiTheme="minorEastAsia" w:eastAsiaTheme="minorEastAsia" w:cstheme="minorEastAsia"/>
          <w:color w:val="auto"/>
          <w:kern w:val="0"/>
          <w:szCs w:val="24"/>
          <w:highlight w:val="none"/>
        </w:rPr>
        <w:t>中</w:t>
      </w:r>
      <w:r>
        <w:rPr>
          <w:rFonts w:hint="default" w:asciiTheme="minorEastAsia" w:hAnsiTheme="minorEastAsia" w:eastAsiaTheme="minorEastAsia" w:cstheme="minorEastAsia"/>
          <w:color w:val="auto"/>
          <w:kern w:val="0"/>
          <w:szCs w:val="24"/>
          <w:highlight w:val="none"/>
        </w:rPr>
        <w:t>交易一览表</w:t>
      </w:r>
      <w:r>
        <w:rPr>
          <w:rFonts w:hint="eastAsia" w:asciiTheme="minorEastAsia" w:hAnsiTheme="minorEastAsia" w:eastAsiaTheme="minorEastAsia" w:cstheme="minorEastAsia"/>
          <w:color w:val="auto"/>
          <w:kern w:val="0"/>
          <w:szCs w:val="24"/>
          <w:highlight w:val="none"/>
        </w:rPr>
        <w:t>(报价表)内容与</w:t>
      </w:r>
      <w:r>
        <w:rPr>
          <w:rFonts w:hint="eastAsia" w:asciiTheme="minorEastAsia" w:hAnsiTheme="minorEastAsia" w:eastAsiaTheme="minorEastAsia" w:cstheme="minorEastAsia"/>
          <w:color w:val="auto"/>
          <w:kern w:val="0"/>
          <w:szCs w:val="24"/>
          <w:highlight w:val="none"/>
          <w:lang w:eastAsia="zh-CN"/>
        </w:rPr>
        <w:t>响应文件</w:t>
      </w:r>
      <w:r>
        <w:rPr>
          <w:rFonts w:hint="eastAsia" w:asciiTheme="minorEastAsia" w:hAnsiTheme="minorEastAsia" w:eastAsiaTheme="minorEastAsia" w:cstheme="minorEastAsia"/>
          <w:color w:val="auto"/>
          <w:kern w:val="0"/>
          <w:szCs w:val="24"/>
          <w:highlight w:val="none"/>
        </w:rPr>
        <w:t>中相应内容不一致的，以</w:t>
      </w:r>
      <w:r>
        <w:rPr>
          <w:rFonts w:hint="default" w:asciiTheme="minorEastAsia" w:hAnsiTheme="minorEastAsia" w:eastAsiaTheme="minorEastAsia" w:cstheme="minorEastAsia"/>
          <w:color w:val="auto"/>
          <w:kern w:val="0"/>
          <w:szCs w:val="24"/>
          <w:highlight w:val="none"/>
        </w:rPr>
        <w:t>交易一览表</w:t>
      </w:r>
      <w:r>
        <w:rPr>
          <w:rFonts w:hint="eastAsia" w:asciiTheme="minorEastAsia" w:hAnsiTheme="minorEastAsia" w:eastAsiaTheme="minorEastAsia" w:cstheme="minorEastAsia"/>
          <w:color w:val="auto"/>
          <w:kern w:val="0"/>
          <w:szCs w:val="24"/>
          <w:highlight w:val="none"/>
        </w:rPr>
        <w:t>(报价表)为准;</w:t>
      </w:r>
    </w:p>
    <w:p>
      <w:pPr>
        <w:pStyle w:val="219"/>
        <w:spacing w:before="0"/>
        <w:ind w:firstLine="0"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219"/>
        <w:spacing w:before="0"/>
        <w:ind w:firstLine="0"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w:t>
      </w:r>
      <w:r>
        <w:rPr>
          <w:rFonts w:hint="default" w:asciiTheme="minorEastAsia" w:hAnsiTheme="minorEastAsia" w:eastAsiaTheme="minorEastAsia" w:cstheme="minorEastAsia"/>
          <w:color w:val="auto"/>
          <w:kern w:val="0"/>
          <w:szCs w:val="24"/>
          <w:highlight w:val="none"/>
        </w:rPr>
        <w:t>交易一览表</w:t>
      </w:r>
      <w:r>
        <w:rPr>
          <w:rFonts w:hint="eastAsia" w:asciiTheme="minorEastAsia" w:hAnsiTheme="minorEastAsia" w:eastAsiaTheme="minorEastAsia" w:cstheme="minorEastAsia"/>
          <w:color w:val="auto"/>
          <w:kern w:val="0"/>
          <w:szCs w:val="24"/>
          <w:highlight w:val="none"/>
        </w:rPr>
        <w:t>的总价为准，并修改单价;</w:t>
      </w:r>
    </w:p>
    <w:p>
      <w:pPr>
        <w:pStyle w:val="219"/>
        <w:spacing w:before="0"/>
        <w:ind w:firstLine="0"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219"/>
        <w:spacing w:before="0"/>
        <w:ind w:firstLine="0"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w:t>
      </w:r>
      <w:r>
        <w:rPr>
          <w:rFonts w:hint="eastAsia" w:asciiTheme="minorEastAsia" w:hAnsiTheme="minorEastAsia" w:eastAsiaTheme="minorEastAsia" w:cstheme="minorEastAsia"/>
          <w:color w:val="auto"/>
          <w:kern w:val="0"/>
          <w:szCs w:val="24"/>
          <w:highlight w:val="none"/>
          <w:lang w:eastAsia="zh-CN"/>
        </w:rPr>
        <w:t>交易</w:t>
      </w:r>
      <w:r>
        <w:rPr>
          <w:rFonts w:hint="eastAsia" w:asciiTheme="minorEastAsia" w:hAnsiTheme="minorEastAsia" w:eastAsiaTheme="minorEastAsia" w:cstheme="minorEastAsia"/>
          <w:color w:val="auto"/>
          <w:kern w:val="0"/>
          <w:szCs w:val="24"/>
          <w:highlight w:val="none"/>
        </w:rPr>
        <w:t>投标管理办法》第五十一条第二款的规定经</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确认后产生约束力。</w:t>
      </w:r>
    </w:p>
    <w:p>
      <w:pPr>
        <w:snapToGri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3.4.2</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出现不是唯一的、有选择性投标报价的，投标无效。</w:t>
      </w:r>
    </w:p>
    <w:p>
      <w:pPr>
        <w:snapToGri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3.4.3</w:t>
      </w:r>
      <w:r>
        <w:rPr>
          <w:rFonts w:hint="eastAsia" w:asciiTheme="minorEastAsia" w:hAnsiTheme="minorEastAsia" w:eastAsiaTheme="minorEastAsia" w:cstheme="minorEastAsia"/>
          <w:color w:val="auto"/>
          <w:kern w:val="0"/>
          <w:sz w:val="24"/>
          <w:highlight w:val="none"/>
        </w:rPr>
        <w:t>投标报价超过</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文件中规定的预算金额或者最高限价的，投标无效。</w:t>
      </w:r>
    </w:p>
    <w:p>
      <w:pPr>
        <w:pStyle w:val="219"/>
        <w:spacing w:before="0"/>
        <w:ind w:firstLine="0"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3.4.4</w:t>
      </w:r>
      <w:r>
        <w:rPr>
          <w:rFonts w:hint="eastAsia" w:asciiTheme="minorEastAsia" w:hAnsiTheme="minorEastAsia" w:eastAsiaTheme="minorEastAsia" w:cstheme="minorEastAsia"/>
          <w:color w:val="auto"/>
          <w:kern w:val="0"/>
          <w:szCs w:val="24"/>
          <w:highlight w:val="none"/>
          <w:lang w:eastAsia="zh-CN"/>
        </w:rPr>
        <w:t>评审委员会</w:t>
      </w:r>
      <w:r>
        <w:rPr>
          <w:rFonts w:hint="eastAsia" w:asciiTheme="minorEastAsia" w:hAnsiTheme="minorEastAsia" w:eastAsiaTheme="minorEastAsia" w:cstheme="minorEastAsia"/>
          <w:color w:val="auto"/>
          <w:kern w:val="0"/>
          <w:szCs w:val="24"/>
          <w:highlight w:val="none"/>
        </w:rPr>
        <w:t>认为</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的报价明显低于其他通过符合性审查</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的报价，有可能影响产品质量或者不能诚信履约的，应当要求其在合理的时间内提供书面说明，必要时提交相关证明材料;</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不能证明其报价合理性的，</w:t>
      </w:r>
      <w:r>
        <w:rPr>
          <w:rFonts w:hint="eastAsia" w:asciiTheme="minorEastAsia" w:hAnsiTheme="minorEastAsia" w:eastAsiaTheme="minorEastAsia" w:cstheme="minorEastAsia"/>
          <w:color w:val="auto"/>
          <w:kern w:val="0"/>
          <w:szCs w:val="24"/>
          <w:highlight w:val="none"/>
          <w:lang w:eastAsia="zh-CN"/>
        </w:rPr>
        <w:t>评审委员会</w:t>
      </w:r>
      <w:r>
        <w:rPr>
          <w:rFonts w:hint="eastAsia" w:asciiTheme="minorEastAsia" w:hAnsiTheme="minorEastAsia" w:eastAsiaTheme="minorEastAsia" w:cstheme="minorEastAsia"/>
          <w:color w:val="auto"/>
          <w:kern w:val="0"/>
          <w:szCs w:val="24"/>
          <w:highlight w:val="none"/>
        </w:rPr>
        <w:t>应当将其作为无效投标处理。</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3.5排序与推荐</w:t>
      </w:r>
      <w:r>
        <w:rPr>
          <w:rFonts w:hint="eastAsia" w:asciiTheme="minorEastAsia" w:hAnsiTheme="minorEastAsia" w:eastAsiaTheme="minorEastAsia" w:cstheme="minorEastAsia"/>
          <w:b/>
          <w:color w:val="auto"/>
          <w:kern w:val="0"/>
          <w:sz w:val="24"/>
          <w:highlight w:val="none"/>
        </w:rPr>
        <w:t>。</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满足</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为排名第一的中标候选人。</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多家</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提供相同品牌产品（单一产品采购项目中的该产品或者非单一产品采购项目的核心产品）且通过资格审查、符合性审查的不同</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参加同一合同项下投标的，按一家</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计算，评审后得分最高的同品牌</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获得</w:t>
      </w:r>
      <w:r>
        <w:rPr>
          <w:rFonts w:hint="eastAsia" w:asciiTheme="minorEastAsia" w:hAnsiTheme="minorEastAsia" w:eastAsiaTheme="minorEastAsia" w:cstheme="minorEastAsia"/>
          <w:color w:val="auto"/>
          <w:kern w:val="0"/>
          <w:sz w:val="24"/>
          <w:highlight w:val="none"/>
          <w:lang w:eastAsia="zh-CN"/>
        </w:rPr>
        <w:t>成交人</w:t>
      </w:r>
      <w:r>
        <w:rPr>
          <w:rFonts w:hint="eastAsia" w:asciiTheme="minorEastAsia" w:hAnsiTheme="minorEastAsia" w:eastAsiaTheme="minorEastAsia" w:cstheme="minorEastAsia"/>
          <w:color w:val="auto"/>
          <w:kern w:val="0"/>
          <w:sz w:val="24"/>
          <w:highlight w:val="none"/>
        </w:rPr>
        <w:t>推荐资格；评审得分相同的，采取随机抽取方式确定，其他同品牌</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不作为中标候选人。</w:t>
      </w:r>
    </w:p>
    <w:p>
      <w:pPr>
        <w:widowControl/>
        <w:adjustRightInd/>
        <w:spacing w:before="100" w:beforeAutospacing="1" w:after="100" w:afterAutospacing="1"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lang w:eastAsia="zh-CN"/>
        </w:rPr>
        <w:t>评审委员会</w:t>
      </w:r>
      <w:r>
        <w:rPr>
          <w:rFonts w:hint="eastAsia" w:asciiTheme="minorEastAsia" w:hAnsiTheme="minorEastAsia" w:eastAsiaTheme="minorEastAsia" w:cstheme="minorEastAsia"/>
          <w:color w:val="auto"/>
          <w:kern w:val="0"/>
          <w:sz w:val="24"/>
          <w:highlight w:val="none"/>
        </w:rPr>
        <w:t>根据全体评标成员签字的原始评标记录和评标结果编写评标报告。</w:t>
      </w:r>
      <w:r>
        <w:rPr>
          <w:rFonts w:hint="eastAsia" w:asciiTheme="minorEastAsia" w:hAnsiTheme="minorEastAsia" w:eastAsiaTheme="minorEastAsia" w:cstheme="minorEastAsia"/>
          <w:color w:val="auto"/>
          <w:kern w:val="0"/>
          <w:sz w:val="24"/>
          <w:highlight w:val="none"/>
          <w:lang w:eastAsia="zh-CN"/>
        </w:rPr>
        <w:t>评审委员会</w:t>
      </w:r>
      <w:r>
        <w:rPr>
          <w:rFonts w:hint="eastAsia" w:asciiTheme="minorEastAsia" w:hAnsiTheme="minorEastAsia" w:eastAsiaTheme="minorEastAsia" w:cstheme="minorEastAsia"/>
          <w:color w:val="auto"/>
          <w:kern w:val="0"/>
          <w:sz w:val="24"/>
          <w:highlight w:val="none"/>
        </w:rPr>
        <w:t>成员对需要共同认定的事项存在争议的，应当按照少数服从多数的原则作出结论。持不同意见的</w:t>
      </w:r>
      <w:r>
        <w:rPr>
          <w:rFonts w:hint="eastAsia" w:asciiTheme="minorEastAsia" w:hAnsiTheme="minorEastAsia" w:eastAsiaTheme="minorEastAsia" w:cstheme="minorEastAsia"/>
          <w:color w:val="auto"/>
          <w:kern w:val="0"/>
          <w:sz w:val="24"/>
          <w:highlight w:val="none"/>
          <w:lang w:eastAsia="zh-CN"/>
        </w:rPr>
        <w:t>评审委员会</w:t>
      </w:r>
      <w:r>
        <w:rPr>
          <w:rFonts w:hint="eastAsia" w:asciiTheme="minorEastAsia" w:hAnsiTheme="minorEastAsia" w:eastAsiaTheme="minorEastAsia" w:cstheme="minorEastAsia"/>
          <w:color w:val="auto"/>
          <w:kern w:val="0"/>
          <w:sz w:val="24"/>
          <w:highlight w:val="none"/>
        </w:rPr>
        <w:t>成员应当在评标报告上签署不同意见及理由，否则视为同意评标报告。</w:t>
      </w:r>
    </w:p>
    <w:p>
      <w:pPr>
        <w:widowControl/>
        <w:shd w:val="clear"/>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pPr>
        <w:pStyle w:val="219"/>
        <w:shd w:val="clear"/>
        <w:spacing w:before="0"/>
        <w:ind w:firstLine="0"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bCs/>
          <w:color w:val="auto"/>
          <w:kern w:val="0"/>
          <w:szCs w:val="21"/>
          <w:highlight w:val="none"/>
        </w:rPr>
        <w:t>4.1</w:t>
      </w:r>
      <w:r>
        <w:rPr>
          <w:rFonts w:hint="eastAsia" w:asciiTheme="minorEastAsia" w:hAnsiTheme="minorEastAsia" w:eastAsiaTheme="minorEastAsia" w:cstheme="minorEastAsia"/>
          <w:b/>
          <w:bCs/>
          <w:color w:val="auto"/>
          <w:kern w:val="0"/>
          <w:szCs w:val="24"/>
          <w:highlight w:val="none"/>
          <w:lang w:eastAsia="zh-CN"/>
        </w:rPr>
        <w:t>供应商</w:t>
      </w:r>
      <w:r>
        <w:rPr>
          <w:rFonts w:hint="eastAsia" w:asciiTheme="minorEastAsia" w:hAnsiTheme="minorEastAsia" w:eastAsiaTheme="minorEastAsia" w:cstheme="minorEastAsia"/>
          <w:b/>
          <w:bCs/>
          <w:color w:val="auto"/>
          <w:kern w:val="0"/>
          <w:szCs w:val="24"/>
          <w:highlight w:val="none"/>
        </w:rPr>
        <w:t>澄清、说明或者补正。</w:t>
      </w:r>
      <w:r>
        <w:rPr>
          <w:rFonts w:hint="eastAsia" w:asciiTheme="minorEastAsia" w:hAnsiTheme="minorEastAsia" w:eastAsiaTheme="minorEastAsia" w:cstheme="minorEastAsia"/>
          <w:color w:val="auto"/>
          <w:kern w:val="0"/>
          <w:szCs w:val="24"/>
          <w:highlight w:val="none"/>
        </w:rPr>
        <w:t>对于</w:t>
      </w:r>
      <w:r>
        <w:rPr>
          <w:rFonts w:hint="eastAsia" w:asciiTheme="minorEastAsia" w:hAnsiTheme="minorEastAsia" w:eastAsiaTheme="minorEastAsia" w:cstheme="minorEastAsia"/>
          <w:color w:val="auto"/>
          <w:kern w:val="0"/>
          <w:szCs w:val="24"/>
          <w:highlight w:val="none"/>
          <w:lang w:eastAsia="zh-CN"/>
        </w:rPr>
        <w:t>响应文件</w:t>
      </w:r>
      <w:r>
        <w:rPr>
          <w:rFonts w:hint="eastAsia" w:asciiTheme="minorEastAsia" w:hAnsiTheme="minorEastAsia" w:eastAsiaTheme="minorEastAsia" w:cstheme="minorEastAsia"/>
          <w:color w:val="auto"/>
          <w:kern w:val="0"/>
          <w:szCs w:val="24"/>
          <w:highlight w:val="none"/>
        </w:rPr>
        <w:t>中含义不明确、同类问题表述不一致或者有明显文字和计算错误的内容需要</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作出必要的澄清、说明或者补正的，</w:t>
      </w:r>
      <w:r>
        <w:rPr>
          <w:rFonts w:hint="eastAsia" w:asciiTheme="minorEastAsia" w:hAnsiTheme="minorEastAsia" w:eastAsiaTheme="minorEastAsia" w:cstheme="minorEastAsia"/>
          <w:color w:val="auto"/>
          <w:kern w:val="0"/>
          <w:szCs w:val="24"/>
          <w:highlight w:val="none"/>
          <w:lang w:eastAsia="zh-CN"/>
        </w:rPr>
        <w:t>评审委员会</w:t>
      </w:r>
      <w:r>
        <w:rPr>
          <w:rFonts w:hint="eastAsia" w:asciiTheme="minorEastAsia" w:hAnsiTheme="minorEastAsia" w:eastAsiaTheme="minorEastAsia" w:cstheme="minorEastAsia"/>
          <w:color w:val="auto"/>
          <w:kern w:val="0"/>
          <w:szCs w:val="24"/>
          <w:highlight w:val="none"/>
        </w:rPr>
        <w:t>和</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通过电子交易平台交换数据电文，</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提交使用电子签章的相关数据电文或通过平台上传加盖公章的扫描件。给予</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提交澄清、说明或补正的时间不得少于半小时，</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已经明确表示澄清说明或补正完毕的除外。</w:t>
      </w:r>
      <w:r>
        <w:rPr>
          <w:rFonts w:hint="eastAsia" w:asciiTheme="minorEastAsia" w:hAnsiTheme="minorEastAsia" w:eastAsiaTheme="minorEastAsia" w:cstheme="minorEastAsia"/>
          <w:color w:val="auto"/>
          <w:kern w:val="0"/>
          <w:szCs w:val="24"/>
          <w:highlight w:val="none"/>
          <w:lang w:eastAsia="zh-CN"/>
        </w:rPr>
        <w:t>供应商</w:t>
      </w:r>
      <w:r>
        <w:rPr>
          <w:rFonts w:hint="eastAsia" w:asciiTheme="minorEastAsia" w:hAnsiTheme="minorEastAsia" w:eastAsiaTheme="minorEastAsia" w:cstheme="minorEastAsia"/>
          <w:color w:val="auto"/>
          <w:kern w:val="0"/>
          <w:szCs w:val="24"/>
          <w:highlight w:val="none"/>
        </w:rPr>
        <w:t>的澄清、说明或者补正不得超出</w:t>
      </w:r>
      <w:r>
        <w:rPr>
          <w:rFonts w:hint="eastAsia" w:asciiTheme="minorEastAsia" w:hAnsiTheme="minorEastAsia" w:eastAsiaTheme="minorEastAsia" w:cstheme="minorEastAsia"/>
          <w:color w:val="auto"/>
          <w:kern w:val="0"/>
          <w:szCs w:val="24"/>
          <w:highlight w:val="none"/>
          <w:lang w:eastAsia="zh-CN"/>
        </w:rPr>
        <w:t>响应文件</w:t>
      </w:r>
      <w:r>
        <w:rPr>
          <w:rFonts w:hint="eastAsia" w:asciiTheme="minorEastAsia" w:hAnsiTheme="minorEastAsia" w:eastAsiaTheme="minorEastAsia" w:cstheme="minorEastAsia"/>
          <w:color w:val="auto"/>
          <w:kern w:val="0"/>
          <w:szCs w:val="24"/>
          <w:highlight w:val="none"/>
        </w:rPr>
        <w:t>的范围或者改变</w:t>
      </w:r>
      <w:r>
        <w:rPr>
          <w:rFonts w:hint="eastAsia" w:asciiTheme="minorEastAsia" w:hAnsiTheme="minorEastAsia" w:eastAsiaTheme="minorEastAsia" w:cstheme="minorEastAsia"/>
          <w:color w:val="auto"/>
          <w:kern w:val="0"/>
          <w:szCs w:val="24"/>
          <w:highlight w:val="none"/>
          <w:lang w:eastAsia="zh-CN"/>
        </w:rPr>
        <w:t>响应文件</w:t>
      </w:r>
      <w:r>
        <w:rPr>
          <w:rFonts w:hint="eastAsia" w:asciiTheme="minorEastAsia" w:hAnsiTheme="minorEastAsia" w:eastAsiaTheme="minorEastAsia" w:cstheme="minorEastAsia"/>
          <w:color w:val="auto"/>
          <w:kern w:val="0"/>
          <w:szCs w:val="24"/>
          <w:highlight w:val="none"/>
        </w:rPr>
        <w:t>的实质性内容。</w:t>
      </w:r>
    </w:p>
    <w:p>
      <w:pPr>
        <w:widowControl/>
        <w:shd w:val="clear"/>
        <w:adjustRightInd/>
        <w:spacing w:after="225" w:line="315" w:lineRule="atLeast"/>
        <w:jc w:val="left"/>
        <w:rPr>
          <w:rFonts w:hint="eastAsia" w:asciiTheme="minorEastAsia" w:hAnsiTheme="minorEastAsia" w:eastAsiaTheme="minorEastAsia" w:cstheme="minorEastAsia"/>
          <w:color w:val="auto"/>
          <w:kern w:val="0"/>
          <w:szCs w:val="21"/>
          <w:highlight w:val="none"/>
        </w:rPr>
      </w:pPr>
    </w:p>
    <w:p>
      <w:pPr>
        <w:pStyle w:val="24"/>
        <w:shd w:val="clear"/>
        <w:spacing w:line="360" w:lineRule="auto"/>
        <w:ind w:left="559" w:hanging="559" w:hangingChars="19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pacing w:val="20"/>
          <w:highlight w:val="none"/>
        </w:rPr>
        <w:t>4.2投标无效。</w:t>
      </w:r>
      <w:r>
        <w:rPr>
          <w:rFonts w:hint="eastAsia" w:asciiTheme="minorEastAsia" w:hAnsiTheme="minorEastAsia" w:eastAsiaTheme="minorEastAsia" w:cstheme="minorEastAsia"/>
          <w:color w:val="auto"/>
          <w:szCs w:val="21"/>
          <w:highlight w:val="none"/>
        </w:rPr>
        <w:t>有下列情况之一的，投标无效：</w:t>
      </w:r>
    </w:p>
    <w:p>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不具备</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文件中规定的资格要求的（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未提供有效的资格文件的，视为</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不具备</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文件中规定的资格要求）；</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未按照</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文件要求签署、盖章的；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未按</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文件要求提供国家确定的认证机构出具的、处于有效期之内的节能产品认证证书</w:t>
      </w:r>
      <w:r>
        <w:rPr>
          <w:rFonts w:hint="eastAsia" w:asciiTheme="minorEastAsia" w:hAnsiTheme="minorEastAsia" w:eastAsiaTheme="minorEastAsia" w:cstheme="minorEastAsia"/>
          <w:color w:val="auto"/>
          <w:sz w:val="24"/>
          <w:highlight w:val="none"/>
        </w:rPr>
        <w:t>、环境标志产品认证证书</w:t>
      </w:r>
      <w:r>
        <w:rPr>
          <w:rFonts w:hint="eastAsia" w:asciiTheme="minorEastAsia" w:hAnsiTheme="minorEastAsia" w:eastAsiaTheme="minorEastAsia" w:cstheme="minorEastAsia"/>
          <w:color w:val="auto"/>
          <w:kern w:val="0"/>
          <w:sz w:val="24"/>
          <w:highlight w:val="none"/>
        </w:rPr>
        <w:t>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含有采购人不能接受的附加条件的；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中承诺的投标有效期少于</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出现不是唯一的、有选择性投标报价的;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文件中规定的预算金额或者最高限价的;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对根据修正原则修正后的报价不确认的；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提供虚假材料投标的；</w:t>
      </w:r>
    </w:p>
    <w:p>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有恶意串通、妨碍其他</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的竞争行为、损害采购人或者其他</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的合法权益情形的；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仅提交备份</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，没有在电子交易平台传输递交</w:t>
      </w:r>
      <w:r>
        <w:rPr>
          <w:rFonts w:hint="eastAsia" w:asciiTheme="minorEastAsia" w:hAnsiTheme="minorEastAsia" w:eastAsiaTheme="minorEastAsia" w:cstheme="minorEastAsia"/>
          <w:color w:val="auto"/>
          <w:kern w:val="0"/>
          <w:sz w:val="24"/>
          <w:highlight w:val="none"/>
          <w:lang w:eastAsia="zh-CN"/>
        </w:rPr>
        <w:t>响应文件</w:t>
      </w:r>
      <w:r>
        <w:rPr>
          <w:rFonts w:hint="eastAsia" w:asciiTheme="minorEastAsia" w:hAnsiTheme="minorEastAsia" w:eastAsiaTheme="minorEastAsia" w:cstheme="minorEastAsia"/>
          <w:color w:val="auto"/>
          <w:kern w:val="0"/>
          <w:sz w:val="24"/>
          <w:highlight w:val="none"/>
        </w:rPr>
        <w:t>的，投标无效；</w:t>
      </w:r>
    </w:p>
    <w:p>
      <w:pPr>
        <w:pStyle w:val="4"/>
        <w:numPr>
          <w:ilvl w:val="0"/>
          <w:numId w:val="0"/>
        </w:numPr>
        <w:ind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 xml:space="preserve">4.2.13 </w:t>
      </w:r>
      <w:r>
        <w:rPr>
          <w:rFonts w:hint="eastAsia" w:asciiTheme="minorEastAsia" w:hAnsiTheme="minorEastAsia" w:eastAsiaTheme="minorEastAsia" w:cstheme="minorEastAsia"/>
          <w:b w:val="0"/>
          <w:bCs w:val="0"/>
          <w:color w:val="auto"/>
          <w:kern w:val="0"/>
          <w:sz w:val="24"/>
          <w:szCs w:val="24"/>
          <w:highlight w:val="none"/>
          <w:lang w:val="en-US" w:eastAsia="zh-CN"/>
        </w:rPr>
        <w:t>响应文件</w:t>
      </w:r>
      <w:r>
        <w:rPr>
          <w:rFonts w:hint="eastAsia" w:asciiTheme="minorEastAsia" w:hAnsiTheme="minorEastAsia" w:eastAsiaTheme="minorEastAsia" w:cstheme="minorEastAsia"/>
          <w:b w:val="0"/>
          <w:bCs w:val="0"/>
          <w:color w:val="auto"/>
          <w:kern w:val="0"/>
          <w:sz w:val="24"/>
          <w:szCs w:val="24"/>
          <w:highlight w:val="none"/>
          <w:lang w:val="en-US"/>
        </w:rPr>
        <w:t>不满足</w:t>
      </w:r>
      <w:r>
        <w:rPr>
          <w:rFonts w:hint="eastAsia" w:asciiTheme="minorEastAsia" w:hAnsiTheme="minorEastAsia" w:eastAsiaTheme="minorEastAsia" w:cstheme="minorEastAsia"/>
          <w:b w:val="0"/>
          <w:bCs w:val="0"/>
          <w:color w:val="auto"/>
          <w:kern w:val="0"/>
          <w:sz w:val="24"/>
          <w:szCs w:val="24"/>
          <w:highlight w:val="none"/>
          <w:lang w:val="en-US" w:eastAsia="zh-CN"/>
        </w:rPr>
        <w:t>交易</w:t>
      </w:r>
      <w:r>
        <w:rPr>
          <w:rFonts w:hint="eastAsia" w:asciiTheme="minorEastAsia" w:hAnsiTheme="minorEastAsia" w:eastAsiaTheme="minorEastAsia" w:cstheme="minorEastAsia"/>
          <w:b w:val="0"/>
          <w:bCs w:val="0"/>
          <w:color w:val="auto"/>
          <w:kern w:val="0"/>
          <w:sz w:val="24"/>
          <w:szCs w:val="24"/>
          <w:highlight w:val="none"/>
          <w:lang w:val="en-US"/>
        </w:rPr>
        <w:t>文件的其它实质性要求的；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pPr>
        <w:pStyle w:val="24"/>
        <w:snapToGrid w:val="0"/>
        <w:spacing w:line="36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文件作实质响应的供应商不足3家的；</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的报价均超过了采购预算，采购人不能支付的；</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废标后，采购机构应当将废标理由通知所有</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w:t>
      </w:r>
    </w:p>
    <w:p>
      <w:pPr>
        <w:pStyle w:val="24"/>
        <w:snapToGrid w:val="0"/>
        <w:spacing w:line="360" w:lineRule="auto"/>
        <w:ind w:firstLine="118" w:firstLineChars="4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w:t>
      </w:r>
      <w:r>
        <w:rPr>
          <w:rFonts w:hint="eastAsia" w:asciiTheme="minorEastAsia" w:hAnsiTheme="minorEastAsia" w:eastAsiaTheme="minorEastAsia" w:cstheme="minorEastAsia"/>
          <w:b/>
          <w:color w:val="auto"/>
          <w:highlight w:val="none"/>
          <w:lang w:eastAsia="zh-CN"/>
        </w:rPr>
        <w:t>交易</w:t>
      </w:r>
      <w:r>
        <w:rPr>
          <w:rFonts w:hint="eastAsia" w:asciiTheme="minorEastAsia" w:hAnsiTheme="minorEastAsia" w:eastAsiaTheme="minorEastAsia" w:cstheme="minorEastAsia"/>
          <w:b/>
          <w:color w:val="auto"/>
          <w:highlight w:val="none"/>
        </w:rPr>
        <w:t>文件，重新组织采购活动。</w:t>
      </w:r>
      <w:r>
        <w:rPr>
          <w:rFonts w:hint="eastAsia" w:asciiTheme="minorEastAsia" w:hAnsiTheme="minorEastAsia" w:eastAsiaTheme="minorEastAsia" w:cstheme="minorEastAsia"/>
          <w:color w:val="auto"/>
          <w:highlight w:val="none"/>
          <w:lang w:eastAsia="zh-CN"/>
        </w:rPr>
        <w:t>评审委员会</w:t>
      </w:r>
      <w:r>
        <w:rPr>
          <w:rFonts w:hint="eastAsia" w:asciiTheme="minorEastAsia" w:hAnsiTheme="minorEastAsia" w:eastAsiaTheme="minorEastAsia" w:cstheme="minorEastAsia"/>
          <w:color w:val="auto"/>
          <w:highlight w:val="none"/>
        </w:rPr>
        <w:t>发现</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文件存在歧义、重大缺陷导致评标工作无法进行，或者</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文件内容违反国家有关强制性规定的，将停止评标工作，并与采购人、采购机构沟通并作书面记录。采购人、采购机构确认后，将修改</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文件，重新组织采购活动。</w:t>
      </w:r>
    </w:p>
    <w:p>
      <w:pPr>
        <w:pStyle w:val="24"/>
        <w:snapToGrid w:val="0"/>
        <w:spacing w:line="360" w:lineRule="auto"/>
        <w:ind w:firstLine="118" w:firstLineChars="4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有政府采购法第七十一条、第七十二条规定的违法行为之一，影响或者可能影响中标、成交结果的，依照下列规定处理：</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7.1未确定中标或者</w:t>
      </w:r>
      <w:r>
        <w:rPr>
          <w:rFonts w:hint="eastAsia" w:asciiTheme="minorEastAsia" w:hAnsiTheme="minorEastAsia" w:eastAsiaTheme="minorEastAsia" w:cstheme="minorEastAsia"/>
          <w:color w:val="auto"/>
          <w:highlight w:val="none"/>
          <w:lang w:eastAsia="zh-CN"/>
        </w:rPr>
        <w:t>成交人</w:t>
      </w:r>
      <w:r>
        <w:rPr>
          <w:rFonts w:hint="eastAsia" w:asciiTheme="minorEastAsia" w:hAnsiTheme="minorEastAsia" w:eastAsiaTheme="minorEastAsia" w:cstheme="minorEastAsia"/>
          <w:color w:val="auto"/>
          <w:highlight w:val="none"/>
        </w:rPr>
        <w:t>的，终止本次政府采购活动，重新开展政府采购活动。</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7.2已确定中标或者</w:t>
      </w:r>
      <w:r>
        <w:rPr>
          <w:rFonts w:hint="eastAsia" w:asciiTheme="minorEastAsia" w:hAnsiTheme="minorEastAsia" w:eastAsiaTheme="minorEastAsia" w:cstheme="minorEastAsia"/>
          <w:color w:val="auto"/>
          <w:highlight w:val="none"/>
          <w:lang w:eastAsia="zh-CN"/>
        </w:rPr>
        <w:t>成交人</w:t>
      </w:r>
      <w:r>
        <w:rPr>
          <w:rFonts w:hint="eastAsia" w:asciiTheme="minorEastAsia" w:hAnsiTheme="minorEastAsia" w:eastAsiaTheme="minorEastAsia" w:cstheme="minorEastAsia"/>
          <w:color w:val="auto"/>
          <w:highlight w:val="none"/>
        </w:rPr>
        <w:t>但尚未签订政府采购合同的，中标或者成交结果无效，从合格的中标或者成交候选人中另行确定中标或者</w:t>
      </w:r>
      <w:r>
        <w:rPr>
          <w:rFonts w:hint="eastAsia" w:asciiTheme="minorEastAsia" w:hAnsiTheme="minorEastAsia" w:eastAsiaTheme="minorEastAsia" w:cstheme="minorEastAsia"/>
          <w:color w:val="auto"/>
          <w:highlight w:val="none"/>
          <w:lang w:eastAsia="zh-CN"/>
        </w:rPr>
        <w:t>成交人</w:t>
      </w:r>
      <w:r>
        <w:rPr>
          <w:rFonts w:hint="eastAsia" w:asciiTheme="minorEastAsia" w:hAnsiTheme="minorEastAsia" w:eastAsiaTheme="minorEastAsia" w:cstheme="minorEastAsia"/>
          <w:color w:val="auto"/>
          <w:highlight w:val="none"/>
        </w:rPr>
        <w:t>；没有合格的中标或者成交候选人的，重新开展政府采购活动。</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7.3政府采购合同已签订但尚未履行的，撤销合同，从合格的中标或者成交候选人中另行确定中标或者</w:t>
      </w:r>
      <w:r>
        <w:rPr>
          <w:rFonts w:hint="eastAsia" w:asciiTheme="minorEastAsia" w:hAnsiTheme="minorEastAsia" w:eastAsiaTheme="minorEastAsia" w:cstheme="minorEastAsia"/>
          <w:color w:val="auto"/>
          <w:highlight w:val="none"/>
          <w:lang w:eastAsia="zh-CN"/>
        </w:rPr>
        <w:t>成交人</w:t>
      </w:r>
      <w:r>
        <w:rPr>
          <w:rFonts w:hint="eastAsia" w:asciiTheme="minorEastAsia" w:hAnsiTheme="minorEastAsia" w:eastAsiaTheme="minorEastAsia" w:cstheme="minorEastAsia"/>
          <w:color w:val="auto"/>
          <w:highlight w:val="none"/>
        </w:rPr>
        <w:t>；没有合格的中标或者成交候选人的，重新开展政府采购活动。</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的行为，经改正后仍然影响或者可能影响中标、成交结果或者依法被认定为中标、成交无效的，依照7.1-7.4规定处理。</w:t>
      </w:r>
    </w:p>
    <w:p>
      <w:pPr>
        <w:widowControl/>
        <w:spacing w:line="360" w:lineRule="auto"/>
        <w:ind w:firstLine="480" w:firstLineChars="200"/>
        <w:rPr>
          <w:rFonts w:hint="eastAsia" w:asciiTheme="minorEastAsia" w:hAnsiTheme="minorEastAsia" w:eastAsiaTheme="minorEastAsia" w:cstheme="minorEastAsia"/>
          <w:color w:val="auto"/>
          <w:sz w:val="24"/>
          <w:highlight w:val="none"/>
        </w:rPr>
      </w:pPr>
    </w:p>
    <w:p>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highlight w:val="none"/>
        </w:rPr>
        <w:t>第五部分</w:t>
      </w:r>
      <w:bookmarkEnd w:id="60"/>
      <w:r>
        <w:rPr>
          <w:rFonts w:hint="eastAsia" w:asciiTheme="minorEastAsia" w:hAnsiTheme="minorEastAsia" w:eastAsiaTheme="minorEastAsia" w:cstheme="minorEastAsia"/>
          <w:color w:val="auto"/>
          <w:highlight w:val="none"/>
        </w:rPr>
        <w:t xml:space="preserve"> 拟签订的合同文本</w:t>
      </w:r>
    </w:p>
    <w:p>
      <w:pPr>
        <w:pStyle w:val="24"/>
        <w:snapToGrid w:val="0"/>
        <w:spacing w:line="360" w:lineRule="auto"/>
        <w:ind w:firstLine="31680"/>
        <w:jc w:val="center"/>
        <w:rPr>
          <w:rFonts w:hint="eastAsia" w:asciiTheme="minorEastAsia" w:hAnsiTheme="minorEastAsia" w:eastAsiaTheme="minorEastAsia" w:cstheme="minorEastAsia"/>
          <w:color w:val="auto"/>
          <w:highlight w:val="none"/>
        </w:rPr>
      </w:pPr>
      <w:bookmarkStart w:id="428" w:name="第五部分"/>
      <w:bookmarkStart w:id="429" w:name="_Toc86217003"/>
      <w:r>
        <w:rPr>
          <w:rFonts w:hint="eastAsia" w:asciiTheme="minorEastAsia" w:hAnsiTheme="minorEastAsia" w:eastAsiaTheme="minorEastAsia" w:cstheme="minorEastAsia"/>
          <w:color w:val="auto"/>
          <w:highlight w:val="none"/>
        </w:rPr>
        <w:t>（服务类参考样本</w:t>
      </w:r>
      <w:r>
        <w:rPr>
          <w:rFonts w:hint="eastAsia" w:asciiTheme="minorEastAsia" w:hAnsiTheme="minorEastAsia" w:eastAsiaTheme="minorEastAsia" w:cstheme="minorEastAsia"/>
          <w:color w:val="auto"/>
          <w:highlight w:val="none"/>
          <w:lang w:val="en-US" w:eastAsia="zh-CN"/>
        </w:rPr>
        <w:t>,具体以交易人实际合同为准</w:t>
      </w:r>
      <w:r>
        <w:rPr>
          <w:rFonts w:hint="eastAsia" w:asciiTheme="minorEastAsia" w:hAnsiTheme="minorEastAsia" w:eastAsiaTheme="minorEastAsia" w:cstheme="minorEastAsia"/>
          <w:color w:val="auto"/>
          <w:highlight w:val="none"/>
        </w:rPr>
        <w:t>）</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签订时间：20</w:t>
      </w:r>
      <w:r>
        <w:rPr>
          <w:rFonts w:hint="eastAsia" w:asciiTheme="minorEastAsia" w:hAnsiTheme="minorEastAsia" w:eastAsiaTheme="minorEastAsia" w:cstheme="minorEastAsia"/>
          <w:color w:val="auto"/>
          <w:highlight w:val="none"/>
          <w:lang w:val="en-US" w:eastAsia="zh-CN"/>
        </w:rPr>
        <w:t>22</w:t>
      </w:r>
      <w:r>
        <w:rPr>
          <w:rFonts w:hint="eastAsia" w:asciiTheme="minorEastAsia" w:hAnsiTheme="minorEastAsia" w:eastAsiaTheme="minorEastAsia" w:cstheme="minorEastAsia"/>
          <w:color w:val="auto"/>
          <w:highlight w:val="none"/>
        </w:rPr>
        <w:t>年  月  日</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供、需双方根据杭州市萧山区                             项目（</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编号</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 xml:space="preserve">  -  -   ）</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结果和</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文件的要求，并经双方协调一致，订立本采购合同。</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2、中标通知书。</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5、中标单位</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本合同金额为(大写)_________________元（￥　　　　元）人民币附：《采购项目清单内容》</w:t>
      </w:r>
    </w:p>
    <w:tbl>
      <w:tblPr>
        <w:tblStyle w:val="60"/>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pPr>
              <w:pStyle w:val="24"/>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692"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w:t>
            </w:r>
          </w:p>
        </w:tc>
        <w:tc>
          <w:tcPr>
            <w:tcW w:w="1800"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中标内容</w:t>
            </w:r>
          </w:p>
        </w:tc>
        <w:tc>
          <w:tcPr>
            <w:tcW w:w="1758" w:type="dxa"/>
            <w:vAlign w:val="center"/>
          </w:tcPr>
          <w:p>
            <w:pPr>
              <w:pStyle w:val="24"/>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中标单价（元）</w:t>
            </w:r>
          </w:p>
        </w:tc>
        <w:tc>
          <w:tcPr>
            <w:tcW w:w="762" w:type="dxa"/>
            <w:vAlign w:val="center"/>
          </w:tcPr>
          <w:p>
            <w:pPr>
              <w:pStyle w:val="24"/>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867" w:type="dxa"/>
            <w:vAlign w:val="center"/>
          </w:tcPr>
          <w:p>
            <w:pPr>
              <w:pStyle w:val="24"/>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92"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1800"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1758"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762"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1867"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92"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1800"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1758"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762"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c>
          <w:tcPr>
            <w:tcW w:w="1867" w:type="dxa"/>
            <w:vAlign w:val="center"/>
          </w:tcPr>
          <w:p>
            <w:pPr>
              <w:pStyle w:val="24"/>
              <w:snapToGrid w:val="0"/>
              <w:spacing w:line="360" w:lineRule="auto"/>
              <w:ind w:firstLine="31680"/>
              <w:rPr>
                <w:rFonts w:hint="eastAsia" w:asciiTheme="minorEastAsia" w:hAnsiTheme="minorEastAsia" w:eastAsiaTheme="minorEastAsia" w:cstheme="minorEastAsia"/>
                <w:color w:val="auto"/>
                <w:highlight w:val="none"/>
              </w:rPr>
            </w:pPr>
          </w:p>
        </w:tc>
      </w:tr>
    </w:tbl>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文件规定的时间向甲方提供有关技术资料。</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四、知识产权</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乙方应保证提供服务过程中不会侵犯任何第三方的知识产权。</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五、履约保证金</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乙方交纳人民币        元作为本合同的履约保证金。</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六、转包或分包</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1.本合同范围的服务，应由乙方直接供应，不得转让他人供应；</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2.除非得到甲方的书面同意，乙方不得将本合同范围的服务全部或部分分包给他人供应；</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3.如有转让和未经甲方同意的分包行为，甲方有权解除合同，没收履约保证金并追究乙方的违约责任。</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七、服务质量保证期</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服务质量保证期      年。（自验收合格之日起计）</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八、合同履行时间、履行方式及履行地点</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九、款项支付</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1.付款方式：</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2.合同履行完毕，需方根据合同进行验收，验收合格后供应商按财政结算要求办理货款结算手续。</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十、税费</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十一、质量保证及后续服务</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文件规定向甲方提供服务。</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乙方提供的服务成果在服务质量保证期内发生故障，乙方应负责免费提供后续服务。对达不到要求者，根据实际情况，经双方协商，可按以下办法处理：</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⑴重做：由乙方承担所发生的全部费用。</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⑵贬值处理：由甲乙双方合议定价。</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⑶解除合同。</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如在使用过程中发生问题，乙方在接到甲方通知后在</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小时内到达甲方现场。</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4.在服务质量保证期内，乙方应对出现的质量及安全问题负责处理解决并承担一切费用。</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十二、违约责任</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 五 作为违约金。</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2.甲方无故逾期验收和办理款项支付手续的，甲方应按逾期付款总额每日万分之 五向乙方支付违约金。</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4.供方在服务项目验收合格之日起保修期内违反本合同有关承诺保证的，损失由乙方承担赔偿。</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5.如发现乙方违反招</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和合同的有关规定，甲方有权根据约定和《杭州市政府采购供应商合同履行和售后服务考核暂行办法》，对乙方进行处罚，并有权提前终止合同。</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十三、争议的解决</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因本合同引起的或与本合同有关的任何争议，合同双方应首先通过协商解决，达成书面协议，如协商不成，可选择下列第      种方式解决。</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十四、合同生效</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1.中标方持中标通知书作为与需方签订合同的凭证。</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2.本合同经需、供双方法定代表人或其授权委托人签字并加盖单位公章后生效。</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法定代表人（或委托代理人）签名：   法定代表人（或委托代理人）签名：                    </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pPr>
        <w:pStyle w:val="24"/>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p>
    <w:p>
      <w:pPr>
        <w:pStyle w:val="3"/>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第六部分</w:t>
      </w:r>
      <w:bookmarkEnd w:id="428"/>
      <w:r>
        <w:rPr>
          <w:rFonts w:hint="eastAsia" w:asciiTheme="minorEastAsia" w:hAnsiTheme="minorEastAsia" w:eastAsiaTheme="minorEastAsia" w:cstheme="minorEastAsia"/>
          <w:color w:val="auto"/>
          <w:highlight w:val="none"/>
        </w:rPr>
        <w:t xml:space="preserve"> </w:t>
      </w:r>
      <w:bookmarkEnd w:id="429"/>
      <w:r>
        <w:rPr>
          <w:rFonts w:hint="eastAsia" w:asciiTheme="minorEastAsia" w:hAnsiTheme="minorEastAsia" w:eastAsiaTheme="minorEastAsia" w:cstheme="minorEastAsia"/>
          <w:color w:val="auto"/>
          <w:highlight w:val="none"/>
        </w:rPr>
        <w:t>应提交的有关格式范例</w:t>
      </w:r>
    </w:p>
    <w:p>
      <w:pPr>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按照以下格式编制</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，并将资格文件、报价文件、商务技术文件分别装订成册。</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rPr>
          <w:rFonts w:hint="eastAsia" w:asciiTheme="minorEastAsia" w:hAnsiTheme="minorEastAsia" w:eastAsiaTheme="minorEastAsia" w:cstheme="minorEastAsia"/>
          <w:b/>
          <w:color w:val="auto"/>
          <w:kern w:val="0"/>
          <w:sz w:val="36"/>
          <w:szCs w:val="36"/>
          <w:highlight w:val="none"/>
        </w:rPr>
      </w:pP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（2）落实政府采购政策需满足的资格要求………………………………（页码）</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（3）本项目的特定资格要求………………………………………………（页码）</w:t>
      </w:r>
    </w:p>
    <w:p>
      <w:pPr>
        <w:snapToGrid w:val="0"/>
        <w:spacing w:line="360" w:lineRule="auto"/>
        <w:rPr>
          <w:rFonts w:hint="eastAsia" w:asciiTheme="minorEastAsia" w:hAnsiTheme="minorEastAsia" w:eastAsiaTheme="minorEastAsia" w:cstheme="minorEastAsia"/>
          <w:color w:val="auto"/>
          <w:sz w:val="36"/>
          <w:szCs w:val="36"/>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我方参与XXX采购项目【</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编号：XXX】政府采购活动，郑重承诺：</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（三）我方不存在以下情况：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供应商名称(电子签章)：</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 </w:t>
      </w:r>
    </w:p>
    <w:p>
      <w:pPr>
        <w:spacing w:line="360" w:lineRule="auto"/>
        <w:jc w:val="center"/>
        <w:rPr>
          <w:rFonts w:hint="eastAsia" w:asciiTheme="minorEastAsia" w:hAnsiTheme="minorEastAsia" w:eastAsiaTheme="minorEastAsia" w:cstheme="minorEastAsia"/>
          <w:b/>
          <w:color w:val="auto"/>
          <w:sz w:val="30"/>
          <w:szCs w:val="30"/>
          <w:highlight w:val="none"/>
        </w:rPr>
      </w:pP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公告本项目的特定资格要求提供相应的材料；未要求的，无需提供）</w:t>
      </w:r>
    </w:p>
    <w:p>
      <w:pPr>
        <w:pStyle w:val="74"/>
        <w:snapToGrid w:val="0"/>
        <w:spacing w:before="50" w:after="50"/>
        <w:ind w:left="360"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 xml:space="preserve"> </w:t>
      </w:r>
    </w:p>
    <w:p>
      <w:pPr>
        <w:spacing w:line="360" w:lineRule="auto"/>
        <w:jc w:val="center"/>
        <w:rPr>
          <w:rFonts w:hint="eastAsia" w:asciiTheme="minorEastAsia" w:hAnsiTheme="minorEastAsia" w:eastAsiaTheme="minorEastAsia" w:cstheme="minorEastAsia"/>
          <w:b/>
          <w:color w:val="auto"/>
          <w:sz w:val="28"/>
          <w:szCs w:val="32"/>
          <w:highlight w:val="none"/>
        </w:rPr>
      </w:pPr>
    </w:p>
    <w:p>
      <w:pPr>
        <w:snapToGrid w:val="0"/>
        <w:spacing w:line="360" w:lineRule="auto"/>
        <w:ind w:firstLine="2891" w:firstLineChars="9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color w:val="auto"/>
          <w:sz w:val="36"/>
          <w:szCs w:val="36"/>
          <w:highlight w:val="none"/>
          <w:lang w:val="zh-CN"/>
        </w:rPr>
        <w:t>▲</w:t>
      </w: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hint="eastAsia" w:asciiTheme="minorEastAsia" w:hAnsiTheme="minorEastAsia" w:eastAsiaTheme="minorEastAsia" w:cstheme="minorEastAsia"/>
          <w:b/>
          <w:color w:val="auto"/>
          <w:kern w:val="0"/>
          <w:sz w:val="24"/>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outlineLvl w:val="0"/>
        <w:rPr>
          <w:rFonts w:hint="eastAsia" w:asciiTheme="minorEastAsia" w:hAnsiTheme="minorEastAsia" w:eastAsiaTheme="minorEastAsia" w:cstheme="minorEastAsia"/>
          <w:color w:val="auto"/>
          <w:sz w:val="24"/>
          <w:highlight w:val="none"/>
        </w:rPr>
      </w:pPr>
      <w:r>
        <w:rPr>
          <w:rFonts w:hint="default"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rPr>
        <w:t>（开标）一览表…………………………………………（页码）</w:t>
      </w:r>
    </w:p>
    <w:p>
      <w:pPr>
        <w:spacing w:line="360" w:lineRule="auto"/>
        <w:ind w:left="2" w:firstLine="480" w:firstLineChars="200"/>
        <w:rPr>
          <w:rFonts w:hint="eastAsia" w:asciiTheme="minorEastAsia" w:hAnsiTheme="minorEastAsia" w:eastAsiaTheme="minorEastAsia" w:cstheme="minorEastAsia"/>
          <w:color w:val="auto"/>
          <w:sz w:val="24"/>
          <w:highlight w:val="none"/>
        </w:rPr>
      </w:pPr>
    </w:p>
    <w:p>
      <w:pPr>
        <w:spacing w:line="360" w:lineRule="auto"/>
        <w:ind w:left="2" w:firstLine="480" w:firstLineChars="200"/>
        <w:rPr>
          <w:rFonts w:hint="eastAsia" w:asciiTheme="minorEastAsia" w:hAnsiTheme="minorEastAsia" w:eastAsiaTheme="minorEastAsia" w:cstheme="minorEastAsia"/>
          <w:color w:val="auto"/>
          <w:sz w:val="24"/>
          <w:highlight w:val="none"/>
        </w:rPr>
      </w:pPr>
    </w:p>
    <w:p>
      <w:pPr>
        <w:spacing w:line="360" w:lineRule="auto"/>
        <w:ind w:left="2" w:firstLine="480" w:firstLineChars="200"/>
        <w:rPr>
          <w:rFonts w:hint="eastAsia" w:asciiTheme="minorEastAsia" w:hAnsiTheme="minorEastAsia" w:eastAsiaTheme="minorEastAsia" w:cstheme="minorEastAsia"/>
          <w:color w:val="auto"/>
          <w:sz w:val="24"/>
          <w:highlight w:val="none"/>
        </w:rPr>
      </w:pPr>
    </w:p>
    <w:p>
      <w:pPr>
        <w:spacing w:line="360" w:lineRule="auto"/>
        <w:ind w:left="2" w:firstLine="480" w:firstLineChars="200"/>
        <w:rPr>
          <w:rFonts w:hint="eastAsia" w:asciiTheme="minorEastAsia" w:hAnsiTheme="minorEastAsia" w:eastAsiaTheme="minorEastAsia" w:cstheme="minorEastAsia"/>
          <w:color w:val="auto"/>
          <w:sz w:val="24"/>
          <w:highlight w:val="none"/>
        </w:rPr>
      </w:pPr>
    </w:p>
    <w:p>
      <w:pPr>
        <w:spacing w:line="360" w:lineRule="auto"/>
        <w:ind w:left="2"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pPr>
        <w:pStyle w:val="596"/>
        <w:keepNext w:val="0"/>
        <w:pageBreakBefore w:val="0"/>
        <w:tabs>
          <w:tab w:val="clear" w:pos="720"/>
        </w:tabs>
        <w:snapToGrid w:val="0"/>
        <w:ind w:firstLine="640"/>
        <w:outlineLvl w:val="9"/>
        <w:rPr>
          <w:rFonts w:hint="eastAsia" w:asciiTheme="minorEastAsia" w:hAnsiTheme="minorEastAsia" w:eastAsiaTheme="minorEastAsia" w:cstheme="minorEastAsia"/>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Theme="minorEastAsia" w:hAnsiTheme="minorEastAsia" w:eastAsiaTheme="minorEastAsia" w:cstheme="minorEastAsia"/>
          <w:b/>
          <w:bCs w:val="0"/>
          <w:color w:val="auto"/>
          <w:kern w:val="0"/>
          <w:sz w:val="32"/>
          <w:szCs w:val="32"/>
          <w:highlight w:val="none"/>
        </w:rPr>
        <w:t>一</w:t>
      </w:r>
      <w:r>
        <w:rPr>
          <w:rFonts w:hint="eastAsia" w:asciiTheme="minorEastAsia" w:hAnsiTheme="minorEastAsia" w:eastAsiaTheme="minorEastAsia" w:cstheme="minorEastAsia"/>
          <w:b/>
          <w:bCs w:val="0"/>
          <w:color w:val="auto"/>
          <w:kern w:val="2"/>
          <w:sz w:val="32"/>
          <w:szCs w:val="32"/>
          <w:highlight w:val="none"/>
        </w:rPr>
        <w:t>、</w:t>
      </w:r>
      <w:r>
        <w:rPr>
          <w:rFonts w:hint="default" w:ascii="仿宋" w:hAnsi="仿宋" w:eastAsia="仿宋" w:cs="仿宋"/>
          <w:color w:val="auto"/>
          <w:kern w:val="2"/>
          <w:sz w:val="32"/>
          <w:szCs w:val="32"/>
          <w:highlight w:val="none"/>
          <w:lang w:eastAsia="zh-CN"/>
        </w:rPr>
        <w:t>交易一览表</w:t>
      </w:r>
      <w:r>
        <w:rPr>
          <w:rFonts w:hint="eastAsia" w:ascii="仿宋" w:hAnsi="仿宋" w:eastAsia="仿宋" w:cs="仿宋"/>
          <w:color w:val="auto"/>
          <w:kern w:val="2"/>
          <w:sz w:val="32"/>
          <w:szCs w:val="32"/>
          <w:highlight w:val="none"/>
        </w:rPr>
        <w:t>（报价表）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default" w:ascii="仿宋_GB2312" w:hAnsi="仿宋" w:eastAsia="仿宋_GB2312" w:cs="仿宋_GB2312"/>
          <w:b/>
          <w:color w:val="auto"/>
          <w:kern w:val="0"/>
          <w:sz w:val="24"/>
          <w:highlight w:val="none"/>
        </w:rPr>
      </w:pPr>
      <w:r>
        <w:rPr>
          <w:rFonts w:hint="default" w:ascii="仿宋_GB2312" w:hAnsi="仿宋" w:eastAsia="仿宋_GB2312" w:cs="仿宋_GB2312"/>
          <w:b/>
          <w:color w:val="auto"/>
          <w:kern w:val="0"/>
          <w:sz w:val="24"/>
          <w:highlight w:val="none"/>
          <w:lang w:eastAsia="zh-CN"/>
        </w:rPr>
        <w:t>交易一览表</w:t>
      </w:r>
    </w:p>
    <w:tbl>
      <w:tblPr>
        <w:tblStyle w:val="60"/>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pPr>
              <w:pStyle w:val="620"/>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标项</w:t>
            </w:r>
          </w:p>
        </w:tc>
        <w:tc>
          <w:tcPr>
            <w:tcW w:w="3827"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名称</w:t>
            </w:r>
          </w:p>
        </w:tc>
        <w:tc>
          <w:tcPr>
            <w:tcW w:w="2622"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规格型号参数</w:t>
            </w:r>
          </w:p>
        </w:tc>
        <w:tc>
          <w:tcPr>
            <w:tcW w:w="1842"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数量</w:t>
            </w:r>
          </w:p>
        </w:tc>
        <w:tc>
          <w:tcPr>
            <w:tcW w:w="1915"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单价</w:t>
            </w:r>
          </w:p>
        </w:tc>
        <w:tc>
          <w:tcPr>
            <w:tcW w:w="2996"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pPr>
              <w:spacing w:line="360" w:lineRule="exact"/>
              <w:jc w:val="center"/>
              <w:rPr>
                <w:rFonts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pPr>
              <w:spacing w:line="360" w:lineRule="exact"/>
              <w:jc w:val="center"/>
              <w:rPr>
                <w:rFonts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pPr>
              <w:pStyle w:val="620"/>
              <w:spacing w:line="400" w:lineRule="exact"/>
              <w:jc w:val="center"/>
              <w:rPr>
                <w:rFonts w:ascii="仿宋" w:hAnsi="仿宋" w:eastAsia="仿宋" w:cs="仿宋"/>
                <w:color w:val="auto"/>
                <w:sz w:val="24"/>
                <w:szCs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1、响应人需按本表格式填写，不得自行更改。</w:t>
      </w:r>
    </w:p>
    <w:p>
      <w:pPr>
        <w:snapToGrid w:val="0"/>
        <w:spacing w:line="360" w:lineRule="auto"/>
        <w:ind w:left="480"/>
        <w:rPr>
          <w:rFonts w:ascii="仿宋_GB2312" w:hAnsi="仿宋" w:eastAsia="仿宋_GB2312"/>
          <w:b/>
          <w:color w:val="auto"/>
          <w:kern w:val="0"/>
          <w:sz w:val="24"/>
          <w:highlight w:val="none"/>
        </w:rPr>
      </w:pPr>
      <w:r>
        <w:rPr>
          <w:rFonts w:hint="eastAsia" w:ascii="仿宋_GB2312" w:hAnsi="仿宋" w:eastAsia="仿宋_GB2312" w:cs="仿宋_GB2312"/>
          <w:color w:val="auto"/>
          <w:kern w:val="0"/>
          <w:sz w:val="24"/>
          <w:highlight w:val="none"/>
          <w:lang w:val="zh-CN"/>
        </w:rPr>
        <w:t>2、有关本项目实施所涉及的一切费用均计入报价。</w:t>
      </w:r>
    </w:p>
    <w:p>
      <w:pPr>
        <w:spacing w:line="360" w:lineRule="auto"/>
        <w:ind w:firstLine="480" w:firstLineChars="200"/>
        <w:jc w:val="center"/>
        <w:rPr>
          <w:rFonts w:ascii="仿宋_GB2312" w:hAnsi="仿宋" w:eastAsia="仿宋_GB2312" w:cs="仿宋_GB2312"/>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_GB2312" w:hAnsi="仿宋" w:eastAsia="仿宋_GB2312" w:cs="仿宋_GB2312"/>
          <w:color w:val="auto"/>
          <w:sz w:val="24"/>
          <w:highlight w:val="none"/>
        </w:rPr>
        <w:t xml:space="preserve">                                                                               </w:t>
      </w:r>
    </w:p>
    <w:p>
      <w:pPr>
        <w:spacing w:line="360" w:lineRule="auto"/>
        <w:ind w:firstLine="480" w:firstLineChars="200"/>
        <w:jc w:val="center"/>
        <w:rPr>
          <w:rFonts w:ascii="仿宋" w:hAnsi="仿宋" w:eastAsia="仿宋" w:cs="仿宋"/>
          <w:color w:val="auto"/>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 w:eastAsia="仿宋_GB2312" w:cs="仿宋_GB2312"/>
          <w:color w:val="auto"/>
          <w:sz w:val="24"/>
          <w:highlight w:val="none"/>
        </w:rPr>
        <w:t xml:space="preserve">                                                              日期：  年   月   日</w:t>
      </w: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pPr>
        <w:spacing w:line="360" w:lineRule="auto"/>
        <w:jc w:val="center"/>
        <w:outlineLvl w:val="0"/>
        <w:rPr>
          <w:rFonts w:hint="eastAsia" w:asciiTheme="minorEastAsia" w:hAnsiTheme="minorEastAsia" w:eastAsiaTheme="minorEastAsia" w:cstheme="minorEastAsia"/>
          <w:b/>
          <w:color w:val="auto"/>
          <w:kern w:val="0"/>
          <w:sz w:val="24"/>
          <w:highlight w:val="none"/>
        </w:rPr>
      </w:pPr>
    </w:p>
    <w:p>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w:t>
      </w:r>
      <w:r>
        <w:rPr>
          <w:rFonts w:hint="default" w:asciiTheme="minorEastAsia" w:hAnsiTheme="minorEastAsia" w:eastAsiaTheme="minorEastAsia" w:cstheme="minorEastAsia"/>
          <w:color w:val="auto"/>
          <w:sz w:val="24"/>
          <w:highlight w:val="none"/>
        </w:rPr>
        <w:t>响应函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）符合性审查资料</w:t>
      </w:r>
      <w:r>
        <w:rPr>
          <w:rFonts w:hint="eastAsia" w:asciiTheme="minorEastAsia" w:hAnsiTheme="minorEastAsia" w:eastAsiaTheme="minorEastAsia" w:cstheme="minorEastAsia"/>
          <w:color w:val="auto"/>
          <w:highlight w:val="none"/>
        </w:rPr>
        <w:t>………………………………………………………………………（页码）</w:t>
      </w:r>
    </w:p>
    <w:p>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p>
    <w:p>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）商务技术偏离表</w:t>
      </w:r>
      <w:r>
        <w:rPr>
          <w:rFonts w:hint="eastAsia" w:asciiTheme="minorEastAsia" w:hAnsiTheme="minorEastAsia" w:eastAsiaTheme="minorEastAsia" w:cstheme="minorEastAsia"/>
          <w:color w:val="auto"/>
          <w:highlight w:val="none"/>
        </w:rPr>
        <w:t>………………………………………………………………………（页码）</w:t>
      </w:r>
    </w:p>
    <w:p>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pPr>
        <w:spacing w:line="360" w:lineRule="auto"/>
        <w:rPr>
          <w:rFonts w:hint="eastAsia" w:asciiTheme="minorEastAsia" w:hAnsiTheme="minorEastAsia" w:eastAsiaTheme="minorEastAsia" w:cstheme="minorEastAsia"/>
          <w:b/>
          <w:bCs/>
          <w:color w:val="auto"/>
          <w:sz w:val="24"/>
          <w:highlight w:val="none"/>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outlineLvl w:val="0"/>
        <w:rPr>
          <w:rFonts w:hint="default"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一、</w:t>
      </w:r>
      <w:r>
        <w:rPr>
          <w:rFonts w:hint="default" w:asciiTheme="minorEastAsia" w:hAnsiTheme="minorEastAsia" w:eastAsiaTheme="minorEastAsia" w:cstheme="minorEastAsia"/>
          <w:b/>
          <w:color w:val="auto"/>
          <w:kern w:val="0"/>
          <w:sz w:val="32"/>
          <w:szCs w:val="32"/>
          <w:highlight w:val="none"/>
        </w:rPr>
        <w:t>响应函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（采购人名称）、（采购代理机构名称）：</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我方参加你方组织的XXX采购项目【</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编号：XXXXXX】</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2.1.3本项目的特定资格要求。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w:t>
      </w:r>
      <w:r>
        <w:rPr>
          <w:rFonts w:hint="default" w:asciiTheme="minorEastAsia" w:hAnsiTheme="minorEastAsia" w:eastAsiaTheme="minorEastAsia" w:cstheme="minorEastAsia"/>
          <w:color w:val="auto"/>
          <w:sz w:val="24"/>
          <w:highlight w:val="none"/>
        </w:rPr>
        <w:t>响应函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w:t>
      </w:r>
      <w:r>
        <w:rPr>
          <w:rFonts w:hint="default" w:asciiTheme="minorEastAsia" w:hAnsiTheme="minorEastAsia" w:eastAsiaTheme="minorEastAsia" w:cstheme="minorEastAsia"/>
          <w:color w:val="auto"/>
          <w:sz w:val="24"/>
          <w:highlight w:val="none"/>
        </w:rPr>
        <w:t>交易一览表</w:t>
      </w:r>
      <w:r>
        <w:rPr>
          <w:rFonts w:hint="eastAsia" w:asciiTheme="minorEastAsia" w:hAnsiTheme="minorEastAsia" w:eastAsiaTheme="minorEastAsia" w:cstheme="minorEastAsia"/>
          <w:color w:val="auto"/>
          <w:sz w:val="24"/>
          <w:highlight w:val="none"/>
        </w:rPr>
        <w:t>（报价表）；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文件的全部要求。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 xml:space="preserve">文件要求提交履约保证金；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 xml:space="preserve">名称（电子签章）：                          </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widowControl/>
        <w:adjustRightInd/>
        <w:jc w:val="left"/>
        <w:rPr>
          <w:rFonts w:hint="eastAsia" w:asciiTheme="minorEastAsia" w:hAnsiTheme="minorEastAsia" w:eastAsiaTheme="minorEastAsia" w:cstheme="minorEastAsia"/>
          <w:color w:val="auto"/>
          <w:kern w:val="0"/>
          <w:sz w:val="24"/>
          <w:highlight w:val="none"/>
          <w:u w:val="single"/>
          <w:lang w:val="zh-CN"/>
        </w:rPr>
      </w:pPr>
      <w:r>
        <w:rPr>
          <w:rFonts w:hint="eastAsia" w:asciiTheme="minorEastAsia" w:hAnsiTheme="minorEastAsia" w:eastAsiaTheme="minorEastAsia" w:cstheme="minorEastAsia"/>
          <w:color w:val="auto"/>
          <w:kern w:val="0"/>
          <w:sz w:val="24"/>
          <w:highlight w:val="none"/>
          <w:u w:val="single"/>
          <w:lang w:val="zh-CN"/>
        </w:rPr>
        <w:br w:type="page"/>
      </w:r>
    </w:p>
    <w:p>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w:t>
      </w:r>
    </w:p>
    <w:p>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身份证明</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（采购人名称）、（采购代理机构名称）</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杭州市XXX采购项目【</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编号：XXXXXX】</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供应商名称(电子签章)：</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p>
    <w:p>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w:t>
      </w:r>
      <w:r>
        <w:rPr>
          <w:rFonts w:hint="eastAsia" w:asciiTheme="minorEastAsia" w:hAnsiTheme="minorEastAsia" w:eastAsiaTheme="minorEastAsia" w:cstheme="minorEastAsia"/>
          <w:b/>
          <w:color w:val="auto"/>
          <w:sz w:val="30"/>
          <w:szCs w:val="30"/>
          <w:highlight w:val="none"/>
          <w:lang w:eastAsia="zh-CN"/>
        </w:rPr>
        <w:t>供应商</w:t>
      </w:r>
      <w:r>
        <w:rPr>
          <w:rFonts w:hint="eastAsia" w:asciiTheme="minorEastAsia" w:hAnsiTheme="minorEastAsia" w:eastAsiaTheme="minorEastAsia" w:cstheme="minorEastAsia"/>
          <w:b/>
          <w:color w:val="auto"/>
          <w:sz w:val="30"/>
          <w:szCs w:val="30"/>
          <w:highlight w:val="none"/>
        </w:rPr>
        <w:t>参加投标）</w:t>
      </w:r>
    </w:p>
    <w:p>
      <w:pPr>
        <w:pStyle w:val="61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pPr>
              <w:pStyle w:val="617"/>
              <w:spacing w:line="360" w:lineRule="auto"/>
              <w:rPr>
                <w:rFonts w:hint="eastAsia" w:asciiTheme="minorEastAsia" w:hAnsiTheme="minorEastAsia" w:eastAsiaTheme="minorEastAsia" w:cstheme="minorEastAsia"/>
                <w:bCs/>
                <w:color w:val="auto"/>
                <w:sz w:val="24"/>
                <w:highlight w:val="none"/>
              </w:rPr>
            </w:pPr>
          </w:p>
        </w:tc>
      </w:tr>
    </w:tbl>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营业执照复印件：</w:t>
      </w: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供应商名称(电子签章)：                              </w:t>
      </w:r>
    </w:p>
    <w:p>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w:t>
      </w: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en-US" w:eastAsia="zh-CN"/>
        </w:rPr>
        <w:t>三</w:t>
      </w:r>
      <w:r>
        <w:rPr>
          <w:rFonts w:hint="eastAsia" w:asciiTheme="minorEastAsia" w:hAnsiTheme="minorEastAsia" w:eastAsiaTheme="minorEastAsia" w:cstheme="minorEastAsia"/>
          <w:b/>
          <w:color w:val="auto"/>
          <w:kern w:val="0"/>
          <w:sz w:val="32"/>
          <w:szCs w:val="32"/>
          <w:highlight w:val="none"/>
        </w:rPr>
        <w:t>、符合性审查资料索引表及具体内容</w:t>
      </w: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5188"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354"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中的</w:t>
            </w:r>
          </w:p>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188"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不存在如下情形：</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未按照</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文件要求签署、盖章。</w:t>
            </w:r>
          </w:p>
        </w:tc>
        <w:tc>
          <w:tcPr>
            <w:tcW w:w="2354"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 xml:space="preserve">的组成部分中需要使用电子签章或者签字盖章处 </w:t>
            </w:r>
          </w:p>
        </w:tc>
        <w:tc>
          <w:tcPr>
            <w:tcW w:w="1418" w:type="dxa"/>
          </w:tcPr>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见</w:t>
            </w:r>
            <w:r>
              <w:rPr>
                <w:rFonts w:hint="eastAsia" w:asciiTheme="minorEastAsia" w:hAnsiTheme="minorEastAsia" w:eastAsiaTheme="minorEastAsia" w:cstheme="minorEastAsia"/>
                <w:color w:val="auto"/>
                <w:sz w:val="24"/>
                <w:highlight w:val="none"/>
                <w:lang w:eastAsia="zh-CN"/>
              </w:rPr>
              <w:t>响应文件</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188"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不存在如下情形：采购人拟采购的产品属于政府强制采购的节能产品品目清单范围的，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未按</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文件要求提供国家确定的认证机构出具的、处于有效期之内的节能产品认证证书、环境标志产品认证证书。</w:t>
            </w:r>
          </w:p>
        </w:tc>
        <w:tc>
          <w:tcPr>
            <w:tcW w:w="2354"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节能产品认证证书、环境标志产品认证证书（</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文件未要求的，无需提供）</w:t>
            </w:r>
          </w:p>
        </w:tc>
        <w:tc>
          <w:tcPr>
            <w:tcW w:w="1418" w:type="dxa"/>
          </w:tcPr>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见</w:t>
            </w:r>
            <w:r>
              <w:rPr>
                <w:rFonts w:hint="eastAsia" w:asciiTheme="minorEastAsia" w:hAnsiTheme="minorEastAsia" w:eastAsiaTheme="minorEastAsia" w:cstheme="minorEastAsia"/>
                <w:color w:val="auto"/>
                <w:sz w:val="24"/>
                <w:highlight w:val="none"/>
                <w:lang w:eastAsia="zh-CN"/>
              </w:rPr>
              <w:t>响应文件</w:t>
            </w:r>
          </w:p>
          <w:p>
            <w:pPr>
              <w:pStyle w:val="4"/>
              <w:numPr>
                <w:ilvl w:val="0"/>
                <w:numId w:val="0"/>
              </w:numPr>
              <w:ind w:left="432"/>
              <w:jc w:val="center"/>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sz w:val="24"/>
                <w:szCs w:val="24"/>
                <w:highlight w:val="none"/>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5188"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不存在如下情形：</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中承诺的投标有效期少于</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文件中载明的投标有效期。</w:t>
            </w:r>
          </w:p>
        </w:tc>
        <w:tc>
          <w:tcPr>
            <w:tcW w:w="2354" w:type="dxa"/>
            <w:vAlign w:val="center"/>
          </w:tcPr>
          <w:p>
            <w:pPr>
              <w:rPr>
                <w:rFonts w:hint="default" w:asciiTheme="minorEastAsia" w:hAnsiTheme="minorEastAsia" w:eastAsiaTheme="minorEastAsia" w:cstheme="minorEastAsia"/>
                <w:color w:val="auto"/>
                <w:sz w:val="24"/>
                <w:highlight w:val="none"/>
              </w:rPr>
            </w:pPr>
            <w:r>
              <w:rPr>
                <w:rFonts w:hint="default" w:asciiTheme="minorEastAsia" w:hAnsiTheme="minorEastAsia" w:eastAsiaTheme="minorEastAsia" w:cstheme="minorEastAsia"/>
                <w:color w:val="auto"/>
                <w:sz w:val="24"/>
                <w:highlight w:val="none"/>
              </w:rPr>
              <w:t>响应函</w:t>
            </w:r>
          </w:p>
        </w:tc>
        <w:tc>
          <w:tcPr>
            <w:tcW w:w="1418"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5188"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不存在如下情形：</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不满足</w:t>
            </w:r>
            <w:r>
              <w:rPr>
                <w:rFonts w:hint="eastAsia" w:asciiTheme="minorEastAsia" w:hAnsiTheme="minorEastAsia" w:eastAsiaTheme="minorEastAsia" w:cstheme="minorEastAsia"/>
                <w:color w:val="auto"/>
                <w:sz w:val="24"/>
                <w:highlight w:val="none"/>
                <w:lang w:eastAsia="zh-CN"/>
              </w:rPr>
              <w:t>交易</w:t>
            </w:r>
            <w:r>
              <w:rPr>
                <w:rFonts w:hint="eastAsia" w:asciiTheme="minorEastAsia" w:hAnsiTheme="minorEastAsia" w:eastAsiaTheme="minorEastAsia" w:cstheme="minorEastAsia"/>
                <w:color w:val="auto"/>
                <w:sz w:val="24"/>
                <w:highlight w:val="none"/>
              </w:rPr>
              <w:t>文件的其它实质性要求。</w:t>
            </w:r>
          </w:p>
        </w:tc>
        <w:tc>
          <w:tcPr>
            <w:tcW w:w="2354"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文件其它实质性要求相应的材料（</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文件未要求的，无需提供）</w:t>
            </w:r>
          </w:p>
        </w:tc>
        <w:tc>
          <w:tcPr>
            <w:tcW w:w="1418"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（二）符合性审查资料具体内容</w:t>
      </w: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的组成部分中需要使用电子签章或者签字盖章处（详见</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页） </w:t>
      </w:r>
    </w:p>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2、节能产品认证证书</w:t>
      </w:r>
      <w:r>
        <w:rPr>
          <w:rFonts w:hint="eastAsia" w:asciiTheme="minorEastAsia" w:hAnsiTheme="minorEastAsia" w:eastAsiaTheme="minorEastAsia" w:cstheme="minorEastAsia"/>
          <w:color w:val="auto"/>
          <w:sz w:val="24"/>
          <w:highlight w:val="none"/>
        </w:rPr>
        <w:t>、环境标志产品认证证书</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文件未要求的，无需提供）</w:t>
      </w:r>
    </w:p>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default" w:asciiTheme="minorEastAsia" w:hAnsiTheme="minorEastAsia" w:eastAsiaTheme="minorEastAsia" w:cstheme="minorEastAsia"/>
          <w:color w:val="auto"/>
          <w:sz w:val="24"/>
          <w:highlight w:val="none"/>
        </w:rPr>
        <w:t>响应函</w:t>
      </w: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文件其它实质性要求相应的材料（</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文件未要求的，无需提供）</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numPr>
          <w:ilvl w:val="0"/>
          <w:numId w:val="11"/>
        </w:num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评标标准相应的商务技术资料</w:t>
      </w:r>
    </w:p>
    <w:p>
      <w:pPr>
        <w:pStyle w:val="41"/>
        <w:numPr>
          <w:ilvl w:val="0"/>
          <w:numId w:val="0"/>
        </w:numPr>
        <w:rPr>
          <w:rFonts w:hint="eastAsia"/>
          <w:color w:val="auto"/>
          <w:highlight w:val="none"/>
        </w:rPr>
      </w:pPr>
    </w:p>
    <w:p>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w:t>
      </w: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文件第四部分评标办法前附表中“</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中评标标准相应的商务技术资料目录”提供资料）</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numPr>
          <w:ilvl w:val="0"/>
          <w:numId w:val="11"/>
        </w:numPr>
        <w:ind w:left="0" w:leftChars="0" w:firstLine="0" w:firstLineChars="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商务技术偏离表</w:t>
      </w:r>
    </w:p>
    <w:p>
      <w:pPr>
        <w:pStyle w:val="41"/>
        <w:widowControl w:val="0"/>
        <w:numPr>
          <w:ilvl w:val="0"/>
          <w:numId w:val="0"/>
        </w:numPr>
        <w:adjustRightInd w:val="0"/>
        <w:jc w:val="both"/>
        <w:rPr>
          <w:rFonts w:hint="eastAsia"/>
          <w:color w:val="auto"/>
          <w:highlight w:val="none"/>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交易</w:t>
            </w:r>
            <w:r>
              <w:rPr>
                <w:rFonts w:hint="eastAsia" w:asciiTheme="minorEastAsia" w:hAnsiTheme="minorEastAsia" w:eastAsiaTheme="minorEastAsia" w:cstheme="minorEastAsia"/>
                <w:b/>
                <w:bCs/>
                <w:color w:val="auto"/>
                <w:sz w:val="24"/>
                <w:highlight w:val="none"/>
              </w:rPr>
              <w:t>文件章节及具体内容</w:t>
            </w:r>
          </w:p>
        </w:tc>
        <w:tc>
          <w:tcPr>
            <w:tcW w:w="3546"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响应文件</w:t>
            </w:r>
            <w:r>
              <w:rPr>
                <w:rFonts w:hint="eastAsia" w:asciiTheme="minorEastAsia" w:hAnsiTheme="minorEastAsia" w:eastAsiaTheme="minorEastAsia" w:cstheme="minorEastAsia"/>
                <w:b/>
                <w:bCs/>
                <w:color w:val="auto"/>
                <w:sz w:val="24"/>
                <w:highlight w:val="none"/>
              </w:rPr>
              <w:t>章节及具体内容</w:t>
            </w:r>
          </w:p>
        </w:tc>
        <w:tc>
          <w:tcPr>
            <w:tcW w:w="1276"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1</w:t>
            </w:r>
          </w:p>
        </w:tc>
        <w:tc>
          <w:tcPr>
            <w:tcW w:w="3683" w:type="dxa"/>
          </w:tcPr>
          <w:p>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2</w:t>
            </w:r>
          </w:p>
        </w:tc>
        <w:tc>
          <w:tcPr>
            <w:tcW w:w="3683" w:type="dxa"/>
          </w:tcPr>
          <w:p>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w:t>
            </w:r>
          </w:p>
        </w:tc>
        <w:tc>
          <w:tcPr>
            <w:tcW w:w="3683" w:type="dxa"/>
          </w:tcPr>
          <w:p>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bl>
    <w:p>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保证：除商务技术偏离表列出的偏离外，</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eastAsia="zh-CN"/>
        </w:rPr>
        <w:t>交易</w:t>
      </w:r>
      <w:r>
        <w:rPr>
          <w:rFonts w:hint="eastAsia" w:asciiTheme="minorEastAsia" w:hAnsiTheme="minorEastAsia" w:eastAsiaTheme="minorEastAsia" w:cstheme="minorEastAsia"/>
          <w:color w:val="auto"/>
          <w:kern w:val="0"/>
          <w:sz w:val="24"/>
          <w:highlight w:val="none"/>
        </w:rPr>
        <w:t>文件的全部要求</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ind w:firstLine="2891" w:firstLineChars="900"/>
        <w:rPr>
          <w:rFonts w:hint="eastAsia" w:asciiTheme="minorEastAsia" w:hAnsiTheme="minorEastAsia" w:eastAsiaTheme="minorEastAsia" w:cstheme="minorEastAsia"/>
          <w:b/>
          <w:bCs/>
          <w:color w:val="auto"/>
          <w:sz w:val="32"/>
          <w:szCs w:val="32"/>
          <w:highlight w:val="none"/>
        </w:rPr>
      </w:pPr>
    </w:p>
    <w:p>
      <w:pPr>
        <w:ind w:firstLine="2891" w:firstLineChars="900"/>
        <w:rPr>
          <w:rFonts w:hint="eastAsia" w:asciiTheme="minorEastAsia" w:hAnsiTheme="minorEastAsia" w:eastAsiaTheme="minorEastAsia" w:cstheme="minorEastAsia"/>
          <w:b/>
          <w:bCs/>
          <w:color w:val="auto"/>
          <w:sz w:val="32"/>
          <w:szCs w:val="32"/>
          <w:highlight w:val="none"/>
        </w:rPr>
      </w:pPr>
    </w:p>
    <w:p>
      <w:pPr>
        <w:ind w:firstLine="2891" w:firstLineChars="900"/>
        <w:rPr>
          <w:rFonts w:hint="eastAsia" w:asciiTheme="minorEastAsia" w:hAnsiTheme="minorEastAsia" w:eastAsiaTheme="minorEastAsia" w:cstheme="minorEastAsia"/>
          <w:b/>
          <w:bCs/>
          <w:color w:val="auto"/>
          <w:sz w:val="32"/>
          <w:szCs w:val="32"/>
          <w:highlight w:val="none"/>
        </w:rPr>
      </w:pPr>
    </w:p>
    <w:p>
      <w:pPr>
        <w:ind w:firstLine="2891" w:firstLineChars="900"/>
        <w:rPr>
          <w:rFonts w:hint="eastAsia" w:asciiTheme="minorEastAsia" w:hAnsiTheme="minorEastAsia" w:eastAsiaTheme="minorEastAsia" w:cstheme="minorEastAsia"/>
          <w:b/>
          <w:bCs/>
          <w:color w:val="auto"/>
          <w:sz w:val="32"/>
          <w:szCs w:val="32"/>
          <w:highlight w:val="none"/>
        </w:rPr>
      </w:pPr>
    </w:p>
    <w:p>
      <w:pPr>
        <w:ind w:firstLine="2891" w:firstLineChars="900"/>
        <w:rPr>
          <w:rFonts w:hint="eastAsia" w:asciiTheme="minorEastAsia" w:hAnsiTheme="minorEastAsia" w:eastAsiaTheme="minorEastAsia" w:cstheme="minorEastAsia"/>
          <w:b/>
          <w:bCs/>
          <w:color w:val="auto"/>
          <w:sz w:val="32"/>
          <w:szCs w:val="32"/>
          <w:highlight w:val="none"/>
        </w:rPr>
      </w:pPr>
    </w:p>
    <w:p>
      <w:pPr>
        <w:ind w:firstLine="2891" w:firstLineChars="900"/>
        <w:rPr>
          <w:rFonts w:hint="eastAsia" w:asciiTheme="minorEastAsia" w:hAnsiTheme="minorEastAsia" w:eastAsiaTheme="minorEastAsia" w:cstheme="minorEastAsia"/>
          <w:b/>
          <w:bCs/>
          <w:color w:val="auto"/>
          <w:sz w:val="32"/>
          <w:szCs w:val="32"/>
          <w:highlight w:val="none"/>
        </w:rPr>
      </w:pP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numPr>
          <w:ilvl w:val="0"/>
          <w:numId w:val="11"/>
        </w:numPr>
        <w:ind w:left="0" w:leftChars="0" w:firstLine="0" w:firstLineChars="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pStyle w:val="41"/>
        <w:widowControl w:val="0"/>
        <w:numPr>
          <w:ilvl w:val="0"/>
          <w:numId w:val="0"/>
        </w:numPr>
        <w:adjustRightInd w:val="0"/>
        <w:jc w:val="both"/>
        <w:rPr>
          <w:rFonts w:hint="eastAsia"/>
          <w:color w:val="auto"/>
          <w:highlight w:val="none"/>
        </w:rPr>
      </w:pP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（采购人名称）、（采购代理机构名称）</w:t>
      </w:r>
      <w:r>
        <w:rPr>
          <w:rFonts w:hint="eastAsia" w:asciiTheme="minorEastAsia" w:hAnsiTheme="minorEastAsia" w:eastAsiaTheme="minorEastAsia" w:cstheme="minorEastAsia"/>
          <w:color w:val="auto"/>
          <w:kern w:val="0"/>
          <w:sz w:val="24"/>
          <w:highlight w:val="none"/>
          <w:lang w:val="zh-CN"/>
        </w:rPr>
        <w:t>：</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项目交易要求参加投标。在这次投标过程中和中标后，我们将严格遵守国家法律法规要求，并郑重承诺：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交易投标</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r>
        <w:rPr>
          <w:rFonts w:hint="eastAsia" w:asciiTheme="minorEastAsia" w:hAnsiTheme="minorEastAsia" w:eastAsiaTheme="minorEastAsia" w:cstheme="minorEastAsia"/>
          <w:color w:val="auto"/>
          <w:sz w:val="24"/>
          <w:highlight w:val="none"/>
        </w:rPr>
        <w:t>电子签章</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numPr>
          <w:ilvl w:val="0"/>
          <w:numId w:val="12"/>
        </w:numPr>
        <w:spacing w:line="360" w:lineRule="auto"/>
        <w:jc w:val="center"/>
        <w:rPr>
          <w:rFonts w:hint="eastAsia" w:asciiTheme="minorEastAsia" w:hAnsiTheme="minorEastAsia" w:eastAsiaTheme="minorEastAsia" w:cstheme="minorEastAsia"/>
          <w:b/>
          <w:bCs/>
          <w:color w:val="auto"/>
          <w:kern w:val="0"/>
          <w:sz w:val="24"/>
          <w:highlight w:val="none"/>
        </w:rPr>
        <w:sectPr>
          <w:headerReference r:id="rId14" w:type="default"/>
          <w:footerReference r:id="rId15" w:type="default"/>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pPr>
        <w:spacing w:line="360" w:lineRule="auto"/>
        <w:ind w:right="420"/>
        <w:rPr>
          <w:rFonts w:hint="eastAsia" w:asciiTheme="minorEastAsia" w:hAnsiTheme="minorEastAsia" w:eastAsiaTheme="minorEastAsia" w:cstheme="minorEastAsia"/>
          <w:b/>
          <w:color w:val="auto"/>
          <w:sz w:val="24"/>
          <w:highlight w:val="none"/>
        </w:rPr>
      </w:pPr>
    </w:p>
    <w:p>
      <w:pPr>
        <w:pStyle w:val="3"/>
        <w:rPr>
          <w:rFonts w:hint="eastAsia" w:asciiTheme="minorEastAsia" w:hAnsiTheme="minorEastAsia" w:eastAsiaTheme="minorEastAsia" w:cstheme="minorEastAsia"/>
          <w:color w:val="auto"/>
          <w:highlight w:val="none"/>
        </w:rPr>
      </w:pPr>
      <w:bookmarkStart w:id="430" w:name="_Toc465665161"/>
      <w:r>
        <w:rPr>
          <w:rFonts w:hint="eastAsia" w:asciiTheme="minorEastAsia" w:hAnsiTheme="minorEastAsia" w:eastAsiaTheme="minorEastAsia" w:cstheme="minorEastAsia"/>
          <w:color w:val="auto"/>
          <w:highlight w:val="none"/>
        </w:rPr>
        <w:t>附件</w:t>
      </w:r>
      <w:bookmarkEnd w:id="430"/>
    </w:p>
    <w:p>
      <w:pPr>
        <w:rPr>
          <w:rFonts w:hint="eastAsia"/>
          <w:color w:val="auto"/>
          <w:highlight w:val="none"/>
        </w:rPr>
      </w:pPr>
    </w:p>
    <w:p>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附件1：质疑函范本及制作说明</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邮箱：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标项号：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w:t>
      </w:r>
      <w:r>
        <w:rPr>
          <w:rFonts w:hint="eastAsia" w:asciiTheme="minorEastAsia" w:hAnsiTheme="minorEastAsia" w:eastAsiaTheme="minorEastAsia" w:cstheme="minorEastAsia"/>
          <w:b/>
          <w:color w:val="auto"/>
          <w:spacing w:val="6"/>
          <w:sz w:val="32"/>
          <w:szCs w:val="32"/>
          <w:highlight w:val="none"/>
          <w:lang w:val="en-US" w:eastAsia="zh-CN"/>
        </w:rPr>
        <w:t>2</w:t>
      </w:r>
      <w:r>
        <w:rPr>
          <w:rFonts w:hint="eastAsia" w:asciiTheme="minorEastAsia" w:hAnsiTheme="minorEastAsia" w:eastAsiaTheme="minorEastAsia" w:cstheme="minorEastAsia"/>
          <w:b/>
          <w:color w:val="auto"/>
          <w:spacing w:val="6"/>
          <w:sz w:val="32"/>
          <w:szCs w:val="32"/>
          <w:highlight w:val="none"/>
        </w:rPr>
        <w:t>：投诉书范本及制作说明</w:t>
      </w:r>
    </w:p>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采购人/采购代理机构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p>
    <w:p>
      <w:pPr>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w:t>
      </w:r>
      <w:r>
        <w:rPr>
          <w:rFonts w:hint="eastAsia" w:asciiTheme="minorEastAsia" w:hAnsiTheme="minorEastAsia" w:eastAsiaTheme="minorEastAsia" w:cstheme="minorEastAsia"/>
          <w:b/>
          <w:color w:val="auto"/>
          <w:spacing w:val="6"/>
          <w:sz w:val="32"/>
          <w:szCs w:val="32"/>
          <w:highlight w:val="none"/>
          <w:lang w:val="en-US" w:eastAsia="zh-CN"/>
        </w:rPr>
        <w:t>3</w:t>
      </w:r>
      <w:r>
        <w:rPr>
          <w:rFonts w:hint="eastAsia" w:asciiTheme="minorEastAsia" w:hAnsiTheme="minorEastAsia" w:eastAsiaTheme="minorEastAsia" w:cstheme="minorEastAsia"/>
          <w:b/>
          <w:color w:val="auto"/>
          <w:spacing w:val="6"/>
          <w:sz w:val="32"/>
          <w:szCs w:val="32"/>
          <w:highlight w:val="none"/>
        </w:rPr>
        <w:t xml:space="preserve"> 质疑答复范本</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关于**</w:t>
      </w:r>
      <w:r>
        <w:rPr>
          <w:rFonts w:hint="eastAsia" w:asciiTheme="minorEastAsia" w:hAnsiTheme="minorEastAsia" w:eastAsiaTheme="minorEastAsia" w:cstheme="minorEastAsia"/>
          <w:b/>
          <w:color w:val="auto"/>
          <w:spacing w:val="6"/>
          <w:sz w:val="32"/>
          <w:szCs w:val="32"/>
          <w:highlight w:val="none"/>
          <w:lang w:val="en-US" w:eastAsia="zh-CN"/>
        </w:rPr>
        <w:t>***</w:t>
      </w:r>
      <w:r>
        <w:rPr>
          <w:rFonts w:hint="eastAsia" w:asciiTheme="minorEastAsia" w:hAnsiTheme="minorEastAsia" w:eastAsiaTheme="minorEastAsia" w:cstheme="minorEastAsia"/>
          <w:b/>
          <w:color w:val="auto"/>
          <w:spacing w:val="6"/>
          <w:sz w:val="32"/>
          <w:szCs w:val="32"/>
          <w:highlight w:val="none"/>
        </w:rPr>
        <w:t>项目质疑的答复</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质疑项目名称：</w:t>
      </w:r>
      <w:r>
        <w:rPr>
          <w:rFonts w:hint="eastAsia" w:asciiTheme="minorEastAsia" w:hAnsiTheme="minorEastAsia" w:eastAsiaTheme="minorEastAsia" w:cstheme="minorEastAsia"/>
          <w:color w:val="auto"/>
          <w:sz w:val="24"/>
          <w:highlight w:val="none"/>
          <w:u w:val="dotted"/>
        </w:rPr>
        <w:t xml:space="preserve"> ***政府采购项目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质疑项目编号：</w:t>
      </w:r>
      <w:r>
        <w:rPr>
          <w:rFonts w:hint="eastAsia" w:asciiTheme="minorEastAsia" w:hAnsiTheme="minorEastAsia" w:eastAsiaTheme="minorEastAsia" w:cstheme="minorEastAsia"/>
          <w:color w:val="auto"/>
          <w:sz w:val="24"/>
          <w:highlight w:val="none"/>
          <w:u w:val="dotted"/>
        </w:rPr>
        <w:t xml:space="preserve"> ***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本单位于  月  日收到质疑函，  月  日收到补充材料，答复内容如下。</w:t>
      </w:r>
    </w:p>
    <w:p>
      <w:pPr>
        <w:numPr>
          <w:ilvl w:val="0"/>
          <w:numId w:val="13"/>
        </w:num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质疑人</w:t>
      </w:r>
    </w:p>
    <w:p>
      <w:pPr>
        <w:snapToGrid w:val="0"/>
        <w:spacing w:line="360" w:lineRule="auto"/>
        <w:jc w:val="left"/>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                           </w:t>
      </w:r>
    </w:p>
    <w:p>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二、项目采购人和代理机构</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采购人地址：</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jc w:val="left"/>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u w:val="dotted"/>
        </w:rPr>
        <w:t xml:space="preserve">               邮箱：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采购代理机构：</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采购代理机构地址：</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u w:val="dotted"/>
        </w:rPr>
        <w:t xml:space="preserve">                 邮箱：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质疑事项2：</w:t>
      </w:r>
      <w:r>
        <w:rPr>
          <w:rFonts w:hint="eastAsia" w:asciiTheme="minorEastAsia" w:hAnsiTheme="minorEastAsia" w:eastAsiaTheme="minorEastAsia" w:cstheme="minorEastAsia"/>
          <w:color w:val="auto"/>
          <w:sz w:val="24"/>
          <w:highlight w:val="none"/>
          <w:u w:val="dotted"/>
        </w:rPr>
        <w:t xml:space="preserve">                    </w:t>
      </w:r>
    </w:p>
    <w:p>
      <w:pPr>
        <w:numPr>
          <w:ilvl w:val="0"/>
          <w:numId w:val="14"/>
        </w:num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审查及答复</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bCs/>
          <w:color w:val="auto"/>
          <w:sz w:val="24"/>
          <w:highlight w:val="none"/>
        </w:rPr>
        <w:t>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事项2：</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ind w:firstLine="48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欢迎并感谢你单位对政府采购活动的参与和支持。</w:t>
      </w:r>
    </w:p>
    <w:p>
      <w:pPr>
        <w:snapToGrid w:val="0"/>
        <w:spacing w:line="360" w:lineRule="auto"/>
        <w:rPr>
          <w:rFonts w:hint="eastAsia" w:asciiTheme="minorEastAsia" w:hAnsiTheme="minorEastAsia" w:eastAsiaTheme="minorEastAsia" w:cstheme="minorEastAsia"/>
          <w:bCs/>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采购单位：</w:t>
      </w:r>
    </w:p>
    <w:p>
      <w:pPr>
        <w:spacing w:line="360" w:lineRule="auto"/>
        <w:ind w:firstLine="5520" w:firstLineChars="2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spacing w:line="360" w:lineRule="auto"/>
        <w:rPr>
          <w:rFonts w:hint="eastAsia" w:asciiTheme="minorEastAsia" w:hAnsiTheme="minorEastAsia" w:eastAsiaTheme="minorEastAsia" w:cstheme="minorEastAsia"/>
          <w:b/>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altName w:val="微软雅黑"/>
    <w:panose1 w:val="02010509060101010101"/>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decorative"/>
    <w:pitch w:val="default"/>
    <w:sig w:usb0="00000007" w:usb1="00000000" w:usb2="00000000" w:usb3="00000000" w:csb0="00000093"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decorative"/>
    <w:pitch w:val="default"/>
    <w:sig w:usb0="00000000" w:usb1="00000000" w:usb2="00000000" w:usb3="00000000" w:csb0="00000001" w:csb1="00000000"/>
  </w:font>
  <w:font w:name="ˎ̥">
    <w:altName w:val="微软雅黑"/>
    <w:panose1 w:val="00000000000000000000"/>
    <w:charset w:val="00"/>
    <w:family w:val="modern"/>
    <w:pitch w:val="default"/>
    <w:sig w:usb0="00000000" w:usb1="00000000" w:usb2="00000000" w:usb3="00000000" w:csb0="00040001" w:csb1="00000000"/>
  </w:font>
  <w:font w:name="Futura Bk">
    <w:altName w:val="Trebuchet MS"/>
    <w:panose1 w:val="00000000000000000000"/>
    <w:charset w:val="00"/>
    <w:family w:val="decorative"/>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swiss"/>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decorative"/>
    <w:pitch w:val="default"/>
    <w:sig w:usb0="00000000" w:usb1="00000000" w:usb2="00000000" w:usb3="00000000" w:csb0="2000009F" w:csb1="DFD70000"/>
  </w:font>
  <w:font w:name="新宋体">
    <w:panose1 w:val="02010609030101010101"/>
    <w:charset w:val="86"/>
    <w:family w:val="swiss"/>
    <w:pitch w:val="default"/>
    <w:sig w:usb0="00000283" w:usb1="288F0000" w:usb2="00000006" w:usb3="00000000" w:csb0="00040001"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1"/>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decorative"/>
    <w:pitch w:val="default"/>
    <w:sig w:usb0="00000000" w:usb1="00000000" w:usb2="00000000" w:usb3="00000000" w:csb0="00000001" w:csb1="00000000"/>
  </w:font>
  <w:font w:name="Arial Unicode MS">
    <w:altName w:val="宋体"/>
    <w:panose1 w:val="020B0604020202020204"/>
    <w:charset w:val="86"/>
    <w:family w:val="decorative"/>
    <w:pitch w:val="default"/>
    <w:sig w:usb0="00000000" w:usb1="00000000" w:usb2="0000003F" w:usb3="00000000" w:csb0="603F01FF" w:csb1="FFFF0000"/>
  </w:font>
  <w:font w:name="Century Gothic">
    <w:altName w:val="NumberOnly"/>
    <w:panose1 w:val="020B0502020202020204"/>
    <w:charset w:val="00"/>
    <w:family w:val="decorative"/>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rial (W1)">
    <w:altName w:val="Arial"/>
    <w:panose1 w:val="00000000000000000000"/>
    <w:charset w:val="00"/>
    <w:family w:val="decorative"/>
    <w:pitch w:val="default"/>
    <w:sig w:usb0="00000000" w:usb1="00000000" w:usb2="00000000" w:usb3="00000000" w:csb0="00000001" w:csb1="00000000"/>
  </w:font>
  <w:font w:name="Aldine401 BT">
    <w:altName w:val="Courier New"/>
    <w:panose1 w:val="00000000000000000000"/>
    <w:charset w:val="00"/>
    <w:family w:val="modern"/>
    <w:pitch w:val="default"/>
    <w:sig w:usb0="00000000" w:usb1="00000000" w:usb2="00000000" w:usb3="00000000" w:csb0="00000001" w:csb1="00000000"/>
  </w:font>
  <w:font w:name="幼圆">
    <w:altName w:val="宋体"/>
    <w:panose1 w:val="02010509060101010101"/>
    <w:charset w:val="86"/>
    <w:family w:val="swiss"/>
    <w:pitch w:val="default"/>
    <w:sig w:usb0="00000000" w:usb1="00000000" w:usb2="00000000" w:usb3="00000000" w:csb0="00040000" w:csb1="00000000"/>
  </w:font>
  <w:font w:name="FHLHE E+ Futura Bk">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31" w:name="_Toc131845147"/>
    <w:bookmarkStart w:id="432" w:name="_Toc36110187"/>
    <w:bookmarkStart w:id="433" w:name="_Toc91899912"/>
    <w:bookmarkStart w:id="434" w:name="_Toc164085800"/>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jc w:val="right"/>
    </w:pPr>
    <w:r>
      <w:rPr>
        <w:rFonts w:hint="eastAsia"/>
      </w:rPr>
      <w:t>公开</w:t>
    </w:r>
    <w:r>
      <w:rPr>
        <w:rFonts w:hint="eastAsia"/>
        <w:lang w:eastAsia="zh-CN"/>
      </w:rPr>
      <w:t>交易</w:t>
    </w:r>
    <w:r>
      <w:rPr>
        <w:rFonts w:hint="eastAsia"/>
      </w:rPr>
      <w:t>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ind w:right="720"/>
      <w:jc w:val="right"/>
    </w:pPr>
    <w:r>
      <w:rPr>
        <w:rFonts w:hint="eastAsia"/>
        <w:lang w:val="en-US" w:eastAsia="zh-CN"/>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ascii="仿宋_GB2312" w:eastAsia="仿宋_GB2312"/>
        <w:b/>
        <w:i/>
        <w:u w:val="single"/>
      </w:rPr>
    </w:pPr>
    <w:r>
      <w:rPr>
        <w:rFonts w:hint="eastAsia"/>
        <w:lang w:val="en-US" w:eastAsia="zh-CN"/>
      </w:rPr>
      <w:t xml:space="preserve">                                                                                                                                                                      </w:t>
    </w:r>
    <w:r>
      <w:rPr>
        <w:rFonts w:hint="eastAsia"/>
      </w:rPr>
      <w:t>公开</w:t>
    </w:r>
    <w:r>
      <w:rPr>
        <w:rFonts w:hint="eastAsia"/>
        <w:lang w:eastAsia="zh-CN"/>
      </w:rPr>
      <w:t>交易</w:t>
    </w:r>
    <w:r>
      <w:rPr>
        <w:rFonts w:hint="eastAsia"/>
      </w:rP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pPr>
    <w:r>
      <w:rPr>
        <w:rFonts w:hint="eastAsia"/>
        <w:lang w:val="en-US" w:eastAsia="zh-CN"/>
      </w:rPr>
      <w:t xml:space="preserve">                                                                                       </w:t>
    </w:r>
    <w:r>
      <w:rPr>
        <w:rFonts w:hint="eastAsia"/>
      </w:rPr>
      <w:t>公开</w:t>
    </w:r>
    <w:r>
      <w:rPr>
        <w:rFonts w:hint="eastAsia"/>
        <w:lang w:eastAsia="zh-CN"/>
      </w:rPr>
      <w:t>交易</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ascii="仿宋_GB2312" w:eastAsia="仿宋_GB2312"/>
        <w:b/>
        <w:i/>
        <w:u w:val="single"/>
      </w:rPr>
    </w:pPr>
    <w:r>
      <w:t></w:t>
    </w:r>
    <w:r>
      <w:rPr>
        <w:rFonts w:hint="eastAsia"/>
        <w:lang w:val="en-US" w:eastAsia="zh-CN"/>
      </w:rPr>
      <w:t xml:space="preserve">                 </w:t>
    </w:r>
    <w:r>
      <w:t>公开</w:t>
    </w:r>
    <w:r>
      <w:rPr>
        <w:rFonts w:hint="eastAsia"/>
        <w:lang w:eastAsia="zh-CN"/>
      </w:rPr>
      <w:t>交易</w:t>
    </w:r>
    <w:r>
      <w:t>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lang w:val="en-US" w:eastAsia="zh-CN"/>
      </w:rPr>
      <w:t xml:space="preserve">                                                                                       </w:t>
    </w:r>
    <w:r>
      <w:rPr>
        <w:rFonts w:hint="eastAsia"/>
      </w:rPr>
      <w:t>公开</w:t>
    </w:r>
    <w:r>
      <w:rPr>
        <w:rFonts w:hint="eastAsia"/>
        <w:lang w:eastAsia="zh-CN"/>
      </w:rPr>
      <w:t>交易</w:t>
    </w:r>
    <w:r>
      <w:rPr>
        <w:rFonts w:hint="eastAsia"/>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pPr>
    <w:r>
      <w:rPr>
        <w:rFonts w:hint="eastAsia"/>
      </w:rPr>
      <w:t>萧山区政府采购公开</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0"/>
    <w:multiLevelType w:val="singleLevel"/>
    <w:tmpl w:val="00000000"/>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2"/>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36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0">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E8A8CF3"/>
    <w:multiLevelType w:val="singleLevel"/>
    <w:tmpl w:val="5E8A8CF3"/>
    <w:lvl w:ilvl="0" w:tentative="0">
      <w:start w:val="4"/>
      <w:numFmt w:val="chineseCounting"/>
      <w:suff w:val="nothing"/>
      <w:lvlText w:val="%1、"/>
      <w:lvlJc w:val="left"/>
      <w:rPr>
        <w:rFonts w:hint="eastAsia"/>
      </w:rPr>
    </w:lvl>
  </w:abstractNum>
  <w:abstractNum w:abstractNumId="13">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9"/>
  </w:num>
  <w:num w:numId="3">
    <w:abstractNumId w:val="2"/>
  </w:num>
  <w:num w:numId="4">
    <w:abstractNumId w:val="7"/>
  </w:num>
  <w:num w:numId="5">
    <w:abstractNumId w:val="11"/>
  </w:num>
  <w:num w:numId="6">
    <w:abstractNumId w:val="13"/>
  </w:num>
  <w:num w:numId="7">
    <w:abstractNumId w:val="6"/>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xYWJjYWQ1Yzk5ZWVkMDRlMmQ1NGY2MzY5ZWQzZmQ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E1269F"/>
    <w:rsid w:val="03FD2384"/>
    <w:rsid w:val="04090E60"/>
    <w:rsid w:val="040C0819"/>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92F76"/>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4A29D4"/>
    <w:rsid w:val="0B555A05"/>
    <w:rsid w:val="0B582596"/>
    <w:rsid w:val="0B7C44D7"/>
    <w:rsid w:val="0BA75FB3"/>
    <w:rsid w:val="0BC92AF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53677C"/>
    <w:rsid w:val="0E7D26B6"/>
    <w:rsid w:val="0E924E11"/>
    <w:rsid w:val="0E9E6E62"/>
    <w:rsid w:val="0EB36461"/>
    <w:rsid w:val="0EB750E2"/>
    <w:rsid w:val="0F657030"/>
    <w:rsid w:val="0F816ACD"/>
    <w:rsid w:val="0FB94AA9"/>
    <w:rsid w:val="0FD44A90"/>
    <w:rsid w:val="10550967"/>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2D16DC9"/>
    <w:rsid w:val="13072A44"/>
    <w:rsid w:val="130B45A9"/>
    <w:rsid w:val="13173672"/>
    <w:rsid w:val="13414693"/>
    <w:rsid w:val="13497FBE"/>
    <w:rsid w:val="135B48AB"/>
    <w:rsid w:val="135D2E40"/>
    <w:rsid w:val="137C5628"/>
    <w:rsid w:val="138403CC"/>
    <w:rsid w:val="13B81E24"/>
    <w:rsid w:val="145543E5"/>
    <w:rsid w:val="146855F8"/>
    <w:rsid w:val="149B4CA4"/>
    <w:rsid w:val="14E530ED"/>
    <w:rsid w:val="15280237"/>
    <w:rsid w:val="15761F97"/>
    <w:rsid w:val="15C27407"/>
    <w:rsid w:val="15C312F8"/>
    <w:rsid w:val="161458E9"/>
    <w:rsid w:val="16167586"/>
    <w:rsid w:val="162F1D9B"/>
    <w:rsid w:val="1670582E"/>
    <w:rsid w:val="16A11B76"/>
    <w:rsid w:val="16E50215"/>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44389A"/>
    <w:rsid w:val="1A554870"/>
    <w:rsid w:val="1A6C1BBA"/>
    <w:rsid w:val="1A7867B1"/>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67443"/>
    <w:rsid w:val="1CE974F2"/>
    <w:rsid w:val="1CF902A5"/>
    <w:rsid w:val="1CFB79C6"/>
    <w:rsid w:val="1D061E52"/>
    <w:rsid w:val="1D266CE1"/>
    <w:rsid w:val="1D295B40"/>
    <w:rsid w:val="1D3963AF"/>
    <w:rsid w:val="1D4D5E8E"/>
    <w:rsid w:val="1D762EC8"/>
    <w:rsid w:val="1D7F6A82"/>
    <w:rsid w:val="1D832687"/>
    <w:rsid w:val="1D83500D"/>
    <w:rsid w:val="1E0A530C"/>
    <w:rsid w:val="1E0D2147"/>
    <w:rsid w:val="1E3465FF"/>
    <w:rsid w:val="1E3E432C"/>
    <w:rsid w:val="1E601A36"/>
    <w:rsid w:val="1E714A66"/>
    <w:rsid w:val="1E796654"/>
    <w:rsid w:val="1E886C9D"/>
    <w:rsid w:val="1EAD0046"/>
    <w:rsid w:val="1EAE09F3"/>
    <w:rsid w:val="1ECF22A8"/>
    <w:rsid w:val="1EDD3086"/>
    <w:rsid w:val="1EE551B2"/>
    <w:rsid w:val="1EE5563C"/>
    <w:rsid w:val="1EE7764E"/>
    <w:rsid w:val="1EF34658"/>
    <w:rsid w:val="1F0A6DC3"/>
    <w:rsid w:val="1F0F54A8"/>
    <w:rsid w:val="1F3B6EBB"/>
    <w:rsid w:val="1F62533A"/>
    <w:rsid w:val="1F7A6B27"/>
    <w:rsid w:val="1F7C7B91"/>
    <w:rsid w:val="1FC13803"/>
    <w:rsid w:val="1FC17A0D"/>
    <w:rsid w:val="1FE627DD"/>
    <w:rsid w:val="1FE868A9"/>
    <w:rsid w:val="1FF5350D"/>
    <w:rsid w:val="20036B1D"/>
    <w:rsid w:val="204E6847"/>
    <w:rsid w:val="207F084A"/>
    <w:rsid w:val="20AD351B"/>
    <w:rsid w:val="20BA3BA7"/>
    <w:rsid w:val="20C75D9C"/>
    <w:rsid w:val="20E250CB"/>
    <w:rsid w:val="213B0D78"/>
    <w:rsid w:val="214473ED"/>
    <w:rsid w:val="21505D92"/>
    <w:rsid w:val="21722593"/>
    <w:rsid w:val="217658F9"/>
    <w:rsid w:val="217C668E"/>
    <w:rsid w:val="219E6AFD"/>
    <w:rsid w:val="21A149DD"/>
    <w:rsid w:val="21DB4464"/>
    <w:rsid w:val="2217605D"/>
    <w:rsid w:val="222B63E9"/>
    <w:rsid w:val="225D5AB1"/>
    <w:rsid w:val="22E77460"/>
    <w:rsid w:val="23055FD8"/>
    <w:rsid w:val="2329689A"/>
    <w:rsid w:val="232A7827"/>
    <w:rsid w:val="23353491"/>
    <w:rsid w:val="2351124D"/>
    <w:rsid w:val="236478D2"/>
    <w:rsid w:val="237F19E8"/>
    <w:rsid w:val="23C34B4D"/>
    <w:rsid w:val="23ED0E03"/>
    <w:rsid w:val="244514B2"/>
    <w:rsid w:val="24860EE4"/>
    <w:rsid w:val="24861ACA"/>
    <w:rsid w:val="2490101C"/>
    <w:rsid w:val="24AE56A0"/>
    <w:rsid w:val="24E748D0"/>
    <w:rsid w:val="24F06DB3"/>
    <w:rsid w:val="25237CF4"/>
    <w:rsid w:val="25265E74"/>
    <w:rsid w:val="255C221D"/>
    <w:rsid w:val="257E0B86"/>
    <w:rsid w:val="257E5ED0"/>
    <w:rsid w:val="25861231"/>
    <w:rsid w:val="25A556BF"/>
    <w:rsid w:val="25D54AB7"/>
    <w:rsid w:val="25D80104"/>
    <w:rsid w:val="25DD396C"/>
    <w:rsid w:val="26067898"/>
    <w:rsid w:val="26226DDC"/>
    <w:rsid w:val="263A6020"/>
    <w:rsid w:val="2641214D"/>
    <w:rsid w:val="264A1001"/>
    <w:rsid w:val="264D464E"/>
    <w:rsid w:val="26A85D28"/>
    <w:rsid w:val="26BA0A4A"/>
    <w:rsid w:val="26C8461C"/>
    <w:rsid w:val="2702368A"/>
    <w:rsid w:val="2714160F"/>
    <w:rsid w:val="27271343"/>
    <w:rsid w:val="276C7A9B"/>
    <w:rsid w:val="27E65F87"/>
    <w:rsid w:val="28013942"/>
    <w:rsid w:val="28051028"/>
    <w:rsid w:val="2822331D"/>
    <w:rsid w:val="28377363"/>
    <w:rsid w:val="28434545"/>
    <w:rsid w:val="284B5813"/>
    <w:rsid w:val="285F54D9"/>
    <w:rsid w:val="285F6637"/>
    <w:rsid w:val="286363AA"/>
    <w:rsid w:val="286640ED"/>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C0933DD"/>
    <w:rsid w:val="2C152DB5"/>
    <w:rsid w:val="2C4630FB"/>
    <w:rsid w:val="2C78619D"/>
    <w:rsid w:val="2C7A0167"/>
    <w:rsid w:val="2C857BF3"/>
    <w:rsid w:val="2C9A7991"/>
    <w:rsid w:val="2D0D7B88"/>
    <w:rsid w:val="2D404F0C"/>
    <w:rsid w:val="2D742E08"/>
    <w:rsid w:val="2DBB0A37"/>
    <w:rsid w:val="2DD15014"/>
    <w:rsid w:val="2DD65871"/>
    <w:rsid w:val="2E0F2B31"/>
    <w:rsid w:val="2E1B7598"/>
    <w:rsid w:val="2E3D31FA"/>
    <w:rsid w:val="2E5F5866"/>
    <w:rsid w:val="2E61338C"/>
    <w:rsid w:val="2E677D38"/>
    <w:rsid w:val="2EDC2A13"/>
    <w:rsid w:val="2F274E83"/>
    <w:rsid w:val="2F29570B"/>
    <w:rsid w:val="2F4B0DD2"/>
    <w:rsid w:val="2F8F356E"/>
    <w:rsid w:val="2FD25781"/>
    <w:rsid w:val="2FD951A4"/>
    <w:rsid w:val="2FFD2CC7"/>
    <w:rsid w:val="301165DA"/>
    <w:rsid w:val="30405223"/>
    <w:rsid w:val="308960F0"/>
    <w:rsid w:val="30A15875"/>
    <w:rsid w:val="30A56736"/>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700359"/>
    <w:rsid w:val="35831047"/>
    <w:rsid w:val="35D408E8"/>
    <w:rsid w:val="35EF127D"/>
    <w:rsid w:val="360B1E2F"/>
    <w:rsid w:val="362C24D2"/>
    <w:rsid w:val="364649EC"/>
    <w:rsid w:val="365302AE"/>
    <w:rsid w:val="3658762C"/>
    <w:rsid w:val="365D67EB"/>
    <w:rsid w:val="36A20866"/>
    <w:rsid w:val="36BB5604"/>
    <w:rsid w:val="36CD591E"/>
    <w:rsid w:val="36EC7FA3"/>
    <w:rsid w:val="370E1BD7"/>
    <w:rsid w:val="371C7FA0"/>
    <w:rsid w:val="37305FF2"/>
    <w:rsid w:val="37672D54"/>
    <w:rsid w:val="379876B4"/>
    <w:rsid w:val="37B26B9E"/>
    <w:rsid w:val="382B66A0"/>
    <w:rsid w:val="386D6DD1"/>
    <w:rsid w:val="388E5275"/>
    <w:rsid w:val="38961E84"/>
    <w:rsid w:val="38981423"/>
    <w:rsid w:val="38E30E42"/>
    <w:rsid w:val="38E40555"/>
    <w:rsid w:val="392D273D"/>
    <w:rsid w:val="398576CC"/>
    <w:rsid w:val="39990BEE"/>
    <w:rsid w:val="399C304B"/>
    <w:rsid w:val="39B33898"/>
    <w:rsid w:val="39B439E6"/>
    <w:rsid w:val="39D0704E"/>
    <w:rsid w:val="39E62997"/>
    <w:rsid w:val="3A045513"/>
    <w:rsid w:val="3A2259A8"/>
    <w:rsid w:val="3A322C5A"/>
    <w:rsid w:val="3A561B54"/>
    <w:rsid w:val="3A667F7C"/>
    <w:rsid w:val="3B0227C4"/>
    <w:rsid w:val="3B252077"/>
    <w:rsid w:val="3B3221E0"/>
    <w:rsid w:val="3BA7084C"/>
    <w:rsid w:val="3BC9431F"/>
    <w:rsid w:val="3BD31641"/>
    <w:rsid w:val="3BE850ED"/>
    <w:rsid w:val="3BED44B1"/>
    <w:rsid w:val="3C3B0FB9"/>
    <w:rsid w:val="3C5F759A"/>
    <w:rsid w:val="3C7249B6"/>
    <w:rsid w:val="3C824100"/>
    <w:rsid w:val="3C897B28"/>
    <w:rsid w:val="3D0F4820"/>
    <w:rsid w:val="3D2056B7"/>
    <w:rsid w:val="3D393726"/>
    <w:rsid w:val="3DA46197"/>
    <w:rsid w:val="3DAD4D93"/>
    <w:rsid w:val="3DD70862"/>
    <w:rsid w:val="3DDD0C8A"/>
    <w:rsid w:val="3DED2D3D"/>
    <w:rsid w:val="3DFA74C8"/>
    <w:rsid w:val="3E1F46CA"/>
    <w:rsid w:val="3E21047D"/>
    <w:rsid w:val="3E2A548E"/>
    <w:rsid w:val="3E2A789D"/>
    <w:rsid w:val="3E9B434E"/>
    <w:rsid w:val="3EC139D3"/>
    <w:rsid w:val="3EC81656"/>
    <w:rsid w:val="3ED2273B"/>
    <w:rsid w:val="3ED516E1"/>
    <w:rsid w:val="3EF23B8C"/>
    <w:rsid w:val="3F316FFA"/>
    <w:rsid w:val="3F420216"/>
    <w:rsid w:val="3F4563B2"/>
    <w:rsid w:val="3F4C5993"/>
    <w:rsid w:val="3FAB18D4"/>
    <w:rsid w:val="3FEC0F24"/>
    <w:rsid w:val="3FEF7DE2"/>
    <w:rsid w:val="401228F6"/>
    <w:rsid w:val="4044666A"/>
    <w:rsid w:val="404B79F8"/>
    <w:rsid w:val="404E2A10"/>
    <w:rsid w:val="405F2248"/>
    <w:rsid w:val="40624A60"/>
    <w:rsid w:val="406805AA"/>
    <w:rsid w:val="40770EC3"/>
    <w:rsid w:val="407D4B6A"/>
    <w:rsid w:val="40A84E4B"/>
    <w:rsid w:val="40DA0A3B"/>
    <w:rsid w:val="40E045E4"/>
    <w:rsid w:val="40ED6D01"/>
    <w:rsid w:val="40EE65D6"/>
    <w:rsid w:val="40F07788"/>
    <w:rsid w:val="412119C6"/>
    <w:rsid w:val="4138444E"/>
    <w:rsid w:val="417302AC"/>
    <w:rsid w:val="419D0727"/>
    <w:rsid w:val="41F26D9D"/>
    <w:rsid w:val="42191E1B"/>
    <w:rsid w:val="422C3859"/>
    <w:rsid w:val="423544BC"/>
    <w:rsid w:val="428020A0"/>
    <w:rsid w:val="42AB5B89"/>
    <w:rsid w:val="42C80237"/>
    <w:rsid w:val="42CA745D"/>
    <w:rsid w:val="42CD5064"/>
    <w:rsid w:val="42E1381E"/>
    <w:rsid w:val="42E32353"/>
    <w:rsid w:val="42E67EAC"/>
    <w:rsid w:val="43120CA1"/>
    <w:rsid w:val="431E13F4"/>
    <w:rsid w:val="433E469E"/>
    <w:rsid w:val="43613359"/>
    <w:rsid w:val="43A53661"/>
    <w:rsid w:val="44004F9E"/>
    <w:rsid w:val="442448B0"/>
    <w:rsid w:val="444624FE"/>
    <w:rsid w:val="44565A77"/>
    <w:rsid w:val="44760F33"/>
    <w:rsid w:val="4476352A"/>
    <w:rsid w:val="4480414E"/>
    <w:rsid w:val="44C138E2"/>
    <w:rsid w:val="44D052EB"/>
    <w:rsid w:val="44E41552"/>
    <w:rsid w:val="45285E2C"/>
    <w:rsid w:val="45294080"/>
    <w:rsid w:val="4530540F"/>
    <w:rsid w:val="455250D1"/>
    <w:rsid w:val="455F77C0"/>
    <w:rsid w:val="45813EBC"/>
    <w:rsid w:val="45A121C9"/>
    <w:rsid w:val="45B42B24"/>
    <w:rsid w:val="45F26E8B"/>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A063282"/>
    <w:rsid w:val="4A873D23"/>
    <w:rsid w:val="4A8A3813"/>
    <w:rsid w:val="4A9D52F4"/>
    <w:rsid w:val="4AA77F21"/>
    <w:rsid w:val="4AB32B4A"/>
    <w:rsid w:val="4ACC6DC8"/>
    <w:rsid w:val="4B513D34"/>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0443FA"/>
    <w:rsid w:val="51247AAC"/>
    <w:rsid w:val="51407E30"/>
    <w:rsid w:val="514C537E"/>
    <w:rsid w:val="515003FA"/>
    <w:rsid w:val="51687A61"/>
    <w:rsid w:val="519E4F32"/>
    <w:rsid w:val="51A0432A"/>
    <w:rsid w:val="51AC0513"/>
    <w:rsid w:val="51CF4131"/>
    <w:rsid w:val="51F223CA"/>
    <w:rsid w:val="522D51B0"/>
    <w:rsid w:val="523627F6"/>
    <w:rsid w:val="5246001F"/>
    <w:rsid w:val="524F4DFB"/>
    <w:rsid w:val="527774D3"/>
    <w:rsid w:val="52A96B6F"/>
    <w:rsid w:val="52BA04CC"/>
    <w:rsid w:val="53235B23"/>
    <w:rsid w:val="534A01CB"/>
    <w:rsid w:val="534A736A"/>
    <w:rsid w:val="537865C5"/>
    <w:rsid w:val="538641F0"/>
    <w:rsid w:val="53967EAD"/>
    <w:rsid w:val="539C0175"/>
    <w:rsid w:val="53E144A4"/>
    <w:rsid w:val="543D36A4"/>
    <w:rsid w:val="544762D1"/>
    <w:rsid w:val="546B6463"/>
    <w:rsid w:val="54992FD0"/>
    <w:rsid w:val="54996B2C"/>
    <w:rsid w:val="549F1015"/>
    <w:rsid w:val="54D22327"/>
    <w:rsid w:val="550764A4"/>
    <w:rsid w:val="551116AB"/>
    <w:rsid w:val="55366A71"/>
    <w:rsid w:val="55441109"/>
    <w:rsid w:val="55472A2C"/>
    <w:rsid w:val="554F446C"/>
    <w:rsid w:val="55684622"/>
    <w:rsid w:val="55AF2380"/>
    <w:rsid w:val="55F70887"/>
    <w:rsid w:val="56101070"/>
    <w:rsid w:val="562C1C22"/>
    <w:rsid w:val="564E1B99"/>
    <w:rsid w:val="56B04A7B"/>
    <w:rsid w:val="56C05DE0"/>
    <w:rsid w:val="56D13882"/>
    <w:rsid w:val="56F004E8"/>
    <w:rsid w:val="57275755"/>
    <w:rsid w:val="572B15A7"/>
    <w:rsid w:val="57642B60"/>
    <w:rsid w:val="57B3707C"/>
    <w:rsid w:val="57C61AE4"/>
    <w:rsid w:val="57D305A7"/>
    <w:rsid w:val="57E52067"/>
    <w:rsid w:val="58020D56"/>
    <w:rsid w:val="582C7CB7"/>
    <w:rsid w:val="58467114"/>
    <w:rsid w:val="5856440F"/>
    <w:rsid w:val="585C6970"/>
    <w:rsid w:val="5861396B"/>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F1F99"/>
    <w:rsid w:val="5BA40E76"/>
    <w:rsid w:val="5BBB2421"/>
    <w:rsid w:val="5BDF73AA"/>
    <w:rsid w:val="5BF31218"/>
    <w:rsid w:val="5C2A6758"/>
    <w:rsid w:val="5C3343BC"/>
    <w:rsid w:val="5C80234E"/>
    <w:rsid w:val="5C8641D7"/>
    <w:rsid w:val="5CE21672"/>
    <w:rsid w:val="5D2E4D5C"/>
    <w:rsid w:val="5DFC1EDA"/>
    <w:rsid w:val="5E084A2C"/>
    <w:rsid w:val="5E084D23"/>
    <w:rsid w:val="5E0D40E7"/>
    <w:rsid w:val="5E1A5E3F"/>
    <w:rsid w:val="5E261785"/>
    <w:rsid w:val="5E6A0EA5"/>
    <w:rsid w:val="5E826883"/>
    <w:rsid w:val="5E8D459C"/>
    <w:rsid w:val="5EB50A07"/>
    <w:rsid w:val="5EE17A4E"/>
    <w:rsid w:val="5F10510E"/>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4068C9"/>
    <w:rsid w:val="61D22C83"/>
    <w:rsid w:val="61E46B14"/>
    <w:rsid w:val="61E83289"/>
    <w:rsid w:val="61EF5138"/>
    <w:rsid w:val="620023C7"/>
    <w:rsid w:val="62150F26"/>
    <w:rsid w:val="62157A0E"/>
    <w:rsid w:val="622513DD"/>
    <w:rsid w:val="624C13E9"/>
    <w:rsid w:val="62885958"/>
    <w:rsid w:val="62AC5837"/>
    <w:rsid w:val="62C751AC"/>
    <w:rsid w:val="62E33669"/>
    <w:rsid w:val="630B0B6F"/>
    <w:rsid w:val="630D7AA2"/>
    <w:rsid w:val="6324615B"/>
    <w:rsid w:val="633839B4"/>
    <w:rsid w:val="637507CD"/>
    <w:rsid w:val="63975118"/>
    <w:rsid w:val="63E82FD8"/>
    <w:rsid w:val="64191A38"/>
    <w:rsid w:val="643E41AF"/>
    <w:rsid w:val="64703142"/>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70047E9"/>
    <w:rsid w:val="671745FC"/>
    <w:rsid w:val="673F2C72"/>
    <w:rsid w:val="675C1782"/>
    <w:rsid w:val="677F7E04"/>
    <w:rsid w:val="67D93618"/>
    <w:rsid w:val="68261CC4"/>
    <w:rsid w:val="68343CC5"/>
    <w:rsid w:val="68401C64"/>
    <w:rsid w:val="684849C6"/>
    <w:rsid w:val="68705312"/>
    <w:rsid w:val="68914293"/>
    <w:rsid w:val="68A14F78"/>
    <w:rsid w:val="68DE0B5A"/>
    <w:rsid w:val="690C27AB"/>
    <w:rsid w:val="690D7691"/>
    <w:rsid w:val="693410C2"/>
    <w:rsid w:val="6942558D"/>
    <w:rsid w:val="696B74C4"/>
    <w:rsid w:val="69777DE2"/>
    <w:rsid w:val="697A1104"/>
    <w:rsid w:val="698B348F"/>
    <w:rsid w:val="69A86236"/>
    <w:rsid w:val="69AA3132"/>
    <w:rsid w:val="69F00E5C"/>
    <w:rsid w:val="6A1C750D"/>
    <w:rsid w:val="6A4E7F61"/>
    <w:rsid w:val="6A617E02"/>
    <w:rsid w:val="6A620582"/>
    <w:rsid w:val="6A6837D1"/>
    <w:rsid w:val="6A6D488B"/>
    <w:rsid w:val="6A8E0FFC"/>
    <w:rsid w:val="6AA16C75"/>
    <w:rsid w:val="6ABB1498"/>
    <w:rsid w:val="6AEF2137"/>
    <w:rsid w:val="6AF97ECD"/>
    <w:rsid w:val="6B0A41B2"/>
    <w:rsid w:val="6B3C4661"/>
    <w:rsid w:val="6B52226C"/>
    <w:rsid w:val="6B5C6424"/>
    <w:rsid w:val="6B735ED1"/>
    <w:rsid w:val="6BBE4C73"/>
    <w:rsid w:val="6BD36970"/>
    <w:rsid w:val="6BF80185"/>
    <w:rsid w:val="6C38732C"/>
    <w:rsid w:val="6C680C88"/>
    <w:rsid w:val="6C81092E"/>
    <w:rsid w:val="6CF30F04"/>
    <w:rsid w:val="6D082DFE"/>
    <w:rsid w:val="6D0D0199"/>
    <w:rsid w:val="6D6F570C"/>
    <w:rsid w:val="6D8912EF"/>
    <w:rsid w:val="6D8E1BA4"/>
    <w:rsid w:val="6D967C55"/>
    <w:rsid w:val="6DA2229E"/>
    <w:rsid w:val="6DA92861"/>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D43752"/>
    <w:rsid w:val="71DD4E54"/>
    <w:rsid w:val="72040C7E"/>
    <w:rsid w:val="7213394E"/>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BC659D"/>
    <w:rsid w:val="75C537CD"/>
    <w:rsid w:val="75D76B65"/>
    <w:rsid w:val="75DA2C18"/>
    <w:rsid w:val="75DC563D"/>
    <w:rsid w:val="76366A04"/>
    <w:rsid w:val="76443E88"/>
    <w:rsid w:val="76865C05"/>
    <w:rsid w:val="76A65B00"/>
    <w:rsid w:val="76C06100"/>
    <w:rsid w:val="76FA4F64"/>
    <w:rsid w:val="771440AA"/>
    <w:rsid w:val="771F2A69"/>
    <w:rsid w:val="7725204A"/>
    <w:rsid w:val="77664B3C"/>
    <w:rsid w:val="77730402"/>
    <w:rsid w:val="777E4FAA"/>
    <w:rsid w:val="77877F55"/>
    <w:rsid w:val="77954B48"/>
    <w:rsid w:val="77B47F8F"/>
    <w:rsid w:val="77B6499D"/>
    <w:rsid w:val="77FC051C"/>
    <w:rsid w:val="788F1E71"/>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926E0C"/>
    <w:rsid w:val="7AAB1D04"/>
    <w:rsid w:val="7ABA4368"/>
    <w:rsid w:val="7B257FFD"/>
    <w:rsid w:val="7B4909FD"/>
    <w:rsid w:val="7B875081"/>
    <w:rsid w:val="7B8A5149"/>
    <w:rsid w:val="7B8A6F71"/>
    <w:rsid w:val="7B8B25F6"/>
    <w:rsid w:val="7BAB5214"/>
    <w:rsid w:val="7BF85F7F"/>
    <w:rsid w:val="7C120DEF"/>
    <w:rsid w:val="7C1C3A1B"/>
    <w:rsid w:val="7C636FEF"/>
    <w:rsid w:val="7C6D6D67"/>
    <w:rsid w:val="7C725EB3"/>
    <w:rsid w:val="7C91271D"/>
    <w:rsid w:val="7CA560CB"/>
    <w:rsid w:val="7CF1353C"/>
    <w:rsid w:val="7D1E0263"/>
    <w:rsid w:val="7D262449"/>
    <w:rsid w:val="7D3F34EE"/>
    <w:rsid w:val="7D494CE4"/>
    <w:rsid w:val="7D553689"/>
    <w:rsid w:val="7D60202E"/>
    <w:rsid w:val="7D6E6A4F"/>
    <w:rsid w:val="7D9D5AA3"/>
    <w:rsid w:val="7DB87774"/>
    <w:rsid w:val="7DDF5BD5"/>
    <w:rsid w:val="7DFA4B0F"/>
    <w:rsid w:val="7E087B80"/>
    <w:rsid w:val="7E2968C4"/>
    <w:rsid w:val="7E4A5F1A"/>
    <w:rsid w:val="7E5E656D"/>
    <w:rsid w:val="7E7B47F1"/>
    <w:rsid w:val="7E7C7B76"/>
    <w:rsid w:val="7ECA3C03"/>
    <w:rsid w:val="7EE27547"/>
    <w:rsid w:val="7EF16460"/>
    <w:rsid w:val="7EF55D5F"/>
    <w:rsid w:val="7EF72849"/>
    <w:rsid w:val="7F2B6433"/>
    <w:rsid w:val="7F3845D5"/>
    <w:rsid w:val="7F397695"/>
    <w:rsid w:val="7F3D0E3E"/>
    <w:rsid w:val="7F447D8C"/>
    <w:rsid w:val="7F4A0830"/>
    <w:rsid w:val="7F5636E8"/>
    <w:rsid w:val="7F58120E"/>
    <w:rsid w:val="7F65392B"/>
    <w:rsid w:val="7F686F78"/>
    <w:rsid w:val="7F8A5140"/>
    <w:rsid w:val="7F8E155C"/>
    <w:rsid w:val="7FA63579"/>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2">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3"/>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6"/>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8"/>
    <w:qFormat/>
    <w:uiPriority w:val="99"/>
    <w:pPr>
      <w:jc w:val="left"/>
    </w:pPr>
  </w:style>
  <w:style w:type="paragraph" w:styleId="20">
    <w:name w:val="Salutation"/>
    <w:basedOn w:val="1"/>
    <w:next w:val="1"/>
    <w:link w:val="213"/>
    <w:qFormat/>
    <w:uiPriority w:val="0"/>
    <w:rPr>
      <w:rFonts w:ascii="仿宋_GB2312" w:eastAsia="仿宋_GB2312"/>
      <w:sz w:val="28"/>
      <w:szCs w:val="20"/>
    </w:rPr>
  </w:style>
  <w:style w:type="paragraph" w:styleId="21">
    <w:name w:val="Body Text 3"/>
    <w:basedOn w:val="1"/>
    <w:link w:val="186"/>
    <w:qFormat/>
    <w:uiPriority w:val="0"/>
    <w:pPr>
      <w:jc w:val="center"/>
    </w:pPr>
    <w:rPr>
      <w:szCs w:val="20"/>
    </w:rPr>
  </w:style>
  <w:style w:type="paragraph" w:styleId="22">
    <w:name w:val="Body Text"/>
    <w:basedOn w:val="1"/>
    <w:next w:val="23"/>
    <w:link w:val="123"/>
    <w:qFormat/>
    <w:uiPriority w:val="0"/>
    <w:pPr>
      <w:autoSpaceDE w:val="0"/>
      <w:autoSpaceDN w:val="0"/>
      <w:spacing w:line="360" w:lineRule="auto"/>
    </w:pPr>
    <w:rPr>
      <w:rFonts w:ascii="宋体"/>
      <w:sz w:val="24"/>
      <w:szCs w:val="21"/>
      <w:lang w:val="zh-CN"/>
    </w:rPr>
  </w:style>
  <w:style w:type="paragraph" w:styleId="23">
    <w:name w:val="Body Text First Indent"/>
    <w:basedOn w:val="22"/>
    <w:link w:val="136"/>
    <w:qFormat/>
    <w:uiPriority w:val="0"/>
    <w:pPr>
      <w:ind w:firstLine="420"/>
    </w:pPr>
    <w:rPr>
      <w:szCs w:val="20"/>
    </w:rPr>
  </w:style>
  <w:style w:type="paragraph" w:styleId="24">
    <w:name w:val="Body Text Indent"/>
    <w:basedOn w:val="1"/>
    <w:next w:val="15"/>
    <w:link w:val="10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224"/>
    <w:qFormat/>
    <w:uiPriority w:val="0"/>
    <w:rPr>
      <w:rFonts w:ascii="宋体" w:hAnsi="Courier New"/>
      <w:szCs w:val="20"/>
    </w:rPr>
  </w:style>
  <w:style w:type="paragraph" w:styleId="33">
    <w:name w:val="Date"/>
    <w:basedOn w:val="1"/>
    <w:next w:val="1"/>
    <w:link w:val="211"/>
    <w:qFormat/>
    <w:uiPriority w:val="0"/>
    <w:pPr>
      <w:ind w:left="100" w:leftChars="2500"/>
    </w:pPr>
    <w:rPr>
      <w:rFonts w:ascii="宋体"/>
      <w:sz w:val="24"/>
      <w:szCs w:val="21"/>
      <w:lang w:val="zh-CN"/>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84"/>
    <w:qFormat/>
    <w:uiPriority w:val="0"/>
    <w:pPr>
      <w:spacing w:line="360" w:lineRule="auto"/>
      <w:ind w:firstLine="601"/>
      <w:textAlignment w:val="baseline"/>
    </w:pPr>
    <w:rPr>
      <w:rFonts w:ascii="宋体"/>
      <w:kern w:val="0"/>
      <w:sz w:val="28"/>
      <w:szCs w:val="20"/>
    </w:rPr>
  </w:style>
  <w:style w:type="paragraph" w:styleId="37">
    <w:name w:val="Balloon Text"/>
    <w:basedOn w:val="1"/>
    <w:link w:val="249"/>
    <w:semiHidden/>
    <w:qFormat/>
    <w:uiPriority w:val="0"/>
    <w:rPr>
      <w:sz w:val="18"/>
      <w:szCs w:val="18"/>
    </w:rPr>
  </w:style>
  <w:style w:type="paragraph" w:styleId="38">
    <w:name w:val="footer"/>
    <w:basedOn w:val="1"/>
    <w:link w:val="629"/>
    <w:qFormat/>
    <w:uiPriority w:val="99"/>
    <w:pPr>
      <w:tabs>
        <w:tab w:val="center" w:pos="4153"/>
        <w:tab w:val="right" w:pos="8306"/>
      </w:tabs>
      <w:snapToGrid w:val="0"/>
      <w:jc w:val="left"/>
    </w:pPr>
    <w:rPr>
      <w:sz w:val="18"/>
      <w:szCs w:val="18"/>
    </w:rPr>
  </w:style>
  <w:style w:type="paragraph" w:styleId="39">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38"/>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5"/>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246"/>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2">
    <w:name w:val="标题 1 Char"/>
    <w:link w:val="3"/>
    <w:qFormat/>
    <w:uiPriority w:val="0"/>
    <w:rPr>
      <w:rFonts w:ascii="仿宋" w:hAnsi="仿宋" w:eastAsia="仿宋" w:cs="仿宋_GB2312"/>
      <w:b/>
      <w:color w:val="000000"/>
      <w:kern w:val="2"/>
      <w:sz w:val="36"/>
      <w:szCs w:val="36"/>
    </w:rPr>
  </w:style>
  <w:style w:type="character" w:customStyle="1" w:styleId="73">
    <w:name w:val="标题 2 Char"/>
    <w:qFormat/>
    <w:uiPriority w:val="0"/>
    <w:rPr>
      <w:rFonts w:ascii="Arial" w:hAnsi="Arial" w:eastAsia="黑体"/>
      <w:b/>
      <w:kern w:val="2"/>
      <w:sz w:val="32"/>
      <w:lang w:val="en-US" w:eastAsia="zh-CN"/>
    </w:rPr>
  </w:style>
  <w:style w:type="paragraph" w:customStyle="1" w:styleId="74">
    <w:name w:val="List Paragraph"/>
    <w:basedOn w:val="1"/>
    <w:qFormat/>
    <w:uiPriority w:val="34"/>
    <w:pPr>
      <w:spacing w:line="360" w:lineRule="auto"/>
      <w:ind w:firstLine="200" w:firstLineChars="200"/>
    </w:pPr>
    <w:rPr>
      <w:rFonts w:eastAsia="楷体_GB2312" w:cs="Lucida Sans"/>
      <w:sz w:val="24"/>
    </w:rPr>
  </w:style>
  <w:style w:type="character" w:customStyle="1" w:styleId="75">
    <w:name w:val="solutionfonts"/>
    <w:qFormat/>
    <w:uiPriority w:val="0"/>
  </w:style>
  <w:style w:type="character" w:customStyle="1" w:styleId="76">
    <w:name w:val="Font Style82"/>
    <w:qFormat/>
    <w:uiPriority w:val="99"/>
    <w:rPr>
      <w:rFonts w:ascii="宋体" w:eastAsia="宋体" w:cs="宋体"/>
      <w:color w:val="000000"/>
      <w:sz w:val="14"/>
      <w:szCs w:val="14"/>
    </w:rPr>
  </w:style>
  <w:style w:type="character" w:customStyle="1" w:styleId="77">
    <w:name w:val="此正文 Char"/>
    <w:link w:val="78"/>
    <w:qFormat/>
    <w:uiPriority w:val="0"/>
    <w:rPr>
      <w:kern w:val="2"/>
      <w:sz w:val="24"/>
      <w:szCs w:val="24"/>
    </w:rPr>
  </w:style>
  <w:style w:type="paragraph" w:customStyle="1" w:styleId="78">
    <w:name w:val="此正文"/>
    <w:basedOn w:val="1"/>
    <w:link w:val="77"/>
    <w:qFormat/>
    <w:uiPriority w:val="0"/>
    <w:pPr>
      <w:adjustRightInd/>
      <w:spacing w:line="360" w:lineRule="auto"/>
      <w:ind w:firstLine="200" w:firstLineChars="200"/>
    </w:pPr>
    <w:rPr>
      <w:sz w:val="24"/>
    </w:rPr>
  </w:style>
  <w:style w:type="character" w:customStyle="1" w:styleId="79">
    <w:name w:val="Char Char10"/>
    <w:semiHidden/>
    <w:qFormat/>
    <w:uiPriority w:val="0"/>
    <w:rPr>
      <w:rFonts w:ascii="宋体" w:hAnsi="宋体"/>
      <w:kern w:val="2"/>
      <w:sz w:val="21"/>
      <w:szCs w:val="24"/>
      <w:lang w:val="en-US" w:eastAsia="zh-CN"/>
    </w:rPr>
  </w:style>
  <w:style w:type="character" w:customStyle="1" w:styleId="80">
    <w:name w:val="h Char Char"/>
    <w:qFormat/>
    <w:uiPriority w:val="0"/>
    <w:rPr>
      <w:rFonts w:eastAsia="宋体"/>
      <w:kern w:val="2"/>
      <w:sz w:val="18"/>
      <w:lang w:val="en-US" w:eastAsia="zh-CN" w:bidi="ar-SA"/>
    </w:rPr>
  </w:style>
  <w:style w:type="character" w:customStyle="1" w:styleId="81">
    <w:name w:val="Bold"/>
    <w:qFormat/>
    <w:uiPriority w:val="0"/>
    <w:rPr>
      <w:rFonts w:ascii="Arial" w:hAnsi="Arial" w:eastAsia="黑体" w:cs="Times New Roman"/>
      <w:b/>
      <w:kern w:val="2"/>
      <w:sz w:val="32"/>
      <w:szCs w:val="32"/>
      <w:lang w:val="en-US" w:eastAsia="zh-CN" w:bidi="ar-SA"/>
    </w:rPr>
  </w:style>
  <w:style w:type="character" w:customStyle="1" w:styleId="82">
    <w:name w:val="Ò³Ã¼ Char Char"/>
    <w:qFormat/>
    <w:uiPriority w:val="0"/>
    <w:rPr>
      <w:rFonts w:eastAsia="宋体"/>
      <w:kern w:val="2"/>
      <w:sz w:val="18"/>
      <w:lang w:val="en-US" w:eastAsia="zh-CN" w:bidi="ar-SA"/>
    </w:rPr>
  </w:style>
  <w:style w:type="character" w:customStyle="1" w:styleId="83">
    <w:name w:val="标准正文格式 Char"/>
    <w:qFormat/>
    <w:uiPriority w:val="0"/>
    <w:rPr>
      <w:rFonts w:ascii="宋体" w:eastAsia="仿宋_GB2312" w:cs="宋体"/>
      <w:color w:val="000000"/>
      <w:sz w:val="24"/>
      <w:lang w:val="en-US" w:eastAsia="zh-CN" w:bidi="ar-SA"/>
    </w:rPr>
  </w:style>
  <w:style w:type="character" w:customStyle="1" w:styleId="84">
    <w:name w:val="正文文本缩进 2 Char"/>
    <w:link w:val="36"/>
    <w:qFormat/>
    <w:uiPriority w:val="0"/>
    <w:rPr>
      <w:rFonts w:ascii="宋体"/>
      <w:sz w:val="28"/>
    </w:rPr>
  </w:style>
  <w:style w:type="character" w:customStyle="1" w:styleId="85">
    <w:name w:val="Char Char8"/>
    <w:qFormat/>
    <w:uiPriority w:val="0"/>
    <w:rPr>
      <w:rFonts w:eastAsia="宋体"/>
      <w:b/>
      <w:sz w:val="24"/>
      <w:lang w:val="en-GB" w:eastAsia="zh-CN"/>
    </w:rPr>
  </w:style>
  <w:style w:type="character" w:customStyle="1" w:styleId="86">
    <w:name w:val="No Spacing Char"/>
    <w:link w:val="87"/>
    <w:qFormat/>
    <w:uiPriority w:val="1"/>
    <w:rPr>
      <w:rFonts w:ascii="Calibri" w:hAnsi="Calibri"/>
      <w:sz w:val="22"/>
      <w:szCs w:val="22"/>
      <w:lang w:val="en-US" w:eastAsia="zh-CN" w:bidi="ar-SA"/>
    </w:rPr>
  </w:style>
  <w:style w:type="paragraph" w:customStyle="1" w:styleId="87">
    <w:name w:val="无间隔1"/>
    <w:link w:val="86"/>
    <w:qFormat/>
    <w:uiPriority w:val="1"/>
    <w:rPr>
      <w:rFonts w:ascii="Calibri" w:hAnsi="Calibri" w:eastAsia="宋体" w:cs="Times New Roman"/>
      <w:sz w:val="22"/>
      <w:szCs w:val="22"/>
      <w:lang w:val="en-US" w:eastAsia="zh-CN" w:bidi="ar-SA"/>
    </w:rPr>
  </w:style>
  <w:style w:type="character" w:customStyle="1" w:styleId="88">
    <w:name w:val="blue1"/>
    <w:basedOn w:val="62"/>
    <w:qFormat/>
    <w:uiPriority w:val="0"/>
    <w:rPr>
      <w:rFonts w:ascii="Arial" w:hAnsi="Arial" w:eastAsia="黑体" w:cs="Arial"/>
      <w:snapToGrid w:val="0"/>
      <w:kern w:val="0"/>
      <w:szCs w:val="21"/>
    </w:rPr>
  </w:style>
  <w:style w:type="character" w:customStyle="1" w:styleId="89">
    <w:name w:val="highlight1"/>
    <w:qFormat/>
    <w:uiPriority w:val="0"/>
    <w:rPr>
      <w:rFonts w:ascii="仿宋_GB2312" w:eastAsia="微软雅黑"/>
      <w:b/>
      <w:kern w:val="2"/>
      <w:sz w:val="23"/>
      <w:szCs w:val="23"/>
      <w:lang w:val="en-US" w:eastAsia="zh-CN" w:bidi="ar-SA"/>
    </w:rPr>
  </w:style>
  <w:style w:type="character" w:customStyle="1" w:styleId="90">
    <w:name w:val="ca-131"/>
    <w:qFormat/>
    <w:uiPriority w:val="0"/>
    <w:rPr>
      <w:rFonts w:hint="eastAsia" w:ascii="仿宋_GB2312" w:eastAsia="仿宋_GB2312"/>
      <w:b/>
      <w:bCs/>
      <w:color w:val="000000"/>
      <w:spacing w:val="-20"/>
      <w:sz w:val="24"/>
      <w:szCs w:val="24"/>
    </w:rPr>
  </w:style>
  <w:style w:type="character" w:customStyle="1" w:styleId="91">
    <w:name w:val="h3 Char"/>
    <w:qFormat/>
    <w:uiPriority w:val="0"/>
    <w:rPr>
      <w:rFonts w:eastAsia="宋体"/>
      <w:b/>
      <w:kern w:val="2"/>
      <w:sz w:val="32"/>
      <w:lang w:val="en-US" w:eastAsia="zh-CN" w:bidi="ar-SA"/>
    </w:rPr>
  </w:style>
  <w:style w:type="character" w:customStyle="1" w:styleId="92">
    <w:name w:val="Char Char12"/>
    <w:qFormat/>
    <w:uiPriority w:val="0"/>
    <w:rPr>
      <w:rFonts w:ascii="仿宋_GB2312" w:eastAsia="仿宋_GB2312"/>
      <w:b/>
      <w:bCs/>
      <w:kern w:val="2"/>
      <w:sz w:val="24"/>
      <w:szCs w:val="24"/>
      <w:lang w:val="zh-CN" w:eastAsia="zh-CN" w:bidi="ar-SA"/>
    </w:rPr>
  </w:style>
  <w:style w:type="character" w:customStyle="1" w:styleId="93">
    <w:name w:val="Comment Text Char"/>
    <w:semiHidden/>
    <w:qFormat/>
    <w:locked/>
    <w:uiPriority w:val="0"/>
    <w:rPr>
      <w:rFonts w:ascii="宋体" w:hAnsi="宋体" w:eastAsia="宋体"/>
      <w:kern w:val="2"/>
      <w:sz w:val="24"/>
      <w:lang w:val="en-US" w:eastAsia="zh-CN" w:bidi="ar-SA"/>
    </w:rPr>
  </w:style>
  <w:style w:type="character" w:customStyle="1" w:styleId="94">
    <w:name w:val="批注文字 Char"/>
    <w:qFormat/>
    <w:uiPriority w:val="99"/>
    <w:rPr>
      <w:kern w:val="2"/>
      <w:sz w:val="21"/>
      <w:szCs w:val="24"/>
    </w:rPr>
  </w:style>
  <w:style w:type="character" w:customStyle="1" w:styleId="95">
    <w:name w:val="仿宋正文 Char"/>
    <w:link w:val="96"/>
    <w:qFormat/>
    <w:uiPriority w:val="0"/>
    <w:rPr>
      <w:rFonts w:ascii="仿宋_GB2312" w:eastAsia="仿宋_GB2312"/>
      <w:kern w:val="2"/>
      <w:sz w:val="24"/>
      <w:lang w:val="en-US" w:eastAsia="zh-CN" w:bidi="ar-SA"/>
    </w:rPr>
  </w:style>
  <w:style w:type="paragraph" w:customStyle="1" w:styleId="96">
    <w:name w:val="仿宋正文"/>
    <w:basedOn w:val="1"/>
    <w:link w:val="95"/>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qFormat/>
    <w:uiPriority w:val="0"/>
    <w:rPr>
      <w:color w:val="333333"/>
    </w:rPr>
  </w:style>
  <w:style w:type="character" w:customStyle="1" w:styleId="98">
    <w:name w:val="Char Char4"/>
    <w:qFormat/>
    <w:uiPriority w:val="0"/>
    <w:rPr>
      <w:rFonts w:eastAsia="宋体"/>
      <w:b/>
      <w:sz w:val="24"/>
      <w:lang w:val="en-GB" w:eastAsia="zh-CN" w:bidi="ar-SA"/>
    </w:rPr>
  </w:style>
  <w:style w:type="character" w:customStyle="1" w:styleId="99">
    <w:name w:val="Char Char2"/>
    <w:qFormat/>
    <w:uiPriority w:val="0"/>
    <w:rPr>
      <w:rFonts w:eastAsia="宋体"/>
      <w:b/>
      <w:bCs/>
      <w:kern w:val="2"/>
      <w:sz w:val="21"/>
      <w:szCs w:val="24"/>
      <w:lang w:val="en-US" w:eastAsia="zh-CN" w:bidi="ar-SA"/>
    </w:rPr>
  </w:style>
  <w:style w:type="character" w:customStyle="1" w:styleId="100">
    <w:name w:val="正文 项目2 Char"/>
    <w:basedOn w:val="101"/>
    <w:qFormat/>
    <w:uiPriority w:val="0"/>
    <w:rPr>
      <w:rFonts w:ascii="仿宋_GB2312" w:hAnsi="仿宋_GB2312" w:eastAsia="仿宋_GB2312"/>
      <w:kern w:val="2"/>
      <w:sz w:val="24"/>
      <w:lang w:bidi="ar-SA"/>
    </w:rPr>
  </w:style>
  <w:style w:type="character" w:customStyle="1" w:styleId="101">
    <w:name w:val="正文 项目 Char"/>
    <w:qFormat/>
    <w:uiPriority w:val="0"/>
    <w:rPr>
      <w:rFonts w:ascii="仿宋_GB2312" w:hAnsi="仿宋_GB2312" w:eastAsia="仿宋_GB2312"/>
      <w:kern w:val="2"/>
      <w:sz w:val="24"/>
      <w:lang w:bidi="ar-SA"/>
    </w:rPr>
  </w:style>
  <w:style w:type="character" w:customStyle="1" w:styleId="102">
    <w:name w:val="页眉 Char1"/>
    <w:qFormat/>
    <w:uiPriority w:val="0"/>
    <w:rPr>
      <w:rFonts w:eastAsia="宋体"/>
      <w:kern w:val="2"/>
      <w:sz w:val="18"/>
      <w:szCs w:val="18"/>
      <w:lang w:val="en-US" w:eastAsia="zh-CN" w:bidi="ar-SA"/>
    </w:rPr>
  </w:style>
  <w:style w:type="character" w:customStyle="1" w:styleId="103">
    <w:name w:val="副标题 Char"/>
    <w:link w:val="45"/>
    <w:qFormat/>
    <w:uiPriority w:val="0"/>
    <w:rPr>
      <w:rFonts w:ascii="Arial" w:hAnsi="Arial" w:eastAsia="隶书"/>
      <w:b/>
      <w:bCs/>
      <w:kern w:val="28"/>
      <w:sz w:val="44"/>
      <w:szCs w:val="32"/>
      <w:lang w:val="en-US" w:eastAsia="zh-CN" w:bidi="ar-SA"/>
    </w:rPr>
  </w:style>
  <w:style w:type="character" w:customStyle="1" w:styleId="104">
    <w:name w:val="正文文本缩进 Char1"/>
    <w:link w:val="24"/>
    <w:qFormat/>
    <w:uiPriority w:val="0"/>
    <w:rPr>
      <w:rFonts w:ascii="宋体" w:hAnsi="宋体"/>
      <w:kern w:val="2"/>
      <w:sz w:val="24"/>
      <w:szCs w:val="24"/>
    </w:rPr>
  </w:style>
  <w:style w:type="character" w:customStyle="1" w:styleId="105">
    <w:name w:val="big1"/>
    <w:qFormat/>
    <w:uiPriority w:val="0"/>
    <w:rPr>
      <w:rFonts w:hint="eastAsia" w:ascii="宋体" w:hAnsi="宋体" w:eastAsia="宋体"/>
      <w:color w:val="333333"/>
      <w:sz w:val="22"/>
      <w:szCs w:val="22"/>
    </w:rPr>
  </w:style>
  <w:style w:type="character" w:customStyle="1" w:styleId="106">
    <w:name w:val="h Char Char1"/>
    <w:qFormat/>
    <w:uiPriority w:val="0"/>
    <w:rPr>
      <w:rFonts w:eastAsia="宋体"/>
      <w:kern w:val="2"/>
      <w:sz w:val="18"/>
      <w:szCs w:val="18"/>
      <w:lang w:val="en-US" w:eastAsia="zh-CN" w:bidi="ar-SA"/>
    </w:rPr>
  </w:style>
  <w:style w:type="character" w:customStyle="1" w:styleId="107">
    <w:name w:val="样式8 Char"/>
    <w:qFormat/>
    <w:uiPriority w:val="0"/>
    <w:rPr>
      <w:rFonts w:ascii="仿宋_GB2312" w:hAnsi="宋体" w:eastAsia="仿宋_GB2312"/>
      <w:b/>
      <w:bCs/>
      <w:kern w:val="2"/>
      <w:sz w:val="24"/>
      <w:szCs w:val="24"/>
    </w:rPr>
  </w:style>
  <w:style w:type="character" w:customStyle="1" w:styleId="108">
    <w:name w:val="HTML 预设格式 Char"/>
    <w:link w:val="55"/>
    <w:qFormat/>
    <w:uiPriority w:val="0"/>
    <w:rPr>
      <w:rFonts w:ascii="黑体" w:hAnsi="Courier New" w:eastAsia="黑体"/>
    </w:rPr>
  </w:style>
  <w:style w:type="character" w:customStyle="1" w:styleId="109">
    <w:name w:val="页脚 Char1"/>
    <w:qFormat/>
    <w:uiPriority w:val="0"/>
    <w:rPr>
      <w:rFonts w:eastAsia="宋体"/>
      <w:kern w:val="2"/>
      <w:sz w:val="18"/>
      <w:szCs w:val="18"/>
      <w:lang w:val="en-US" w:eastAsia="zh-CN" w:bidi="ar-SA"/>
    </w:rPr>
  </w:style>
  <w:style w:type="character" w:customStyle="1" w:styleId="110">
    <w:name w:val="myp11"/>
    <w:qFormat/>
    <w:uiPriority w:val="0"/>
    <w:rPr>
      <w:rFonts w:ascii="仿宋_GB2312" w:eastAsia="微软雅黑"/>
      <w:b/>
      <w:kern w:val="2"/>
      <w:sz w:val="32"/>
      <w:szCs w:val="32"/>
      <w:lang w:val="en-US" w:eastAsia="zh-CN" w:bidi="ar-SA"/>
    </w:rPr>
  </w:style>
  <w:style w:type="character" w:customStyle="1" w:styleId="111">
    <w:name w:val="正文文本 2 Char"/>
    <w:qFormat/>
    <w:uiPriority w:val="0"/>
    <w:rPr>
      <w:rFonts w:eastAsia="宋体"/>
      <w:kern w:val="2"/>
      <w:sz w:val="21"/>
      <w:szCs w:val="24"/>
      <w:lang w:val="en-US" w:eastAsia="zh-CN" w:bidi="ar-SA"/>
    </w:rPr>
  </w:style>
  <w:style w:type="character" w:customStyle="1" w:styleId="112">
    <w:name w:val="tw4winTerm"/>
    <w:qFormat/>
    <w:uiPriority w:val="0"/>
    <w:rPr>
      <w:color w:val="0000FF"/>
    </w:rPr>
  </w:style>
  <w:style w:type="character" w:customStyle="1" w:styleId="113">
    <w:name w:val="标题 8 Char"/>
    <w:link w:val="9"/>
    <w:qFormat/>
    <w:uiPriority w:val="0"/>
    <w:rPr>
      <w:rFonts w:ascii="Arial" w:hAnsi="Arial" w:eastAsia="黑体"/>
      <w:kern w:val="2"/>
      <w:sz w:val="24"/>
      <w:szCs w:val="24"/>
    </w:rPr>
  </w:style>
  <w:style w:type="character" w:customStyle="1" w:styleId="114">
    <w:name w:val="标题 2 Char Char"/>
    <w:qFormat/>
    <w:uiPriority w:val="0"/>
    <w:rPr>
      <w:rFonts w:ascii="楷体_GB2312" w:hAnsi="Arial" w:eastAsia="楷体_GB2312"/>
      <w:b/>
      <w:bCs/>
      <w:kern w:val="2"/>
      <w:sz w:val="24"/>
      <w:szCs w:val="32"/>
      <w:lang w:val="en-US" w:eastAsia="zh-CN" w:bidi="ar-SA"/>
    </w:rPr>
  </w:style>
  <w:style w:type="character" w:customStyle="1" w:styleId="115">
    <w:name w:val="hei16b1"/>
    <w:qFormat/>
    <w:uiPriority w:val="0"/>
    <w:rPr>
      <w:rFonts w:hint="default" w:ascii="Arial" w:hAnsi="Arial" w:cs="Arial"/>
      <w:b/>
      <w:bCs/>
      <w:color w:val="000000"/>
      <w:sz w:val="24"/>
      <w:szCs w:val="24"/>
    </w:rPr>
  </w:style>
  <w:style w:type="character" w:customStyle="1" w:styleId="116">
    <w:name w:val="Heading 7 Char"/>
    <w:qFormat/>
    <w:locked/>
    <w:uiPriority w:val="0"/>
    <w:rPr>
      <w:rFonts w:ascii="宋体" w:hAnsi="宋体" w:eastAsia="宋体"/>
      <w:b/>
      <w:bCs/>
      <w:kern w:val="2"/>
      <w:sz w:val="24"/>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哈哈正文 Char"/>
    <w:link w:val="119"/>
    <w:qFormat/>
    <w:uiPriority w:val="0"/>
    <w:rPr>
      <w:rFonts w:ascii="宋体" w:hAnsi="宋体" w:eastAsia="宋体"/>
      <w:kern w:val="2"/>
      <w:sz w:val="24"/>
      <w:lang w:bidi="ar-SA"/>
    </w:rPr>
  </w:style>
  <w:style w:type="paragraph" w:customStyle="1" w:styleId="119">
    <w:name w:val="哈哈正文"/>
    <w:basedOn w:val="1"/>
    <w:link w:val="118"/>
    <w:qFormat/>
    <w:uiPriority w:val="0"/>
    <w:pPr>
      <w:adjustRightInd/>
      <w:spacing w:line="360" w:lineRule="auto"/>
      <w:ind w:firstLine="200" w:firstLineChars="200"/>
    </w:pPr>
    <w:rPr>
      <w:rFonts w:ascii="宋体" w:hAnsi="宋体"/>
      <w:sz w:val="24"/>
      <w:szCs w:val="20"/>
    </w:rPr>
  </w:style>
  <w:style w:type="character" w:customStyle="1" w:styleId="120">
    <w:name w:val="pt141"/>
    <w:qFormat/>
    <w:uiPriority w:val="0"/>
    <w:rPr>
      <w:color w:val="330066"/>
      <w:sz w:val="22"/>
      <w:szCs w:val="22"/>
    </w:rPr>
  </w:style>
  <w:style w:type="character" w:customStyle="1" w:styleId="121">
    <w:name w:val="普通文字 Char3"/>
    <w:qFormat/>
    <w:uiPriority w:val="0"/>
    <w:rPr>
      <w:rFonts w:ascii="宋体" w:hAnsi="Courier New" w:eastAsia="宋体"/>
      <w:kern w:val="2"/>
      <w:sz w:val="21"/>
      <w:lang w:val="en-US" w:eastAsia="zh-CN" w:bidi="ar-SA"/>
    </w:rPr>
  </w:style>
  <w:style w:type="character" w:customStyle="1" w:styleId="12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qFormat/>
    <w:uiPriority w:val="0"/>
    <w:rPr>
      <w:rFonts w:eastAsia="宋体"/>
      <w:kern w:val="2"/>
      <w:sz w:val="24"/>
      <w:lang w:val="en-US" w:eastAsia="zh-CN" w:bidi="ar-SA"/>
    </w:rPr>
  </w:style>
  <w:style w:type="character" w:customStyle="1" w:styleId="125">
    <w:name w:val="普通文字 Char1"/>
    <w:qFormat/>
    <w:uiPriority w:val="0"/>
    <w:rPr>
      <w:rFonts w:ascii="宋体" w:hAnsi="Courier New" w:eastAsia="宋体"/>
      <w:kern w:val="2"/>
      <w:sz w:val="21"/>
      <w:lang w:val="en-US" w:eastAsia="zh-CN"/>
    </w:rPr>
  </w:style>
  <w:style w:type="character" w:customStyle="1" w:styleId="126">
    <w:name w:val="标题 9 Char"/>
    <w:link w:val="10"/>
    <w:qFormat/>
    <w:uiPriority w:val="0"/>
    <w:rPr>
      <w:rFonts w:ascii="Arial" w:hAnsi="Arial" w:eastAsia="黑体"/>
      <w:kern w:val="2"/>
      <w:sz w:val="21"/>
      <w:szCs w:val="21"/>
    </w:rPr>
  </w:style>
  <w:style w:type="character" w:customStyle="1" w:styleId="127">
    <w:name w:val="Header Char"/>
    <w:semiHidden/>
    <w:qFormat/>
    <w:locked/>
    <w:uiPriority w:val="0"/>
    <w:rPr>
      <w:rFonts w:eastAsia="宋体"/>
      <w:kern w:val="2"/>
      <w:sz w:val="18"/>
      <w:szCs w:val="18"/>
      <w:lang w:val="en-US" w:eastAsia="zh-CN" w:bidi="ar-SA"/>
    </w:rPr>
  </w:style>
  <w:style w:type="character" w:customStyle="1" w:styleId="128">
    <w:name w:val="Footer-Even Char1"/>
    <w:qFormat/>
    <w:uiPriority w:val="0"/>
    <w:rPr>
      <w:rFonts w:eastAsia="宋体"/>
      <w:kern w:val="2"/>
      <w:sz w:val="18"/>
      <w:szCs w:val="18"/>
      <w:lang w:val="en-US" w:eastAsia="zh-CN" w:bidi="ar-SA"/>
    </w:rPr>
  </w:style>
  <w:style w:type="character" w:customStyle="1" w:styleId="129">
    <w:name w:val="unnamed31"/>
    <w:qFormat/>
    <w:uiPriority w:val="0"/>
    <w:rPr>
      <w:rFonts w:ascii="Tahoma" w:hAnsi="Tahoma" w:eastAsia="宋体"/>
      <w:b/>
      <w:kern w:val="2"/>
      <w:sz w:val="24"/>
      <w:szCs w:val="32"/>
      <w:u w:val="none"/>
      <w:lang w:val="en-US" w:eastAsia="zh-CN" w:bidi="ar-SA"/>
    </w:rPr>
  </w:style>
  <w:style w:type="character" w:customStyle="1" w:styleId="130">
    <w:name w:val="纯文本 Char Char Char"/>
    <w:qFormat/>
    <w:uiPriority w:val="0"/>
    <w:rPr>
      <w:rFonts w:ascii="宋体" w:hAnsi="Courier New" w:eastAsia="宋体"/>
      <w:kern w:val="2"/>
      <w:sz w:val="21"/>
      <w:lang w:val="en-US" w:eastAsia="zh-CN" w:bidi="ar-SA"/>
    </w:rPr>
  </w:style>
  <w:style w:type="character" w:customStyle="1" w:styleId="131">
    <w:name w:val="Body Text(ch) Char Char"/>
    <w:qFormat/>
    <w:uiPriority w:val="0"/>
    <w:rPr>
      <w:rFonts w:ascii="宋体"/>
      <w:kern w:val="2"/>
      <w:sz w:val="24"/>
      <w:szCs w:val="21"/>
      <w:lang w:val="zh-CN"/>
    </w:rPr>
  </w:style>
  <w:style w:type="character" w:customStyle="1" w:styleId="132">
    <w:name w:val="插图说明 Char"/>
    <w:qFormat/>
    <w:uiPriority w:val="0"/>
    <w:rPr>
      <w:rFonts w:eastAsia="黑体"/>
      <w:sz w:val="24"/>
      <w:lang w:val="en-US" w:eastAsia="zh-CN"/>
    </w:rPr>
  </w:style>
  <w:style w:type="character" w:customStyle="1" w:styleId="133">
    <w:name w:val="tw4winExternal"/>
    <w:qFormat/>
    <w:uiPriority w:val="0"/>
    <w:rPr>
      <w:rFonts w:ascii="Courier New" w:hAnsi="Courier New" w:cs="Courier New"/>
      <w:color w:val="808080"/>
      <w:lang w:val="en-US" w:eastAsia="zh-CN"/>
    </w:rPr>
  </w:style>
  <w:style w:type="character" w:customStyle="1" w:styleId="134">
    <w:name w:val="font21"/>
    <w:qFormat/>
    <w:uiPriority w:val="0"/>
    <w:rPr>
      <w:rFonts w:hint="eastAsia" w:ascii="宋体" w:hAnsi="宋体" w:eastAsia="宋体"/>
      <w:kern w:val="2"/>
      <w:sz w:val="28"/>
      <w:szCs w:val="28"/>
      <w:lang w:val="en-US" w:eastAsia="zh-CN" w:bidi="ar-SA"/>
    </w:rPr>
  </w:style>
  <w:style w:type="character" w:customStyle="1" w:styleId="135">
    <w:name w:val="标书正文格式 Char"/>
    <w:qFormat/>
    <w:uiPriority w:val="0"/>
    <w:rPr>
      <w:rFonts w:eastAsia="楷体_GB2312"/>
      <w:kern w:val="2"/>
      <w:sz w:val="24"/>
      <w:szCs w:val="24"/>
      <w:lang w:bidi="ar-SA"/>
    </w:rPr>
  </w:style>
  <w:style w:type="character" w:customStyle="1" w:styleId="136">
    <w:name w:val="正文首行缩进 Char"/>
    <w:link w:val="23"/>
    <w:qFormat/>
    <w:uiPriority w:val="0"/>
    <w:rPr>
      <w:rFonts w:ascii="宋体"/>
      <w:kern w:val="2"/>
      <w:sz w:val="24"/>
      <w:lang w:val="zh-CN"/>
    </w:rPr>
  </w:style>
  <w:style w:type="character" w:customStyle="1" w:styleId="137">
    <w:name w:val="javascript"/>
    <w:qFormat/>
    <w:uiPriority w:val="0"/>
  </w:style>
  <w:style w:type="character" w:customStyle="1" w:styleId="138">
    <w:name w:val="Balloon Text Char"/>
    <w:semiHidden/>
    <w:qFormat/>
    <w:locked/>
    <w:uiPriority w:val="0"/>
    <w:rPr>
      <w:rFonts w:eastAsia="宋体"/>
      <w:kern w:val="2"/>
      <w:sz w:val="18"/>
      <w:szCs w:val="18"/>
      <w:lang w:val="en-US" w:eastAsia="zh-CN" w:bidi="ar-SA"/>
    </w:rPr>
  </w:style>
  <w:style w:type="character" w:customStyle="1" w:styleId="139">
    <w:name w:val="Char Char5"/>
    <w:qFormat/>
    <w:uiPriority w:val="0"/>
    <w:rPr>
      <w:rFonts w:ascii="宋体" w:hAnsi="Courier New" w:eastAsia="宋体"/>
      <w:kern w:val="2"/>
      <w:sz w:val="21"/>
      <w:lang w:val="en-US" w:eastAsia="zh-CN"/>
    </w:rPr>
  </w:style>
  <w:style w:type="character" w:customStyle="1" w:styleId="140">
    <w:name w:val="Char Char"/>
    <w:qFormat/>
    <w:uiPriority w:val="0"/>
    <w:rPr>
      <w:rFonts w:ascii="宋体" w:hAnsi="Courier New" w:eastAsia="宋体"/>
      <w:kern w:val="2"/>
      <w:sz w:val="21"/>
      <w:lang w:val="en-US" w:eastAsia="zh-CN" w:bidi="ar-SA"/>
    </w:rPr>
  </w:style>
  <w:style w:type="character" w:customStyle="1" w:styleId="141">
    <w:name w:val="mdeck"/>
    <w:qFormat/>
    <w:uiPriority w:val="0"/>
    <w:rPr>
      <w:rFonts w:ascii="仿宋_GB2312" w:eastAsia="微软雅黑"/>
      <w:b/>
      <w:kern w:val="2"/>
      <w:sz w:val="32"/>
      <w:szCs w:val="32"/>
      <w:lang w:val="en-US" w:eastAsia="zh-CN" w:bidi="ar-SA"/>
    </w:rPr>
  </w:style>
  <w:style w:type="character" w:customStyle="1" w:styleId="142">
    <w:name w:val="content"/>
    <w:qFormat/>
    <w:uiPriority w:val="0"/>
  </w:style>
  <w:style w:type="character" w:customStyle="1" w:styleId="143">
    <w:name w:val="Char Char3"/>
    <w:qFormat/>
    <w:uiPriority w:val="0"/>
    <w:rPr>
      <w:rFonts w:eastAsia="宋体"/>
      <w:kern w:val="2"/>
      <w:sz w:val="21"/>
      <w:szCs w:val="24"/>
      <w:lang w:val="en-US" w:eastAsia="zh-CN" w:bidi="ar-SA"/>
    </w:rPr>
  </w:style>
  <w:style w:type="character" w:customStyle="1" w:styleId="144">
    <w:name w:val="Char Char81"/>
    <w:qFormat/>
    <w:uiPriority w:val="6"/>
    <w:rPr>
      <w:rFonts w:eastAsia="宋体"/>
      <w:b/>
      <w:sz w:val="24"/>
      <w:lang w:val="en-GB" w:eastAsia="zh-CN"/>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2"/>
    <w:link w:val="148"/>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2"/>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2"/>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0"/>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Char"/>
    <w:link w:val="29"/>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Char"/>
    <w:link w:val="6"/>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2"/>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Char"/>
    <w:link w:val="21"/>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Char"/>
    <w:link w:val="51"/>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2"/>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Char"/>
    <w:link w:val="8"/>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Char"/>
    <w:link w:val="33"/>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Char"/>
    <w:link w:val="20"/>
    <w:qFormat/>
    <w:uiPriority w:val="0"/>
    <w:rPr>
      <w:rFonts w:ascii="仿宋_GB2312" w:eastAsia="仿宋_GB2312"/>
      <w:kern w:val="2"/>
      <w:sz w:val="28"/>
    </w:rPr>
  </w:style>
  <w:style w:type="character" w:customStyle="1" w:styleId="214">
    <w:name w:val="标题 4 Char"/>
    <w:link w:val="2"/>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Char"/>
    <w:link w:val="48"/>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Char"/>
    <w:link w:val="7"/>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Char2"/>
    <w:link w:val="15"/>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首行缩进 2 Char"/>
    <w:link w:val="59"/>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Char1"/>
    <w:link w:val="19"/>
    <w:qFormat/>
    <w:uiPriority w:val="0"/>
    <w:rPr>
      <w:kern w:val="2"/>
      <w:sz w:val="21"/>
      <w:szCs w:val="24"/>
    </w:rPr>
  </w:style>
  <w:style w:type="character" w:customStyle="1" w:styleId="249">
    <w:name w:val="批注框文本 Char"/>
    <w:link w:val="37"/>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Char"/>
    <w:link w:val="40"/>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2"/>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6"/>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5"/>
    <w:qFormat/>
    <w:uiPriority w:val="0"/>
    <w:pPr>
      <w:numPr>
        <w:numId w:val="4"/>
      </w:numPr>
      <w:tabs>
        <w:tab w:val="left" w:pos="840"/>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2"/>
    <w:qFormat/>
    <w:uiPriority w:val="0"/>
    <w:pPr>
      <w:numPr>
        <w:numId w:val="4"/>
      </w:numPr>
      <w:tabs>
        <w:tab w:val="left" w:pos="840"/>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4"/>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5"/>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2"/>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Heading"/>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2"/>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3"/>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2"/>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70"/>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4"/>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6"/>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2"/>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Revision"/>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2"/>
    <w:next w:val="422"/>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8"/>
    <w:qFormat/>
    <w:locked/>
    <w:uiPriority w:val="99"/>
    <w:rPr>
      <w:kern w:val="2"/>
      <w:sz w:val="18"/>
      <w:szCs w:val="18"/>
    </w:rPr>
  </w:style>
  <w:style w:type="character" w:customStyle="1" w:styleId="630">
    <w:name w:val="页眉 Char2"/>
    <w:link w:val="39"/>
    <w:qFormat/>
    <w:uiPriority w:val="99"/>
    <w:rPr>
      <w:kern w:val="2"/>
      <w:sz w:val="18"/>
      <w:szCs w:val="18"/>
    </w:rPr>
  </w:style>
  <w:style w:type="paragraph" w:customStyle="1" w:styleId="631">
    <w:name w:val="封面编号"/>
    <w:basedOn w:val="1"/>
    <w:qFormat/>
    <w:uiPriority w:val="0"/>
    <w:pPr>
      <w:spacing w:line="360" w:lineRule="auto"/>
      <w:jc w:val="center"/>
    </w:pPr>
    <w:rPr>
      <w:rFonts w:ascii="黑体" w:hAnsi="宋体" w:eastAsia="黑体" w:cs="宋体"/>
      <w:b/>
      <w:bCs/>
      <w:sz w:val="38"/>
      <w:szCs w:val="20"/>
    </w:rPr>
  </w:style>
  <w:style w:type="paragraph" w:customStyle="1" w:styleId="63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3">
    <w:name w:val="[Normal]"/>
    <w:qFormat/>
    <w:uiPriority w:val="0"/>
    <w:rPr>
      <w:rFonts w:ascii="宋体" w:hAnsi="宋体" w:eastAsia="宋体" w:cs="Times New Roman"/>
      <w:sz w:val="24"/>
      <w:szCs w:val="22"/>
      <w:lang w:val="zh-CN" w:eastAsia="zh-CN" w:bidi="ar-SA"/>
    </w:rPr>
  </w:style>
  <w:style w:type="character" w:customStyle="1" w:styleId="634">
    <w:name w:val="font01"/>
    <w:basedOn w:val="62"/>
    <w:qFormat/>
    <w:uiPriority w:val="0"/>
    <w:rPr>
      <w:rFonts w:hint="eastAsia" w:ascii="宋体" w:hAnsi="宋体" w:eastAsia="宋体" w:cs="宋体"/>
      <w:color w:val="000000"/>
      <w:sz w:val="22"/>
      <w:szCs w:val="22"/>
      <w:u w:val="none"/>
    </w:rPr>
  </w:style>
  <w:style w:type="character" w:customStyle="1" w:styleId="635">
    <w:name w:val="font31"/>
    <w:basedOn w:val="62"/>
    <w:qFormat/>
    <w:uiPriority w:val="0"/>
    <w:rPr>
      <w:rFonts w:hint="eastAsia" w:ascii="宋体" w:hAnsi="宋体" w:eastAsia="宋体" w:cs="宋体"/>
      <w:color w:val="000000"/>
      <w:sz w:val="22"/>
      <w:szCs w:val="22"/>
      <w:u w:val="single"/>
    </w:rPr>
  </w:style>
  <w:style w:type="table" w:customStyle="1" w:styleId="636">
    <w:name w:val="Table Normal"/>
    <w:semiHidden/>
    <w:unhideWhenUsed/>
    <w:qFormat/>
    <w:uiPriority w:val="0"/>
    <w:tblPr>
      <w:tblCellMar>
        <w:top w:w="0" w:type="dxa"/>
        <w:left w:w="0" w:type="dxa"/>
        <w:bottom w:w="0" w:type="dxa"/>
        <w:right w:w="0" w:type="dxa"/>
      </w:tblCellMar>
    </w:tblPr>
  </w:style>
  <w:style w:type="paragraph" w:customStyle="1" w:styleId="637">
    <w:name w:val="_Style 3"/>
    <w:basedOn w:val="1"/>
    <w:qFormat/>
    <w:uiPriority w:val="0"/>
    <w:pPr>
      <w:adjustRightInd/>
      <w:ind w:firstLine="420" w:firstLineChars="200"/>
    </w:pPr>
    <w:rPr>
      <w:rFonts w:eastAsia="仿宋_GB2312"/>
      <w:sz w:val="28"/>
    </w:rPr>
  </w:style>
  <w:style w:type="character" w:customStyle="1" w:styleId="638">
    <w:name w:val="NormalCharacter"/>
    <w:qFormat/>
    <w:uiPriority w:val="0"/>
    <w:rPr>
      <w:b/>
      <w:sz w:val="24"/>
      <w:szCs w:val="24"/>
    </w:rPr>
  </w:style>
  <w:style w:type="character" w:customStyle="1" w:styleId="639">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8C66-B602-42B9-9EDA-A0936F1CECA9}">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23614</Words>
  <Characters>25195</Characters>
  <Lines>1331</Lines>
  <Paragraphs>1597</Paragraphs>
  <TotalTime>38</TotalTime>
  <ScaleCrop>false</ScaleCrop>
  <LinksUpToDate>false</LinksUpToDate>
  <CharactersWithSpaces>29585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三月七</cp:lastModifiedBy>
  <cp:lastPrinted>2021-04-01T06:48:00Z</cp:lastPrinted>
  <dcterms:modified xsi:type="dcterms:W3CDTF">2022-08-30T05:31:45Z</dcterms:modified>
  <dc:title>杭州市市民卡扩大发卡工程</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D386A1027EA540B18B17625C8C52537C</vt:lpwstr>
  </property>
</Properties>
</file>