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28"/>
          <w:szCs w:val="28"/>
        </w:rPr>
      </w:pPr>
    </w:p>
    <w:p>
      <w:pPr>
        <w:jc w:val="center"/>
        <w:rPr>
          <w:rFonts w:ascii="宋体"/>
          <w:sz w:val="72"/>
          <w:szCs w:val="72"/>
        </w:rPr>
      </w:pPr>
      <w:r>
        <w:rPr>
          <w:rFonts w:hint="eastAsia" w:ascii="宋体" w:hAnsi="宋体" w:cs="宋体"/>
          <w:sz w:val="72"/>
          <w:szCs w:val="72"/>
        </w:rPr>
        <w:t xml:space="preserve">         </w:t>
      </w:r>
    </w:p>
    <w:p>
      <w:pPr>
        <w:spacing w:line="360" w:lineRule="auto"/>
        <w:jc w:val="center"/>
        <w:textAlignment w:val="bottom"/>
        <w:rPr>
          <w:rFonts w:ascii="宋体"/>
          <w:b/>
          <w:bCs/>
          <w:kern w:val="0"/>
          <w:sz w:val="52"/>
          <w:szCs w:val="52"/>
        </w:rPr>
      </w:pPr>
      <w:r>
        <w:rPr>
          <w:rFonts w:hint="eastAsia" w:ascii="宋体" w:hAnsi="宋体" w:cs="宋体"/>
          <w:b/>
          <w:bCs/>
          <w:kern w:val="0"/>
          <w:sz w:val="52"/>
          <w:szCs w:val="52"/>
        </w:rPr>
        <w:t>政府采购电子招标文件</w:t>
      </w:r>
    </w:p>
    <w:p>
      <w:pPr>
        <w:spacing w:line="360" w:lineRule="auto"/>
        <w:rPr>
          <w:rFonts w:ascii="宋体" w:hAnsi="宋体" w:cs="宋体"/>
          <w:sz w:val="28"/>
          <w:szCs w:val="28"/>
        </w:rPr>
      </w:pPr>
    </w:p>
    <w:p>
      <w:pPr>
        <w:spacing w:line="360" w:lineRule="auto"/>
        <w:jc w:val="center"/>
        <w:textAlignment w:val="bottom"/>
        <w:rPr>
          <w:rFonts w:ascii="宋体" w:hAnsi="宋体" w:cs="宋体"/>
          <w:sz w:val="28"/>
          <w:szCs w:val="28"/>
        </w:rPr>
      </w:pPr>
    </w:p>
    <w:p>
      <w:pPr>
        <w:spacing w:line="360" w:lineRule="auto"/>
        <w:jc w:val="center"/>
        <w:textAlignment w:val="bottom"/>
        <w:rPr>
          <w:rFonts w:hint="eastAsia" w:ascii="宋体" w:hAnsi="宋体" w:cs="宋体"/>
          <w:sz w:val="28"/>
          <w:szCs w:val="28"/>
        </w:rPr>
      </w:pPr>
      <w:r>
        <w:rPr>
          <w:rFonts w:hint="eastAsia" w:ascii="宋体" w:hAnsi="宋体" w:cs="宋体"/>
          <w:sz w:val="28"/>
          <w:szCs w:val="28"/>
        </w:rPr>
        <w:t>项目编号：</w:t>
      </w:r>
      <w:r>
        <w:rPr>
          <w:rFonts w:hint="eastAsia" w:ascii="宋体" w:hAnsi="宋体" w:cs="宋体"/>
          <w:sz w:val="28"/>
          <w:szCs w:val="28"/>
        </w:rPr>
        <w:fldChar w:fldCharType="begin"/>
      </w:r>
      <w:r>
        <w:rPr>
          <w:rFonts w:hint="eastAsia" w:ascii="宋体" w:hAnsi="宋体" w:cs="宋体"/>
          <w:sz w:val="28"/>
          <w:szCs w:val="28"/>
        </w:rPr>
        <w:instrText xml:space="preserve"> HYPERLINK "https://www.zcygov.cn/project-center/_procurement_/project-result-detail/7152935587514527542?utm=web-project-center-front.42c12ca3.0.0.89f4bee0b44711eea0fd858692c4a130" \t "https://www.zcygov.cn/project-center/_procurement_/self-project/_blank" </w:instrText>
      </w:r>
      <w:r>
        <w:rPr>
          <w:rFonts w:hint="eastAsia" w:ascii="宋体" w:hAnsi="宋体" w:cs="宋体"/>
          <w:sz w:val="28"/>
          <w:szCs w:val="28"/>
        </w:rPr>
        <w:fldChar w:fldCharType="separate"/>
      </w:r>
      <w:r>
        <w:rPr>
          <w:rFonts w:hint="eastAsia" w:ascii="宋体" w:hAnsi="宋体" w:cs="宋体"/>
          <w:sz w:val="28"/>
          <w:szCs w:val="28"/>
        </w:rPr>
        <w:t>临[2024]8号</w:t>
      </w:r>
      <w:r>
        <w:rPr>
          <w:rFonts w:hint="eastAsia" w:ascii="宋体" w:hAnsi="宋体" w:cs="宋体"/>
          <w:sz w:val="28"/>
          <w:szCs w:val="28"/>
        </w:rPr>
        <w:fldChar w:fldCharType="end"/>
      </w:r>
      <w:r>
        <w:rPr>
          <w:rFonts w:hint="eastAsia" w:ascii="宋体" w:hAnsi="宋体" w:cs="宋体"/>
          <w:sz w:val="28"/>
          <w:szCs w:val="28"/>
        </w:rPr>
        <w:t xml:space="preserve"> </w:t>
      </w:r>
    </w:p>
    <w:p>
      <w:pPr>
        <w:spacing w:line="360" w:lineRule="auto"/>
        <w:rPr>
          <w:rFonts w:ascii="宋体" w:hAnsi="宋体" w:cs="宋体"/>
          <w:sz w:val="28"/>
          <w:szCs w:val="28"/>
        </w:rPr>
      </w:pPr>
    </w:p>
    <w:p>
      <w:pPr>
        <w:tabs>
          <w:tab w:val="left" w:pos="3149"/>
        </w:tabs>
        <w:autoSpaceDE w:val="0"/>
        <w:autoSpaceDN w:val="0"/>
        <w:adjustRightInd w:val="0"/>
        <w:spacing w:line="360" w:lineRule="auto"/>
        <w:rPr>
          <w:rFonts w:ascii="宋体" w:hAnsi="宋体" w:cs="宋体"/>
          <w:kern w:val="0"/>
          <w:sz w:val="28"/>
          <w:szCs w:val="28"/>
        </w:rPr>
      </w:pPr>
      <w:r>
        <w:rPr>
          <w:rFonts w:ascii="宋体" w:hAnsi="宋体" w:cs="宋体"/>
          <w:kern w:val="0"/>
          <w:sz w:val="28"/>
          <w:szCs w:val="28"/>
        </w:rPr>
        <w:tab/>
      </w:r>
    </w:p>
    <w:p>
      <w:pPr>
        <w:autoSpaceDE w:val="0"/>
        <w:autoSpaceDN w:val="0"/>
        <w:adjustRightInd w:val="0"/>
        <w:spacing w:line="360" w:lineRule="auto"/>
        <w:jc w:val="both"/>
        <w:rPr>
          <w:rFonts w:hint="eastAsia" w:ascii="宋体" w:eastAsia="宋体"/>
          <w:kern w:val="0"/>
          <w:sz w:val="28"/>
          <w:szCs w:val="28"/>
          <w:lang w:eastAsia="zh-CN"/>
        </w:rPr>
      </w:pPr>
      <w:r>
        <w:rPr>
          <w:rFonts w:hint="eastAsia" w:ascii="宋体" w:hAnsi="宋体" w:cs="宋体"/>
          <w:kern w:val="0"/>
          <w:sz w:val="28"/>
          <w:szCs w:val="28"/>
        </w:rPr>
        <w:t>采购项目：</w:t>
      </w:r>
      <w:r>
        <w:rPr>
          <w:rFonts w:hint="eastAsia" w:ascii="宋体" w:hAnsi="宋体" w:cs="宋体"/>
          <w:kern w:val="0"/>
          <w:sz w:val="28"/>
          <w:szCs w:val="28"/>
          <w:lang w:eastAsia="zh-CN"/>
        </w:rPr>
        <w:t>东魁杨梅集成创新-东魁杨梅博览馆布展多媒体采购项目</w:t>
      </w:r>
    </w:p>
    <w:p>
      <w:pPr>
        <w:autoSpaceDE w:val="0"/>
        <w:autoSpaceDN w:val="0"/>
        <w:adjustRightInd w:val="0"/>
        <w:spacing w:line="360" w:lineRule="auto"/>
        <w:ind w:firstLine="1400" w:firstLineChars="500"/>
        <w:jc w:val="center"/>
        <w:rPr>
          <w:rFonts w:ascii="宋体" w:hAnsi="宋体" w:cs="宋体"/>
          <w:kern w:val="0"/>
          <w:sz w:val="28"/>
          <w:szCs w:val="28"/>
        </w:rPr>
      </w:pPr>
    </w:p>
    <w:p>
      <w:pPr>
        <w:autoSpaceDE w:val="0"/>
        <w:autoSpaceDN w:val="0"/>
        <w:adjustRightInd w:val="0"/>
        <w:spacing w:line="360" w:lineRule="auto"/>
        <w:jc w:val="both"/>
        <w:rPr>
          <w:rFonts w:hint="eastAsia" w:ascii="宋体" w:eastAsia="宋体"/>
          <w:kern w:val="0"/>
          <w:sz w:val="28"/>
          <w:szCs w:val="28"/>
          <w:lang w:eastAsia="zh-CN"/>
        </w:rPr>
      </w:pPr>
      <w:r>
        <w:rPr>
          <w:rFonts w:hint="eastAsia" w:ascii="宋体" w:hAnsi="宋体" w:cs="宋体"/>
          <w:kern w:val="0"/>
          <w:sz w:val="28"/>
          <w:szCs w:val="28"/>
        </w:rPr>
        <w:t>采购单位：</w:t>
      </w:r>
      <w:r>
        <w:rPr>
          <w:rFonts w:hint="eastAsia" w:ascii="宋体" w:hAnsi="宋体" w:cs="宋体"/>
          <w:kern w:val="0"/>
          <w:sz w:val="28"/>
          <w:szCs w:val="28"/>
          <w:lang w:eastAsia="zh-CN"/>
        </w:rPr>
        <w:t>台州市黄岩区人民政府江口街道办事处</w:t>
      </w:r>
    </w:p>
    <w:p>
      <w:pPr>
        <w:spacing w:line="360" w:lineRule="auto"/>
        <w:rPr>
          <w:rFonts w:ascii="宋体" w:hAnsi="宋体" w:cs="宋体"/>
          <w:sz w:val="28"/>
          <w:szCs w:val="28"/>
        </w:rPr>
      </w:pPr>
    </w:p>
    <w:p>
      <w:pPr>
        <w:autoSpaceDE w:val="0"/>
        <w:autoSpaceDN w:val="0"/>
        <w:adjustRightInd w:val="0"/>
        <w:spacing w:line="360" w:lineRule="auto"/>
        <w:jc w:val="both"/>
        <w:rPr>
          <w:rFonts w:hint="eastAsia" w:ascii="宋体" w:eastAsia="宋体"/>
          <w:kern w:val="0"/>
          <w:sz w:val="28"/>
          <w:szCs w:val="28"/>
          <w:lang w:eastAsia="zh-CN"/>
        </w:rPr>
      </w:pPr>
      <w:r>
        <w:rPr>
          <w:rFonts w:hint="eastAsia" w:ascii="宋体" w:hAnsi="宋体" w:cs="宋体"/>
          <w:kern w:val="0"/>
          <w:sz w:val="28"/>
          <w:szCs w:val="28"/>
        </w:rPr>
        <w:t>采购代理机构：</w:t>
      </w:r>
      <w:r>
        <w:rPr>
          <w:rFonts w:hint="eastAsia" w:ascii="宋体" w:hAnsi="宋体" w:cs="宋体"/>
          <w:kern w:val="0"/>
          <w:sz w:val="28"/>
          <w:szCs w:val="28"/>
          <w:lang w:eastAsia="zh-CN"/>
        </w:rPr>
        <w:t>浙江中衡信工程咨询有限公司</w:t>
      </w:r>
    </w:p>
    <w:p>
      <w:pPr>
        <w:autoSpaceDE w:val="0"/>
        <w:autoSpaceDN w:val="0"/>
        <w:adjustRightInd w:val="0"/>
        <w:spacing w:line="360" w:lineRule="auto"/>
        <w:jc w:val="center"/>
        <w:rPr>
          <w:rFonts w:ascii="宋体" w:hAnsi="宋体" w:cs="宋体"/>
          <w:kern w:val="0"/>
          <w:sz w:val="28"/>
          <w:szCs w:val="28"/>
        </w:rPr>
      </w:pPr>
    </w:p>
    <w:p>
      <w:pPr>
        <w:autoSpaceDE w:val="0"/>
        <w:autoSpaceDN w:val="0"/>
        <w:adjustRightInd w:val="0"/>
        <w:spacing w:line="360" w:lineRule="auto"/>
        <w:jc w:val="center"/>
        <w:rPr>
          <w:rFonts w:ascii="宋体" w:hAnsi="宋体" w:cs="宋体"/>
          <w:kern w:val="0"/>
          <w:sz w:val="28"/>
          <w:szCs w:val="28"/>
        </w:rPr>
      </w:pPr>
    </w:p>
    <w:p>
      <w:pPr>
        <w:autoSpaceDE w:val="0"/>
        <w:autoSpaceDN w:val="0"/>
        <w:adjustRightInd w:val="0"/>
        <w:spacing w:line="360" w:lineRule="auto"/>
        <w:jc w:val="center"/>
        <w:rPr>
          <w:rFonts w:hint="eastAsia" w:ascii="宋体" w:hAnsi="宋体" w:eastAsia="宋体" w:cs="宋体"/>
          <w:sz w:val="28"/>
          <w:szCs w:val="28"/>
          <w:lang w:eastAsia="zh-CN"/>
        </w:rPr>
      </w:pPr>
      <w:r>
        <w:rPr>
          <w:rFonts w:hint="eastAsia" w:ascii="宋体" w:hAnsi="宋体" w:cs="宋体"/>
          <w:kern w:val="0"/>
          <w:sz w:val="28"/>
          <w:szCs w:val="28"/>
          <w:lang w:eastAsia="zh-CN"/>
        </w:rPr>
        <w:t>202</w:t>
      </w:r>
      <w:r>
        <w:rPr>
          <w:rFonts w:hint="eastAsia" w:ascii="宋体" w:hAnsi="宋体" w:cs="宋体"/>
          <w:kern w:val="0"/>
          <w:sz w:val="28"/>
          <w:szCs w:val="28"/>
          <w:lang w:val="en-US" w:eastAsia="zh-CN"/>
        </w:rPr>
        <w:t>4</w:t>
      </w:r>
      <w:r>
        <w:rPr>
          <w:rFonts w:hint="eastAsia" w:ascii="宋体" w:hAnsi="宋体" w:cs="宋体"/>
          <w:kern w:val="0"/>
          <w:sz w:val="28"/>
          <w:szCs w:val="28"/>
          <w:lang w:eastAsia="zh-CN"/>
        </w:rPr>
        <w:t>年1月</w:t>
      </w:r>
    </w:p>
    <w:p>
      <w:pPr>
        <w:pStyle w:val="2"/>
      </w:pPr>
    </w:p>
    <w:p>
      <w:pPr>
        <w:jc w:val="center"/>
        <w:rPr>
          <w:rFonts w:ascii="宋体" w:hAnsi="宋体" w:cs="宋体"/>
          <w:b/>
          <w:bCs/>
          <w:sz w:val="36"/>
          <w:szCs w:val="36"/>
        </w:rPr>
        <w:sectPr>
          <w:headerReference r:id="rId4" w:type="default"/>
          <w:pgSz w:w="11906" w:h="16838"/>
          <w:pgMar w:top="1440" w:right="1417" w:bottom="1440" w:left="1797" w:header="1417" w:footer="992" w:gutter="0"/>
          <w:pgNumType w:start="1"/>
          <w:cols w:space="0" w:num="1"/>
          <w:docGrid w:type="lines" w:linePitch="335" w:charSpace="0"/>
        </w:sectPr>
      </w:pPr>
    </w:p>
    <w:p>
      <w:pPr>
        <w:jc w:val="center"/>
        <w:rPr>
          <w:rFonts w:ascii="宋体"/>
          <w:b/>
          <w:bCs/>
          <w:sz w:val="36"/>
          <w:szCs w:val="36"/>
        </w:rPr>
      </w:pPr>
      <w:r>
        <w:rPr>
          <w:rFonts w:hint="eastAsia" w:ascii="宋体" w:hAnsi="宋体" w:cs="宋体"/>
          <w:b/>
          <w:bCs/>
          <w:sz w:val="36"/>
          <w:szCs w:val="36"/>
        </w:rPr>
        <w:t>目  录</w:t>
      </w:r>
    </w:p>
    <w:p>
      <w:pPr>
        <w:spacing w:line="360" w:lineRule="auto"/>
        <w:rPr>
          <w:rFonts w:ascii="宋体" w:hAnsi="宋体" w:cs="宋体"/>
          <w:sz w:val="24"/>
          <w:szCs w:val="24"/>
        </w:rPr>
      </w:pPr>
    </w:p>
    <w:p>
      <w:pPr>
        <w:spacing w:line="360" w:lineRule="auto"/>
        <w:rPr>
          <w:rFonts w:ascii="宋体"/>
          <w:b/>
          <w:bCs/>
          <w:sz w:val="32"/>
          <w:szCs w:val="32"/>
        </w:rPr>
      </w:pPr>
      <w:r>
        <w:rPr>
          <w:rFonts w:hint="eastAsia" w:ascii="宋体" w:hAnsi="宋体" w:cs="宋体"/>
          <w:b/>
          <w:bCs/>
          <w:sz w:val="32"/>
          <w:szCs w:val="32"/>
        </w:rPr>
        <w:t>第一章 公开招标采购公告</w:t>
      </w:r>
    </w:p>
    <w:p>
      <w:pPr>
        <w:spacing w:line="360" w:lineRule="auto"/>
        <w:rPr>
          <w:rFonts w:ascii="宋体"/>
          <w:b/>
          <w:bCs/>
          <w:sz w:val="32"/>
          <w:szCs w:val="32"/>
        </w:rPr>
      </w:pPr>
      <w:r>
        <w:rPr>
          <w:rFonts w:hint="eastAsia" w:ascii="宋体" w:hAnsi="宋体" w:cs="宋体"/>
          <w:b/>
          <w:bCs/>
          <w:sz w:val="32"/>
          <w:szCs w:val="32"/>
        </w:rPr>
        <w:t>第二章 投标人须知</w:t>
      </w:r>
    </w:p>
    <w:p>
      <w:pPr>
        <w:spacing w:line="360" w:lineRule="auto"/>
        <w:rPr>
          <w:rFonts w:ascii="宋体"/>
          <w:b/>
          <w:bCs/>
          <w:sz w:val="32"/>
          <w:szCs w:val="32"/>
        </w:rPr>
      </w:pPr>
      <w:r>
        <w:rPr>
          <w:rFonts w:hint="eastAsia" w:ascii="宋体" w:hAnsi="宋体" w:cs="宋体"/>
          <w:b/>
          <w:bCs/>
          <w:sz w:val="32"/>
          <w:szCs w:val="32"/>
        </w:rPr>
        <w:t>第三章 评标办法及评分标准</w:t>
      </w:r>
    </w:p>
    <w:p>
      <w:pPr>
        <w:spacing w:line="360" w:lineRule="auto"/>
        <w:rPr>
          <w:rFonts w:ascii="宋体"/>
          <w:b/>
          <w:bCs/>
          <w:sz w:val="32"/>
          <w:szCs w:val="32"/>
        </w:rPr>
      </w:pPr>
      <w:r>
        <w:rPr>
          <w:rFonts w:hint="eastAsia" w:ascii="宋体" w:hAnsi="宋体" w:cs="宋体"/>
          <w:b/>
          <w:bCs/>
          <w:sz w:val="32"/>
          <w:szCs w:val="32"/>
        </w:rPr>
        <w:t>第四章 公开招标需求</w:t>
      </w:r>
    </w:p>
    <w:p>
      <w:pPr>
        <w:spacing w:line="360" w:lineRule="auto"/>
        <w:rPr>
          <w:rFonts w:ascii="宋体"/>
          <w:b/>
          <w:bCs/>
          <w:sz w:val="32"/>
          <w:szCs w:val="32"/>
        </w:rPr>
      </w:pPr>
      <w:r>
        <w:rPr>
          <w:rFonts w:hint="eastAsia" w:ascii="宋体" w:hAnsi="宋体" w:cs="宋体"/>
          <w:b/>
          <w:bCs/>
          <w:sz w:val="32"/>
          <w:szCs w:val="32"/>
        </w:rPr>
        <w:t>第五章 政府采购合同主要条款指引</w:t>
      </w:r>
    </w:p>
    <w:p>
      <w:pPr>
        <w:spacing w:line="360" w:lineRule="auto"/>
        <w:rPr>
          <w:rFonts w:ascii="宋体"/>
          <w:b/>
          <w:bCs/>
          <w:sz w:val="32"/>
          <w:szCs w:val="32"/>
        </w:rPr>
      </w:pPr>
      <w:r>
        <w:rPr>
          <w:rFonts w:hint="eastAsia" w:ascii="宋体" w:hAnsi="宋体" w:cs="宋体"/>
          <w:b/>
          <w:bCs/>
          <w:sz w:val="32"/>
          <w:szCs w:val="32"/>
        </w:rPr>
        <w:t>第六章 投标文件格式附件</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pStyle w:val="2"/>
      </w:pPr>
    </w:p>
    <w:p>
      <w:pPr>
        <w:pStyle w:val="93"/>
        <w:rPr>
          <w:color w:val="auto"/>
        </w:rPr>
      </w:pPr>
    </w:p>
    <w:p>
      <w:pPr>
        <w:pStyle w:val="93"/>
        <w:rPr>
          <w:color w:val="auto"/>
        </w:rPr>
      </w:pPr>
    </w:p>
    <w:p>
      <w:pPr>
        <w:numPr>
          <w:ilvl w:val="0"/>
          <w:numId w:val="5"/>
        </w:numPr>
        <w:spacing w:line="360" w:lineRule="auto"/>
        <w:jc w:val="center"/>
        <w:rPr>
          <w:rFonts w:ascii="宋体" w:hAnsi="宋体" w:cs="宋体"/>
          <w:b/>
          <w:bCs/>
          <w:sz w:val="36"/>
          <w:szCs w:val="36"/>
        </w:rPr>
      </w:pPr>
      <w:r>
        <w:rPr>
          <w:rFonts w:hint="eastAsia" w:ascii="宋体" w:hAnsi="宋体" w:cs="宋体"/>
          <w:b/>
          <w:bCs/>
          <w:sz w:val="36"/>
          <w:szCs w:val="36"/>
        </w:rPr>
        <w:t>公开招标采购公告</w:t>
      </w:r>
    </w:p>
    <w:tbl>
      <w:tblPr>
        <w:tblStyle w:val="2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948" w:type="dxa"/>
            <w:noWrap/>
          </w:tcPr>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default" w:eastAsia="宋体" w:cs="宋体"/>
                <w:sz w:val="21"/>
                <w:szCs w:val="21"/>
              </w:rPr>
            </w:pPr>
            <w:r>
              <w:rPr>
                <w:rFonts w:eastAsia="宋体" w:cs="宋体"/>
                <w:sz w:val="21"/>
                <w:szCs w:val="21"/>
              </w:rPr>
              <w:t>项目概况</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0" w:hanging="420" w:hangingChars="200"/>
              <w:jc w:val="both"/>
              <w:textAlignment w:val="auto"/>
              <w:rPr>
                <w:rFonts w:hint="default" w:cs="宋体"/>
                <w:b/>
                <w:kern w:val="2"/>
                <w:sz w:val="21"/>
                <w:szCs w:val="21"/>
              </w:rPr>
            </w:pPr>
            <w:r>
              <w:rPr>
                <w:rFonts w:eastAsia="宋体" w:cs="宋体"/>
                <w:sz w:val="21"/>
                <w:szCs w:val="21"/>
              </w:rPr>
              <w:t> </w:t>
            </w:r>
            <w:r>
              <w:rPr>
                <w:rFonts w:hint="eastAsia" w:eastAsia="宋体" w:cs="宋体"/>
                <w:sz w:val="21"/>
                <w:szCs w:val="21"/>
                <w:u w:val="none"/>
                <w:lang w:val="en-US" w:eastAsia="zh-CN"/>
              </w:rPr>
              <w:t xml:space="preserve">  </w:t>
            </w:r>
            <w:r>
              <w:rPr>
                <w:rFonts w:hint="eastAsia" w:cs="宋体"/>
                <w:sz w:val="21"/>
                <w:szCs w:val="21"/>
                <w:u w:val="single"/>
                <w:lang w:eastAsia="zh-CN"/>
              </w:rPr>
              <w:t>东魁杨梅集成创新-东魁杨梅博览馆布展多媒体采购项目</w:t>
            </w:r>
            <w:r>
              <w:rPr>
                <w:rFonts w:eastAsia="宋体" w:cs="宋体"/>
                <w:sz w:val="21"/>
                <w:szCs w:val="21"/>
                <w:u w:val="none"/>
              </w:rPr>
              <w:t>的</w:t>
            </w:r>
            <w:r>
              <w:rPr>
                <w:rFonts w:eastAsia="宋体" w:cs="宋体"/>
                <w:sz w:val="21"/>
                <w:szCs w:val="21"/>
              </w:rPr>
              <w:t>潜在供应商应在</w:t>
            </w:r>
            <w:r>
              <w:rPr>
                <w:rFonts w:eastAsia="宋体" w:cs="宋体"/>
                <w:sz w:val="21"/>
                <w:szCs w:val="21"/>
                <w:u w:val="single"/>
              </w:rPr>
              <w:t xml:space="preserve"> 线上获取 </w:t>
            </w:r>
            <w:r>
              <w:rPr>
                <w:rFonts w:eastAsia="宋体" w:cs="宋体"/>
                <w:sz w:val="21"/>
                <w:szCs w:val="21"/>
              </w:rPr>
              <w:t>获取（下载）采购文件，并于</w:t>
            </w:r>
            <w:r>
              <w:rPr>
                <w:rFonts w:hint="eastAsia" w:cs="宋体"/>
                <w:color w:val="0000FF"/>
                <w:sz w:val="21"/>
                <w:szCs w:val="21"/>
                <w:u w:val="single"/>
                <w:lang w:eastAsia="zh-CN"/>
              </w:rPr>
              <w:t>2024年2月8日</w:t>
            </w:r>
            <w:r>
              <w:rPr>
                <w:rFonts w:hint="eastAsia" w:cs="宋体"/>
                <w:color w:val="0000FF"/>
                <w:sz w:val="21"/>
                <w:szCs w:val="21"/>
                <w:u w:val="single"/>
                <w:lang w:val="en-US" w:eastAsia="zh-CN"/>
              </w:rPr>
              <w:t>09</w:t>
            </w:r>
            <w:r>
              <w:rPr>
                <w:rFonts w:hint="eastAsia" w:eastAsia="宋体" w:cs="宋体"/>
                <w:color w:val="0000FF"/>
                <w:sz w:val="21"/>
                <w:szCs w:val="21"/>
                <w:u w:val="single"/>
                <w:lang w:eastAsia="zh-CN"/>
              </w:rPr>
              <w:t>:</w:t>
            </w:r>
            <w:r>
              <w:rPr>
                <w:rFonts w:hint="eastAsia" w:cs="宋体"/>
                <w:color w:val="0000FF"/>
                <w:sz w:val="21"/>
                <w:szCs w:val="21"/>
                <w:u w:val="single"/>
                <w:lang w:val="en-US" w:eastAsia="zh-CN"/>
              </w:rPr>
              <w:t>3</w:t>
            </w:r>
            <w:r>
              <w:rPr>
                <w:rFonts w:hint="eastAsia" w:eastAsia="宋体" w:cs="宋体"/>
                <w:color w:val="0000FF"/>
                <w:sz w:val="21"/>
                <w:szCs w:val="21"/>
                <w:u w:val="single"/>
                <w:lang w:eastAsia="zh-CN"/>
              </w:rPr>
              <w:t xml:space="preserve">0 </w:t>
            </w:r>
            <w:r>
              <w:rPr>
                <w:rFonts w:eastAsia="宋体" w:cs="宋体"/>
                <w:color w:val="0000FF"/>
                <w:sz w:val="21"/>
                <w:szCs w:val="21"/>
                <w:u w:val="single"/>
              </w:rPr>
              <w:t>（</w:t>
            </w:r>
            <w:r>
              <w:rPr>
                <w:rFonts w:eastAsia="宋体" w:cs="宋体"/>
                <w:sz w:val="21"/>
                <w:szCs w:val="21"/>
                <w:u w:val="single"/>
              </w:rPr>
              <w:t>北京时间）前提交（上传）响应文件</w:t>
            </w:r>
          </w:p>
        </w:tc>
      </w:tr>
    </w:tbl>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Style w:val="30"/>
          <w:rFonts w:hint="eastAsia" w:ascii="宋体" w:hAnsi="宋体" w:eastAsia="宋体" w:cs="宋体"/>
          <w:sz w:val="21"/>
          <w:szCs w:val="21"/>
        </w:rPr>
      </w:pPr>
      <w:r>
        <w:rPr>
          <w:rStyle w:val="30"/>
          <w:rFonts w:hint="eastAsia" w:ascii="宋体" w:hAnsi="宋体" w:eastAsia="宋体" w:cs="宋体"/>
          <w:sz w:val="21"/>
          <w:szCs w:val="21"/>
        </w:rPr>
        <w:t>一、项目基本情况</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项目编号：临[2024]8号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项目名称：东魁杨梅集成创新-东魁杨梅博览馆布展多媒体采购项目</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预算金额（元）：7724585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最高限价（元）：7724585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采购需求：</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标项名称: 东魁杨梅集成创新-东魁杨梅博览馆布展多媒体采购项目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数量: 1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预算金额（元）: 7724585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简要规格描述或项目基本概况介绍、用途：详见招标文件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备注： </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合同履约期限：标项 1，合同签订后60天内完成全部智能化系统设备的供货、安装调试完毕并通过验收。</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本项目（是）接受联合体投标。</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rPr>
          <w:rFonts w:hint="eastAsia" w:ascii="宋体" w:hAnsi="宋体" w:eastAsia="宋体" w:cs="宋体"/>
          <w:sz w:val="21"/>
          <w:szCs w:val="21"/>
        </w:rPr>
      </w:pPr>
      <w:r>
        <w:rPr>
          <w:rStyle w:val="30"/>
          <w:rFonts w:hint="eastAsia" w:ascii="宋体" w:hAnsi="宋体" w:eastAsia="宋体" w:cs="宋体"/>
          <w:sz w:val="21"/>
          <w:szCs w:val="21"/>
        </w:rPr>
        <w:t>二、申请人的资格要求：</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2.落实政府采购政策需满足的资格要求：无。</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3.单位负责人为同一人或者存在直接控股、管理关系的不同供应商，不得参加同一合同项下的政府采购活动。</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4.为采购项目提供整体设计、规范编制或者项目管理、监理、检测等服务的供应商，不得再参加该采购项目的其他采购活动。（联合体投标的，联合体各方均须满足该条款）</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420" w:firstLineChars="200"/>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kern w:val="0"/>
          <w:sz w:val="21"/>
          <w:szCs w:val="21"/>
          <w:lang w:val="en-US" w:eastAsia="zh-CN" w:bidi="ar-SA"/>
        </w:rPr>
        <w:t>5.</w:t>
      </w:r>
      <w:r>
        <w:rPr>
          <w:rFonts w:hint="eastAsia" w:ascii="宋体" w:hAnsi="宋体" w:eastAsia="宋体" w:cs="宋体"/>
          <w:color w:val="auto"/>
          <w:kern w:val="0"/>
          <w:sz w:val="21"/>
          <w:szCs w:val="21"/>
          <w:lang w:val="en-US" w:eastAsia="zh-CN" w:bidi="ar-SA"/>
        </w:rPr>
        <w:t>本项目的特定资格要求：无；</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both"/>
        <w:textAlignment w:val="auto"/>
        <w:rPr>
          <w:rFonts w:hint="eastAsia" w:ascii="宋体" w:hAnsi="宋体" w:eastAsia="宋体" w:cs="宋体"/>
          <w:color w:val="auto"/>
          <w:sz w:val="21"/>
          <w:szCs w:val="21"/>
        </w:rPr>
      </w:pPr>
      <w:r>
        <w:rPr>
          <w:rStyle w:val="30"/>
          <w:rFonts w:hint="eastAsia" w:ascii="宋体" w:hAnsi="宋体" w:eastAsia="宋体" w:cs="宋体"/>
          <w:color w:val="auto"/>
          <w:sz w:val="21"/>
          <w:szCs w:val="21"/>
        </w:rPr>
        <w:t>三、获取招标文件</w:t>
      </w:r>
      <w:r>
        <w:rPr>
          <w:rFonts w:hint="eastAsia" w:ascii="宋体" w:hAnsi="宋体" w:eastAsia="宋体" w:cs="宋体"/>
          <w:color w:val="auto"/>
          <w:sz w:val="21"/>
          <w:szCs w:val="21"/>
        </w:rPr>
        <w:t>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时间：/至</w:t>
      </w:r>
      <w:r>
        <w:rPr>
          <w:rFonts w:hint="eastAsia" w:cs="宋体"/>
          <w:color w:val="auto"/>
          <w:sz w:val="21"/>
          <w:szCs w:val="21"/>
          <w:lang w:eastAsia="zh-CN"/>
        </w:rPr>
        <w:t>2024年2月8日</w:t>
      </w:r>
      <w:r>
        <w:rPr>
          <w:rFonts w:hint="eastAsia" w:ascii="宋体" w:hAnsi="宋体" w:eastAsia="宋体" w:cs="宋体"/>
          <w:color w:val="auto"/>
          <w:sz w:val="21"/>
          <w:szCs w:val="21"/>
        </w:rPr>
        <w:t>，每天上午00:00至12:00，下午12:00至23:59（北京时间，线上获取法定节假日均可，线下获取文件法定节假日除外）</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地点（网址）：政采云平台（http：//zfcg.czt.zj.gov.cn）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方式：供应商登录政采云平台https://www.zcygov.cn/在线申请获取采购文件（进入“项目采购”应用，在获取采购文件菜单中选择项目，申请获取采购文件）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售价（元）：0 </w:t>
      </w:r>
    </w:p>
    <w:p>
      <w:pPr>
        <w:pStyle w:val="23"/>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240" w:lineRule="auto"/>
        <w:ind w:left="0" w:leftChars="0"/>
        <w:jc w:val="both"/>
        <w:textAlignment w:val="auto"/>
        <w:rPr>
          <w:rStyle w:val="30"/>
          <w:rFonts w:hint="eastAsia" w:ascii="宋体" w:hAnsi="宋体" w:eastAsia="宋体" w:cs="宋体"/>
          <w:color w:val="auto"/>
          <w:sz w:val="21"/>
          <w:szCs w:val="21"/>
        </w:rPr>
      </w:pPr>
      <w:r>
        <w:rPr>
          <w:rStyle w:val="30"/>
          <w:rFonts w:hint="eastAsia" w:ascii="宋体" w:hAnsi="宋体" w:eastAsia="宋体" w:cs="宋体"/>
          <w:color w:val="auto"/>
          <w:sz w:val="21"/>
          <w:szCs w:val="21"/>
        </w:rPr>
        <w:t>提交投标文件截止时间、开标时间和地点</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提交投标文件截止时间：</w:t>
      </w:r>
      <w:r>
        <w:rPr>
          <w:rFonts w:hint="eastAsia" w:cs="宋体"/>
          <w:color w:val="auto"/>
          <w:sz w:val="21"/>
          <w:szCs w:val="21"/>
          <w:lang w:eastAsia="zh-CN"/>
        </w:rPr>
        <w:t>2024年2月8日</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：30（北京时间）</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投标地点（网址）：请登录政采云投标客户端投标</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开标时间：</w:t>
      </w:r>
      <w:r>
        <w:rPr>
          <w:rFonts w:hint="eastAsia" w:cs="宋体"/>
          <w:color w:val="auto"/>
          <w:sz w:val="21"/>
          <w:szCs w:val="21"/>
          <w:lang w:eastAsia="zh-CN"/>
        </w:rPr>
        <w:t>2024年2月8日</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：30</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开标地点（网址）：浙江省台州市黄岩区劳动南路281号（应急管理局大楼5楼）</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黄岩区采购中心开标室1（513室）</w:t>
      </w:r>
      <w:r>
        <w:rPr>
          <w:rFonts w:hint="eastAsia" w:ascii="宋体" w:hAnsi="宋体" w:eastAsia="宋体" w:cs="宋体"/>
          <w:color w:val="auto"/>
          <w:sz w:val="21"/>
          <w:szCs w:val="21"/>
          <w:lang w:val="en-US" w:eastAsia="zh-CN"/>
        </w:rPr>
        <w:t xml:space="preserve">               </w:t>
      </w:r>
      <w:r>
        <w:rPr>
          <w:rFonts w:hint="eastAsia" w:cs="宋体"/>
          <w:color w:val="auto"/>
          <w:sz w:val="21"/>
          <w:szCs w:val="21"/>
          <w:lang w:val="en-US" w:eastAsia="zh-CN"/>
        </w:rPr>
        <w:t xml:space="preserve">                              </w:t>
      </w:r>
      <w:r>
        <w:rPr>
          <w:rFonts w:hint="eastAsia" w:ascii="宋体" w:hAnsi="宋体" w:eastAsia="宋体" w:cs="宋体"/>
          <w:color w:val="auto"/>
          <w:sz w:val="21"/>
          <w:szCs w:val="21"/>
        </w:rPr>
        <w:t>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both"/>
        <w:textAlignment w:val="auto"/>
        <w:rPr>
          <w:rFonts w:hint="eastAsia" w:ascii="宋体" w:hAnsi="宋体" w:eastAsia="宋体" w:cs="宋体"/>
          <w:color w:val="auto"/>
          <w:sz w:val="21"/>
          <w:szCs w:val="21"/>
        </w:rPr>
      </w:pPr>
      <w:r>
        <w:rPr>
          <w:rStyle w:val="30"/>
          <w:rFonts w:hint="eastAsia" w:ascii="宋体" w:hAnsi="宋体" w:eastAsia="宋体" w:cs="宋体"/>
          <w:color w:val="auto"/>
          <w:sz w:val="21"/>
          <w:szCs w:val="21"/>
        </w:rPr>
        <w:t>五、公告期限</w:t>
      </w:r>
      <w:r>
        <w:rPr>
          <w:rFonts w:hint="eastAsia" w:ascii="宋体" w:hAnsi="宋体" w:eastAsia="宋体" w:cs="宋体"/>
          <w:color w:val="auto"/>
          <w:sz w:val="21"/>
          <w:szCs w:val="21"/>
        </w:rPr>
        <w:t>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自本公告发布之日起5个工作日。</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both"/>
        <w:textAlignment w:val="auto"/>
        <w:rPr>
          <w:rFonts w:hint="eastAsia" w:ascii="宋体" w:hAnsi="宋体" w:eastAsia="宋体" w:cs="宋体"/>
          <w:color w:val="auto"/>
          <w:sz w:val="21"/>
          <w:szCs w:val="21"/>
        </w:rPr>
      </w:pPr>
      <w:r>
        <w:rPr>
          <w:rStyle w:val="30"/>
          <w:rFonts w:hint="eastAsia" w:ascii="宋体" w:hAnsi="宋体" w:eastAsia="宋体" w:cs="宋体"/>
          <w:color w:val="auto"/>
          <w:sz w:val="21"/>
          <w:szCs w:val="21"/>
        </w:rPr>
        <w:t>六、其他补充事宜</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rPr>
        <w:t>1.</w:t>
      </w:r>
      <w:r>
        <w:rPr>
          <w:rFonts w:hint="eastAsia" w:ascii="宋体" w:hAnsi="宋体" w:eastAsia="宋体" w:cs="宋体"/>
          <w:color w:val="auto"/>
          <w:kern w:val="2"/>
          <w:sz w:val="21"/>
          <w:szCs w:val="21"/>
          <w:lang w:val="en-US" w:eastAsia="zh-CN" w:bidi="ar-SA"/>
        </w:rPr>
        <w:t>《浙江省财政厅关于进一步发挥政府采购政策功能全力推动经济稳进提质的通知》 （浙财采监（2022）3号）、《浙江省财政厅关于进一步促进政府采</w:t>
      </w:r>
      <w:r>
        <w:rPr>
          <w:rFonts w:hint="eastAsia" w:ascii="宋体" w:hAnsi="宋体" w:eastAsia="宋体" w:cs="宋体"/>
          <w:kern w:val="2"/>
          <w:sz w:val="21"/>
          <w:szCs w:val="21"/>
          <w:lang w:val="en-US" w:eastAsia="zh-CN" w:bidi="ar-SA"/>
        </w:rPr>
        <w:t>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eastAsia="宋体" w:cs="宋体"/>
          <w:sz w:val="21"/>
          <w:szCs w:val="21"/>
        </w:rPr>
        <w:t>。</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4.其他事项：</w:t>
      </w:r>
      <w:r>
        <w:rPr>
          <w:rFonts w:hint="eastAsia" w:cs="宋体"/>
          <w:sz w:val="21"/>
          <w:szCs w:val="21"/>
          <w:lang w:eastAsia="zh-CN"/>
        </w:rPr>
        <w:t>无。</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rPr>
          <w:rFonts w:hint="eastAsia" w:ascii="宋体" w:hAnsi="宋体" w:eastAsia="宋体" w:cs="宋体"/>
          <w:sz w:val="21"/>
          <w:szCs w:val="21"/>
        </w:rPr>
      </w:pPr>
      <w:r>
        <w:rPr>
          <w:rStyle w:val="30"/>
          <w:rFonts w:hint="eastAsia" w:ascii="宋体" w:hAnsi="宋体" w:eastAsia="宋体" w:cs="宋体"/>
          <w:sz w:val="21"/>
          <w:szCs w:val="21"/>
        </w:rPr>
        <w:t>七、对本次采购提出询问、质疑、投诉，请按以下方式联系</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1.采购人信息</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lang w:eastAsia="zh-CN"/>
        </w:rPr>
        <w:t>台州市黄岩区人民政府江口街道办事处</w:t>
      </w:r>
      <w:r>
        <w:rPr>
          <w:rFonts w:hint="eastAsia" w:ascii="宋体" w:hAnsi="宋体" w:eastAsia="宋体" w:cs="宋体"/>
          <w:sz w:val="21"/>
          <w:szCs w:val="21"/>
        </w:rPr>
        <w:t>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firstLine="630" w:firstLineChars="3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址：黄岩区江口街343号</w:t>
      </w:r>
    </w:p>
    <w:p>
      <w:pPr>
        <w:keepNext w:val="0"/>
        <w:keepLines w:val="0"/>
        <w:pageBreakBefore w:val="0"/>
        <w:kinsoku/>
        <w:wordWrap/>
        <w:overflowPunct/>
        <w:topLinePunct w:val="0"/>
        <w:autoSpaceDE/>
        <w:autoSpaceDN/>
        <w:bidi w:val="0"/>
        <w:adjustRightInd/>
        <w:snapToGrid/>
        <w:spacing w:line="240" w:lineRule="auto"/>
        <w:ind w:right="0" w:firstLine="630" w:firstLineChars="3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项目联系人（询问）：徐先生       </w:t>
      </w:r>
    </w:p>
    <w:p>
      <w:pPr>
        <w:keepNext w:val="0"/>
        <w:keepLines w:val="0"/>
        <w:pageBreakBefore w:val="0"/>
        <w:kinsoku/>
        <w:wordWrap/>
        <w:overflowPunct/>
        <w:topLinePunct w:val="0"/>
        <w:autoSpaceDE/>
        <w:autoSpaceDN/>
        <w:bidi w:val="0"/>
        <w:adjustRightInd/>
        <w:snapToGrid/>
        <w:spacing w:line="240" w:lineRule="auto"/>
        <w:ind w:right="0" w:firstLine="630" w:firstLineChars="3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项目联系方式（询问）：13736607620       </w:t>
      </w:r>
    </w:p>
    <w:p>
      <w:pPr>
        <w:keepNext w:val="0"/>
        <w:keepLines w:val="0"/>
        <w:pageBreakBefore w:val="0"/>
        <w:kinsoku/>
        <w:wordWrap/>
        <w:overflowPunct/>
        <w:topLinePunct w:val="0"/>
        <w:autoSpaceDE/>
        <w:autoSpaceDN/>
        <w:bidi w:val="0"/>
        <w:adjustRightInd/>
        <w:snapToGrid/>
        <w:spacing w:line="240" w:lineRule="auto"/>
        <w:ind w:right="0" w:firstLine="630" w:firstLineChars="3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质疑联系人：徐先生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firstLine="630" w:firstLineChars="3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质疑联系方式：13736607620</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SA"/>
        </w:rPr>
        <w:t>2</w:t>
      </w:r>
      <w:r>
        <w:rPr>
          <w:rFonts w:hint="eastAsia" w:ascii="宋体" w:hAnsi="宋体" w:eastAsia="宋体" w:cs="宋体"/>
          <w:sz w:val="21"/>
          <w:szCs w:val="21"/>
        </w:rPr>
        <w:t>.采购代理机构信息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cs="宋体"/>
          <w:sz w:val="21"/>
          <w:szCs w:val="21"/>
          <w:lang w:eastAsia="zh-CN"/>
        </w:rPr>
        <w:t>浙江中衡信工程咨询有限公司</w:t>
      </w:r>
      <w:r>
        <w:rPr>
          <w:rFonts w:hint="eastAsia" w:ascii="宋体" w:hAnsi="宋体" w:eastAsia="宋体" w:cs="宋体"/>
          <w:sz w:val="21"/>
          <w:szCs w:val="21"/>
        </w:rPr>
        <w:t>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地   址：</w:t>
      </w:r>
      <w:r>
        <w:rPr>
          <w:rFonts w:hint="eastAsia" w:cs="宋体"/>
          <w:sz w:val="21"/>
          <w:szCs w:val="21"/>
          <w:lang w:eastAsia="zh-CN"/>
        </w:rPr>
        <w:t>黄岩区大桥路</w:t>
      </w:r>
      <w:r>
        <w:rPr>
          <w:rFonts w:hint="eastAsia" w:cs="宋体"/>
          <w:sz w:val="21"/>
          <w:szCs w:val="21"/>
          <w:lang w:val="en-US" w:eastAsia="zh-CN"/>
        </w:rPr>
        <w:t>671号</w:t>
      </w:r>
      <w:r>
        <w:rPr>
          <w:rFonts w:hint="eastAsia" w:ascii="宋体" w:hAnsi="宋体" w:eastAsia="宋体" w:cs="宋体"/>
          <w:sz w:val="21"/>
          <w:szCs w:val="21"/>
        </w:rPr>
        <w:t xml:space="preserve">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项目联系人（询问）：</w:t>
      </w:r>
      <w:r>
        <w:rPr>
          <w:rFonts w:hint="eastAsia" w:cs="宋体"/>
          <w:sz w:val="21"/>
          <w:szCs w:val="21"/>
          <w:lang w:eastAsia="zh-CN"/>
        </w:rPr>
        <w:t>王女士</w:t>
      </w:r>
      <w:r>
        <w:rPr>
          <w:rFonts w:hint="eastAsia" w:ascii="宋体" w:hAnsi="宋体" w:eastAsia="宋体" w:cs="宋体"/>
          <w:sz w:val="21"/>
          <w:szCs w:val="21"/>
        </w:rPr>
        <w:t xml:space="preserve">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项目联系方式（询问）：</w:t>
      </w:r>
      <w:r>
        <w:rPr>
          <w:rFonts w:hint="eastAsia" w:cs="宋体"/>
          <w:sz w:val="21"/>
          <w:szCs w:val="21"/>
          <w:lang w:val="en-US" w:eastAsia="zh-CN"/>
        </w:rPr>
        <w:t>0576-84021122</w:t>
      </w:r>
      <w:r>
        <w:rPr>
          <w:rFonts w:hint="eastAsia" w:ascii="宋体" w:hAnsi="宋体" w:eastAsia="宋体" w:cs="宋体"/>
          <w:sz w:val="21"/>
          <w:szCs w:val="21"/>
        </w:rPr>
        <w:t xml:space="preserve">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质疑联系人：</w:t>
      </w:r>
      <w:r>
        <w:rPr>
          <w:rFonts w:hint="eastAsia" w:cs="宋体"/>
          <w:sz w:val="21"/>
          <w:szCs w:val="21"/>
          <w:lang w:eastAsia="zh-CN"/>
        </w:rPr>
        <w:t>王凤香</w:t>
      </w:r>
      <w:r>
        <w:rPr>
          <w:rFonts w:hint="eastAsia" w:ascii="宋体" w:hAnsi="宋体" w:eastAsia="宋体" w:cs="宋体"/>
          <w:sz w:val="21"/>
          <w:szCs w:val="21"/>
        </w:rPr>
        <w:t xml:space="preserve">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质疑联系方式：</w:t>
      </w:r>
      <w:r>
        <w:rPr>
          <w:rFonts w:hint="eastAsia" w:cs="宋体"/>
          <w:sz w:val="21"/>
          <w:szCs w:val="21"/>
          <w:lang w:val="en-US" w:eastAsia="zh-CN"/>
        </w:rPr>
        <w:t>0576-84021122</w:t>
      </w:r>
      <w:r>
        <w:rPr>
          <w:rFonts w:hint="eastAsia" w:ascii="宋体" w:hAnsi="宋体" w:eastAsia="宋体" w:cs="宋体"/>
          <w:sz w:val="21"/>
          <w:szCs w:val="21"/>
        </w:rPr>
        <w:t xml:space="preserve">           </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3.同级政府采购监督管理部门</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名   称：台州市黄岩区财政局政府采购监管科</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地   址：台州市黄岩区劳动南路289号</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联系人：宋先生</w:t>
      </w:r>
    </w:p>
    <w:p>
      <w:pPr>
        <w:pStyle w:val="23"/>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30" w:firstLineChars="300"/>
        <w:textAlignment w:val="auto"/>
      </w:pPr>
      <w:r>
        <w:rPr>
          <w:rFonts w:hint="eastAsia" w:ascii="宋体" w:hAnsi="宋体" w:eastAsia="宋体" w:cs="宋体"/>
          <w:sz w:val="21"/>
          <w:szCs w:val="21"/>
        </w:rPr>
        <w:t>监督投诉电话：0576-84222959</w:t>
      </w:r>
    </w:p>
    <w:p>
      <w:pPr>
        <w:numPr>
          <w:ilvl w:val="0"/>
          <w:numId w:val="7"/>
        </w:numPr>
        <w:spacing w:line="360" w:lineRule="auto"/>
        <w:ind w:firstLine="482" w:firstLineChars="200"/>
        <w:rPr>
          <w:rFonts w:ascii="宋体" w:hAnsi="宋体" w:cs="宋体"/>
          <w:b/>
          <w:bCs/>
          <w:sz w:val="24"/>
          <w:szCs w:val="24"/>
        </w:rPr>
      </w:pPr>
      <w:r>
        <w:rPr>
          <w:rFonts w:hint="eastAsia" w:ascii="宋体" w:hAnsi="宋体" w:cs="宋体"/>
          <w:b/>
          <w:bCs/>
          <w:sz w:val="24"/>
          <w:szCs w:val="24"/>
        </w:rPr>
        <w:t>其余事项：</w:t>
      </w:r>
    </w:p>
    <w:p>
      <w:pPr>
        <w:spacing w:line="360" w:lineRule="auto"/>
        <w:jc w:val="center"/>
        <w:rPr>
          <w:rFonts w:ascii="宋体" w:hAnsi="宋体" w:cs="宋体"/>
          <w:sz w:val="24"/>
          <w:szCs w:val="24"/>
        </w:rPr>
      </w:pPr>
      <w:r>
        <w:rPr>
          <w:rFonts w:hint="eastAsia" w:ascii="宋体" w:hAnsi="宋体" w:cs="宋体"/>
          <w:sz w:val="24"/>
          <w:szCs w:val="24"/>
        </w:rPr>
        <w:t>中标供应商如有融资需求，可使用以下银行的政采贷服务。</w:t>
      </w:r>
    </w:p>
    <w:tbl>
      <w:tblPr>
        <w:tblStyle w:val="27"/>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1562"/>
        <w:gridCol w:w="1343"/>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银行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贷款年利率</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联系人</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中国工商银行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3.8%起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王霖</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中国农业银行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3.8%起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龚盛</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中国建设银行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3.8%起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梅晶晶</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中国银行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3.75%起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任茜</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浦发银行台州分行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4.05%起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王渊</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浦发银行椒江分行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4.05%起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孙瑞华</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交通银行台州分行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3.75%起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周翔宇</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招商银行台州分行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4.32%起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王海玲</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浙商银行台州分行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5.01%起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章涉漪</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中信银行台州分行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4.15%起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陈金园</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华夏银行台州分行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邱明达</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泰隆银行开发区支行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5.6%起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梁宛莉</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民泰银行椒江支行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5.8%起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陈慧珠</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绍兴银行台州分行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5.1%起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郭庭斌</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温州银行台州分行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4.55%起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王晓波</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平安银行台州分行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6.53%起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李俊丽</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宁波银行台州分行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4.35%起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戴莉丽</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金华银行台州分行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4.05%起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金雪婷</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台州银行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5.6%起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洪婷</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622" w:type="dxa"/>
            <w:vAlign w:val="center"/>
          </w:tcPr>
          <w:p>
            <w:pPr>
              <w:spacing w:line="240" w:lineRule="auto"/>
              <w:jc w:val="center"/>
              <w:rPr>
                <w:rFonts w:ascii="宋体" w:hAnsi="宋体" w:cs="宋体"/>
                <w:sz w:val="21"/>
                <w:szCs w:val="21"/>
              </w:rPr>
            </w:pPr>
            <w:r>
              <w:rPr>
                <w:rFonts w:hint="eastAsia" w:ascii="宋体" w:hAnsi="宋体" w:cs="宋体"/>
                <w:sz w:val="21"/>
                <w:szCs w:val="21"/>
              </w:rPr>
              <w:t>邮储银行台州分行</w:t>
            </w:r>
          </w:p>
        </w:tc>
        <w:tc>
          <w:tcPr>
            <w:tcW w:w="1562" w:type="dxa"/>
            <w:vAlign w:val="center"/>
          </w:tcPr>
          <w:p>
            <w:pPr>
              <w:spacing w:line="240" w:lineRule="auto"/>
              <w:jc w:val="center"/>
              <w:rPr>
                <w:rFonts w:ascii="宋体" w:hAnsi="宋体" w:cs="宋体"/>
                <w:sz w:val="21"/>
                <w:szCs w:val="21"/>
              </w:rPr>
            </w:pPr>
            <w:r>
              <w:rPr>
                <w:rFonts w:hint="eastAsia" w:ascii="宋体" w:hAnsi="宋体" w:cs="宋体"/>
                <w:sz w:val="21"/>
                <w:szCs w:val="21"/>
              </w:rPr>
              <w:t>3.85%起</w:t>
            </w:r>
          </w:p>
        </w:tc>
        <w:tc>
          <w:tcPr>
            <w:tcW w:w="1343" w:type="dxa"/>
            <w:vAlign w:val="center"/>
          </w:tcPr>
          <w:p>
            <w:pPr>
              <w:spacing w:line="240" w:lineRule="auto"/>
              <w:jc w:val="center"/>
              <w:rPr>
                <w:rFonts w:ascii="宋体" w:hAnsi="宋体" w:cs="宋体"/>
                <w:sz w:val="21"/>
                <w:szCs w:val="21"/>
              </w:rPr>
            </w:pPr>
            <w:r>
              <w:rPr>
                <w:rFonts w:hint="eastAsia" w:ascii="宋体" w:hAnsi="宋体" w:cs="宋体"/>
                <w:sz w:val="21"/>
                <w:szCs w:val="21"/>
              </w:rPr>
              <w:t>董庆</w:t>
            </w:r>
          </w:p>
        </w:tc>
        <w:tc>
          <w:tcPr>
            <w:tcW w:w="2934" w:type="dxa"/>
            <w:vAlign w:val="center"/>
          </w:tcPr>
          <w:p>
            <w:pPr>
              <w:spacing w:line="240" w:lineRule="auto"/>
              <w:jc w:val="center"/>
              <w:rPr>
                <w:rFonts w:ascii="宋体" w:hAnsi="宋体" w:cs="宋体"/>
                <w:sz w:val="21"/>
                <w:szCs w:val="21"/>
              </w:rPr>
            </w:pPr>
            <w:r>
              <w:rPr>
                <w:rFonts w:hint="eastAsia" w:ascii="宋体" w:hAnsi="宋体" w:cs="宋体"/>
                <w:sz w:val="21"/>
                <w:szCs w:val="21"/>
              </w:rPr>
              <w:t>81888982/18957683735</w:t>
            </w:r>
          </w:p>
        </w:tc>
      </w:tr>
    </w:tbl>
    <w:p>
      <w:pPr>
        <w:spacing w:line="360" w:lineRule="auto"/>
        <w:ind w:firstLine="840" w:firstLineChars="350"/>
        <w:jc w:val="center"/>
        <w:rPr>
          <w:rFonts w:ascii="宋体" w:hAnsi="宋体" w:cs="宋体"/>
          <w:sz w:val="24"/>
          <w:szCs w:val="24"/>
        </w:rPr>
      </w:pPr>
    </w:p>
    <w:p>
      <w:pPr>
        <w:spacing w:line="360" w:lineRule="auto"/>
        <w:ind w:firstLine="840" w:firstLineChars="350"/>
        <w:jc w:val="center"/>
        <w:rPr>
          <w:rFonts w:ascii="宋体" w:hAnsi="宋体" w:cs="宋体"/>
          <w:sz w:val="24"/>
          <w:szCs w:val="24"/>
        </w:rPr>
      </w:pPr>
      <w:r>
        <w:rPr>
          <w:rFonts w:hint="eastAsia" w:ascii="宋体" w:hAnsi="宋体" w:cs="宋体"/>
          <w:sz w:val="24"/>
          <w:szCs w:val="24"/>
        </w:rPr>
        <w:t>合同履约保函联系方式</w:t>
      </w:r>
    </w:p>
    <w:tbl>
      <w:tblPr>
        <w:tblStyle w:val="2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39"/>
        <w:gridCol w:w="2262"/>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保险公司名称</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保费率</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联系人</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中国人寿财产保险股份有限公司台州中心支公司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年费率1%，最低保费500元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徐凌</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永诚财产保险股份有限公司台州分公司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年费率1%，最低保费1000元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尹刚强</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华泰财产保险有限公司台州中心支公司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年费率0.5%，最低保费1000元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王灵芳</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中国大地财产保险股份有限公司台州中心支公司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年费率1.5%，最低保费1000元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徐小明</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阳光保险台州中心支公司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年费率1%，最低保费500元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林高明</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中华联合财产保险股份有限公司台州中心支公司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年费率2%，最低保费500元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王仙高</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中国人民财产保险股份有限公司台州中心支公司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年费率0.3%，最低保费1000元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王仙春</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9" w:type="dxa"/>
            <w:vAlign w:val="center"/>
          </w:tcPr>
          <w:p>
            <w:pPr>
              <w:spacing w:line="240" w:lineRule="auto"/>
              <w:jc w:val="center"/>
              <w:rPr>
                <w:rFonts w:ascii="宋体" w:hAnsi="宋体" w:cs="宋体"/>
                <w:sz w:val="21"/>
                <w:szCs w:val="21"/>
              </w:rPr>
            </w:pPr>
            <w:r>
              <w:rPr>
                <w:rFonts w:hint="eastAsia" w:ascii="宋体" w:hAnsi="宋体" w:cs="宋体"/>
                <w:sz w:val="21"/>
                <w:szCs w:val="21"/>
              </w:rPr>
              <w:t>永安财产保险股份有限公司台州中心支公司</w:t>
            </w:r>
          </w:p>
        </w:tc>
        <w:tc>
          <w:tcPr>
            <w:tcW w:w="2262" w:type="dxa"/>
            <w:vAlign w:val="center"/>
          </w:tcPr>
          <w:p>
            <w:pPr>
              <w:spacing w:line="240" w:lineRule="auto"/>
              <w:jc w:val="center"/>
              <w:rPr>
                <w:rFonts w:ascii="宋体" w:hAnsi="宋体" w:cs="宋体"/>
                <w:sz w:val="21"/>
                <w:szCs w:val="21"/>
              </w:rPr>
            </w:pPr>
            <w:r>
              <w:rPr>
                <w:rFonts w:hint="eastAsia" w:ascii="宋体" w:hAnsi="宋体" w:cs="宋体"/>
                <w:sz w:val="21"/>
                <w:szCs w:val="21"/>
              </w:rPr>
              <w:t>年费率0.3%，最低保费1000</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王春宇</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13676675331</w:t>
            </w:r>
          </w:p>
        </w:tc>
      </w:tr>
    </w:tbl>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预付款保函联系方式</w:t>
      </w:r>
    </w:p>
    <w:tbl>
      <w:tblPr>
        <w:tblStyle w:val="2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27"/>
        <w:gridCol w:w="2274"/>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3727" w:type="dxa"/>
            <w:vAlign w:val="center"/>
          </w:tcPr>
          <w:p>
            <w:pPr>
              <w:spacing w:line="240" w:lineRule="auto"/>
              <w:jc w:val="center"/>
              <w:rPr>
                <w:rFonts w:ascii="宋体" w:hAnsi="宋体" w:cs="宋体"/>
                <w:sz w:val="21"/>
                <w:szCs w:val="21"/>
              </w:rPr>
            </w:pPr>
            <w:r>
              <w:rPr>
                <w:rFonts w:hint="eastAsia" w:ascii="宋体" w:hAnsi="宋体" w:cs="宋体"/>
                <w:sz w:val="21"/>
                <w:szCs w:val="21"/>
              </w:rPr>
              <w:t>保险公司名称</w:t>
            </w:r>
          </w:p>
        </w:tc>
        <w:tc>
          <w:tcPr>
            <w:tcW w:w="2274" w:type="dxa"/>
            <w:vAlign w:val="center"/>
          </w:tcPr>
          <w:p>
            <w:pPr>
              <w:spacing w:line="240" w:lineRule="auto"/>
              <w:jc w:val="center"/>
              <w:rPr>
                <w:rFonts w:ascii="宋体" w:hAnsi="宋体" w:cs="宋体"/>
                <w:sz w:val="21"/>
                <w:szCs w:val="21"/>
              </w:rPr>
            </w:pPr>
            <w:r>
              <w:rPr>
                <w:rFonts w:hint="eastAsia" w:ascii="宋体" w:hAnsi="宋体" w:cs="宋体"/>
                <w:sz w:val="21"/>
                <w:szCs w:val="21"/>
              </w:rPr>
              <w:t>保费率</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联系人</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7" w:type="dxa"/>
            <w:vAlign w:val="center"/>
          </w:tcPr>
          <w:p>
            <w:pPr>
              <w:spacing w:line="240" w:lineRule="auto"/>
              <w:jc w:val="center"/>
              <w:rPr>
                <w:rFonts w:ascii="宋体" w:hAnsi="宋体" w:cs="宋体"/>
                <w:sz w:val="21"/>
                <w:szCs w:val="21"/>
              </w:rPr>
            </w:pPr>
            <w:r>
              <w:rPr>
                <w:rFonts w:hint="eastAsia" w:ascii="宋体" w:hAnsi="宋体" w:cs="宋体"/>
                <w:sz w:val="21"/>
                <w:szCs w:val="21"/>
              </w:rPr>
              <w:t>中国人寿财产保险股份有限公司台州中心支公司</w:t>
            </w:r>
          </w:p>
        </w:tc>
        <w:tc>
          <w:tcPr>
            <w:tcW w:w="2274" w:type="dxa"/>
            <w:vAlign w:val="center"/>
          </w:tcPr>
          <w:p>
            <w:pPr>
              <w:spacing w:line="240" w:lineRule="auto"/>
              <w:jc w:val="center"/>
              <w:rPr>
                <w:rFonts w:ascii="宋体" w:hAnsi="宋体" w:cs="宋体"/>
                <w:sz w:val="21"/>
                <w:szCs w:val="21"/>
              </w:rPr>
            </w:pPr>
            <w:r>
              <w:rPr>
                <w:rFonts w:hint="eastAsia" w:ascii="宋体" w:hAnsi="宋体" w:cs="宋体"/>
                <w:sz w:val="21"/>
                <w:szCs w:val="21"/>
              </w:rPr>
              <w:t>年费率3%，最低保费500元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徐凌</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7" w:type="dxa"/>
            <w:vAlign w:val="center"/>
          </w:tcPr>
          <w:p>
            <w:pPr>
              <w:spacing w:line="240" w:lineRule="auto"/>
              <w:jc w:val="center"/>
              <w:rPr>
                <w:rFonts w:ascii="宋体" w:hAnsi="宋体" w:cs="宋体"/>
                <w:sz w:val="21"/>
                <w:szCs w:val="21"/>
              </w:rPr>
            </w:pPr>
            <w:r>
              <w:rPr>
                <w:rFonts w:hint="eastAsia" w:ascii="宋体" w:hAnsi="宋体" w:cs="宋体"/>
                <w:sz w:val="21"/>
                <w:szCs w:val="21"/>
              </w:rPr>
              <w:t>阳光保险台州中心支公司</w:t>
            </w:r>
          </w:p>
        </w:tc>
        <w:tc>
          <w:tcPr>
            <w:tcW w:w="2274" w:type="dxa"/>
            <w:vAlign w:val="center"/>
          </w:tcPr>
          <w:p>
            <w:pPr>
              <w:spacing w:line="240" w:lineRule="auto"/>
              <w:jc w:val="center"/>
              <w:rPr>
                <w:rFonts w:ascii="宋体" w:hAnsi="宋体" w:cs="宋体"/>
                <w:sz w:val="21"/>
                <w:szCs w:val="21"/>
              </w:rPr>
            </w:pPr>
            <w:r>
              <w:rPr>
                <w:rFonts w:hint="eastAsia" w:ascii="宋体" w:hAnsi="宋体" w:cs="宋体"/>
                <w:sz w:val="21"/>
                <w:szCs w:val="21"/>
              </w:rPr>
              <w:t>年费率1%，最低保费500元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林高明</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7" w:type="dxa"/>
            <w:vAlign w:val="center"/>
          </w:tcPr>
          <w:p>
            <w:pPr>
              <w:spacing w:line="240" w:lineRule="auto"/>
              <w:jc w:val="center"/>
              <w:rPr>
                <w:rFonts w:ascii="宋体" w:hAnsi="宋体" w:cs="宋体"/>
                <w:sz w:val="21"/>
                <w:szCs w:val="21"/>
              </w:rPr>
            </w:pPr>
            <w:r>
              <w:rPr>
                <w:rFonts w:hint="eastAsia" w:ascii="宋体" w:hAnsi="宋体" w:cs="宋体"/>
                <w:sz w:val="21"/>
                <w:szCs w:val="21"/>
              </w:rPr>
              <w:t>天安财产保险股份有限公司台州中心支公司</w:t>
            </w:r>
          </w:p>
        </w:tc>
        <w:tc>
          <w:tcPr>
            <w:tcW w:w="2274" w:type="dxa"/>
            <w:vAlign w:val="center"/>
          </w:tcPr>
          <w:p>
            <w:pPr>
              <w:spacing w:line="240" w:lineRule="auto"/>
              <w:jc w:val="center"/>
              <w:rPr>
                <w:rFonts w:ascii="宋体" w:hAnsi="宋体" w:cs="宋体"/>
                <w:sz w:val="21"/>
                <w:szCs w:val="21"/>
              </w:rPr>
            </w:pPr>
            <w:r>
              <w:rPr>
                <w:rFonts w:hint="eastAsia" w:ascii="宋体" w:hAnsi="宋体" w:cs="宋体"/>
                <w:sz w:val="21"/>
                <w:szCs w:val="21"/>
              </w:rPr>
              <w:t>年费率1%-2%，最低保费500元</w:t>
            </w:r>
          </w:p>
        </w:tc>
        <w:tc>
          <w:tcPr>
            <w:tcW w:w="985" w:type="dxa"/>
            <w:vAlign w:val="center"/>
          </w:tcPr>
          <w:p>
            <w:pPr>
              <w:spacing w:line="240" w:lineRule="auto"/>
              <w:jc w:val="center"/>
              <w:rPr>
                <w:rFonts w:ascii="宋体" w:hAnsi="宋体" w:cs="宋体"/>
                <w:sz w:val="21"/>
                <w:szCs w:val="21"/>
              </w:rPr>
            </w:pPr>
            <w:r>
              <w:rPr>
                <w:rFonts w:hint="eastAsia" w:ascii="宋体" w:hAnsi="宋体" w:cs="宋体"/>
                <w:sz w:val="21"/>
                <w:szCs w:val="21"/>
              </w:rPr>
              <w:t>罗赛</w:t>
            </w:r>
          </w:p>
        </w:tc>
        <w:tc>
          <w:tcPr>
            <w:tcW w:w="1536" w:type="dxa"/>
            <w:vAlign w:val="center"/>
          </w:tcPr>
          <w:p>
            <w:pPr>
              <w:spacing w:line="240" w:lineRule="auto"/>
              <w:jc w:val="center"/>
              <w:rPr>
                <w:rFonts w:ascii="宋体" w:hAnsi="宋体" w:cs="宋体"/>
                <w:sz w:val="21"/>
                <w:szCs w:val="21"/>
              </w:rPr>
            </w:pPr>
            <w:r>
              <w:rPr>
                <w:rFonts w:hint="eastAsia" w:ascii="宋体" w:hAnsi="宋体" w:cs="宋体"/>
                <w:sz w:val="21"/>
                <w:szCs w:val="21"/>
              </w:rPr>
              <w:t>13736605643</w:t>
            </w:r>
          </w:p>
        </w:tc>
      </w:tr>
    </w:tbl>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ind w:firstLine="1446" w:firstLineChars="600"/>
        <w:jc w:val="both"/>
        <w:rPr>
          <w:b/>
          <w:bCs/>
        </w:rPr>
      </w:pPr>
    </w:p>
    <w:p>
      <w:pPr>
        <w:pStyle w:val="23"/>
        <w:spacing w:line="360" w:lineRule="auto"/>
        <w:jc w:val="center"/>
        <w:rPr>
          <w:b/>
          <w:bCs/>
          <w:kern w:val="2"/>
          <w:sz w:val="36"/>
          <w:szCs w:val="36"/>
        </w:rPr>
      </w:pPr>
      <w:r>
        <w:rPr>
          <w:rFonts w:hint="eastAsia"/>
          <w:b/>
          <w:bCs/>
          <w:kern w:val="2"/>
          <w:sz w:val="36"/>
          <w:szCs w:val="36"/>
        </w:rPr>
        <w:t>第二章  投标人须知</w:t>
      </w:r>
    </w:p>
    <w:p>
      <w:pPr>
        <w:spacing w:line="360" w:lineRule="auto"/>
        <w:jc w:val="center"/>
        <w:rPr>
          <w:rFonts w:ascii="宋体" w:hAnsi="宋体" w:cs="宋体"/>
          <w:b/>
          <w:bCs/>
          <w:sz w:val="24"/>
          <w:szCs w:val="24"/>
        </w:rPr>
      </w:pPr>
      <w:r>
        <w:rPr>
          <w:rFonts w:hint="eastAsia" w:ascii="宋体" w:hAnsi="宋体" w:cs="宋体"/>
          <w:b/>
          <w:bCs/>
          <w:sz w:val="24"/>
          <w:szCs w:val="24"/>
        </w:rPr>
        <w:t>前附表</w:t>
      </w:r>
    </w:p>
    <w:tbl>
      <w:tblPr>
        <w:tblStyle w:val="27"/>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54"/>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21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b/>
                <w:bCs/>
                <w:sz w:val="21"/>
                <w:szCs w:val="21"/>
              </w:rPr>
            </w:pPr>
            <w:r>
              <w:rPr>
                <w:rFonts w:hint="eastAsia" w:ascii="宋体" w:hAnsi="宋体" w:eastAsia="宋体" w:cs="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1</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供应商特定资格要求</w:t>
            </w:r>
          </w:p>
        </w:tc>
        <w:tc>
          <w:tcPr>
            <w:tcW w:w="7214" w:type="dxa"/>
            <w:vAlign w:val="center"/>
          </w:tcPr>
          <w:p>
            <w:pPr>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2</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答疑会或现场踏勘</w:t>
            </w:r>
          </w:p>
        </w:tc>
        <w:tc>
          <w:tcPr>
            <w:tcW w:w="7214" w:type="dxa"/>
            <w:vAlign w:val="center"/>
          </w:tcPr>
          <w:p>
            <w:pPr>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3</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投标文件递交要求</w:t>
            </w:r>
          </w:p>
        </w:tc>
        <w:tc>
          <w:tcPr>
            <w:tcW w:w="7214" w:type="dxa"/>
            <w:vAlign w:val="center"/>
          </w:tcPr>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本项目实行电子投标，供应商应准备电子投标文件、以介质存储的数据电文形式的备份投标文件二类：</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1.电子投标文件，按政采云平台项目采购--电子招投标操作指南及本招标文件要求编制、递交。</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2. 以介质存储的数据电文形式的备份投标文件，按政采云平台项目采购-电子招投标操作指南中上传的电子投标文件格式，以U盘形式提供。数量为1份。</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3.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5.未传输递交电子投标文件的，投标无效。未按规定提供相应的备份投标文件，造成项目开评标活动无法进行下去的，投标无效。</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6.投标供应商在“政府采购云平台”完成“电子加密投标文件”的上传递交后，需在投标截止时间前递交以介质（U盘）存储的数据电文形式的“备份投标文件”，“备份投标文件”应当密封包装并在包装上标注投标项目名称、投标单位名称并加盖公章。以介质（U盘）存储的数据电文形式的“备份投标文件”需密封，可采用以下两种方式其中一种送达（逾期送达或未密封将被拒收）：</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①在投标截止时间前送交到开标地点；</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②采用邮寄方式，邮寄公司统一采用顺丰（包裹外包装上请注明单位、项目名称、联系电话等信息，以便代理机构作接收登记工作），邮寄接收截止时间为投标截止时间前一个工作日下午1</w:t>
            </w:r>
            <w:r>
              <w:rPr>
                <w:rFonts w:hint="eastAsia" w:ascii="宋体" w:hAnsi="宋体" w:cs="宋体"/>
                <w:sz w:val="21"/>
                <w:szCs w:val="21"/>
                <w:lang w:val="en-US" w:eastAsia="zh-CN"/>
              </w:rPr>
              <w:t>6</w:t>
            </w:r>
            <w:r>
              <w:rPr>
                <w:rFonts w:hint="eastAsia" w:ascii="宋体" w:hAnsi="宋体" w:eastAsia="宋体" w:cs="宋体"/>
                <w:sz w:val="21"/>
                <w:szCs w:val="21"/>
              </w:rPr>
              <w:t>:</w:t>
            </w:r>
            <w:r>
              <w:rPr>
                <w:rFonts w:hint="eastAsia" w:ascii="宋体" w:hAnsi="宋体" w:cs="宋体"/>
                <w:sz w:val="21"/>
                <w:szCs w:val="21"/>
                <w:lang w:val="en-US" w:eastAsia="zh-CN"/>
              </w:rPr>
              <w:t>3</w:t>
            </w:r>
            <w:r>
              <w:rPr>
                <w:rFonts w:hint="eastAsia" w:ascii="宋体" w:hAnsi="宋体" w:eastAsia="宋体" w:cs="宋体"/>
                <w:sz w:val="21"/>
                <w:szCs w:val="21"/>
              </w:rPr>
              <w:t>0前（邮寄地址：</w:t>
            </w:r>
            <w:r>
              <w:rPr>
                <w:rFonts w:hint="eastAsia" w:ascii="宋体" w:hAnsi="宋体" w:cs="宋体"/>
                <w:sz w:val="21"/>
                <w:szCs w:val="21"/>
                <w:lang w:eastAsia="zh-CN"/>
              </w:rPr>
              <w:t>黄岩区大桥路</w:t>
            </w:r>
            <w:r>
              <w:rPr>
                <w:rFonts w:hint="eastAsia" w:ascii="宋体" w:hAnsi="宋体" w:cs="宋体"/>
                <w:sz w:val="21"/>
                <w:szCs w:val="21"/>
                <w:lang w:val="en-US" w:eastAsia="zh-CN"/>
              </w:rPr>
              <w:t>671号</w:t>
            </w:r>
            <w:r>
              <w:rPr>
                <w:rFonts w:hint="eastAsia" w:ascii="宋体" w:hAnsi="宋体" w:eastAsia="宋体" w:cs="宋体"/>
                <w:sz w:val="21"/>
                <w:szCs w:val="21"/>
              </w:rPr>
              <w:t>，联系人：</w:t>
            </w:r>
            <w:r>
              <w:rPr>
                <w:rFonts w:hint="eastAsia" w:ascii="宋体" w:hAnsi="宋体" w:cs="宋体"/>
                <w:sz w:val="21"/>
                <w:szCs w:val="21"/>
                <w:lang w:eastAsia="zh-CN"/>
              </w:rPr>
              <w:t>王女士</w:t>
            </w:r>
            <w:r>
              <w:rPr>
                <w:rFonts w:hint="eastAsia" w:ascii="宋体" w:hAnsi="宋体" w:eastAsia="宋体" w:cs="宋体"/>
                <w:sz w:val="21"/>
                <w:szCs w:val="21"/>
              </w:rPr>
              <w:t>，电话：</w:t>
            </w:r>
            <w:r>
              <w:rPr>
                <w:rFonts w:hint="eastAsia" w:ascii="宋体" w:hAnsi="宋体" w:eastAsia="宋体" w:cs="宋体"/>
                <w:kern w:val="2"/>
                <w:sz w:val="21"/>
                <w:szCs w:val="21"/>
                <w:lang w:val="zh-CN" w:eastAsia="zh-CN" w:bidi="ar-SA"/>
              </w:rPr>
              <w:t>13586019129</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4</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投标有效期</w:t>
            </w:r>
          </w:p>
        </w:tc>
        <w:tc>
          <w:tcPr>
            <w:tcW w:w="7214" w:type="dxa"/>
            <w:vAlign w:val="center"/>
          </w:tcPr>
          <w:p>
            <w:pPr>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投标有效期为开标后90天，投标有效期从提交投标文件的截止之日起算。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5</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投标文件递交</w:t>
            </w:r>
          </w:p>
        </w:tc>
        <w:tc>
          <w:tcPr>
            <w:tcW w:w="7214" w:type="dxa"/>
            <w:vAlign w:val="center"/>
          </w:tcPr>
          <w:p>
            <w:pPr>
              <w:keepNext w:val="0"/>
              <w:keepLines w:val="0"/>
              <w:pageBreakBefore w:val="0"/>
              <w:kinsoku/>
              <w:wordWrap/>
              <w:overflowPunct/>
              <w:topLinePunct w:val="0"/>
              <w:bidi w:val="0"/>
              <w:snapToGrid/>
              <w:spacing w:line="240" w:lineRule="auto"/>
              <w:ind w:left="0"/>
              <w:jc w:val="left"/>
              <w:rPr>
                <w:rFonts w:hint="eastAsia" w:ascii="宋体" w:hAnsi="宋体" w:eastAsia="宋体" w:cs="宋体"/>
                <w:sz w:val="21"/>
                <w:szCs w:val="21"/>
              </w:rPr>
            </w:pPr>
            <w:r>
              <w:rPr>
                <w:rFonts w:hint="eastAsia" w:ascii="宋体" w:hAnsi="宋体" w:eastAsia="宋体" w:cs="宋体"/>
                <w:sz w:val="21"/>
                <w:szCs w:val="21"/>
              </w:rPr>
              <w:t>截止时间：北京时间</w:t>
            </w:r>
            <w:r>
              <w:rPr>
                <w:rFonts w:hint="eastAsia" w:ascii="宋体" w:hAnsi="宋体" w:cs="宋体"/>
                <w:sz w:val="21"/>
                <w:szCs w:val="21"/>
                <w:lang w:eastAsia="zh-CN"/>
              </w:rPr>
              <w:t>2024年2月8日</w:t>
            </w:r>
            <w:r>
              <w:rPr>
                <w:rFonts w:hint="eastAsia" w:ascii="宋体" w:hAnsi="宋体" w:eastAsia="宋体" w:cs="宋体"/>
                <w:sz w:val="21"/>
                <w:szCs w:val="21"/>
                <w:lang w:val="en-US" w:eastAsia="zh-CN"/>
              </w:rPr>
              <w:t>9</w:t>
            </w:r>
            <w:r>
              <w:rPr>
                <w:rFonts w:hint="eastAsia" w:ascii="宋体" w:hAnsi="宋体" w:eastAsia="宋体" w:cs="宋体"/>
                <w:sz w:val="21"/>
                <w:szCs w:val="21"/>
              </w:rPr>
              <w:t>：30整</w:t>
            </w:r>
          </w:p>
          <w:p>
            <w:pPr>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投标供应商应当在投标截止时间前将生成的“电子加密投标文件”上传递交至“政府采购云平台”，并在开标当日投标截止时间前提交备份投标文件。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6</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开标时间及地点</w:t>
            </w:r>
          </w:p>
        </w:tc>
        <w:tc>
          <w:tcPr>
            <w:tcW w:w="7214" w:type="dxa"/>
            <w:vAlign w:val="center"/>
          </w:tcPr>
          <w:p>
            <w:pPr>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时间：北京时间</w:t>
            </w:r>
            <w:r>
              <w:rPr>
                <w:rFonts w:hint="eastAsia" w:ascii="宋体" w:hAnsi="宋体" w:cs="宋体"/>
                <w:sz w:val="21"/>
                <w:szCs w:val="21"/>
                <w:lang w:eastAsia="zh-CN"/>
              </w:rPr>
              <w:t>2024年2月8日</w:t>
            </w:r>
            <w:r>
              <w:rPr>
                <w:rFonts w:hint="eastAsia" w:ascii="宋体" w:hAnsi="宋体" w:eastAsia="宋体" w:cs="宋体"/>
                <w:sz w:val="21"/>
                <w:szCs w:val="21"/>
                <w:lang w:val="en-US" w:eastAsia="zh-CN"/>
              </w:rPr>
              <w:t>9</w:t>
            </w:r>
            <w:r>
              <w:rPr>
                <w:rFonts w:hint="eastAsia" w:ascii="宋体" w:hAnsi="宋体" w:eastAsia="宋体" w:cs="宋体"/>
                <w:sz w:val="21"/>
                <w:szCs w:val="21"/>
              </w:rPr>
              <w:t>：30整</w:t>
            </w:r>
          </w:p>
          <w:p>
            <w:pPr>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lang w:eastAsia="zh-CN"/>
              </w:rPr>
            </w:pPr>
            <w:r>
              <w:rPr>
                <w:rFonts w:hint="eastAsia" w:ascii="宋体" w:hAnsi="宋体" w:eastAsia="宋体" w:cs="宋体"/>
                <w:sz w:val="21"/>
                <w:szCs w:val="21"/>
              </w:rPr>
              <w:t>地点：</w:t>
            </w:r>
            <w:r>
              <w:rPr>
                <w:rFonts w:hint="eastAsia" w:ascii="宋体" w:hAnsi="宋体" w:cs="宋体"/>
                <w:sz w:val="21"/>
                <w:szCs w:val="21"/>
                <w:lang w:eastAsia="zh-CN"/>
              </w:rPr>
              <w:t>线上开标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7</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信用记录相关说明</w:t>
            </w:r>
          </w:p>
        </w:tc>
        <w:tc>
          <w:tcPr>
            <w:tcW w:w="7214" w:type="dxa"/>
            <w:vAlign w:val="center"/>
          </w:tcPr>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根据财库[2016]125号《关于在政府采购活动中查询及使用信用记录有关问题的通知》要求，采购代理机构会对供应商信用记录进行查询并甄别。</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1）信用信息查询的截止时点：开标</w:t>
            </w:r>
            <w:r>
              <w:rPr>
                <w:rFonts w:hint="eastAsia" w:ascii="宋体" w:hAnsi="宋体" w:cs="宋体"/>
                <w:sz w:val="21"/>
                <w:szCs w:val="21"/>
                <w:lang w:eastAsia="zh-CN"/>
              </w:rPr>
              <w:t>当日</w:t>
            </w:r>
            <w:r>
              <w:rPr>
                <w:rFonts w:hint="eastAsia" w:ascii="宋体" w:hAnsi="宋体" w:eastAsia="宋体" w:cs="宋体"/>
                <w:sz w:val="21"/>
                <w:szCs w:val="21"/>
              </w:rPr>
              <w:t>；</w:t>
            </w:r>
          </w:p>
          <w:p>
            <w:pPr>
              <w:pageBreakBefore w:val="0"/>
              <w:kinsoku/>
              <w:wordWrap/>
              <w:overflowPunct/>
              <w:topLinePunct w:val="0"/>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2）查询渠道：</w:t>
            </w:r>
            <w:r>
              <w:rPr>
                <w:rFonts w:hint="eastAsia" w:ascii="宋体" w:hAnsi="宋体" w:eastAsia="宋体" w:cs="宋体"/>
                <w:sz w:val="21"/>
                <w:szCs w:val="21"/>
                <w:lang w:val="zh-CN"/>
              </w:rPr>
              <w:t>中国政府采购网（网址：http://www.ccgp.gov.cn）、信用中国（网址：</w:t>
            </w:r>
            <w:r>
              <w:rPr>
                <w:rFonts w:eastAsia="Calibri" w:cs="Times New Roman"/>
                <w:sz w:val="36"/>
              </w:rPr>
              <w:fldChar w:fldCharType="begin"/>
            </w:r>
            <w:r>
              <w:rPr>
                <w:rFonts w:eastAsia="Calibri" w:cs="Times New Roman"/>
                <w:sz w:val="36"/>
              </w:rPr>
              <w:instrText xml:space="preserve"> HYPERLINK "http://www.creditchina.gov.cn" </w:instrText>
            </w:r>
            <w:r>
              <w:rPr>
                <w:rFonts w:eastAsia="Calibri" w:cs="Times New Roman"/>
                <w:sz w:val="36"/>
              </w:rPr>
              <w:fldChar w:fldCharType="separate"/>
            </w:r>
            <w:r>
              <w:rPr>
                <w:rFonts w:hint="eastAsia" w:ascii="宋体" w:hAnsi="宋体" w:eastAsia="宋体" w:cs="宋体"/>
                <w:sz w:val="21"/>
                <w:szCs w:val="21"/>
                <w:lang w:val="zh-CN"/>
              </w:rPr>
              <w:t>http://www.creditchina.gov.cn</w:t>
            </w:r>
            <w:r>
              <w:rPr>
                <w:rFonts w:hint="eastAsia" w:ascii="宋体" w:hAnsi="宋体" w:eastAsia="宋体" w:cs="宋体"/>
                <w:sz w:val="21"/>
                <w:szCs w:val="21"/>
                <w:lang w:val="zh-CN"/>
              </w:rPr>
              <w:fldChar w:fldCharType="end"/>
            </w:r>
            <w:r>
              <w:rPr>
                <w:rFonts w:hint="eastAsia" w:ascii="宋体" w:hAnsi="宋体" w:eastAsia="宋体" w:cs="宋体"/>
                <w:sz w:val="21"/>
                <w:szCs w:val="21"/>
                <w:lang w:val="zh-CN"/>
              </w:rPr>
              <w:t>）</w:t>
            </w:r>
            <w:r>
              <w:rPr>
                <w:rFonts w:hint="eastAsia" w:ascii="宋体" w:hAnsi="宋体" w:eastAsia="宋体" w:cs="宋体"/>
                <w:sz w:val="21"/>
                <w:szCs w:val="21"/>
              </w:rPr>
              <w:t>；</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3）信用信息查询记录和证据留存具体方式：采购代理机构经办人和监督人员将查询网页打印与其他采购相关文件一并保存；</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4）信用信息的使用规则：投标人存在不良信用记录的，其投标将被作为无效投标被拒绝。</w:t>
            </w:r>
          </w:p>
          <w:p>
            <w:pPr>
              <w:keepNext w:val="0"/>
              <w:keepLines w:val="0"/>
              <w:pageBreakBefore w:val="0"/>
              <w:kinsoku/>
              <w:wordWrap/>
              <w:overflowPunct/>
              <w:topLinePunct w:val="0"/>
              <w:bidi w:val="0"/>
              <w:snapToGrid/>
              <w:spacing w:line="24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3.不良信用记录指：被列入失信被执行人、重大税收违法案件当事人名单、政府采购严重违法失信行为记录名单或浙江政府采购网曝光台中尚在行政处罚期内的。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8</w:t>
            </w:r>
          </w:p>
        </w:tc>
        <w:tc>
          <w:tcPr>
            <w:tcW w:w="1554" w:type="dxa"/>
            <w:vAlign w:val="center"/>
          </w:tcPr>
          <w:p>
            <w:pPr>
              <w:keepNext w:val="0"/>
              <w:keepLines w:val="0"/>
              <w:pageBreakBefore w:val="0"/>
              <w:kinsoku/>
              <w:wordWrap/>
              <w:overflowPunct/>
              <w:topLinePunct w:val="0"/>
              <w:autoSpaceDE w:val="0"/>
              <w:autoSpaceDN w:val="0"/>
              <w:bidi w:val="0"/>
              <w:adjustRightInd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lang w:val="zh-CN"/>
              </w:rPr>
              <w:t>实质性条款</w:t>
            </w:r>
          </w:p>
        </w:tc>
        <w:tc>
          <w:tcPr>
            <w:tcW w:w="7214" w:type="dxa"/>
            <w:vAlign w:val="center"/>
          </w:tcPr>
          <w:p>
            <w:pPr>
              <w:keepNext w:val="0"/>
              <w:keepLines w:val="0"/>
              <w:pageBreakBefore w:val="0"/>
              <w:kinsoku/>
              <w:wordWrap/>
              <w:overflowPunct/>
              <w:topLinePunct w:val="0"/>
              <w:autoSpaceDE w:val="0"/>
              <w:autoSpaceDN w:val="0"/>
              <w:bidi w:val="0"/>
              <w:adjustRightInd w:val="0"/>
              <w:snapToGrid/>
              <w:spacing w:line="240" w:lineRule="auto"/>
              <w:ind w:left="0"/>
              <w:jc w:val="left"/>
              <w:rPr>
                <w:rFonts w:hint="eastAsia" w:ascii="宋体" w:hAnsi="宋体" w:eastAsia="宋体" w:cs="宋体"/>
                <w:sz w:val="21"/>
                <w:szCs w:val="21"/>
              </w:rPr>
            </w:pPr>
            <w:r>
              <w:rPr>
                <w:rFonts w:hint="eastAsia" w:ascii="宋体" w:hAnsi="宋体" w:eastAsia="宋体" w:cs="宋体"/>
                <w:sz w:val="21"/>
                <w:szCs w:val="21"/>
                <w:lang w:val="zh-CN"/>
              </w:rPr>
              <w:t>带“</w:t>
            </w:r>
            <w:r>
              <w:rPr>
                <w:rFonts w:hint="eastAsia" w:ascii="宋体" w:hAnsi="宋体" w:eastAsia="宋体" w:cs="宋体"/>
                <w:sz w:val="21"/>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9" w:type="dxa"/>
            <w:vAlign w:val="center"/>
          </w:tcPr>
          <w:p>
            <w:pPr>
              <w:keepNext w:val="0"/>
              <w:keepLines w:val="0"/>
              <w:pageBreakBefore w:val="0"/>
              <w:widowControl/>
              <w:kinsoku/>
              <w:wordWrap/>
              <w:overflowPunct/>
              <w:topLinePunct w:val="0"/>
              <w:bidi w:val="0"/>
              <w:snapToGrid/>
              <w:spacing w:line="240" w:lineRule="auto"/>
              <w:ind w:lef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554" w:type="dxa"/>
            <w:vAlign w:val="center"/>
          </w:tcPr>
          <w:p>
            <w:pPr>
              <w:keepNext w:val="0"/>
              <w:keepLines w:val="0"/>
              <w:pageBreakBefore w:val="0"/>
              <w:widowControl/>
              <w:kinsoku/>
              <w:wordWrap/>
              <w:overflowPunct/>
              <w:topLinePunct w:val="0"/>
              <w:bidi w:val="0"/>
              <w:snapToGrid/>
              <w:spacing w:line="240" w:lineRule="auto"/>
              <w:ind w:left="0"/>
              <w:jc w:val="center"/>
              <w:rPr>
                <w:rFonts w:hint="eastAsia" w:ascii="宋体" w:hAnsi="宋体" w:eastAsia="宋体" w:cs="宋体"/>
                <w:kern w:val="0"/>
                <w:sz w:val="21"/>
                <w:szCs w:val="21"/>
              </w:rPr>
            </w:pPr>
            <w:r>
              <w:rPr>
                <w:rFonts w:hint="eastAsia" w:ascii="宋体" w:hAnsi="宋体" w:eastAsia="宋体" w:cs="宋体"/>
                <w:kern w:val="0"/>
                <w:sz w:val="21"/>
                <w:szCs w:val="21"/>
                <w:lang w:val="zh-CN"/>
              </w:rPr>
              <w:t>是否提供</w:t>
            </w:r>
            <w:r>
              <w:rPr>
                <w:rFonts w:hint="eastAsia" w:ascii="宋体" w:hAnsi="宋体" w:eastAsia="宋体" w:cs="宋体"/>
                <w:kern w:val="0"/>
                <w:sz w:val="21"/>
                <w:szCs w:val="21"/>
              </w:rPr>
              <w:t>演示</w:t>
            </w:r>
          </w:p>
        </w:tc>
        <w:tc>
          <w:tcPr>
            <w:tcW w:w="7214" w:type="dxa"/>
            <w:vAlign w:val="center"/>
          </w:tcPr>
          <w:p>
            <w:pPr>
              <w:keepNext w:val="0"/>
              <w:keepLines w:val="0"/>
              <w:pageBreakBefore w:val="0"/>
              <w:widowControl/>
              <w:kinsoku/>
              <w:wordWrap/>
              <w:overflowPunct/>
              <w:topLinePunct w:val="0"/>
              <w:bidi w:val="0"/>
              <w:snapToGrid/>
              <w:spacing w:line="240" w:lineRule="auto"/>
              <w:ind w:left="0"/>
              <w:rPr>
                <w:rFonts w:hint="eastAsia" w:ascii="宋体" w:hAnsi="宋体" w:eastAsia="宋体" w:cs="宋体"/>
                <w:kern w:val="0"/>
                <w:sz w:val="21"/>
                <w:szCs w:val="21"/>
                <w:lang w:val="zh-CN"/>
              </w:rPr>
            </w:pPr>
            <w:r>
              <w:rPr>
                <w:rFonts w:hint="eastAsia" w:ascii="宋体" w:hAnsi="宋体" w:cs="宋体"/>
                <w:kern w:val="0"/>
                <w:sz w:val="21"/>
                <w:szCs w:val="21"/>
                <w:lang w:val="zh-CN"/>
              </w:rPr>
              <w:t>是</w:t>
            </w:r>
            <w:r>
              <w:rPr>
                <w:rFonts w:hint="eastAsia" w:ascii="宋体" w:hAnsi="宋体" w:eastAsia="宋体" w:cs="宋体"/>
                <w:kern w:val="0"/>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10</w:t>
            </w:r>
          </w:p>
        </w:tc>
        <w:tc>
          <w:tcPr>
            <w:tcW w:w="1554" w:type="dxa"/>
            <w:vAlign w:val="center"/>
          </w:tcPr>
          <w:p>
            <w:pPr>
              <w:keepNext w:val="0"/>
              <w:keepLines w:val="0"/>
              <w:pageBreakBefore w:val="0"/>
              <w:widowControl/>
              <w:kinsoku/>
              <w:wordWrap/>
              <w:overflowPunct/>
              <w:topLinePunct w:val="0"/>
              <w:bidi w:val="0"/>
              <w:snapToGrid/>
              <w:spacing w:line="240" w:lineRule="auto"/>
              <w:ind w:left="0"/>
              <w:jc w:val="center"/>
              <w:rPr>
                <w:rFonts w:hint="eastAsia" w:ascii="宋体" w:hAnsi="宋体" w:eastAsia="宋体" w:cs="宋体"/>
                <w:sz w:val="21"/>
                <w:szCs w:val="21"/>
                <w:lang w:val="zh-CN"/>
              </w:rPr>
            </w:pPr>
            <w:r>
              <w:rPr>
                <w:rFonts w:hint="eastAsia" w:ascii="宋体" w:hAnsi="宋体" w:eastAsia="宋体" w:cs="宋体"/>
                <w:kern w:val="0"/>
                <w:sz w:val="21"/>
                <w:szCs w:val="21"/>
              </w:rPr>
              <w:t>是否专门面向中小微企业采购</w:t>
            </w:r>
          </w:p>
        </w:tc>
        <w:tc>
          <w:tcPr>
            <w:tcW w:w="7214" w:type="dxa"/>
            <w:vAlign w:val="center"/>
          </w:tcPr>
          <w:p>
            <w:pPr>
              <w:keepNext w:val="0"/>
              <w:keepLines w:val="0"/>
              <w:pageBreakBefore w:val="0"/>
              <w:widowControl/>
              <w:kinsoku/>
              <w:wordWrap/>
              <w:overflowPunct/>
              <w:topLinePunct w:val="0"/>
              <w:bidi w:val="0"/>
              <w:snapToGrid/>
              <w:spacing w:line="240" w:lineRule="auto"/>
              <w:ind w:left="0"/>
              <w:jc w:val="left"/>
              <w:rPr>
                <w:rFonts w:hint="eastAsia" w:ascii="宋体" w:hAnsi="宋体" w:eastAsia="宋体" w:cs="宋体"/>
                <w:sz w:val="21"/>
                <w:szCs w:val="21"/>
              </w:rPr>
            </w:pPr>
            <w:r>
              <w:rPr>
                <w:rFonts w:hint="eastAsia" w:ascii="宋体" w:hAnsi="宋体" w:eastAsia="宋体" w:cs="宋体"/>
                <w:kern w:val="0"/>
                <w:sz w:val="21"/>
                <w:szCs w:val="21"/>
              </w:rPr>
              <w:sym w:font="Wingdings" w:char="00A8"/>
            </w:r>
            <w:r>
              <w:rPr>
                <w:rFonts w:hint="eastAsia" w:ascii="宋体" w:hAnsi="宋体" w:eastAsia="宋体" w:cs="宋体"/>
                <w:kern w:val="0"/>
                <w:sz w:val="21"/>
                <w:szCs w:val="21"/>
              </w:rPr>
              <w:t xml:space="preserve">是 </w:t>
            </w:r>
          </w:p>
          <w:p>
            <w:pPr>
              <w:keepNext w:val="0"/>
              <w:keepLines w:val="0"/>
              <w:pageBreakBefore w:val="0"/>
              <w:widowControl/>
              <w:kinsoku/>
              <w:wordWrap/>
              <w:overflowPunct/>
              <w:topLinePunct w:val="0"/>
              <w:bidi w:val="0"/>
              <w:snapToGrid/>
              <w:spacing w:line="240" w:lineRule="auto"/>
              <w:ind w:left="0"/>
              <w:jc w:val="left"/>
              <w:rPr>
                <w:rFonts w:hint="eastAsia" w:ascii="宋体" w:hAnsi="宋体" w:eastAsia="宋体" w:cs="宋体"/>
                <w:kern w:val="0"/>
                <w:sz w:val="21"/>
                <w:szCs w:val="21"/>
              </w:rPr>
            </w:pPr>
            <w:r>
              <w:rPr>
                <w:rFonts w:hint="eastAsia" w:ascii="宋体" w:hAnsi="宋体" w:eastAsia="宋体" w:cs="宋体"/>
                <w:kern w:val="0"/>
                <w:sz w:val="21"/>
                <w:szCs w:val="21"/>
              </w:rPr>
              <w:sym w:font="Wingdings" w:char="00FE"/>
            </w:r>
            <w:r>
              <w:rPr>
                <w:rFonts w:hint="eastAsia" w:ascii="宋体" w:hAnsi="宋体" w:eastAsia="宋体" w:cs="宋体"/>
                <w:kern w:val="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11</w:t>
            </w:r>
          </w:p>
        </w:tc>
        <w:tc>
          <w:tcPr>
            <w:tcW w:w="1554" w:type="dxa"/>
            <w:vAlign w:val="center"/>
          </w:tcPr>
          <w:p>
            <w:pPr>
              <w:keepNext w:val="0"/>
              <w:keepLines w:val="0"/>
              <w:pageBreakBefore w:val="0"/>
              <w:widowControl/>
              <w:kinsoku/>
              <w:wordWrap/>
              <w:overflowPunct/>
              <w:topLinePunct w:val="0"/>
              <w:bidi w:val="0"/>
              <w:snapToGrid/>
              <w:spacing w:line="240" w:lineRule="auto"/>
              <w:ind w:left="0"/>
              <w:jc w:val="center"/>
              <w:rPr>
                <w:rFonts w:hint="eastAsia" w:ascii="宋体" w:hAnsi="宋体" w:eastAsia="宋体" w:cs="宋体"/>
                <w:kern w:val="0"/>
                <w:sz w:val="21"/>
                <w:szCs w:val="21"/>
                <w:lang w:val="zh-CN"/>
              </w:rPr>
            </w:pPr>
            <w:r>
              <w:rPr>
                <w:rFonts w:hint="eastAsia" w:ascii="宋体" w:hAnsi="宋体" w:eastAsia="宋体" w:cs="宋体"/>
                <w:kern w:val="0"/>
                <w:sz w:val="21"/>
                <w:szCs w:val="21"/>
              </w:rPr>
              <w:t>中小企业划分标准所属行业</w:t>
            </w:r>
          </w:p>
        </w:tc>
        <w:tc>
          <w:tcPr>
            <w:tcW w:w="7214" w:type="dxa"/>
            <w:vAlign w:val="center"/>
          </w:tcPr>
          <w:p>
            <w:pPr>
              <w:keepNext w:val="0"/>
              <w:keepLines w:val="0"/>
              <w:pageBreakBefore w:val="0"/>
              <w:widowControl/>
              <w:kinsoku/>
              <w:wordWrap/>
              <w:overflowPunct/>
              <w:topLinePunct w:val="0"/>
              <w:bidi w:val="0"/>
              <w:snapToGrid/>
              <w:spacing w:line="240" w:lineRule="auto"/>
              <w:ind w:left="0"/>
              <w:rPr>
                <w:rFonts w:hint="eastAsia" w:ascii="宋体" w:hAnsi="宋体" w:eastAsia="宋体" w:cs="宋体"/>
                <w:kern w:val="0"/>
                <w:sz w:val="21"/>
                <w:szCs w:val="21"/>
                <w:lang w:val="zh-CN"/>
              </w:rPr>
            </w:pPr>
            <w:r>
              <w:rPr>
                <w:rFonts w:hint="eastAsia" w:ascii="宋体" w:hAnsi="宋体" w:eastAsia="宋体" w:cs="宋体"/>
                <w:kern w:val="0"/>
                <w:sz w:val="21"/>
                <w:szCs w:val="21"/>
              </w:rPr>
              <w:t>所属行业：工业（制造业）。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12</w:t>
            </w:r>
          </w:p>
        </w:tc>
        <w:tc>
          <w:tcPr>
            <w:tcW w:w="1554" w:type="dxa"/>
            <w:vAlign w:val="center"/>
          </w:tcPr>
          <w:p>
            <w:pPr>
              <w:keepNext w:val="0"/>
              <w:keepLines w:val="0"/>
              <w:pageBreakBefore w:val="0"/>
              <w:kinsoku/>
              <w:wordWrap/>
              <w:overflowPunct/>
              <w:topLinePunct w:val="0"/>
              <w:bidi w:val="0"/>
              <w:snapToGrid/>
              <w:spacing w:line="240" w:lineRule="auto"/>
              <w:ind w:left="0"/>
              <w:jc w:val="center"/>
              <w:textAlignment w:val="bottom"/>
              <w:rPr>
                <w:rFonts w:hint="eastAsia" w:ascii="宋体" w:hAnsi="宋体" w:eastAsia="宋体" w:cs="宋体"/>
                <w:sz w:val="21"/>
                <w:szCs w:val="21"/>
                <w:lang w:val="zh-CN"/>
              </w:rPr>
            </w:pPr>
            <w:r>
              <w:rPr>
                <w:rFonts w:hint="eastAsia" w:ascii="宋体" w:hAnsi="宋体" w:eastAsia="宋体" w:cs="宋体"/>
                <w:kern w:val="0"/>
                <w:sz w:val="21"/>
                <w:szCs w:val="21"/>
              </w:rPr>
              <w:t>节能环保</w:t>
            </w:r>
          </w:p>
        </w:tc>
        <w:tc>
          <w:tcPr>
            <w:tcW w:w="7214" w:type="dxa"/>
            <w:vAlign w:val="center"/>
          </w:tcPr>
          <w:p>
            <w:pPr>
              <w:pStyle w:val="3"/>
              <w:keepNext w:val="0"/>
              <w:keepLines w:val="0"/>
              <w:pageBreakBefore w:val="0"/>
              <w:kinsoku/>
              <w:wordWrap/>
              <w:overflowPunct/>
              <w:topLinePunct w:val="0"/>
              <w:bidi w:val="0"/>
              <w:snapToGrid/>
              <w:spacing w:after="0" w:line="240" w:lineRule="auto"/>
              <w:ind w:left="0" w:leftChars="0"/>
              <w:rPr>
                <w:rFonts w:hint="eastAsia" w:ascii="宋体" w:hAnsi="宋体" w:eastAsia="宋体" w:cs="宋体"/>
                <w:bCs/>
                <w:sz w:val="21"/>
                <w:szCs w:val="21"/>
              </w:rPr>
            </w:pPr>
            <w:r>
              <w:rPr>
                <w:rFonts w:hint="eastAsia" w:ascii="宋体" w:hAnsi="宋体" w:eastAsia="宋体" w:cs="宋体"/>
                <w:bCs/>
                <w:sz w:val="21"/>
                <w:szCs w:val="21"/>
              </w:rPr>
              <w:t>1、节能产品的强制采购政策</w:t>
            </w:r>
          </w:p>
          <w:p>
            <w:pPr>
              <w:pStyle w:val="3"/>
              <w:keepNext w:val="0"/>
              <w:keepLines w:val="0"/>
              <w:pageBreakBefore w:val="0"/>
              <w:kinsoku/>
              <w:wordWrap/>
              <w:overflowPunct/>
              <w:topLinePunct w:val="0"/>
              <w:bidi w:val="0"/>
              <w:snapToGrid/>
              <w:spacing w:after="0" w:line="240" w:lineRule="auto"/>
              <w:ind w:left="0" w:leftChars="0"/>
              <w:rPr>
                <w:rFonts w:hint="eastAsia" w:ascii="宋体" w:hAnsi="宋体" w:eastAsia="宋体" w:cs="宋体"/>
                <w:bCs/>
                <w:sz w:val="21"/>
                <w:szCs w:val="21"/>
              </w:rPr>
            </w:pPr>
            <w:r>
              <w:rPr>
                <w:rFonts w:hint="eastAsia" w:ascii="宋体" w:hAnsi="宋体" w:eastAsia="宋体" w:cs="宋体"/>
                <w:bCs/>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否则无效。（注：本项目执行最新政府采购节能产品、环境标志产品品目清单。）</w:t>
            </w:r>
          </w:p>
          <w:p>
            <w:pPr>
              <w:pStyle w:val="3"/>
              <w:keepNext w:val="0"/>
              <w:keepLines w:val="0"/>
              <w:pageBreakBefore w:val="0"/>
              <w:kinsoku/>
              <w:wordWrap/>
              <w:overflowPunct/>
              <w:topLinePunct w:val="0"/>
              <w:bidi w:val="0"/>
              <w:snapToGrid/>
              <w:spacing w:after="0" w:line="240" w:lineRule="auto"/>
              <w:ind w:left="0" w:leftChars="0"/>
              <w:rPr>
                <w:rFonts w:hint="eastAsia" w:ascii="宋体" w:hAnsi="宋体" w:eastAsia="宋体" w:cs="宋体"/>
                <w:bCs/>
                <w:sz w:val="21"/>
                <w:szCs w:val="21"/>
              </w:rPr>
            </w:pPr>
            <w:r>
              <w:rPr>
                <w:rFonts w:hint="eastAsia" w:ascii="宋体" w:hAnsi="宋体" w:eastAsia="宋体" w:cs="宋体"/>
                <w:bCs/>
                <w:sz w:val="21"/>
                <w:szCs w:val="21"/>
              </w:rPr>
              <w:t>2、节能产品、环境标志产品的优先采购政策</w:t>
            </w:r>
          </w:p>
          <w:p>
            <w:pPr>
              <w:keepNext w:val="0"/>
              <w:keepLines w:val="0"/>
              <w:pageBreakBefore w:val="0"/>
              <w:kinsoku/>
              <w:wordWrap/>
              <w:overflowPunct/>
              <w:topLinePunct w:val="0"/>
              <w:bidi w:val="0"/>
              <w:snapToGrid/>
              <w:spacing w:line="240" w:lineRule="auto"/>
              <w:ind w:left="0"/>
              <w:textAlignment w:val="bottom"/>
              <w:rPr>
                <w:rFonts w:hint="eastAsia" w:ascii="宋体" w:hAnsi="宋体" w:eastAsia="宋体" w:cs="宋体"/>
                <w:sz w:val="21"/>
                <w:szCs w:val="21"/>
                <w:lang w:val="zh-CN"/>
              </w:rPr>
            </w:pPr>
            <w:r>
              <w:rPr>
                <w:rFonts w:hint="eastAsia" w:ascii="宋体" w:hAnsi="宋体" w:eastAsia="宋体" w:cs="宋体"/>
                <w:bCs/>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13</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其他</w:t>
            </w:r>
          </w:p>
        </w:tc>
        <w:tc>
          <w:tcPr>
            <w:tcW w:w="7214" w:type="dxa"/>
            <w:vAlign w:val="center"/>
          </w:tcPr>
          <w:p>
            <w:pPr>
              <w:keepNext w:val="0"/>
              <w:keepLines w:val="0"/>
              <w:pageBreakBefore w:val="0"/>
              <w:numPr>
                <w:ilvl w:val="0"/>
                <w:numId w:val="8"/>
              </w:numPr>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各供应商自行在浙江政府采购网下载或查阅采购文件和相关更正公告等，不另行通知，如有遗漏采购人、采购代理机构概不负责。</w:t>
            </w:r>
          </w:p>
          <w:p>
            <w:pPr>
              <w:keepNext w:val="0"/>
              <w:keepLines w:val="0"/>
              <w:pageBreakBefore w:val="0"/>
              <w:numPr>
                <w:ilvl w:val="0"/>
                <w:numId w:val="8"/>
              </w:numPr>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两家或两家以上供应商提供的投标文件出自同一终端设备的，或在相同Internet主机分配地址（相同IP地址）报名或网上投标的，后果由供应商自行承担。</w:t>
            </w:r>
          </w:p>
          <w:p>
            <w:pPr>
              <w:pStyle w:val="12"/>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
                <w:bCs/>
                <w:sz w:val="21"/>
                <w:szCs w:val="21"/>
              </w:rPr>
              <w:t>开标时间后30分钟内供应商须携带CA自备电脑登录“政采云”平台，用“项目采购-开标评标”功能解密投标文件，投标人未按时解密或解密失败的，其上传的电子投标文件自动失效。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29"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14</w:t>
            </w:r>
          </w:p>
        </w:tc>
        <w:tc>
          <w:tcPr>
            <w:tcW w:w="1554" w:type="dxa"/>
            <w:vAlign w:val="center"/>
          </w:tcPr>
          <w:p>
            <w:pPr>
              <w:keepNext w:val="0"/>
              <w:keepLines w:val="0"/>
              <w:pageBreakBefore w:val="0"/>
              <w:kinsoku/>
              <w:wordWrap/>
              <w:overflowPunct/>
              <w:topLinePunct w:val="0"/>
              <w:bidi w:val="0"/>
              <w:snapToGrid/>
              <w:spacing w:line="240" w:lineRule="auto"/>
              <w:ind w:left="0"/>
              <w:jc w:val="center"/>
              <w:rPr>
                <w:rFonts w:hint="eastAsia" w:ascii="宋体" w:hAnsi="宋体" w:eastAsia="宋体" w:cs="宋体"/>
                <w:sz w:val="21"/>
                <w:szCs w:val="21"/>
              </w:rPr>
            </w:pPr>
            <w:r>
              <w:rPr>
                <w:rFonts w:hint="eastAsia" w:ascii="宋体" w:hAnsi="宋体" w:eastAsia="宋体" w:cs="宋体"/>
                <w:sz w:val="21"/>
                <w:szCs w:val="21"/>
              </w:rPr>
              <w:t>解释权</w:t>
            </w:r>
          </w:p>
        </w:tc>
        <w:tc>
          <w:tcPr>
            <w:tcW w:w="7214" w:type="dxa"/>
            <w:vAlign w:val="center"/>
          </w:tcPr>
          <w:p>
            <w:pPr>
              <w:pStyle w:val="12"/>
              <w:keepNext w:val="0"/>
              <w:keepLines w:val="0"/>
              <w:pageBreakBefore w:val="0"/>
              <w:kinsoku/>
              <w:wordWrap/>
              <w:overflowPunct/>
              <w:topLinePunct w:val="0"/>
              <w:bidi w:val="0"/>
              <w:snapToGrid/>
              <w:spacing w:line="240" w:lineRule="auto"/>
              <w:ind w:left="0"/>
              <w:rPr>
                <w:rFonts w:hint="eastAsia" w:ascii="宋体" w:hAnsi="宋体" w:eastAsia="宋体" w:cs="宋体"/>
                <w:sz w:val="21"/>
                <w:szCs w:val="21"/>
              </w:rPr>
            </w:pPr>
            <w:r>
              <w:rPr>
                <w:rFonts w:hint="eastAsia" w:ascii="宋体" w:hAnsi="宋体" w:eastAsia="宋体" w:cs="宋体"/>
                <w:sz w:val="21"/>
                <w:szCs w:val="21"/>
              </w:rPr>
              <w:t>本招标文件解释权属于采购人和。</w:t>
            </w:r>
          </w:p>
        </w:tc>
      </w:tr>
    </w:tbl>
    <w:p>
      <w:pPr>
        <w:spacing w:line="360" w:lineRule="auto"/>
        <w:rPr>
          <w:rFonts w:ascii="宋体" w:hAnsi="宋体" w:cs="宋体"/>
          <w:b/>
          <w:bCs/>
          <w:sz w:val="24"/>
          <w:szCs w:val="24"/>
        </w:rPr>
      </w:pPr>
    </w:p>
    <w:p>
      <w:pPr>
        <w:pStyle w:val="7"/>
        <w:spacing w:line="360" w:lineRule="auto"/>
        <w:rPr>
          <w:rFonts w:ascii="宋体" w:hAnsi="宋体" w:eastAsia="宋体" w:cs="宋体"/>
          <w:sz w:val="24"/>
          <w:szCs w:val="24"/>
        </w:rPr>
      </w:pPr>
    </w:p>
    <w:p>
      <w:pPr>
        <w:spacing w:line="360" w:lineRule="auto"/>
        <w:rPr>
          <w:rFonts w:ascii="宋体" w:hAnsi="宋体" w:cs="宋体"/>
          <w:b/>
          <w:bCs/>
          <w:sz w:val="24"/>
          <w:szCs w:val="24"/>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pStyle w:val="93"/>
        <w:spacing w:line="360" w:lineRule="auto"/>
        <w:rPr>
          <w:rFonts w:ascii="宋体" w:hAnsi="宋体" w:cs="宋体"/>
          <w:color w:val="auto"/>
        </w:rPr>
      </w:pPr>
    </w:p>
    <w:p>
      <w:pPr>
        <w:spacing w:line="360" w:lineRule="auto"/>
        <w:rPr>
          <w:rFonts w:ascii="宋体" w:hAnsi="宋体" w:cs="宋体"/>
          <w:b/>
          <w:bCs/>
          <w:sz w:val="24"/>
          <w:szCs w:val="32"/>
        </w:rPr>
      </w:pPr>
      <w:r>
        <w:rPr>
          <w:rFonts w:hint="eastAsia" w:ascii="宋体" w:hAnsi="宋体" w:cs="宋体"/>
          <w:b/>
          <w:bCs/>
          <w:sz w:val="24"/>
          <w:szCs w:val="32"/>
        </w:rPr>
        <w:t>一 、总  则</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（一） 适用范围</w:t>
      </w:r>
    </w:p>
    <w:p>
      <w:pPr>
        <w:spacing w:line="24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本招标文件适用于本次项目的招标、投标、评标、定标、验收、合同履约、付款等行为（法律、法规另有规定的，从其规定）。</w:t>
      </w:r>
    </w:p>
    <w:p>
      <w:pPr>
        <w:spacing w:line="24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本招标文件仅适用于本次招标公告中所涉及的项目和内容。</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（二）定义</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“采购组织机构”指采购人委托组织招标的采购代理机构。</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2、采购人：是指委托采购代理机构采购本次项目的国家机关、事业单位和团体组织。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3、投标人：是指向采购</w:t>
      </w:r>
      <w:r>
        <w:rPr>
          <w:rFonts w:hint="eastAsia" w:ascii="宋体" w:hAnsi="宋体" w:eastAsia="宋体" w:cs="宋体"/>
          <w:sz w:val="21"/>
          <w:szCs w:val="21"/>
          <w:lang w:val="zh-CN"/>
        </w:rPr>
        <w:t>组织</w:t>
      </w:r>
      <w:r>
        <w:rPr>
          <w:rFonts w:hint="eastAsia" w:ascii="宋体" w:hAnsi="宋体" w:eastAsia="宋体" w:cs="宋体"/>
          <w:sz w:val="21"/>
          <w:szCs w:val="21"/>
        </w:rPr>
        <w:t>机构提交投标文件的单位或个人。</w:t>
      </w:r>
    </w:p>
    <w:p>
      <w:pPr>
        <w:spacing w:line="24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、联合体：两个或两个以上法人或者其他组织可以组成一个联合体，以一个投标人的身份共同投标。</w:t>
      </w:r>
    </w:p>
    <w:p>
      <w:pPr>
        <w:spacing w:line="240" w:lineRule="auto"/>
        <w:ind w:firstLine="420" w:firstLineChars="200"/>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、货物：是指各种形态和种类的物品，包括原材料、燃料、设备、产品等。</w:t>
      </w:r>
    </w:p>
    <w:p>
      <w:pPr>
        <w:spacing w:line="240" w:lineRule="auto"/>
        <w:ind w:firstLine="420" w:firstLineChars="200"/>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、服务：是指除货物和工程以外的政府采购对象，包括各类专业服务、信息网络开发服务、金融保险服务、运输服务，以及维修与维护服务等。</w:t>
      </w:r>
    </w:p>
    <w:p>
      <w:pPr>
        <w:spacing w:line="240" w:lineRule="auto"/>
        <w:ind w:firstLine="420" w:firstLineChars="200"/>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rPr>
        <w:t>、“书面形式”包括信函、传真等。</w:t>
      </w:r>
    </w:p>
    <w:p>
      <w:pPr>
        <w:spacing w:line="240" w:lineRule="auto"/>
        <w:ind w:firstLine="420" w:firstLineChars="200"/>
        <w:rPr>
          <w:rFonts w:hint="eastAsia" w:ascii="宋体" w:hAnsi="宋体" w:eastAsia="宋体" w:cs="宋体"/>
          <w:sz w:val="21"/>
          <w:szCs w:val="21"/>
        </w:rPr>
      </w:pPr>
      <w:r>
        <w:rPr>
          <w:rFonts w:hint="eastAsia" w:ascii="宋体" w:hAnsi="宋体" w:cs="宋体"/>
          <w:sz w:val="21"/>
          <w:szCs w:val="21"/>
          <w:lang w:val="en-US" w:eastAsia="zh-CN"/>
        </w:rPr>
        <w:t>8</w:t>
      </w:r>
      <w:r>
        <w:rPr>
          <w:rFonts w:hint="eastAsia" w:ascii="宋体" w:hAnsi="宋体" w:eastAsia="宋体" w:cs="宋体"/>
          <w:sz w:val="21"/>
          <w:szCs w:val="21"/>
        </w:rPr>
        <w:t>、“▲”系指实质性要求条款。</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三</w:t>
      </w:r>
      <w:r>
        <w:rPr>
          <w:rFonts w:hint="eastAsia" w:ascii="宋体" w:hAnsi="宋体" w:eastAsia="宋体" w:cs="宋体"/>
          <w:b/>
          <w:bCs/>
          <w:sz w:val="21"/>
          <w:szCs w:val="21"/>
        </w:rPr>
        <w:t>）以联合体形式投标的，应符合以下规定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1.联合体各方应签订联合体协议书，明确联合体牵头人和各方权利义务，并作为投标文件组成部分；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2.联合体各方均应当具备</w:t>
      </w:r>
      <w:r>
        <w:rPr>
          <w:rFonts w:hint="eastAsia" w:ascii="宋体" w:hAnsi="宋体" w:eastAsia="宋体" w:cs="宋体"/>
          <w:sz w:val="21"/>
          <w:szCs w:val="21"/>
          <w:lang w:val="zh-CN"/>
        </w:rPr>
        <w:t>《中华人民共和国政府采购法》</w:t>
      </w:r>
      <w:r>
        <w:rPr>
          <w:rFonts w:hint="eastAsia" w:ascii="宋体" w:hAnsi="宋体" w:eastAsia="宋体" w:cs="宋体"/>
          <w:sz w:val="21"/>
          <w:szCs w:val="21"/>
        </w:rPr>
        <w:t>第二十二条规定的条件，并在投标文件中提供联合体各方的相关证明材料；</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3.联合体成员存在不良信用记录的，视同联合体存在不良信用记录；</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4.联合体各方中至少应当有一方符合采购人规定的资格要求。由同一资质条件的投标人组成的联合体，应当按照资质等级较低的投标人确定联合体资质等级；</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5.联合体各方不得再以自己名义单独在同一合同项中投标，也不得组成新的联合体参加同一项目投标；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6.联合体各方应当共同与采购人签订采购合同，就合同约定的事项对采购人承担连带责任；</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7.投标时，应以联合体协议中确定的主体方名义投标，对联合体各方均具有约束力。</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cs="宋体"/>
          <w:b/>
          <w:bCs/>
          <w:sz w:val="21"/>
          <w:szCs w:val="21"/>
          <w:lang w:eastAsia="zh-CN"/>
        </w:rPr>
        <w:t>四</w:t>
      </w:r>
      <w:r>
        <w:rPr>
          <w:rFonts w:hint="eastAsia" w:ascii="宋体" w:hAnsi="宋体" w:eastAsia="宋体" w:cs="宋体"/>
          <w:b/>
          <w:bCs/>
          <w:sz w:val="21"/>
          <w:szCs w:val="21"/>
        </w:rPr>
        <w:t>）投标费用</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不论投标结果如何，投标人均应自行承担所有与投标有关的全部费用（招标文件有相关规定除外）。</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cs="宋体"/>
          <w:b/>
          <w:bCs/>
          <w:sz w:val="21"/>
          <w:szCs w:val="21"/>
          <w:lang w:eastAsia="zh-CN"/>
        </w:rPr>
        <w:t>五</w:t>
      </w:r>
      <w:r>
        <w:rPr>
          <w:rFonts w:hint="eastAsia" w:ascii="宋体" w:hAnsi="宋体" w:eastAsia="宋体" w:cs="宋体"/>
          <w:b/>
          <w:bCs/>
          <w:sz w:val="21"/>
          <w:szCs w:val="21"/>
        </w:rPr>
        <w:t>）特别说明</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1、投标人投标所使用的资格、信誉、荣誉、业绩与企业认证必须为本法人所拥有。投标人投标所使用的采购项目实施人员必须为本法人员工（指本法人或控股公司正式员工）。</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eastAsia="宋体" w:cs="宋体"/>
          <w:sz w:val="21"/>
          <w:szCs w:val="21"/>
        </w:rPr>
        <w:tab/>
      </w:r>
      <w:r>
        <w:rPr>
          <w:rFonts w:hint="eastAsia" w:ascii="宋体" w:hAnsi="宋体" w:eastAsia="宋体" w:cs="宋体"/>
          <w:sz w:val="21"/>
          <w:szCs w:val="21"/>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4、投标人不得相互串通投标报价，不得妨碍其他投标人的公平竞争，不得损害采购人或其他投标人的合法权益，投标人不得以向采购人、评标委员会成员行贿或者采取其他不正当手段谋取中标。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5、为采购项目提供整体设计、规范编制或者项目管理、监理、检测等服务的供应商，不得再参加该采购项目的其他采购活动。</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6、投标文件格式中的表格式样可以根据项目差别做适当调整，但应当保持表格样式基本形态不变。</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7、单位负责人为同一人或者存在直接控股、管理关系的不同供应商，不得参加同一合同项下的政府采购活动。</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8、本项目不允许分包。</w:t>
      </w:r>
    </w:p>
    <w:p>
      <w:pPr>
        <w:spacing w:line="240" w:lineRule="auto"/>
        <w:rPr>
          <w:rFonts w:hint="eastAsia" w:ascii="宋体" w:hAnsi="宋体" w:eastAsia="宋体" w:cs="宋体"/>
          <w:b/>
          <w:bCs/>
          <w:sz w:val="24"/>
          <w:szCs w:val="24"/>
        </w:rPr>
      </w:pPr>
      <w:r>
        <w:rPr>
          <w:rFonts w:hint="eastAsia" w:ascii="宋体" w:hAnsi="宋体" w:eastAsia="宋体" w:cs="宋体"/>
          <w:b/>
          <w:bCs/>
          <w:sz w:val="24"/>
          <w:szCs w:val="24"/>
        </w:rPr>
        <w:t>二、招标文件</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（一）招标文件由招标文件总目录所列内容组成。</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（二）招标文件的澄清或修改</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240" w:lineRule="auto"/>
        <w:rPr>
          <w:rFonts w:hint="eastAsia" w:ascii="宋体" w:hAnsi="宋体" w:eastAsia="宋体" w:cs="宋体"/>
          <w:b/>
          <w:bCs/>
          <w:sz w:val="24"/>
          <w:szCs w:val="24"/>
        </w:rPr>
      </w:pPr>
      <w:r>
        <w:rPr>
          <w:rFonts w:hint="eastAsia" w:ascii="宋体" w:hAnsi="宋体" w:eastAsia="宋体" w:cs="宋体"/>
          <w:b/>
          <w:bCs/>
          <w:sz w:val="24"/>
          <w:szCs w:val="24"/>
        </w:rPr>
        <w:t>三、投标文件</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lang w:val="zh-CN"/>
        </w:rPr>
        <w:t>（一）</w:t>
      </w:r>
      <w:r>
        <w:rPr>
          <w:rFonts w:hint="eastAsia" w:ascii="宋体" w:hAnsi="宋体" w:eastAsia="宋体" w:cs="宋体"/>
          <w:b/>
          <w:bCs/>
          <w:sz w:val="21"/>
          <w:szCs w:val="21"/>
        </w:rPr>
        <w:t>投标文件的组成</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接到招标文件后，按照采购组织机构的要求提供：资格证明文件、商务与技术文件和报价文件。【特别提示：如在投标时有要求提供资料原件的，将原件扫描放入投标文件】若参与多标项投标的，则按每个标项分别独立编制投标文件。</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1、资格证明文件的组成：</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（1）投标声明书（附件</w:t>
      </w:r>
      <w:r>
        <w:rPr>
          <w:rFonts w:hint="eastAsia" w:ascii="宋体" w:hAnsi="宋体" w:cs="宋体"/>
          <w:sz w:val="21"/>
          <w:szCs w:val="21"/>
          <w:lang w:val="en-US" w:eastAsia="zh-CN"/>
        </w:rPr>
        <w:t>1</w:t>
      </w:r>
      <w:r>
        <w:rPr>
          <w:rFonts w:hint="eastAsia" w:ascii="宋体" w:hAnsi="宋体" w:eastAsia="宋体" w:cs="宋体"/>
          <w:sz w:val="21"/>
          <w:szCs w:val="21"/>
        </w:rPr>
        <w:t>）；</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（2）授权委托书（附件</w:t>
      </w:r>
      <w:r>
        <w:rPr>
          <w:rFonts w:hint="eastAsia" w:ascii="宋体" w:hAnsi="宋体" w:cs="宋体"/>
          <w:sz w:val="21"/>
          <w:szCs w:val="21"/>
          <w:lang w:val="en-US" w:eastAsia="zh-CN"/>
        </w:rPr>
        <w:t>2</w:t>
      </w:r>
      <w:r>
        <w:rPr>
          <w:rFonts w:hint="eastAsia" w:ascii="宋体" w:hAnsi="宋体" w:eastAsia="宋体" w:cs="宋体"/>
          <w:sz w:val="21"/>
          <w:szCs w:val="21"/>
        </w:rPr>
        <w:t>）；（法定代表人亲自办理投标事宜的，则无需提交）；</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（3）法人或者其他组织的营业执照等证明文件，自然人的身份证明；</w:t>
      </w:r>
      <w:r>
        <w:rPr>
          <w:rFonts w:hint="eastAsia" w:ascii="宋体" w:hAnsi="宋体" w:cs="宋体"/>
          <w:sz w:val="21"/>
          <w:szCs w:val="21"/>
          <w:lang w:eastAsia="zh-CN"/>
        </w:rPr>
        <w:t>如事业单位参加投标的</w:t>
      </w:r>
      <w:r>
        <w:rPr>
          <w:rFonts w:hint="eastAsia" w:ascii="宋体" w:hAnsi="宋体" w:eastAsia="宋体" w:cs="宋体"/>
          <w:sz w:val="21"/>
          <w:szCs w:val="21"/>
        </w:rPr>
        <w:t>，则提供有效的《事业单位法人证书》；</w:t>
      </w:r>
    </w:p>
    <w:p>
      <w:pPr>
        <w:spacing w:line="24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（4）提供采购公告中符合供应商特定条件的有效资质证书复印件（投标供应商特定条件中有要求的必须提供），以及需要说明的其他资料</w:t>
      </w:r>
      <w:r>
        <w:rPr>
          <w:rFonts w:hint="eastAsia" w:ascii="宋体" w:hAnsi="宋体" w:cs="宋体"/>
          <w:sz w:val="21"/>
          <w:szCs w:val="21"/>
          <w:lang w:eastAsia="zh-CN"/>
        </w:rPr>
        <w:t>。</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lang w:val="en-GB"/>
        </w:rPr>
        <w:t>联合体</w:t>
      </w:r>
      <w:r>
        <w:rPr>
          <w:rFonts w:hint="eastAsia" w:ascii="宋体" w:hAnsi="宋体" w:eastAsia="宋体" w:cs="宋体"/>
          <w:sz w:val="21"/>
          <w:szCs w:val="21"/>
          <w:lang w:val="en-GB" w:eastAsia="zh-CN"/>
        </w:rPr>
        <w:t>协议</w:t>
      </w:r>
      <w:r>
        <w:rPr>
          <w:rFonts w:hint="eastAsia" w:ascii="宋体" w:hAnsi="宋体" w:eastAsia="宋体" w:cs="宋体"/>
          <w:sz w:val="21"/>
          <w:szCs w:val="21"/>
          <w:lang w:val="en-GB"/>
        </w:rPr>
        <w:t>(联合体投标的</w:t>
      </w:r>
      <w:r>
        <w:rPr>
          <w:rFonts w:hint="eastAsia" w:ascii="宋体" w:hAnsi="宋体" w:eastAsia="宋体" w:cs="宋体"/>
          <w:sz w:val="21"/>
          <w:szCs w:val="21"/>
          <w:lang w:val="en-GB" w:eastAsia="zh-CN"/>
        </w:rPr>
        <w:t>提供</w:t>
      </w:r>
      <w:r>
        <w:rPr>
          <w:rFonts w:hint="eastAsia" w:ascii="宋体" w:hAnsi="宋体" w:eastAsia="宋体" w:cs="宋体"/>
          <w:sz w:val="21"/>
          <w:szCs w:val="21"/>
          <w:lang w:val="en-GB"/>
        </w:rPr>
        <w:t>，</w:t>
      </w:r>
      <w:r>
        <w:rPr>
          <w:rFonts w:hint="eastAsia" w:ascii="宋体" w:hAnsi="宋体" w:cs="宋体"/>
          <w:sz w:val="21"/>
          <w:szCs w:val="21"/>
          <w:lang w:val="en-GB" w:eastAsia="zh-CN"/>
        </w:rPr>
        <w:t>须载明联合体各方（联合体牵头单位、联合体成员）承担的工作和义务</w:t>
      </w:r>
      <w:r>
        <w:rPr>
          <w:rFonts w:hint="eastAsia" w:ascii="宋体" w:hAnsi="宋体" w:cs="宋体"/>
          <w:sz w:val="21"/>
          <w:szCs w:val="21"/>
          <w:lang w:val="en-US" w:eastAsia="zh-CN"/>
        </w:rPr>
        <w:t>。格式自拟。</w:t>
      </w:r>
      <w:r>
        <w:rPr>
          <w:rFonts w:hint="eastAsia" w:ascii="宋体" w:hAnsi="宋体" w:eastAsia="宋体" w:cs="宋体"/>
          <w:sz w:val="21"/>
          <w:szCs w:val="21"/>
          <w:lang w:val="en-GB"/>
        </w:rPr>
        <w:t>)</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2、商务与技术文件的组成：</w:t>
      </w:r>
    </w:p>
    <w:p>
      <w:pPr>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（1）投标人情况介绍（附件</w:t>
      </w:r>
      <w:r>
        <w:rPr>
          <w:rFonts w:hint="eastAsia" w:ascii="宋体" w:hAnsi="宋体" w:cs="宋体"/>
          <w:sz w:val="21"/>
          <w:szCs w:val="21"/>
          <w:lang w:val="en-US" w:eastAsia="zh-CN"/>
        </w:rPr>
        <w:t>3</w:t>
      </w:r>
      <w:r>
        <w:rPr>
          <w:rFonts w:hint="eastAsia" w:ascii="宋体" w:hAnsi="宋体" w:eastAsia="宋体" w:cs="宋体"/>
          <w:sz w:val="21"/>
          <w:szCs w:val="21"/>
        </w:rPr>
        <w:t>）；</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（2）投标方案描述：</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B.项目组织实施方案（包括项目工期、确保项目供货的措施或方案、项目实施进度安排、项目实施人员及项目负责人的资质、类似经验及社保证明等）。</w:t>
      </w:r>
    </w:p>
    <w:p>
      <w:pPr>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项目实施人员一览表（附件</w:t>
      </w:r>
      <w:r>
        <w:rPr>
          <w:rFonts w:hint="eastAsia" w:ascii="宋体" w:hAnsi="宋体" w:cs="宋体"/>
          <w:sz w:val="21"/>
          <w:szCs w:val="21"/>
          <w:lang w:val="en-US" w:eastAsia="zh-CN"/>
        </w:rPr>
        <w:t>4</w:t>
      </w:r>
      <w:r>
        <w:rPr>
          <w:rFonts w:hint="eastAsia" w:ascii="宋体" w:hAnsi="宋体" w:eastAsia="宋体" w:cs="宋体"/>
          <w:sz w:val="21"/>
          <w:szCs w:val="21"/>
        </w:rPr>
        <w:t>）</w:t>
      </w:r>
    </w:p>
    <w:p>
      <w:pPr>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项目负责人资格情况表(附件</w:t>
      </w:r>
      <w:r>
        <w:rPr>
          <w:rFonts w:hint="eastAsia" w:ascii="宋体" w:hAnsi="宋体" w:cs="宋体"/>
          <w:sz w:val="21"/>
          <w:szCs w:val="21"/>
          <w:lang w:val="en-US" w:eastAsia="zh-CN"/>
        </w:rPr>
        <w:t>5</w:t>
      </w:r>
      <w:r>
        <w:rPr>
          <w:rFonts w:hint="eastAsia" w:ascii="宋体" w:hAnsi="宋体" w:eastAsia="宋体" w:cs="宋体"/>
          <w:sz w:val="21"/>
          <w:szCs w:val="21"/>
        </w:rPr>
        <w:t xml:space="preserve">)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C.安装、调试及验收方案（包括项目验收标准和验收方法等）和措施。</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（3）投标产品描述及相关资料：</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A.产品清单(附件</w:t>
      </w:r>
      <w:r>
        <w:rPr>
          <w:rFonts w:hint="eastAsia" w:ascii="宋体" w:hAnsi="宋体" w:cs="宋体"/>
          <w:sz w:val="21"/>
          <w:szCs w:val="21"/>
          <w:lang w:val="en-US" w:eastAsia="zh-CN"/>
        </w:rPr>
        <w:t>6</w:t>
      </w:r>
      <w:r>
        <w:rPr>
          <w:rFonts w:hint="eastAsia" w:ascii="宋体" w:hAnsi="宋体" w:eastAsia="宋体" w:cs="宋体"/>
          <w:sz w:val="21"/>
          <w:szCs w:val="21"/>
        </w:rPr>
        <w:t>）</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B.投标产品技术参数、性能特点以及所遵循的技术规范等内容。</w:t>
      </w:r>
    </w:p>
    <w:p>
      <w:pPr>
        <w:spacing w:line="240" w:lineRule="auto"/>
        <w:ind w:left="479" w:leftChars="228"/>
        <w:rPr>
          <w:rFonts w:hint="eastAsia" w:ascii="宋体" w:hAnsi="宋体" w:eastAsia="宋体" w:cs="宋体"/>
          <w:sz w:val="21"/>
          <w:szCs w:val="21"/>
        </w:rPr>
      </w:pPr>
      <w:r>
        <w:rPr>
          <w:rFonts w:hint="eastAsia" w:ascii="宋体" w:hAnsi="宋体" w:eastAsia="宋体" w:cs="宋体"/>
          <w:sz w:val="21"/>
          <w:szCs w:val="21"/>
        </w:rPr>
        <w:t>（4）投标产品相应检测报告；</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（5）投标产品主体列入节能产品证明资料、投标产品主体列入环境标志产品证明资料（如有）；</w:t>
      </w:r>
    </w:p>
    <w:p>
      <w:pPr>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（6）技术需求响应表（附件</w:t>
      </w:r>
      <w:r>
        <w:rPr>
          <w:rFonts w:hint="eastAsia" w:ascii="宋体" w:hAnsi="宋体" w:cs="宋体"/>
          <w:sz w:val="21"/>
          <w:szCs w:val="21"/>
          <w:lang w:val="en-US" w:eastAsia="zh-CN"/>
        </w:rPr>
        <w:t>7</w:t>
      </w:r>
      <w:r>
        <w:rPr>
          <w:rFonts w:hint="eastAsia" w:ascii="宋体" w:hAnsi="宋体" w:eastAsia="宋体" w:cs="宋体"/>
          <w:sz w:val="21"/>
          <w:szCs w:val="21"/>
        </w:rPr>
        <w:t>）；</w:t>
      </w:r>
    </w:p>
    <w:p>
      <w:pPr>
        <w:snapToGrid w:val="0"/>
        <w:spacing w:line="24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（7）证书一览表（附件</w:t>
      </w:r>
      <w:r>
        <w:rPr>
          <w:rFonts w:hint="eastAsia" w:ascii="宋体" w:hAnsi="宋体" w:cs="宋体"/>
          <w:sz w:val="21"/>
          <w:szCs w:val="21"/>
          <w:lang w:val="en-US" w:eastAsia="zh-CN"/>
        </w:rPr>
        <w:t>8</w:t>
      </w:r>
      <w:r>
        <w:rPr>
          <w:rFonts w:hint="eastAsia" w:ascii="宋体" w:hAnsi="宋体" w:eastAsia="宋体" w:cs="宋体"/>
          <w:sz w:val="21"/>
          <w:szCs w:val="21"/>
        </w:rPr>
        <w:t>）；</w:t>
      </w:r>
    </w:p>
    <w:p>
      <w:pPr>
        <w:snapToGrid w:val="0"/>
        <w:spacing w:line="24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（8）投标人类似项目实施情况一览表（附件</w:t>
      </w:r>
      <w:r>
        <w:rPr>
          <w:rFonts w:hint="eastAsia" w:ascii="宋体" w:hAnsi="宋体" w:cs="宋体"/>
          <w:sz w:val="21"/>
          <w:szCs w:val="21"/>
          <w:lang w:val="en-US" w:eastAsia="zh-CN"/>
        </w:rPr>
        <w:t>9</w:t>
      </w:r>
      <w:r>
        <w:rPr>
          <w:rFonts w:hint="eastAsia" w:ascii="宋体" w:hAnsi="宋体" w:eastAsia="宋体" w:cs="宋体"/>
          <w:sz w:val="21"/>
          <w:szCs w:val="21"/>
        </w:rPr>
        <w:t>）；</w:t>
      </w:r>
    </w:p>
    <w:p>
      <w:pPr>
        <w:snapToGrid w:val="0"/>
        <w:spacing w:line="24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（9）商务需求响应表（附件</w:t>
      </w:r>
      <w:r>
        <w:rPr>
          <w:rFonts w:hint="eastAsia" w:ascii="宋体" w:hAnsi="宋体" w:cs="宋体"/>
          <w:sz w:val="21"/>
          <w:szCs w:val="21"/>
          <w:lang w:val="en-US" w:eastAsia="zh-CN"/>
        </w:rPr>
        <w:t>10</w:t>
      </w:r>
      <w:r>
        <w:rPr>
          <w:rFonts w:hint="eastAsia" w:ascii="宋体" w:hAnsi="宋体" w:eastAsia="宋体" w:cs="宋体"/>
          <w:sz w:val="21"/>
          <w:szCs w:val="21"/>
        </w:rPr>
        <w:t>）；</w:t>
      </w:r>
    </w:p>
    <w:p>
      <w:pPr>
        <w:snapToGrid w:val="0"/>
        <w:spacing w:line="24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（10）售后服务情况表（附件</w:t>
      </w:r>
      <w:r>
        <w:rPr>
          <w:rFonts w:hint="eastAsia" w:ascii="宋体" w:hAnsi="宋体" w:cs="宋体"/>
          <w:sz w:val="21"/>
          <w:szCs w:val="21"/>
          <w:lang w:val="en-US" w:eastAsia="zh-CN"/>
        </w:rPr>
        <w:t>11</w:t>
      </w:r>
      <w:r>
        <w:rPr>
          <w:rFonts w:hint="eastAsia" w:ascii="宋体" w:hAnsi="宋体" w:eastAsia="宋体" w:cs="宋体"/>
          <w:sz w:val="21"/>
          <w:szCs w:val="21"/>
        </w:rPr>
        <w:t>）；</w:t>
      </w:r>
    </w:p>
    <w:p>
      <w:pPr>
        <w:snapToGrid w:val="0"/>
        <w:spacing w:line="24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（11）投标人需要说明的其他内容。（包括可能影响投标人商务与技术文件评分的各类证明材料）</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3、报价文件的组成</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（1）报价文件由开标一览表、报价明细表、中小企业等声明函（不符合中小企业要求的无需提供）以及投标人认为其他需要说明的内容组成。</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（2）此报价为投标人一次性报出唯一的最终价格，包含其它一切所要涉及到的费用，有选择的报价将被拒绝。</w:t>
      </w:r>
    </w:p>
    <w:p>
      <w:pPr>
        <w:spacing w:line="24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rPr>
        <w:t>3</w:t>
      </w:r>
      <w:r>
        <w:rPr>
          <w:rFonts w:hint="eastAsia" w:ascii="宋体" w:hAnsi="宋体" w:eastAsia="宋体" w:cs="宋体"/>
          <w:sz w:val="21"/>
          <w:szCs w:val="21"/>
          <w:lang w:val="zh-CN"/>
        </w:rPr>
        <w:t>）</w:t>
      </w:r>
      <w:r>
        <w:rPr>
          <w:rFonts w:hint="eastAsia" w:ascii="宋体" w:hAnsi="宋体" w:cs="宋体"/>
          <w:sz w:val="21"/>
          <w:szCs w:val="21"/>
          <w:lang w:val="zh-CN"/>
        </w:rPr>
        <w:t>投标报价是包括货款、包装、运输、装卸、保险、税金、货到就位以及合同包含的所有风险责任等各项费用及不可预见费等所需的全部费用，全部费用已包含在开标一览表的投标总报价中</w:t>
      </w:r>
      <w:r>
        <w:rPr>
          <w:rFonts w:hint="eastAsia" w:ascii="宋体" w:hAnsi="宋体" w:eastAsia="宋体" w:cs="宋体"/>
          <w:sz w:val="21"/>
          <w:szCs w:val="21"/>
          <w:lang w:val="zh-CN"/>
        </w:rPr>
        <w:t>。</w:t>
      </w:r>
    </w:p>
    <w:p>
      <w:pPr>
        <w:spacing w:line="24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rPr>
        <w:t>4</w:t>
      </w:r>
      <w:r>
        <w:rPr>
          <w:rFonts w:hint="eastAsia" w:ascii="宋体" w:hAnsi="宋体" w:eastAsia="宋体" w:cs="宋体"/>
          <w:sz w:val="21"/>
          <w:szCs w:val="21"/>
          <w:lang w:val="zh-CN"/>
        </w:rPr>
        <w:t>）</w:t>
      </w:r>
      <w:r>
        <w:rPr>
          <w:rFonts w:hint="eastAsia" w:ascii="宋体" w:hAnsi="宋体" w:eastAsia="宋体" w:cs="宋体"/>
          <w:sz w:val="21"/>
          <w:szCs w:val="21"/>
        </w:rPr>
        <w:t>政府采购优惠政策相关资料（如有）。</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（5）相关报价单需打印或用不褪色的墨水填写， 投标报价单不得涂改和增删，如有错漏必须修改，修改处须由同一签署人签字或盖章。由于字迹模糊或表达不清引起的后果由投标人负责。</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（6）投标报价应按招标文件中相关附表格式填写。</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（二）投标文件的制作、封装及递交要求</w:t>
      </w:r>
    </w:p>
    <w:p>
      <w:pPr>
        <w:spacing w:line="240" w:lineRule="auto"/>
        <w:ind w:firstLine="422" w:firstLineChars="200"/>
        <w:rPr>
          <w:rFonts w:hint="eastAsia" w:ascii="宋体" w:hAnsi="宋体" w:eastAsia="宋体" w:cs="宋体"/>
          <w:b/>
          <w:bCs/>
          <w:sz w:val="21"/>
          <w:szCs w:val="21"/>
          <w:lang w:val="en-GB"/>
        </w:rPr>
      </w:pPr>
      <w:r>
        <w:rPr>
          <w:rFonts w:hint="eastAsia" w:ascii="宋体" w:hAnsi="宋体" w:eastAsia="宋体" w:cs="宋体"/>
          <w:b/>
          <w:bCs/>
          <w:sz w:val="21"/>
          <w:szCs w:val="21"/>
        </w:rPr>
        <w:t xml:space="preserve">1. </w:t>
      </w:r>
      <w:r>
        <w:rPr>
          <w:rFonts w:hint="eastAsia" w:ascii="宋体" w:hAnsi="宋体" w:eastAsia="宋体" w:cs="宋体"/>
          <w:b/>
          <w:bCs/>
          <w:sz w:val="21"/>
          <w:szCs w:val="21"/>
          <w:lang w:val="en-GB"/>
        </w:rPr>
        <w:t>投标文件的编制</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rPr>
        <w:t>1</w:t>
      </w:r>
      <w:r>
        <w:rPr>
          <w:rFonts w:hint="eastAsia" w:ascii="宋体" w:hAnsi="宋体" w:eastAsia="宋体" w:cs="宋体"/>
          <w:sz w:val="21"/>
          <w:szCs w:val="21"/>
          <w:lang w:val="en-GB"/>
        </w:rPr>
        <w:t>.1本项目通过“政府采购云平台（www.zcygov.cn）”实行在线投标响应（电子投标）。投标人应通过“政采云电子交易客户端”，并按照本招标文件和“政府采购云平台”的要求编制并加密投标文件。</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1.2投标人应当按照本章节 “投标文件组成”规定的内容及顺序在“政采云电子交易客户端”编制投标文件。其中</w:t>
      </w:r>
      <w:r>
        <w:rPr>
          <w:rFonts w:hint="eastAsia" w:ascii="宋体" w:hAnsi="宋体" w:eastAsia="宋体" w:cs="宋体"/>
          <w:sz w:val="21"/>
          <w:szCs w:val="21"/>
        </w:rPr>
        <w:t>资格证明文件、商务与技术文件</w:t>
      </w:r>
      <w:r>
        <w:rPr>
          <w:rFonts w:hint="eastAsia" w:ascii="宋体" w:hAnsi="宋体" w:eastAsia="宋体" w:cs="宋体"/>
          <w:sz w:val="21"/>
          <w:szCs w:val="21"/>
          <w:lang w:val="en-GB"/>
        </w:rPr>
        <w:t>中不得出现本项目投标报价，如因投标人原因提前泄露投标报价，是投标人的责任。</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zh-CN"/>
        </w:rPr>
        <w:t>1.3投标文件分为</w:t>
      </w:r>
      <w:r>
        <w:rPr>
          <w:rFonts w:hint="eastAsia" w:ascii="宋体" w:hAnsi="宋体" w:eastAsia="宋体" w:cs="宋体"/>
          <w:sz w:val="21"/>
          <w:szCs w:val="21"/>
        </w:rPr>
        <w:t>资格证明文件、商务与技术文件和报价文件</w:t>
      </w:r>
      <w:r>
        <w:rPr>
          <w:rFonts w:hint="eastAsia" w:ascii="宋体" w:hAnsi="宋体" w:cs="宋体"/>
          <w:sz w:val="21"/>
          <w:szCs w:val="21"/>
          <w:lang w:eastAsia="zh-CN"/>
        </w:rPr>
        <w:t>三</w:t>
      </w:r>
      <w:r>
        <w:rPr>
          <w:rFonts w:hint="eastAsia" w:ascii="宋体" w:hAnsi="宋体" w:eastAsia="宋体" w:cs="宋体"/>
          <w:sz w:val="21"/>
          <w:szCs w:val="21"/>
        </w:rPr>
        <w:t>部分</w:t>
      </w:r>
      <w:r>
        <w:rPr>
          <w:rFonts w:hint="eastAsia" w:ascii="宋体" w:hAnsi="宋体" w:eastAsia="宋体" w:cs="宋体"/>
          <w:sz w:val="21"/>
          <w:szCs w:val="21"/>
          <w:lang w:val="zh-CN"/>
        </w:rPr>
        <w:t>。各投标人在编制投标文件时请按照采购文件第六部分规定的格式进行，</w:t>
      </w:r>
      <w:r>
        <w:rPr>
          <w:rFonts w:hint="eastAsia" w:ascii="宋体" w:hAnsi="宋体" w:eastAsia="宋体" w:cs="宋体"/>
          <w:sz w:val="21"/>
          <w:szCs w:val="21"/>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1.4《投标文件》内容不完整、</w:t>
      </w:r>
      <w:r>
        <w:rPr>
          <w:rFonts w:hint="eastAsia" w:ascii="宋体" w:hAnsi="宋体" w:eastAsia="宋体" w:cs="宋体"/>
          <w:sz w:val="21"/>
          <w:szCs w:val="21"/>
          <w:lang w:val="zh-CN"/>
        </w:rPr>
        <w:t>混乱的编排导致投标文件被误读或评标委员会查找不到有效文件是投标人的责任。</w:t>
      </w:r>
      <w:r>
        <w:rPr>
          <w:rFonts w:hint="eastAsia" w:ascii="宋体" w:hAnsi="宋体" w:eastAsia="宋体" w:cs="宋体"/>
          <w:sz w:val="21"/>
          <w:szCs w:val="21"/>
          <w:lang w:val="en-GB"/>
        </w:rPr>
        <w:t>《投标文件》因字迹潦草或表达不清所引起的后果由投标人负责。</w:t>
      </w:r>
    </w:p>
    <w:p>
      <w:pPr>
        <w:spacing w:line="240" w:lineRule="auto"/>
        <w:ind w:firstLine="422" w:firstLineChars="200"/>
        <w:rPr>
          <w:rFonts w:hint="eastAsia" w:ascii="宋体" w:hAnsi="宋体" w:eastAsia="宋体" w:cs="宋体"/>
          <w:b/>
          <w:bCs/>
          <w:sz w:val="21"/>
          <w:szCs w:val="21"/>
          <w:lang w:val="en-GB"/>
        </w:rPr>
      </w:pPr>
      <w:r>
        <w:rPr>
          <w:rFonts w:hint="eastAsia" w:ascii="宋体" w:hAnsi="宋体" w:eastAsia="宋体" w:cs="宋体"/>
          <w:b/>
          <w:bCs/>
          <w:sz w:val="21"/>
          <w:szCs w:val="21"/>
          <w:lang w:val="en-GB"/>
        </w:rPr>
        <w:t>2.投标文件的签章</w:t>
      </w:r>
    </w:p>
    <w:p>
      <w:pPr>
        <w:pStyle w:val="10"/>
        <w:spacing w:line="240" w:lineRule="auto"/>
        <w:ind w:firstLine="420" w:firstLineChars="200"/>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2.1</w:t>
      </w:r>
      <w:r>
        <w:rPr>
          <w:rFonts w:hint="eastAsia" w:ascii="宋体" w:hAnsi="宋体" w:eastAsia="宋体" w:cs="宋体"/>
          <w:kern w:val="2"/>
          <w:sz w:val="21"/>
          <w:szCs w:val="21"/>
          <w:highlight w:val="none"/>
          <w:lang w:val="zh-CN" w:eastAsia="zh-CN" w:bidi="ar-SA"/>
        </w:rPr>
        <w:t>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10"/>
        <w:spacing w:line="240" w:lineRule="auto"/>
        <w:ind w:firstLine="420" w:firstLineChars="200"/>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2.2</w:t>
      </w:r>
      <w:r>
        <w:rPr>
          <w:rFonts w:hint="eastAsia" w:ascii="宋体" w:hAnsi="宋体" w:eastAsia="宋体" w:cs="宋体"/>
          <w:kern w:val="2"/>
          <w:sz w:val="21"/>
          <w:szCs w:val="21"/>
          <w:highlight w:val="none"/>
          <w:lang w:val="zh-CN" w:eastAsia="zh-CN" w:bidi="ar-SA"/>
        </w:rPr>
        <w:t>投标文件中所有的插字、涂改和增删，必须由法定代表人或经其正式授权的代表在旁边签字或盖章才有效。</w:t>
      </w:r>
    </w:p>
    <w:p>
      <w:pPr>
        <w:spacing w:line="240" w:lineRule="auto"/>
        <w:ind w:firstLine="420" w:firstLineChars="200"/>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2.3</w:t>
      </w:r>
      <w:r>
        <w:rPr>
          <w:rFonts w:hint="eastAsia" w:ascii="宋体" w:hAnsi="宋体" w:eastAsia="宋体" w:cs="宋体"/>
          <w:kern w:val="2"/>
          <w:sz w:val="21"/>
          <w:szCs w:val="21"/>
          <w:highlight w:val="none"/>
          <w:lang w:val="zh-CN" w:eastAsia="zh-CN" w:bidi="ar-SA"/>
        </w:rPr>
        <w:t>投标文件中要求加盖公章处，可使用有效安全的电子签章替代。</w:t>
      </w:r>
    </w:p>
    <w:p>
      <w:pPr>
        <w:spacing w:line="240" w:lineRule="auto"/>
        <w:ind w:firstLine="422" w:firstLineChars="200"/>
        <w:rPr>
          <w:rFonts w:hint="eastAsia" w:ascii="宋体" w:hAnsi="宋体" w:eastAsia="宋体" w:cs="宋体"/>
          <w:b/>
          <w:bCs/>
          <w:sz w:val="21"/>
          <w:szCs w:val="21"/>
          <w:lang w:val="en-GB"/>
        </w:rPr>
      </w:pPr>
      <w:r>
        <w:rPr>
          <w:rFonts w:hint="eastAsia" w:ascii="宋体" w:hAnsi="宋体" w:eastAsia="宋体" w:cs="宋体"/>
          <w:b/>
          <w:bCs/>
          <w:sz w:val="21"/>
          <w:szCs w:val="21"/>
          <w:lang w:val="en-GB"/>
        </w:rPr>
        <w:t>3. 备份投标文件的密封与标志</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3.1备份投标文件须密封包装。没有密封包装的投标文件，将被拒收。</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3.2备份投标文件包装封面物应写明项目名称、投标人名称(联合体投标的，包装物封面需注明联合体投标，并注明联合体成员各方的名称和联合体协议中约定的牵头人的名称)。</w:t>
      </w:r>
    </w:p>
    <w:p>
      <w:pPr>
        <w:spacing w:line="240" w:lineRule="auto"/>
        <w:ind w:firstLine="422" w:firstLineChars="200"/>
        <w:rPr>
          <w:rFonts w:hint="eastAsia" w:ascii="宋体" w:hAnsi="宋体" w:eastAsia="宋体" w:cs="宋体"/>
          <w:b/>
          <w:bCs/>
          <w:sz w:val="21"/>
          <w:szCs w:val="21"/>
          <w:lang w:val="en-GB"/>
        </w:rPr>
      </w:pPr>
      <w:r>
        <w:rPr>
          <w:rFonts w:hint="eastAsia" w:ascii="宋体" w:hAnsi="宋体" w:eastAsia="宋体" w:cs="宋体"/>
          <w:b/>
          <w:bCs/>
          <w:sz w:val="21"/>
          <w:szCs w:val="21"/>
          <w:lang w:val="en-GB"/>
        </w:rPr>
        <w:t>4. 投标文件的上传和递交</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4.1“投标文件”的上传、递交：见《前附表》。未传输递交电子投标文件的，投标无效。</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4.</w:t>
      </w:r>
      <w:r>
        <w:rPr>
          <w:rFonts w:hint="eastAsia" w:ascii="宋体" w:hAnsi="宋体" w:eastAsia="宋体" w:cs="宋体"/>
          <w:sz w:val="21"/>
          <w:szCs w:val="21"/>
        </w:rPr>
        <w:t>2</w:t>
      </w:r>
      <w:r>
        <w:rPr>
          <w:rFonts w:hint="eastAsia" w:ascii="宋体" w:hAnsi="宋体" w:eastAsia="宋体" w:cs="宋体"/>
          <w:sz w:val="21"/>
          <w:szCs w:val="21"/>
          <w:lang w:val="en-GB"/>
        </w:rPr>
        <w:t>投标人应当在投标截止时间将以介质存储的数据电文形式的备份投标文件密封送交到招标公告规定的投标地点。未按规定提供相应的备份投标文件，造成项目开评标活动无法进行下去的，投标无效。采购机构将拒绝接受逾期送达的投标文件。</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4.</w:t>
      </w:r>
      <w:r>
        <w:rPr>
          <w:rFonts w:hint="eastAsia" w:ascii="宋体" w:hAnsi="宋体" w:eastAsia="宋体" w:cs="宋体"/>
          <w:sz w:val="21"/>
          <w:szCs w:val="21"/>
        </w:rPr>
        <w:t>3</w:t>
      </w:r>
      <w:r>
        <w:rPr>
          <w:rFonts w:hint="eastAsia" w:ascii="宋体" w:hAnsi="宋体" w:eastAsia="宋体" w:cs="宋体"/>
          <w:sz w:val="21"/>
          <w:szCs w:val="21"/>
          <w:lang w:val="en-GB"/>
        </w:rPr>
        <w:t>投标文件的备选方案</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投标人不得递交任何的投标备选（替代）方案，否则其投标文件将作无效标处理。与“电子加密投标文件”同时生成的“备份投标文件”不是投标备选（替代）方案。</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5. 投标文件的补充、修改、撤回</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5.1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lang w:val="en-GB"/>
        </w:rPr>
        <w:t>5.</w:t>
      </w:r>
      <w:r>
        <w:rPr>
          <w:rFonts w:hint="eastAsia" w:ascii="宋体" w:hAnsi="宋体" w:eastAsia="宋体" w:cs="宋体"/>
          <w:sz w:val="21"/>
          <w:szCs w:val="21"/>
        </w:rPr>
        <w:t>2</w:t>
      </w:r>
      <w:r>
        <w:rPr>
          <w:rFonts w:hint="eastAsia" w:ascii="宋体" w:hAnsi="宋体" w:eastAsia="宋体" w:cs="宋体"/>
          <w:sz w:val="21"/>
          <w:szCs w:val="21"/>
          <w:lang w:val="en-GB"/>
        </w:rPr>
        <w:t>投标截止时间后，投标供应商不得撤回、修改投标文件。</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rPr>
        <w:t>6.3</w:t>
      </w:r>
      <w:r>
        <w:rPr>
          <w:rFonts w:hint="eastAsia" w:ascii="宋体" w:hAnsi="宋体" w:eastAsia="宋体" w:cs="宋体"/>
          <w:sz w:val="21"/>
          <w:szCs w:val="21"/>
          <w:lang w:val="en-GB"/>
        </w:rPr>
        <w:t>在开标后规定的投标有效期内，投标人不能撤销投标文件。</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（三）投标文件的有效期</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rPr>
        <w:t>1、</w:t>
      </w:r>
      <w:r>
        <w:rPr>
          <w:rFonts w:hint="eastAsia" w:ascii="宋体" w:hAnsi="宋体" w:eastAsia="宋体" w:cs="宋体"/>
          <w:sz w:val="21"/>
          <w:szCs w:val="21"/>
          <w:lang w:val="en-GB"/>
        </w:rPr>
        <w:t>自投标截止日起90天投标文件应保持有效。有效期不足的投标文件将被拒绝。</w:t>
      </w:r>
    </w:p>
    <w:p>
      <w:pPr>
        <w:spacing w:line="240" w:lineRule="auto"/>
        <w:ind w:firstLine="420" w:firstLineChars="200"/>
        <w:rPr>
          <w:rFonts w:hint="eastAsia" w:ascii="宋体" w:hAnsi="宋体" w:eastAsia="宋体" w:cs="宋体"/>
          <w:sz w:val="21"/>
          <w:szCs w:val="21"/>
          <w:lang w:val="en-GB"/>
        </w:rPr>
      </w:pPr>
      <w:r>
        <w:rPr>
          <w:rFonts w:hint="eastAsia" w:ascii="宋体" w:hAnsi="宋体" w:eastAsia="宋体" w:cs="宋体"/>
          <w:sz w:val="21"/>
          <w:szCs w:val="21"/>
        </w:rPr>
        <w:t>2、</w:t>
      </w:r>
      <w:r>
        <w:rPr>
          <w:rFonts w:hint="eastAsia" w:ascii="宋体" w:hAnsi="宋体" w:eastAsia="宋体" w:cs="宋体"/>
          <w:sz w:val="21"/>
          <w:szCs w:val="21"/>
          <w:lang w:val="en-GB"/>
        </w:rPr>
        <w:t>在特殊情况下，采购人可与投标人协商延长投标文件的有效期，这种要求和答复均以书面形式进行。</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3、中标人的投标文件自开标之日起至合同履行完毕均应保持有效。</w:t>
      </w:r>
    </w:p>
    <w:p>
      <w:pPr>
        <w:spacing w:line="240" w:lineRule="auto"/>
        <w:rPr>
          <w:rFonts w:hint="eastAsia" w:ascii="宋体" w:hAnsi="宋体" w:eastAsia="宋体" w:cs="宋体"/>
          <w:b/>
          <w:bCs/>
          <w:sz w:val="24"/>
          <w:szCs w:val="24"/>
        </w:rPr>
      </w:pPr>
      <w:r>
        <w:rPr>
          <w:rFonts w:hint="eastAsia" w:ascii="宋体" w:hAnsi="宋体" w:eastAsia="宋体" w:cs="宋体"/>
          <w:b/>
          <w:bCs/>
          <w:sz w:val="24"/>
          <w:szCs w:val="24"/>
        </w:rPr>
        <w:t>四、开标</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（一）开标事项</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采购组织机构在“招标公告”规定的时间和地点公开开标，本次招标采用先评审商务资格和技术服务方案，后评审报价的办法实施。</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特别说明：如遇政府采购云平台电子化开标或评审程序调整的，按调整后程序执行。</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采购过程中出现以下情形，导致电子交易平台无法正常运行，或者无法保证电子交易的公平、公正和安全时，采购组织机构可中止电子交易活动：</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（1）电子交易平台发生故障而无法登录访问的；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（2）电子交易平台应用或数据库出现错误，不能进行正常操作的；</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（3）电子交易平台发现严重安全漏洞，有潜在泄密危险的；</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（4）病毒发作导致不能进行正常操作的；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（5）其他无法保证电子交易的公平、公正和安全的情况。</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（二） 开标程序</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1、开标会由招标项目负责人主持，主持人宣布开标会议开始；</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2、主持人介绍参加开标会的人员名单；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3、主持人宣布评标期间的有关事项，告知应当回避的情形，提请有关人员回避；对投标人进行签到验证。</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4、向各投标人发出电子加密投标文件【开始解密】通知，由投标人按招标文件规定的时间内自行进行投标文件解密。投标文件的制作和解密应使用同一个数字证书，否则将可能解密失败。</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5、采购组织机构点击【开启标书信息】，开启标书成功后进入开标流程。</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6、资格及商务技术文件评审；</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7、由主持人公布无效投标的投标人名单、投标无效的原因及其他有效投标的评分汇总分；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8、开启报价响应文件：采购代理机构成功开启报价响应文件后，方可查看各供应商报价情况。</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9、报价文件评审；</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10、由主持人公布无效投标的投标人名单、投标无效的原因及其他有效投标的报价文件得分；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11、宣布综合得分结果及中标候选人名单；</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12、开标会议结束。</w:t>
      </w:r>
    </w:p>
    <w:p>
      <w:pPr>
        <w:spacing w:line="240" w:lineRule="auto"/>
        <w:rPr>
          <w:rFonts w:hint="eastAsia" w:ascii="宋体" w:hAnsi="宋体" w:eastAsia="宋体" w:cs="宋体"/>
          <w:b/>
          <w:bCs/>
          <w:sz w:val="24"/>
          <w:szCs w:val="24"/>
        </w:rPr>
      </w:pPr>
      <w:r>
        <w:rPr>
          <w:rFonts w:hint="eastAsia" w:ascii="宋体" w:hAnsi="宋体" w:eastAsia="宋体" w:cs="宋体"/>
          <w:b/>
          <w:bCs/>
          <w:sz w:val="24"/>
          <w:szCs w:val="24"/>
        </w:rPr>
        <w:t>五、评标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本项目采用电子评审方法，评标的依据为招标文件和投标文件。</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（一）组建评标委员会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评标委员会由采购人代表和评审专家组成，成员人数为5人以上单数，其中评审专家不得少于成员总数的三分之二。</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（二）评标程序</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1、资格审查</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公开招标采购项目开标结束后，采购人或者采购组织机构应当依法对投标人的资格进行审查，对审查发现无效的进行必要的询标，结束后公布无效投标的投标人名单、投标无效的原因。</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2、符合性审查</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3、综合比较与评价</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（1）对于投标文件中含义不明确、同类问题表述不一致或者有明显文字和计算错误的内容，评标委员会应当以书面形式要求投标人作出必要的澄清、说明或者补正。</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（2）评标委员会应当按照招标文件中规定的评标方法和标准，对符合性审查合格的投标文件进行商务和技术评估，综合比较与评价。</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（3）评标时，评标委员会各成员应当独立对每个投标人的投标文件进行评价，并汇总每个投标人的得分。</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4、得分确认及评审报告编写</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（1）评标委员会对报价文件进行复核，对于系统计算出的价格分及总得分进行确认；</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（2）评标委员会应当按照招标文件中规定的评标方法和标准，对符合性审查合格的投标文件进行商务和技术评估，综合比较与评价。</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（3）评标委员会按评标原则及得分情况编写评审报告。</w:t>
      </w:r>
    </w:p>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5、评价</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采购组织机构对评标委员会评审专家进行评价。</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（三）澄清问题的形式</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投标人的澄清、说明或者补正应当采用书面形式，并加盖公章或者由法定代理人或其授权的代表签字，并不得超出投标文件的范围或者改变投标文件的实质性内容。</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（四）错误修正</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投标文件报价出现前后不一致的，除招标文件另有规定外，按照下列规定修正：</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1、投标文件中开标一览表（报价表）内容与投标文件中相应内容不一致的，以开标一览表（报价表）为准；</w:t>
      </w:r>
      <w:r>
        <w:rPr>
          <w:rFonts w:hint="eastAsia" w:ascii="宋体" w:hAnsi="宋体" w:eastAsia="宋体" w:cs="宋体"/>
          <w:sz w:val="21"/>
          <w:szCs w:val="21"/>
          <w:u w:val="none"/>
        </w:rPr>
        <w:t>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2、大写金额和小写金额不一致的，以大写金额为准；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3、单价金额小数点或者百分比有明显错位的，以开标一览表的总价为准，并修改单价；</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4、总价金额与按单价汇总金额不一致的，以单价金额计算结果为准。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（五）投标人存在下列情况之一的，投标无效</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1、电子投标文件及备份投标文件在指定页面无法定代表人盖章或签字、未在指定页面盖公章、在指定页面无被授权人签字、未提供法定代表人授权委托书、未提供投标</w:t>
      </w:r>
      <w:r>
        <w:rPr>
          <w:rFonts w:hint="eastAsia" w:ascii="宋体" w:hAnsi="宋体" w:cs="宋体"/>
          <w:sz w:val="21"/>
          <w:szCs w:val="21"/>
          <w:highlight w:val="none"/>
          <w:lang w:eastAsia="zh-CN"/>
        </w:rPr>
        <w:t>声明书</w:t>
      </w:r>
      <w:r>
        <w:rPr>
          <w:rFonts w:hint="eastAsia" w:ascii="宋体" w:hAnsi="宋体" w:eastAsia="宋体" w:cs="宋体"/>
          <w:sz w:val="21"/>
          <w:szCs w:val="21"/>
          <w:highlight w:val="none"/>
        </w:rPr>
        <w:t>或者投标</w:t>
      </w:r>
      <w:r>
        <w:rPr>
          <w:rFonts w:hint="eastAsia" w:ascii="宋体" w:hAnsi="宋体" w:cs="宋体"/>
          <w:sz w:val="21"/>
          <w:szCs w:val="21"/>
          <w:highlight w:val="none"/>
          <w:lang w:eastAsia="zh-CN"/>
        </w:rPr>
        <w:t>声明书</w:t>
      </w:r>
      <w:r>
        <w:rPr>
          <w:rFonts w:hint="eastAsia" w:ascii="宋体" w:hAnsi="宋体" w:eastAsia="宋体" w:cs="宋体"/>
          <w:sz w:val="21"/>
          <w:szCs w:val="21"/>
          <w:highlight w:val="none"/>
        </w:rPr>
        <w:t>格式不符合招标文件要求的；</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2、在资格证明文件或商务与技术文件中出现投标报价的，或者报价文件中报价的货物跟资格及商务技术文件中的投标货物出现重大偏差的；</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3、不具备招标文件中规定的资格要求的。</w:t>
      </w:r>
      <w:r>
        <w:rPr>
          <w:rFonts w:hint="eastAsia" w:ascii="宋体" w:hAnsi="宋体" w:eastAsia="宋体" w:cs="宋体"/>
          <w:sz w:val="21"/>
          <w:szCs w:val="21"/>
          <w:highlight w:val="none"/>
        </w:rPr>
        <w:tab/>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4、投标文件含有采购人不能接受的附加条件的。</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5、授权委托代理人未能出具身份证明或与法定代表人授权委托人身份不符的；</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7、报价超过招标文件中规定的预算金额/最高限价。</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8、投标文件提供虚假材料的。</w:t>
      </w:r>
    </w:p>
    <w:p>
      <w:pPr>
        <w:spacing w:line="240"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、不符合中华人民共和国财政部令第87号《政府采购货物和服务招标投标管理办法》第三十七条情形之一的，视为投标人串通投标，其投标无效，并移送采购监管部门：</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（1）不同投标人的投标文件由同一单位或者个人编制；不同投标人的投标文件，由同一台电脑编制；</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（2）不同投标人委托同一单位或者个人办理投标事宜；</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（3）不同投标人的投标文件载明的项目管理成员或者联系人员为同一人；</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（4）不同投标人的投标文件异常一致或者投标报价呈规律性差异；</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（5）不同投标人的投标文件相互混装；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rPr>
        <w:t>、不符合法律、法规和招标文件中规定的其他实质性要求的（招标文件中打“▲”内容及被拒绝的条款）。</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11、投标文件有效期不足的；</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w:t>
      </w:r>
      <w:r>
        <w:rPr>
          <w:rFonts w:hint="eastAsia" w:ascii="宋体" w:hAnsi="宋体" w:cs="宋体"/>
          <w:kern w:val="2"/>
          <w:sz w:val="21"/>
          <w:szCs w:val="21"/>
          <w:highlight w:val="none"/>
          <w:lang w:val="en-US" w:eastAsia="zh-CN" w:bidi="ar-SA"/>
        </w:rPr>
        <w:t>2</w:t>
      </w:r>
      <w:r>
        <w:rPr>
          <w:rFonts w:hint="eastAsia" w:ascii="宋体" w:hAnsi="宋体" w:eastAsia="宋体" w:cs="宋体"/>
          <w:kern w:val="2"/>
          <w:sz w:val="21"/>
          <w:szCs w:val="21"/>
          <w:highlight w:val="none"/>
          <w:lang w:val="en-US" w:eastAsia="zh-CN" w:bidi="ar-SA"/>
        </w:rPr>
        <w:t>、逾期或未按要求提交投标文件的；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w:t>
      </w:r>
      <w:r>
        <w:rPr>
          <w:rFonts w:hint="eastAsia" w:ascii="宋体" w:hAnsi="宋体" w:cs="宋体"/>
          <w:kern w:val="2"/>
          <w:sz w:val="21"/>
          <w:szCs w:val="21"/>
          <w:highlight w:val="none"/>
          <w:lang w:val="en-US" w:eastAsia="zh-CN" w:bidi="ar-SA"/>
        </w:rPr>
        <w:t>3</w:t>
      </w:r>
      <w:r>
        <w:rPr>
          <w:rFonts w:hint="eastAsia" w:ascii="宋体" w:hAnsi="宋体" w:eastAsia="宋体" w:cs="宋体"/>
          <w:kern w:val="2"/>
          <w:sz w:val="21"/>
          <w:szCs w:val="21"/>
          <w:highlight w:val="none"/>
          <w:lang w:val="en-US" w:eastAsia="zh-CN" w:bidi="ar-SA"/>
        </w:rPr>
        <w:t>、未传输递交电子投标文件的或者未按规定提供相应的备份投标文件，造成项目开评标活动无法进行下去的.</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（六）有下列情况之一的，本次招标作为废标处理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1、出现影响采购公正的违法、违规行为的；</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2、评标委员会发现招标文件存在歧义、重大缺陷导致评标工作无法进行，或者招标文件内容违反国家有关强制性规定的；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3、因重大变故，采购任务取消的；</w:t>
      </w:r>
    </w:p>
    <w:p>
      <w:pPr>
        <w:spacing w:line="24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4、法律、法规和招标文件规定的其他导致评标结果无效的</w:t>
      </w:r>
      <w:r>
        <w:rPr>
          <w:rFonts w:hint="eastAsia" w:ascii="宋体" w:hAnsi="宋体" w:cs="宋体"/>
          <w:sz w:val="21"/>
          <w:szCs w:val="21"/>
          <w:lang w:eastAsia="zh-CN"/>
        </w:rPr>
        <w:t>；</w:t>
      </w:r>
    </w:p>
    <w:p>
      <w:pPr>
        <w:spacing w:line="240" w:lineRule="auto"/>
        <w:ind w:firstLine="420" w:firstLineChars="200"/>
        <w:rPr>
          <w:rFonts w:hint="eastAsia" w:ascii="宋体" w:hAnsi="宋体" w:eastAsia="宋体" w:cs="宋体"/>
          <w:sz w:val="21"/>
          <w:szCs w:val="21"/>
        </w:rPr>
      </w:pPr>
      <w:r>
        <w:rPr>
          <w:rFonts w:hint="eastAsia" w:ascii="宋体" w:hAnsi="宋体" w:cs="宋体"/>
          <w:sz w:val="21"/>
          <w:szCs w:val="21"/>
          <w:lang w:val="en-US" w:eastAsia="zh-CN"/>
        </w:rPr>
        <w:t>5、有效投标供应商少于3家的</w:t>
      </w:r>
      <w:r>
        <w:rPr>
          <w:rFonts w:hint="eastAsia" w:ascii="宋体" w:hAnsi="宋体" w:eastAsia="宋体" w:cs="宋体"/>
          <w:sz w:val="21"/>
          <w:szCs w:val="21"/>
        </w:rPr>
        <w:t>。</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（七）评标原则和评标办法</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2、评标办法。具体评标内容及评分标准等详见《第三章：评标方法及评分标准》。</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（八）评标过程的监控</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本项目评标过程实行全程录音、录像监控，政府采购监管部门视情进行现场监督，投标人在评标过程中所进行的试图影响评标结果的不公正活动，可能导致其投标被拒绝。</w:t>
      </w:r>
    </w:p>
    <w:p>
      <w:pPr>
        <w:spacing w:line="240" w:lineRule="auto"/>
        <w:rPr>
          <w:rFonts w:hint="eastAsia" w:ascii="宋体" w:hAnsi="宋体" w:eastAsia="宋体" w:cs="宋体"/>
          <w:b/>
          <w:bCs/>
          <w:sz w:val="24"/>
          <w:szCs w:val="24"/>
        </w:rPr>
      </w:pPr>
      <w:r>
        <w:rPr>
          <w:rFonts w:hint="eastAsia" w:ascii="宋体" w:hAnsi="宋体" w:eastAsia="宋体" w:cs="宋体"/>
          <w:b/>
          <w:bCs/>
          <w:sz w:val="24"/>
          <w:szCs w:val="24"/>
        </w:rPr>
        <w:t>六、定标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3、发出中标通知书。采购组织机构在发布中标结果的同时，向中标人发出中标通知书。</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5、招标代理费：根据国家发改委发改办价格[2003]857号通知和国家计委计价格[2002]1980号文件规定的招标费率标准，向中标单位收取招标服务费，该费用中标方须在中标通知书发出5日内一次性付清。</w:t>
      </w:r>
    </w:p>
    <w:tbl>
      <w:tblPr>
        <w:tblStyle w:val="27"/>
        <w:tblpPr w:leftFromText="180" w:rightFromText="180" w:vertAnchor="text" w:horzAnchor="page" w:tblpX="1569" w:tblpY="10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6"/>
        <w:gridCol w:w="2067"/>
        <w:gridCol w:w="2067"/>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1578"/>
              <w:textAlignment w:val="auto"/>
              <w:outlineLvl w:val="9"/>
              <w:rPr>
                <w:b/>
                <w:color w:val="000000"/>
                <w:sz w:val="21"/>
              </w:rPr>
            </w:pPr>
            <w:r>
              <w:rPr>
                <w:color w:val="000000"/>
              </w:rPr>
              <mc:AlternateContent>
                <mc:Choice Requires="wps">
                  <w:drawing>
                    <wp:anchor distT="0" distB="0" distL="114300" distR="114300" simplePos="0" relativeHeight="251659264" behindDoc="1" locked="0" layoutInCell="1" allowOverlap="1">
                      <wp:simplePos x="0" y="0"/>
                      <wp:positionH relativeFrom="page">
                        <wp:posOffset>-16510</wp:posOffset>
                      </wp:positionH>
                      <wp:positionV relativeFrom="paragraph">
                        <wp:posOffset>-6350</wp:posOffset>
                      </wp:positionV>
                      <wp:extent cx="1650365" cy="1237615"/>
                      <wp:effectExtent l="0" t="0" r="6985" b="635"/>
                      <wp:wrapNone/>
                      <wp:docPr id="2" name="任意多边形 2"/>
                      <wp:cNvGraphicFramePr/>
                      <a:graphic xmlns:a="http://schemas.openxmlformats.org/drawingml/2006/main">
                        <a:graphicData uri="http://schemas.microsoft.com/office/word/2010/wordprocessingShape">
                          <wps:wsp>
                            <wps:cNvSpPr/>
                            <wps:spPr>
                              <a:xfrm>
                                <a:off x="0" y="0"/>
                                <a:ext cx="1650365" cy="1237615"/>
                              </a:xfrm>
                              <a:custGeom>
                                <a:avLst/>
                                <a:gdLst/>
                                <a:ahLst/>
                                <a:cxnLst/>
                                <a:pathLst>
                                  <a:path w="2569" h="1189">
                                    <a:moveTo>
                                      <a:pt x="2556" y="1175"/>
                                    </a:moveTo>
                                    <a:lnTo>
                                      <a:pt x="6" y="33"/>
                                    </a:lnTo>
                                    <a:lnTo>
                                      <a:pt x="0" y="47"/>
                                    </a:lnTo>
                                    <a:lnTo>
                                      <a:pt x="2550" y="1189"/>
                                    </a:lnTo>
                                    <a:lnTo>
                                      <a:pt x="2556" y="1175"/>
                                    </a:lnTo>
                                    <a:moveTo>
                                      <a:pt x="2569" y="1165"/>
                                    </a:moveTo>
                                    <a:lnTo>
                                      <a:pt x="1116" y="0"/>
                                    </a:lnTo>
                                    <a:lnTo>
                                      <a:pt x="1106" y="12"/>
                                    </a:lnTo>
                                    <a:lnTo>
                                      <a:pt x="2559" y="1177"/>
                                    </a:lnTo>
                                    <a:lnTo>
                                      <a:pt x="2569" y="1165"/>
                                    </a:lnTo>
                                  </a:path>
                                </a:pathLst>
                              </a:custGeom>
                              <a:solidFill>
                                <a:srgbClr val="000000"/>
                              </a:solidFill>
                              <a:ln>
                                <a:noFill/>
                              </a:ln>
                            </wps:spPr>
                            <wps:bodyPr upright="1"/>
                          </wps:wsp>
                        </a:graphicData>
                      </a:graphic>
                    </wp:anchor>
                  </w:drawing>
                </mc:Choice>
                <mc:Fallback>
                  <w:pict>
                    <v:shape id="_x0000_s1026" o:spid="_x0000_s1026" o:spt="100" style="position:absolute;left:0pt;margin-left:-1.3pt;margin-top:-0.5pt;height:97.45pt;width:129.95pt;mso-position-horizontal-relative:page;z-index:-251657216;mso-width-relative:page;mso-height-relative:page;" fillcolor="#000000" filled="t" stroked="f" coordsize="2569,1189" o:gfxdata="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w1p4Y2AAAAAkBAAAP&#10;AAAAAAAAAAEAIAAAACIAAABkcnMvZG93bnJldi54bWxQSwECFAAUAAAACACHTuJAGQOG31ECAABT&#10;BQAADgAAAAAAAAABACAAAAAnAQAAZHJzL2Uyb0RvYy54bWxQSwUGAAAAAAYABgBZAQAA6gUAAAAA&#10;" path="m2556,1175l6,33,0,47,2550,1189,2556,1175m2569,1165l1116,0,1106,12,2559,1177,2569,1165e">
                      <v:fill on="t" focussize="0,0"/>
                      <v:stroke on="f"/>
                      <v:imagedata o:title=""/>
                      <o:lock v:ext="edit" aspectratio="f"/>
                    </v:shape>
                  </w:pict>
                </mc:Fallback>
              </mc:AlternateContent>
            </w:r>
            <w:r>
              <w:rPr>
                <w:b/>
                <w:color w:val="000000"/>
                <w:sz w:val="21"/>
              </w:rPr>
              <w:t>服务</w:t>
            </w:r>
          </w:p>
          <w:p>
            <w:pPr>
              <w:pStyle w:val="106"/>
              <w:keepNext w:val="0"/>
              <w:keepLines w:val="0"/>
              <w:pageBreakBefore w:val="0"/>
              <w:widowControl w:val="0"/>
              <w:tabs>
                <w:tab w:val="left" w:pos="1789"/>
              </w:tabs>
              <w:kinsoku/>
              <w:wordWrap/>
              <w:overflowPunct/>
              <w:topLinePunct w:val="0"/>
              <w:autoSpaceDE/>
              <w:autoSpaceDN/>
              <w:bidi w:val="0"/>
              <w:adjustRightInd/>
              <w:spacing w:line="360" w:lineRule="auto"/>
              <w:ind w:left="1578" w:right="334" w:hanging="420"/>
              <w:textAlignment w:val="auto"/>
              <w:outlineLvl w:val="9"/>
              <w:rPr>
                <w:b/>
                <w:color w:val="000000"/>
                <w:sz w:val="21"/>
              </w:rPr>
            </w:pPr>
            <w:r>
              <w:rPr>
                <w:b/>
                <w:color w:val="000000"/>
                <w:sz w:val="21"/>
              </w:rPr>
              <w:t>费</w:t>
            </w:r>
            <w:r>
              <w:rPr>
                <w:b/>
                <w:color w:val="000000"/>
                <w:sz w:val="21"/>
              </w:rPr>
              <w:tab/>
            </w:r>
            <w:r>
              <w:rPr>
                <w:b/>
                <w:color w:val="000000"/>
                <w:sz w:val="21"/>
              </w:rPr>
              <w:tab/>
            </w:r>
            <w:r>
              <w:rPr>
                <w:b/>
                <w:color w:val="000000"/>
                <w:sz w:val="21"/>
              </w:rPr>
              <w:t>类</w:t>
            </w:r>
            <w:r>
              <w:rPr>
                <w:b/>
                <w:color w:val="000000"/>
                <w:spacing w:val="-17"/>
                <w:sz w:val="21"/>
              </w:rPr>
              <w:t>型</w:t>
            </w:r>
            <w:r>
              <w:rPr>
                <w:b/>
                <w:color w:val="000000"/>
                <w:sz w:val="21"/>
              </w:rPr>
              <w:t>率</w:t>
            </w:r>
          </w:p>
          <w:p>
            <w:pPr>
              <w:pStyle w:val="106"/>
              <w:keepNext w:val="0"/>
              <w:keepLines w:val="0"/>
              <w:pageBreakBefore w:val="0"/>
              <w:widowControl w:val="0"/>
              <w:kinsoku/>
              <w:wordWrap/>
              <w:overflowPunct/>
              <w:topLinePunct w:val="0"/>
              <w:autoSpaceDE/>
              <w:autoSpaceDN/>
              <w:bidi w:val="0"/>
              <w:adjustRightInd/>
              <w:spacing w:line="360" w:lineRule="auto"/>
              <w:ind w:left="107"/>
              <w:textAlignment w:val="auto"/>
              <w:outlineLvl w:val="9"/>
              <w:rPr>
                <w:b/>
                <w:color w:val="000000"/>
                <w:sz w:val="21"/>
              </w:rPr>
            </w:pPr>
            <w:r>
              <w:rPr>
                <w:b/>
                <w:color w:val="000000"/>
                <w:w w:val="95"/>
                <w:sz w:val="21"/>
              </w:rPr>
              <w:t>中标金额（万元）</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textAlignment w:val="auto"/>
              <w:outlineLvl w:val="9"/>
              <w:rPr>
                <w:b/>
                <w:color w:val="000000"/>
                <w:sz w:val="20"/>
              </w:rPr>
            </w:pPr>
            <w:r>
              <w:rPr>
                <w:color w:val="000000"/>
                <w:sz w:val="20"/>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241935</wp:posOffset>
                      </wp:positionV>
                      <wp:extent cx="1028700" cy="3094990"/>
                      <wp:effectExtent l="13970" t="13970" r="24130" b="15240"/>
                      <wp:wrapNone/>
                      <wp:docPr id="1" name="矩形 1"/>
                      <wp:cNvGraphicFramePr/>
                      <a:graphic xmlns:a="http://schemas.openxmlformats.org/drawingml/2006/main">
                        <a:graphicData uri="http://schemas.microsoft.com/office/word/2010/wordprocessingShape">
                          <wps:wsp>
                            <wps:cNvSpPr/>
                            <wps:spPr>
                              <a:xfrm>
                                <a:off x="0" y="0"/>
                                <a:ext cx="1028700" cy="3094990"/>
                              </a:xfrm>
                              <a:prstGeom prst="rect">
                                <a:avLst/>
                              </a:prstGeom>
                              <a:noFill/>
                              <a:ln w="28575" cap="flat" cmpd="sng">
                                <a:solidFill>
                                  <a:srgbClr val="FF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2.3pt;margin-top:19.05pt;height:243.7pt;width:81pt;z-index:251660288;mso-width-relative:page;mso-height-relative:page;" filled="f" stroked="t" coordsize="21600,21600" o:gfxdata="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sjBktYAAAAJAQAADwAAAAAAAAABACAAAAAiAAAAZHJzL2Rvd25yZXYueG1s&#10;UEsBAhQAFAAAAAgAh07iQOkIYdL6AQAA9wMAAA4AAAAAAAAAAQAgAAAAJQEAAGRycy9lMm9Eb2Mu&#10;eG1sUEsFBgAAAAAGAAYAWQEAAJEFAAAAAA==&#10;">
                      <v:fill on="f" focussize="0,0"/>
                      <v:stroke weight="2.25pt" color="#FF0000" joinstyle="miter"/>
                      <v:imagedata o:title=""/>
                      <o:lock v:ext="edit" aspectratio="f"/>
                    </v:rect>
                  </w:pict>
                </mc:Fallback>
              </mc:AlternateContent>
            </w:r>
          </w:p>
          <w:p>
            <w:pPr>
              <w:pStyle w:val="106"/>
              <w:keepNext w:val="0"/>
              <w:keepLines w:val="0"/>
              <w:pageBreakBefore w:val="0"/>
              <w:widowControl w:val="0"/>
              <w:kinsoku/>
              <w:wordWrap/>
              <w:overflowPunct/>
              <w:topLinePunct w:val="0"/>
              <w:autoSpaceDE/>
              <w:autoSpaceDN/>
              <w:bidi w:val="0"/>
              <w:adjustRightInd/>
              <w:spacing w:line="360" w:lineRule="auto"/>
              <w:textAlignment w:val="auto"/>
              <w:outlineLvl w:val="9"/>
              <w:rPr>
                <w:b/>
                <w:color w:val="000000"/>
                <w:sz w:val="20"/>
              </w:rPr>
            </w:pPr>
          </w:p>
          <w:p>
            <w:pPr>
              <w:pStyle w:val="106"/>
              <w:keepNext w:val="0"/>
              <w:keepLines w:val="0"/>
              <w:pageBreakBefore w:val="0"/>
              <w:widowControl w:val="0"/>
              <w:kinsoku/>
              <w:wordWrap/>
              <w:overflowPunct/>
              <w:topLinePunct w:val="0"/>
              <w:autoSpaceDE/>
              <w:autoSpaceDN/>
              <w:bidi w:val="0"/>
              <w:adjustRightInd/>
              <w:spacing w:line="360" w:lineRule="auto"/>
              <w:ind w:left="591" w:right="579"/>
              <w:jc w:val="center"/>
              <w:textAlignment w:val="auto"/>
              <w:outlineLvl w:val="9"/>
              <w:rPr>
                <w:b/>
                <w:color w:val="000000"/>
                <w:sz w:val="21"/>
              </w:rPr>
            </w:pPr>
            <w:r>
              <w:rPr>
                <w:b/>
                <w:color w:val="000000"/>
                <w:sz w:val="21"/>
              </w:rPr>
              <w:t>货物招标</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textAlignment w:val="auto"/>
              <w:outlineLvl w:val="9"/>
              <w:rPr>
                <w:b/>
                <w:color w:val="000000"/>
                <w:sz w:val="20"/>
              </w:rPr>
            </w:pPr>
          </w:p>
          <w:p>
            <w:pPr>
              <w:pStyle w:val="106"/>
              <w:keepNext w:val="0"/>
              <w:keepLines w:val="0"/>
              <w:pageBreakBefore w:val="0"/>
              <w:widowControl w:val="0"/>
              <w:kinsoku/>
              <w:wordWrap/>
              <w:overflowPunct/>
              <w:topLinePunct w:val="0"/>
              <w:autoSpaceDE/>
              <w:autoSpaceDN/>
              <w:bidi w:val="0"/>
              <w:adjustRightInd/>
              <w:spacing w:line="360" w:lineRule="auto"/>
              <w:textAlignment w:val="auto"/>
              <w:outlineLvl w:val="9"/>
              <w:rPr>
                <w:b/>
                <w:color w:val="000000"/>
                <w:sz w:val="20"/>
              </w:rPr>
            </w:pPr>
          </w:p>
          <w:p>
            <w:pPr>
              <w:pStyle w:val="106"/>
              <w:keepNext w:val="0"/>
              <w:keepLines w:val="0"/>
              <w:pageBreakBefore w:val="0"/>
              <w:widowControl w:val="0"/>
              <w:kinsoku/>
              <w:wordWrap/>
              <w:overflowPunct/>
              <w:topLinePunct w:val="0"/>
              <w:autoSpaceDE/>
              <w:autoSpaceDN/>
              <w:bidi w:val="0"/>
              <w:adjustRightInd/>
              <w:spacing w:line="360" w:lineRule="auto"/>
              <w:ind w:left="591" w:right="580"/>
              <w:jc w:val="center"/>
              <w:textAlignment w:val="auto"/>
              <w:outlineLvl w:val="9"/>
              <w:rPr>
                <w:b/>
                <w:color w:val="000000"/>
                <w:sz w:val="21"/>
              </w:rPr>
            </w:pPr>
            <w:r>
              <w:rPr>
                <w:b/>
                <w:color w:val="000000"/>
                <w:sz w:val="21"/>
              </w:rPr>
              <w:t>服务招标</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textAlignment w:val="auto"/>
              <w:outlineLvl w:val="9"/>
              <w:rPr>
                <w:b/>
                <w:color w:val="000000"/>
                <w:sz w:val="20"/>
              </w:rPr>
            </w:pPr>
          </w:p>
          <w:p>
            <w:pPr>
              <w:pStyle w:val="106"/>
              <w:keepNext w:val="0"/>
              <w:keepLines w:val="0"/>
              <w:pageBreakBefore w:val="0"/>
              <w:widowControl w:val="0"/>
              <w:kinsoku/>
              <w:wordWrap/>
              <w:overflowPunct/>
              <w:topLinePunct w:val="0"/>
              <w:autoSpaceDE/>
              <w:autoSpaceDN/>
              <w:bidi w:val="0"/>
              <w:adjustRightInd/>
              <w:spacing w:line="360" w:lineRule="auto"/>
              <w:textAlignment w:val="auto"/>
              <w:outlineLvl w:val="9"/>
              <w:rPr>
                <w:b/>
                <w:color w:val="000000"/>
                <w:sz w:val="20"/>
              </w:rPr>
            </w:pPr>
          </w:p>
          <w:p>
            <w:pPr>
              <w:pStyle w:val="106"/>
              <w:keepNext w:val="0"/>
              <w:keepLines w:val="0"/>
              <w:pageBreakBefore w:val="0"/>
              <w:widowControl w:val="0"/>
              <w:kinsoku/>
              <w:wordWrap/>
              <w:overflowPunct/>
              <w:topLinePunct w:val="0"/>
              <w:autoSpaceDE/>
              <w:autoSpaceDN/>
              <w:bidi w:val="0"/>
              <w:adjustRightInd/>
              <w:spacing w:line="360" w:lineRule="auto"/>
              <w:ind w:left="590" w:right="580"/>
              <w:jc w:val="center"/>
              <w:textAlignment w:val="auto"/>
              <w:outlineLvl w:val="9"/>
              <w:rPr>
                <w:b/>
                <w:color w:val="000000"/>
                <w:sz w:val="21"/>
              </w:rPr>
            </w:pPr>
            <w:r>
              <w:rPr>
                <w:b/>
                <w:color w:val="000000"/>
                <w:sz w:val="21"/>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4" w:right="618"/>
              <w:jc w:val="center"/>
              <w:textAlignment w:val="auto"/>
              <w:outlineLvl w:val="9"/>
              <w:rPr>
                <w:color w:val="000000"/>
                <w:sz w:val="21"/>
              </w:rPr>
            </w:pPr>
            <w:r>
              <w:rPr>
                <w:color w:val="000000"/>
                <w:sz w:val="21"/>
              </w:rPr>
              <w:t>100 以下</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1.5%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7" w:right="580"/>
              <w:jc w:val="center"/>
              <w:textAlignment w:val="auto"/>
              <w:outlineLvl w:val="9"/>
              <w:rPr>
                <w:color w:val="000000"/>
                <w:sz w:val="21"/>
              </w:rPr>
            </w:pPr>
            <w:r>
              <w:rPr>
                <w:color w:val="000000"/>
                <w:sz w:val="21"/>
              </w:rPr>
              <w:t>1.5%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5" w:right="618"/>
              <w:jc w:val="center"/>
              <w:textAlignment w:val="auto"/>
              <w:outlineLvl w:val="9"/>
              <w:rPr>
                <w:color w:val="000000"/>
                <w:sz w:val="21"/>
              </w:rPr>
            </w:pPr>
            <w:r>
              <w:rPr>
                <w:color w:val="000000"/>
                <w:sz w:val="21"/>
              </w:rPr>
              <w:t>100-500</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1.1%</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7" w:right="580"/>
              <w:jc w:val="center"/>
              <w:textAlignment w:val="auto"/>
              <w:outlineLvl w:val="9"/>
              <w:rPr>
                <w:color w:val="000000"/>
                <w:sz w:val="21"/>
              </w:rPr>
            </w:pPr>
            <w:r>
              <w:rPr>
                <w:color w:val="000000"/>
                <w:sz w:val="21"/>
              </w:rPr>
              <w:t>0.8%</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7" w:right="618"/>
              <w:jc w:val="center"/>
              <w:textAlignment w:val="auto"/>
              <w:outlineLvl w:val="9"/>
              <w:rPr>
                <w:color w:val="000000"/>
                <w:sz w:val="21"/>
              </w:rPr>
            </w:pPr>
            <w:r>
              <w:rPr>
                <w:color w:val="000000"/>
                <w:sz w:val="21"/>
              </w:rPr>
              <w:t>500-1000</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0.8%</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90" w:right="580"/>
              <w:jc w:val="center"/>
              <w:textAlignment w:val="auto"/>
              <w:outlineLvl w:val="9"/>
              <w:rPr>
                <w:color w:val="000000"/>
                <w:sz w:val="21"/>
              </w:rPr>
            </w:pPr>
            <w:r>
              <w:rPr>
                <w:color w:val="000000"/>
                <w:sz w:val="21"/>
              </w:rPr>
              <w:t>0.45%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7" w:right="618"/>
              <w:jc w:val="center"/>
              <w:textAlignment w:val="auto"/>
              <w:outlineLvl w:val="9"/>
              <w:rPr>
                <w:color w:val="000000"/>
                <w:sz w:val="21"/>
              </w:rPr>
            </w:pPr>
            <w:r>
              <w:rPr>
                <w:color w:val="000000"/>
                <w:sz w:val="21"/>
              </w:rPr>
              <w:t>1000-5000</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90" w:right="580"/>
              <w:jc w:val="center"/>
              <w:textAlignment w:val="auto"/>
              <w:outlineLvl w:val="9"/>
              <w:rPr>
                <w:color w:val="000000"/>
                <w:sz w:val="21"/>
              </w:rPr>
            </w:pPr>
            <w:r>
              <w:rPr>
                <w:color w:val="000000"/>
                <w:sz w:val="21"/>
              </w:rPr>
              <w:t>0.25%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7" w:right="618"/>
              <w:jc w:val="center"/>
              <w:textAlignment w:val="auto"/>
              <w:outlineLvl w:val="9"/>
              <w:rPr>
                <w:color w:val="000000"/>
                <w:sz w:val="21"/>
              </w:rPr>
            </w:pPr>
            <w:r>
              <w:rPr>
                <w:color w:val="000000"/>
                <w:sz w:val="21"/>
              </w:rPr>
              <w:t>5000-10000</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6" w:right="580"/>
              <w:jc w:val="center"/>
              <w:textAlignment w:val="auto"/>
              <w:outlineLvl w:val="9"/>
              <w:rPr>
                <w:color w:val="000000"/>
                <w:sz w:val="21"/>
              </w:rPr>
            </w:pPr>
            <w:r>
              <w:rPr>
                <w:color w:val="000000"/>
                <w:sz w:val="21"/>
              </w:rPr>
              <w:t>0.25%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7" w:right="580"/>
              <w:jc w:val="center"/>
              <w:textAlignment w:val="auto"/>
              <w:outlineLvl w:val="9"/>
              <w:rPr>
                <w:color w:val="000000"/>
                <w:sz w:val="21"/>
              </w:rPr>
            </w:pPr>
            <w:r>
              <w:rPr>
                <w:color w:val="000000"/>
                <w:sz w:val="21"/>
              </w:rPr>
              <w:t>0.1%</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7" w:right="618"/>
              <w:jc w:val="center"/>
              <w:textAlignment w:val="auto"/>
              <w:outlineLvl w:val="9"/>
              <w:rPr>
                <w:color w:val="000000"/>
                <w:sz w:val="21"/>
              </w:rPr>
            </w:pPr>
            <w:r>
              <w:rPr>
                <w:color w:val="000000"/>
                <w:sz w:val="21"/>
              </w:rPr>
              <w:t>10000-100000</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6" w:right="580"/>
              <w:jc w:val="center"/>
              <w:textAlignment w:val="auto"/>
              <w:outlineLvl w:val="9"/>
              <w:rPr>
                <w:color w:val="000000"/>
                <w:sz w:val="21"/>
              </w:rPr>
            </w:pPr>
            <w:r>
              <w:rPr>
                <w:color w:val="000000"/>
                <w:sz w:val="21"/>
              </w:rPr>
              <w:t>0.05%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90" w:right="580"/>
              <w:jc w:val="center"/>
              <w:textAlignment w:val="auto"/>
              <w:outlineLvl w:val="9"/>
              <w:rPr>
                <w:color w:val="000000"/>
                <w:sz w:val="21"/>
              </w:rPr>
            </w:pPr>
            <w:r>
              <w:rPr>
                <w:color w:val="000000"/>
                <w:sz w:val="21"/>
              </w:rPr>
              <w:t>0.05%</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624" w:right="618"/>
              <w:jc w:val="center"/>
              <w:textAlignment w:val="auto"/>
              <w:outlineLvl w:val="9"/>
              <w:rPr>
                <w:color w:val="000000"/>
                <w:sz w:val="21"/>
              </w:rPr>
            </w:pPr>
            <w:r>
              <w:rPr>
                <w:color w:val="000000"/>
                <w:sz w:val="21"/>
              </w:rPr>
              <w:t>100000 以上</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6" w:right="580"/>
              <w:jc w:val="center"/>
              <w:textAlignment w:val="auto"/>
              <w:outlineLvl w:val="9"/>
              <w:rPr>
                <w:color w:val="000000"/>
                <w:sz w:val="21"/>
              </w:rPr>
            </w:pPr>
            <w:r>
              <w:rPr>
                <w:color w:val="000000"/>
                <w:sz w:val="21"/>
              </w:rPr>
              <w:t>0.01%</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90" w:right="580"/>
              <w:jc w:val="center"/>
              <w:textAlignment w:val="auto"/>
              <w:outlineLvl w:val="9"/>
              <w:rPr>
                <w:color w:val="000000"/>
                <w:sz w:val="21"/>
              </w:rPr>
            </w:pPr>
            <w:r>
              <w:rPr>
                <w:color w:val="000000"/>
                <w:sz w:val="21"/>
              </w:rPr>
              <w:t>0.01%</w:t>
            </w:r>
          </w:p>
        </w:tc>
        <w:tc>
          <w:tcPr>
            <w:tcW w:w="2067" w:type="dxa"/>
            <w:noWrap w:val="0"/>
            <w:vAlign w:val="top"/>
          </w:tcPr>
          <w:p>
            <w:pPr>
              <w:pStyle w:val="106"/>
              <w:keepNext w:val="0"/>
              <w:keepLines w:val="0"/>
              <w:pageBreakBefore w:val="0"/>
              <w:widowControl w:val="0"/>
              <w:kinsoku/>
              <w:wordWrap/>
              <w:overflowPunct/>
              <w:topLinePunct w:val="0"/>
              <w:autoSpaceDE/>
              <w:autoSpaceDN/>
              <w:bidi w:val="0"/>
              <w:adjustRightInd/>
              <w:spacing w:line="360" w:lineRule="auto"/>
              <w:ind w:left="589" w:right="580"/>
              <w:jc w:val="center"/>
              <w:textAlignment w:val="auto"/>
              <w:outlineLvl w:val="9"/>
              <w:rPr>
                <w:color w:val="000000"/>
                <w:sz w:val="21"/>
              </w:rPr>
            </w:pPr>
            <w:r>
              <w:rPr>
                <w:color w:val="000000"/>
                <w:sz w:val="21"/>
              </w:rPr>
              <w:t>0.01%</w:t>
            </w:r>
          </w:p>
        </w:tc>
      </w:tr>
    </w:tbl>
    <w:p>
      <w:pPr>
        <w:pStyle w:val="2"/>
        <w:rPr>
          <w:rFonts w:hint="eastAsia"/>
        </w:rPr>
      </w:pPr>
    </w:p>
    <w:p>
      <w:pPr>
        <w:spacing w:line="240" w:lineRule="auto"/>
        <w:rPr>
          <w:rFonts w:hint="eastAsia" w:ascii="宋体" w:hAnsi="宋体" w:eastAsia="宋体" w:cs="宋体"/>
          <w:b/>
          <w:bCs/>
          <w:sz w:val="24"/>
          <w:szCs w:val="24"/>
        </w:rPr>
      </w:pPr>
      <w:r>
        <w:rPr>
          <w:rFonts w:hint="eastAsia" w:ascii="宋体" w:hAnsi="宋体" w:eastAsia="宋体" w:cs="宋体"/>
          <w:b/>
          <w:bCs/>
          <w:sz w:val="24"/>
          <w:szCs w:val="24"/>
        </w:rPr>
        <w:t>七、合同签订及公告</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（一）签订合同</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2、采购人不得向中标人提出任何不合理的要求作为签订合同的条件。</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3、中标人无故拖延、拒签合同的，取消中标资格。</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5、询问或者质疑事项可能影响中标结果的，采购人应当暂停签订合同，已经签订合同的，应当中止履行合同（中标结果的质疑期为中标结果公告期限届满之日起七个工作日）。</w:t>
      </w:r>
    </w:p>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（二）合同公告及备案</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1、采购人应当自政府采购合同签订之日起2个工作日内，在省级以上财政部门指定的政府采购信息发布媒体及相关网站上公告。</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2、采购人应当自政府采购合同签订之日起7个工作日内，将政府采购合同副本报同级人民政府财政部门备案以及采购组织机构存档。</w:t>
      </w:r>
    </w:p>
    <w:p>
      <w:pPr>
        <w:spacing w:line="360" w:lineRule="auto"/>
        <w:rPr>
          <w:rFonts w:ascii="宋体" w:hAnsi="宋体" w:cs="宋体"/>
          <w:sz w:val="24"/>
          <w:szCs w:val="24"/>
        </w:rPr>
      </w:pPr>
    </w:p>
    <w:p>
      <w:pPr>
        <w:spacing w:line="360" w:lineRule="auto"/>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bookmarkStart w:id="4" w:name="_GoBack"/>
      <w:bookmarkEnd w:id="4"/>
    </w:p>
    <w:p>
      <w:pPr>
        <w:pStyle w:val="2"/>
        <w:rPr>
          <w:rFonts w:ascii="宋体" w:hAnsi="宋体" w:cs="宋体"/>
          <w:sz w:val="24"/>
          <w:szCs w:val="24"/>
        </w:rPr>
      </w:pPr>
    </w:p>
    <w:p>
      <w:pPr>
        <w:spacing w:line="360" w:lineRule="auto"/>
        <w:jc w:val="center"/>
        <w:rPr>
          <w:rFonts w:ascii="宋体"/>
          <w:b/>
          <w:bCs/>
          <w:sz w:val="36"/>
          <w:szCs w:val="36"/>
        </w:rPr>
      </w:pPr>
      <w:r>
        <w:rPr>
          <w:rFonts w:hint="eastAsia" w:ascii="宋体" w:hAnsi="宋体" w:cs="宋体"/>
          <w:b/>
          <w:bCs/>
          <w:sz w:val="36"/>
          <w:szCs w:val="36"/>
        </w:rPr>
        <w:t>第三章  评标办法及评分标准</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rPr>
      </w:pPr>
      <w:r>
        <w:rPr>
          <w:rFonts w:hint="eastAsia" w:ascii="宋体" w:hAnsi="宋体" w:cs="宋体"/>
          <w:kern w:val="0"/>
          <w:sz w:val="24"/>
        </w:rPr>
        <w:t>一、采购组织机构将组织评标委员会，对投标人提供的投标文件进行综合评审。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rPr>
      </w:pPr>
      <w:r>
        <w:rPr>
          <w:rFonts w:hint="eastAsia" w:ascii="宋体" w:hAnsi="宋体" w:cs="宋体"/>
          <w:kern w:val="0"/>
          <w:sz w:val="24"/>
        </w:rPr>
        <w:t>二、本次招标项目的评标方法为综合评分法，总计100分，其中资格及</w:t>
      </w:r>
      <w:r>
        <w:rPr>
          <w:rFonts w:hint="eastAsia" w:ascii="宋体" w:hAnsi="宋体" w:cs="宋体"/>
          <w:kern w:val="0"/>
          <w:sz w:val="24"/>
          <w:lang w:val="zh-CN"/>
        </w:rPr>
        <w:t>商务技术文件分值</w:t>
      </w:r>
      <w:r>
        <w:rPr>
          <w:rFonts w:hint="eastAsia" w:ascii="宋体" w:hAnsi="宋体" w:cs="宋体"/>
          <w:kern w:val="0"/>
          <w:sz w:val="24"/>
          <w:lang w:val="en-US" w:eastAsia="zh-CN"/>
        </w:rPr>
        <w:t>7</w:t>
      </w:r>
      <w:r>
        <w:rPr>
          <w:rFonts w:ascii="宋体" w:hAnsi="宋体" w:cs="宋体"/>
          <w:kern w:val="0"/>
          <w:sz w:val="24"/>
        </w:rPr>
        <w:t>0</w:t>
      </w:r>
      <w:r>
        <w:rPr>
          <w:rFonts w:hint="eastAsia" w:ascii="宋体" w:hAnsi="宋体" w:cs="宋体"/>
          <w:kern w:val="0"/>
          <w:sz w:val="24"/>
          <w:lang w:val="zh-CN"/>
        </w:rPr>
        <w:t>分，投标报价分值</w:t>
      </w:r>
      <w:r>
        <w:rPr>
          <w:rFonts w:hint="eastAsia" w:ascii="宋体" w:hAnsi="宋体" w:cs="宋体"/>
          <w:kern w:val="0"/>
          <w:sz w:val="24"/>
          <w:lang w:val="en-US" w:eastAsia="zh-CN"/>
        </w:rPr>
        <w:t>3</w:t>
      </w:r>
      <w:r>
        <w:rPr>
          <w:rFonts w:ascii="宋体" w:hAnsi="宋体" w:cs="宋体"/>
          <w:kern w:val="0"/>
          <w:sz w:val="24"/>
        </w:rPr>
        <w:t>0</w:t>
      </w:r>
      <w:r>
        <w:rPr>
          <w:rFonts w:hint="eastAsia" w:ascii="宋体" w:hAnsi="宋体" w:cs="宋体"/>
          <w:kern w:val="0"/>
          <w:sz w:val="24"/>
          <w:lang w:val="zh-CN"/>
        </w:rPr>
        <w:t>分</w:t>
      </w:r>
      <w:r>
        <w:rPr>
          <w:rFonts w:hint="eastAsia" w:ascii="宋体" w:hAnsi="宋体" w:cs="宋体"/>
          <w:kern w:val="0"/>
          <w:sz w:val="24"/>
        </w:rPr>
        <w:t>。评标标准按评分细化条款及分值进行评审。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（一）</w:t>
      </w:r>
      <w:r>
        <w:rPr>
          <w:rFonts w:hint="eastAsia" w:ascii="宋体" w:hAnsi="宋体" w:cs="宋体"/>
          <w:kern w:val="0"/>
          <w:sz w:val="24"/>
        </w:rPr>
        <w:t>资格及</w:t>
      </w:r>
      <w:r>
        <w:rPr>
          <w:rFonts w:hint="eastAsia" w:ascii="宋体" w:hAnsi="宋体" w:cs="宋体"/>
          <w:kern w:val="0"/>
          <w:sz w:val="24"/>
          <w:lang w:val="zh-CN"/>
        </w:rPr>
        <w:t>商务技术文件中的客观分由评标委员会讨论后统一打分；其余在规定的分值内单独评定打分</w:t>
      </w:r>
      <w:r>
        <w:rPr>
          <w:rFonts w:hint="eastAsia" w:ascii="宋体" w:hAnsi="宋体" w:cs="宋体"/>
          <w:kern w:val="0"/>
          <w:sz w:val="24"/>
        </w:rPr>
        <w:t>（小数点后保留1位）</w:t>
      </w:r>
      <w:r>
        <w:rPr>
          <w:rFonts w:hint="eastAsia" w:ascii="宋体" w:hAnsi="宋体" w:cs="宋体"/>
          <w:kern w:val="0"/>
          <w:sz w:val="24"/>
          <w:lang w:val="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（二）各投标人</w:t>
      </w:r>
      <w:r>
        <w:rPr>
          <w:rFonts w:hint="eastAsia" w:ascii="宋体" w:hAnsi="宋体" w:cs="宋体"/>
          <w:kern w:val="0"/>
          <w:sz w:val="24"/>
        </w:rPr>
        <w:t>资格及</w:t>
      </w:r>
      <w:r>
        <w:rPr>
          <w:rFonts w:hint="eastAsia" w:ascii="宋体" w:hAnsi="宋体" w:cs="宋体"/>
          <w:kern w:val="0"/>
          <w:sz w:val="24"/>
          <w:lang w:val="zh-CN"/>
        </w:rPr>
        <w:t>商务技术文件得分按照评标委员会成员的独立评分结果汇总后的算术平均分计算</w:t>
      </w:r>
      <w:r>
        <w:rPr>
          <w:rFonts w:hint="eastAsia" w:ascii="宋体" w:hAnsi="宋体" w:cs="宋体"/>
          <w:kern w:val="0"/>
          <w:sz w:val="24"/>
        </w:rPr>
        <w:t>（小数点后保留2位）</w:t>
      </w:r>
      <w:r>
        <w:rPr>
          <w:rFonts w:hint="eastAsia" w:ascii="宋体" w:hAnsi="宋体" w:cs="宋体"/>
          <w:kern w:val="0"/>
          <w:sz w:val="24"/>
          <w:lang w:val="zh-CN"/>
        </w:rPr>
        <w:t>，计算公式为：</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rPr>
        <w:t>资格及</w:t>
      </w:r>
      <w:r>
        <w:rPr>
          <w:rFonts w:hint="eastAsia" w:ascii="宋体" w:hAnsi="宋体" w:cs="宋体"/>
          <w:kern w:val="0"/>
          <w:sz w:val="24"/>
          <w:lang w:val="zh-CN"/>
        </w:rPr>
        <w:t>商务技术文件</w:t>
      </w:r>
      <w:r>
        <w:rPr>
          <w:rFonts w:hint="eastAsia" w:ascii="宋体" w:hAnsi="宋体" w:cs="宋体"/>
          <w:kern w:val="0"/>
          <w:sz w:val="24"/>
        </w:rPr>
        <w:t>得分</w:t>
      </w:r>
      <w:r>
        <w:rPr>
          <w:rFonts w:hint="eastAsia" w:ascii="宋体" w:hAnsi="宋体" w:cs="宋体"/>
          <w:kern w:val="0"/>
          <w:sz w:val="24"/>
          <w:lang w:val="zh-CN"/>
        </w:rPr>
        <w:t>=评标委员会所有成员评分合计数/评标委员会组成人员数。</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（三）投标报价得分采用低价优先法计算</w:t>
      </w:r>
      <w:r>
        <w:rPr>
          <w:rFonts w:hint="eastAsia" w:ascii="宋体" w:hAnsi="宋体" w:cs="宋体"/>
          <w:kern w:val="0"/>
          <w:sz w:val="24"/>
        </w:rPr>
        <w:t>（小数点后保留2位）</w:t>
      </w:r>
      <w:r>
        <w:rPr>
          <w:rFonts w:hint="eastAsia" w:ascii="宋体" w:hAnsi="宋体" w:cs="宋体"/>
          <w:kern w:val="0"/>
          <w:sz w:val="24"/>
          <w:lang w:val="zh-CN"/>
        </w:rPr>
        <w:t>，即满足招标文件要求且投标价格最低的投标报价为评标基准价，其报价得满分。其他投标人的投标报价得分按下列公式计算：</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u w:val="single"/>
        </w:rPr>
      </w:pPr>
      <w:r>
        <w:rPr>
          <w:rFonts w:hint="eastAsia" w:ascii="宋体" w:hAnsi="宋体" w:cs="宋体"/>
          <w:kern w:val="0"/>
          <w:sz w:val="24"/>
          <w:u w:val="single"/>
        </w:rPr>
        <w:t>投标报价得分=(评标基准价／投标报价)×</w:t>
      </w:r>
      <w:r>
        <w:rPr>
          <w:rFonts w:hint="eastAsia" w:ascii="宋体" w:hAnsi="宋体" w:cs="宋体"/>
          <w:kern w:val="0"/>
          <w:sz w:val="24"/>
          <w:u w:val="single"/>
          <w:lang w:val="en-US" w:eastAsia="zh-CN"/>
        </w:rPr>
        <w:t>3</w:t>
      </w:r>
      <w:r>
        <w:rPr>
          <w:rFonts w:ascii="宋体" w:hAnsi="宋体" w:cs="宋体"/>
          <w:kern w:val="0"/>
          <w:sz w:val="24"/>
          <w:u w:val="single"/>
        </w:rPr>
        <w:t>0</w:t>
      </w:r>
      <w:r>
        <w:rPr>
          <w:rFonts w:hint="eastAsia" w:ascii="宋体" w:hAnsi="宋体" w:cs="宋体"/>
          <w:kern w:val="0"/>
          <w:sz w:val="24"/>
          <w:u w:val="single"/>
        </w:rPr>
        <w:t>%×100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（四）投标人综合得分＝资格及商务技术文件得分＋投标报价得分。</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（五）政府采购政策及优惠：</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（1）根据财政部、工业和信息化部发布的《政府采购促进中小企业发展管 理办法》(财库〔2020〕46 号 ) 和《财政部关于进一步加大政府 采购支持中小企业力度的通知》(财库〔2022〕19 号 )相关规定，对于经主管预算单位统筹后未预留份额专门面向中小企业采购的采购项目，以及预留份额项目中的非预留部分采购包，采购人、采购代理机构应当对符合本办法规定的小微企业报价给予10%</w:t>
      </w:r>
      <w:r>
        <w:rPr>
          <w:rFonts w:hint="eastAsia" w:ascii="宋体" w:hAnsi="宋体" w:cs="宋体"/>
          <w:kern w:val="0"/>
          <w:sz w:val="24"/>
          <w:lang w:val="en-US" w:eastAsia="zh-CN"/>
        </w:rPr>
        <w:t>-20%</w:t>
      </w:r>
      <w:r>
        <w:rPr>
          <w:rFonts w:hint="eastAsia" w:ascii="宋体" w:hAnsi="宋体" w:eastAsia="宋体" w:cs="宋体"/>
          <w:kern w:val="0"/>
          <w:sz w:val="24"/>
          <w:lang w:val="zh-CN"/>
        </w:rPr>
        <w:t>的扣除，用扣除后的价格参加评审。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kern w:val="0"/>
          <w:sz w:val="24"/>
          <w:highlight w:val="yellow"/>
          <w:lang w:val="zh-CN"/>
        </w:rPr>
      </w:pPr>
      <w:r>
        <w:rPr>
          <w:rFonts w:hint="eastAsia" w:ascii="宋体" w:hAnsi="宋体" w:eastAsia="宋体" w:cs="宋体"/>
          <w:kern w:val="0"/>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 30%以上的，采购人、采购代理机构应当对联合体或者大中型企业的报价给予</w:t>
      </w:r>
      <w:r>
        <w:rPr>
          <w:rFonts w:hint="eastAsia" w:ascii="宋体" w:hAnsi="宋体" w:cs="宋体"/>
          <w:kern w:val="0"/>
          <w:sz w:val="24"/>
          <w:highlight w:val="none"/>
          <w:lang w:val="en-US" w:eastAsia="zh-CN"/>
        </w:rPr>
        <w:t>4%-</w:t>
      </w:r>
      <w:r>
        <w:rPr>
          <w:rFonts w:hint="eastAsia" w:ascii="宋体" w:hAnsi="宋体" w:eastAsia="宋体" w:cs="宋体"/>
          <w:kern w:val="0"/>
          <w:sz w:val="24"/>
          <w:highlight w:val="none"/>
          <w:lang w:val="en-US" w:eastAsia="zh-CN"/>
        </w:rPr>
        <w:t>6</w:t>
      </w:r>
      <w:r>
        <w:rPr>
          <w:rFonts w:hint="eastAsia" w:ascii="宋体" w:hAnsi="宋体" w:eastAsia="宋体" w:cs="宋体"/>
          <w:kern w:val="0"/>
          <w:sz w:val="24"/>
          <w:highlight w:val="none"/>
          <w:lang w:val="zh-CN"/>
        </w:rPr>
        <w:t>%的扣除，用扣除后的价格参加评审。</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投标文件中须同时出具《政府采购促进中小企业发展管理办法》【财库（2020）46号】规定的《中小企业声明函》，否则不得享受价格扣除。</w:t>
      </w:r>
    </w:p>
    <w:p>
      <w:pPr>
        <w:keepNext w:val="0"/>
        <w:keepLines w:val="0"/>
        <w:pageBreakBefore w:val="0"/>
        <w:widowControl w:val="0"/>
        <w:kinsoku/>
        <w:wordWrap/>
        <w:overflowPunct/>
        <w:topLinePunct w:val="0"/>
        <w:bidi w:val="0"/>
        <w:adjustRightInd/>
        <w:snapToGrid/>
        <w:spacing w:line="240" w:lineRule="auto"/>
        <w:ind w:firstLine="482" w:firstLineChars="200"/>
        <w:textAlignment w:val="auto"/>
        <w:rPr>
          <w:rFonts w:ascii="宋体" w:hAnsi="宋体" w:cs="宋体"/>
          <w:b/>
          <w:sz w:val="24"/>
        </w:rPr>
      </w:pPr>
      <w:r>
        <w:rPr>
          <w:rFonts w:hint="eastAsia" w:ascii="宋体" w:hAnsi="宋体" w:cs="宋体"/>
          <w:b/>
          <w:sz w:val="24"/>
        </w:rPr>
        <w:t>本项目对符合规定的小微企业（含小型企业）报价给予</w:t>
      </w:r>
      <w:r>
        <w:rPr>
          <w:rFonts w:hint="eastAsia" w:ascii="宋体" w:hAnsi="宋体" w:cs="宋体"/>
          <w:b/>
          <w:sz w:val="24"/>
          <w:lang w:val="en-US" w:eastAsia="zh-CN"/>
        </w:rPr>
        <w:t>1</w:t>
      </w:r>
      <w:r>
        <w:rPr>
          <w:rFonts w:ascii="宋体" w:hAnsi="宋体" w:cs="宋体"/>
          <w:b/>
          <w:sz w:val="24"/>
        </w:rPr>
        <w:t>0</w:t>
      </w:r>
      <w:r>
        <w:rPr>
          <w:rFonts w:hint="eastAsia" w:ascii="宋体" w:hAnsi="宋体" w:cs="宋体"/>
          <w:b/>
          <w:sz w:val="24"/>
        </w:rPr>
        <w:t>% 的扣除</w:t>
      </w:r>
      <w:r>
        <w:rPr>
          <w:rFonts w:hint="eastAsia" w:ascii="宋体" w:hAnsi="宋体" w:cs="宋体"/>
          <w:b/>
          <w:sz w:val="24"/>
          <w:lang w:eastAsia="zh-CN"/>
        </w:rPr>
        <w:t>，对符合规定的联合体的报价给予6%的扣除</w:t>
      </w:r>
      <w:r>
        <w:rPr>
          <w:rFonts w:hint="eastAsia" w:ascii="宋体" w:hAnsi="宋体" w:cs="宋体"/>
          <w:b/>
          <w:sz w:val="24"/>
        </w:rPr>
        <w:t>。</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ascii="宋体" w:hAnsi="宋体" w:cs="宋体"/>
          <w:sz w:val="24"/>
        </w:rPr>
      </w:pPr>
      <w:r>
        <w:rPr>
          <w:rFonts w:hint="eastAsia" w:ascii="宋体" w:hAnsi="宋体" w:cs="宋体"/>
          <w:sz w:val="24"/>
        </w:rPr>
        <w:t>（2）根据《关于政府采购支持监狱企业发展有关问题的通知》（财库[2014]68号）的规定，供应商如为监狱企业且所投产品为小型或微型企业生产的，其投标报价扣除</w:t>
      </w:r>
      <w:r>
        <w:rPr>
          <w:rFonts w:hint="eastAsia" w:ascii="宋体" w:hAnsi="宋体" w:cs="宋体"/>
          <w:sz w:val="24"/>
          <w:lang w:val="en-US" w:eastAsia="zh-CN"/>
        </w:rPr>
        <w:t>1</w:t>
      </w:r>
      <w:r>
        <w:rPr>
          <w:rFonts w:ascii="宋体" w:hAnsi="宋体" w:cs="宋体"/>
          <w:sz w:val="24"/>
        </w:rPr>
        <w:t>0</w:t>
      </w:r>
      <w:r>
        <w:rPr>
          <w:rFonts w:hint="eastAsia" w:ascii="宋体" w:hAnsi="宋体" w:cs="宋体"/>
          <w:sz w:val="24"/>
        </w:rPr>
        <w:t>%后参与评审。</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ascii="宋体" w:hAnsi="宋体" w:cs="宋体"/>
          <w:sz w:val="24"/>
        </w:rPr>
      </w:pPr>
      <w:r>
        <w:rPr>
          <w:rFonts w:hint="eastAsia" w:ascii="宋体" w:hAnsi="宋体" w:cs="宋体"/>
          <w:sz w:val="24"/>
        </w:rPr>
        <w:t>投标文件中须同时提供：供应商的省级以上监狱管理局、戒毒管理局(含新疆生产建设兵团)出具的属于监狱企业的证明文件，未提供完整证明材料的，投标报价不予扣减。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sz w:val="24"/>
        </w:rPr>
      </w:pPr>
      <w:r>
        <w:rPr>
          <w:rFonts w:hint="eastAsia" w:ascii="宋体" w:hAnsi="宋体" w:cs="宋体"/>
          <w:sz w:val="24"/>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rPr>
      </w:pPr>
      <w:r>
        <w:rPr>
          <w:rFonts w:hint="eastAsia" w:ascii="宋体" w:hAnsi="宋体" w:eastAsia="宋体" w:cs="宋体"/>
          <w:sz w:val="24"/>
        </w:rPr>
        <w:t>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rPr>
      </w:pPr>
      <w:r>
        <w:rPr>
          <w:rFonts w:hint="eastAsia" w:ascii="宋体" w:hAnsi="宋体" w:eastAsia="宋体" w:cs="宋体"/>
          <w:sz w:val="24"/>
        </w:rPr>
        <w:t>①安置的残疾人占本单位在职职工人数的比例不低于25%（含25%），并且安置的残疾人人数不少于10人（含10人）；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rPr>
      </w:pPr>
      <w:r>
        <w:rPr>
          <w:rFonts w:hint="eastAsia" w:ascii="宋体" w:hAnsi="宋体" w:eastAsia="宋体" w:cs="宋体"/>
          <w:sz w:val="24"/>
        </w:rPr>
        <w:t>②依法与安置的每位残疾人签订了一年以上（含一年）的劳动合同或服务协议；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rPr>
      </w:pPr>
      <w:r>
        <w:rPr>
          <w:rFonts w:hint="eastAsia" w:ascii="宋体" w:hAnsi="宋体" w:eastAsia="宋体" w:cs="宋体"/>
          <w:sz w:val="24"/>
        </w:rPr>
        <w:t>③为安置的每位残疾人按月足额缴纳了基本养老保险、基本医疗保险、失业保险、工伤保险和生育保险等社会保险费；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rPr>
      </w:pPr>
      <w:r>
        <w:rPr>
          <w:rFonts w:hint="eastAsia" w:ascii="宋体" w:hAnsi="宋体" w:eastAsia="宋体" w:cs="宋体"/>
          <w:sz w:val="24"/>
        </w:rPr>
        <w:t>④通过银行等金融机构向安置的每位残疾人，按月支付了不低于单位所在区县适用的经省级人民政府批准的月最低工资标准的工资；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ascii="宋体" w:hAnsi="宋体" w:cs="宋体"/>
          <w:sz w:val="24"/>
        </w:rPr>
      </w:pPr>
      <w:r>
        <w:rPr>
          <w:rFonts w:hint="eastAsia" w:ascii="宋体" w:hAnsi="宋体" w:cs="宋体"/>
          <w:sz w:val="24"/>
        </w:rPr>
        <w:t>⑤提供本单位制造的货物、承担的工程或者服务（以下简称产品），或者提供其他残疾人福利性单位制造的货物（不包括使用非残疾人福利性单位注册商标的货物）。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bidi w:val="0"/>
        <w:adjustRightInd/>
        <w:snapToGrid/>
        <w:spacing w:line="240" w:lineRule="auto"/>
        <w:ind w:firstLine="480" w:firstLineChars="200"/>
        <w:textAlignment w:val="auto"/>
        <w:rPr>
          <w:rFonts w:ascii="宋体" w:hAnsi="宋体" w:cs="宋体"/>
          <w:sz w:val="24"/>
          <w:lang w:val="zh-CN"/>
        </w:rPr>
      </w:pPr>
      <w:r>
        <w:rPr>
          <w:rFonts w:hint="eastAsia" w:ascii="宋体" w:hAnsi="宋体" w:cs="宋体"/>
          <w:sz w:val="24"/>
          <w:lang w:val="zh-CN"/>
        </w:rPr>
        <w:t>注：得分以系统计算为准，保留2位小数。</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三、在最大限度地满足招标文件实质性要求前提下，评标委员会按照招标文件中规定的各项因素进行综合评审后，以评标总得分最高的投标人为中标候选人。</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四、如综合得分相同，投标报价低者为先；如综合得分且投标报价相同的，货物类采购项目以技术性能得分较高者为先，服务类采购项目以实力信誉及业绩得分较高者为先。</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ascii="宋体" w:hAnsi="宋体" w:cs="宋体"/>
          <w:kern w:val="0"/>
          <w:sz w:val="24"/>
          <w:lang w:val="zh-CN"/>
        </w:rPr>
      </w:pPr>
      <w:r>
        <w:rPr>
          <w:rFonts w:hint="eastAsia" w:ascii="宋体" w:hAnsi="宋体" w:cs="宋体"/>
          <w:kern w:val="0"/>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spacing w:line="240" w:lineRule="auto"/>
        <w:ind w:firstLine="480" w:firstLineChars="200"/>
        <w:rPr>
          <w:rFonts w:hint="eastAsia" w:ascii="宋体" w:hAnsi="宋体" w:cs="宋体"/>
          <w:kern w:val="0"/>
          <w:sz w:val="24"/>
          <w:lang w:val="zh-CN"/>
        </w:rPr>
      </w:pPr>
      <w:r>
        <w:rPr>
          <w:rFonts w:hint="eastAsia" w:ascii="宋体" w:hAnsi="宋体" w:cs="宋体"/>
          <w:kern w:val="0"/>
          <w:sz w:val="24"/>
          <w:lang w:val="zh-CN"/>
        </w:rPr>
        <w:t>六、本次评分具体分值细化条款如下表：</w:t>
      </w:r>
    </w:p>
    <w:tbl>
      <w:tblPr>
        <w:tblStyle w:val="27"/>
        <w:tblW w:w="9336" w:type="dxa"/>
        <w:tblInd w:w="18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8"/>
        <w:gridCol w:w="1561"/>
        <w:gridCol w:w="6595"/>
        <w:gridCol w:w="7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0" w:type="auto"/>
            <w:tcBorders>
              <w:top w:val="single" w:color="auto" w:sz="4" w:space="0"/>
              <w:left w:val="single" w:color="auto" w:sz="4" w:space="0"/>
            </w:tcBorders>
            <w:shd w:val="clear" w:color="auto" w:fill="B3B3B3"/>
            <w:noWrap w:val="0"/>
            <w:vAlign w:val="center"/>
          </w:tcPr>
          <w:p>
            <w:pPr>
              <w:jc w:val="center"/>
              <w:rPr>
                <w:rFonts w:hint="eastAsia" w:ascii="宋体" w:hAnsi="宋体" w:eastAsia="宋体"/>
                <w:b/>
                <w:bCs/>
                <w:color w:val="auto"/>
                <w:highlight w:val="none"/>
                <w:lang w:eastAsia="zh-CN"/>
              </w:rPr>
            </w:pPr>
            <w:r>
              <w:rPr>
                <w:rFonts w:hint="eastAsia" w:ascii="宋体" w:hAnsi="宋体"/>
                <w:b/>
                <w:bCs/>
                <w:color w:val="auto"/>
                <w:highlight w:val="none"/>
                <w:lang w:eastAsia="zh-CN"/>
              </w:rPr>
              <w:t>序号</w:t>
            </w:r>
          </w:p>
        </w:tc>
        <w:tc>
          <w:tcPr>
            <w:tcW w:w="1561" w:type="dxa"/>
            <w:tcBorders>
              <w:top w:val="single" w:color="auto" w:sz="4" w:space="0"/>
              <w:left w:val="single" w:color="auto" w:sz="4" w:space="0"/>
            </w:tcBorders>
            <w:shd w:val="clear" w:color="auto" w:fill="B3B3B3"/>
            <w:noWrap w:val="0"/>
            <w:vAlign w:val="center"/>
          </w:tcPr>
          <w:p>
            <w:pPr>
              <w:jc w:val="center"/>
              <w:rPr>
                <w:rFonts w:ascii="宋体" w:hAnsi="宋体"/>
                <w:b/>
                <w:bCs/>
                <w:color w:val="auto"/>
                <w:highlight w:val="none"/>
              </w:rPr>
            </w:pPr>
            <w:r>
              <w:rPr>
                <w:rFonts w:hint="eastAsia" w:ascii="宋体" w:hAnsi="宋体"/>
                <w:b/>
                <w:bCs/>
                <w:color w:val="auto"/>
                <w:highlight w:val="none"/>
              </w:rPr>
              <w:t>评分</w:t>
            </w:r>
          </w:p>
          <w:p>
            <w:pPr>
              <w:jc w:val="center"/>
              <w:rPr>
                <w:rFonts w:ascii="宋体" w:hAnsi="宋体"/>
                <w:b/>
                <w:bCs/>
                <w:color w:val="auto"/>
                <w:highlight w:val="none"/>
              </w:rPr>
            </w:pPr>
            <w:r>
              <w:rPr>
                <w:rFonts w:hint="eastAsia" w:ascii="宋体" w:hAnsi="宋体"/>
                <w:b/>
                <w:bCs/>
                <w:color w:val="auto"/>
                <w:highlight w:val="none"/>
              </w:rPr>
              <w:t>项目</w:t>
            </w:r>
          </w:p>
        </w:tc>
        <w:tc>
          <w:tcPr>
            <w:tcW w:w="6595" w:type="dxa"/>
            <w:tcBorders>
              <w:top w:val="single" w:color="auto" w:sz="4" w:space="0"/>
              <w:bottom w:val="single" w:color="auto" w:sz="4" w:space="0"/>
              <w:right w:val="single" w:color="auto" w:sz="4" w:space="0"/>
            </w:tcBorders>
            <w:shd w:val="clear" w:color="auto" w:fill="B3B3B3"/>
            <w:noWrap w:val="0"/>
            <w:vAlign w:val="center"/>
          </w:tcPr>
          <w:p>
            <w:pPr>
              <w:jc w:val="center"/>
              <w:rPr>
                <w:rFonts w:ascii="宋体" w:hAnsi="宋体"/>
                <w:b/>
                <w:bCs/>
                <w:color w:val="auto"/>
                <w:highlight w:val="none"/>
              </w:rPr>
            </w:pPr>
            <w:r>
              <w:rPr>
                <w:rFonts w:hint="eastAsia" w:ascii="宋体" w:hAnsi="宋体"/>
                <w:b/>
                <w:bCs/>
                <w:color w:val="auto"/>
                <w:highlight w:val="none"/>
              </w:rPr>
              <w:t>评标要点及说明</w:t>
            </w:r>
          </w:p>
        </w:tc>
        <w:tc>
          <w:tcPr>
            <w:tcW w:w="712" w:type="dxa"/>
            <w:tcBorders>
              <w:top w:val="single" w:color="auto" w:sz="4" w:space="0"/>
              <w:bottom w:val="single" w:color="auto" w:sz="4" w:space="0"/>
              <w:right w:val="single" w:color="auto" w:sz="4" w:space="0"/>
            </w:tcBorders>
            <w:shd w:val="clear" w:color="auto" w:fill="B3B3B3"/>
            <w:noWrap w:val="0"/>
            <w:vAlign w:val="center"/>
          </w:tcPr>
          <w:p>
            <w:pPr>
              <w:jc w:val="center"/>
              <w:rPr>
                <w:rFonts w:hint="eastAsia" w:ascii="宋体" w:hAnsi="宋体"/>
                <w:b/>
                <w:bCs/>
                <w:color w:val="auto"/>
                <w:highlight w:val="none"/>
              </w:rPr>
            </w:pPr>
            <w:r>
              <w:rPr>
                <w:rFonts w:hint="eastAsia" w:ascii="宋体" w:hAnsi="宋体"/>
                <w:b/>
                <w:bCs/>
                <w:color w:val="auto"/>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624" w:type="dxa"/>
            <w:gridSpan w:val="3"/>
            <w:tcBorders>
              <w:left w:val="single" w:color="auto" w:sz="4" w:space="0"/>
              <w:right w:val="single" w:color="auto" w:sz="4" w:space="0"/>
            </w:tcBorders>
            <w:noWrap w:val="0"/>
            <w:vAlign w:val="center"/>
          </w:tcPr>
          <w:p>
            <w:pPr>
              <w:rPr>
                <w:rFonts w:hint="eastAsia" w:ascii="宋体" w:hAnsi="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一、商务资信分</w:t>
            </w:r>
          </w:p>
        </w:tc>
        <w:tc>
          <w:tcPr>
            <w:tcW w:w="712" w:type="dxa"/>
            <w:tcBorders>
              <w:top w:val="single" w:color="auto" w:sz="4" w:space="0"/>
              <w:right w:val="single" w:color="auto" w:sz="4" w:space="0"/>
            </w:tcBorders>
            <w:noWrap w:val="0"/>
            <w:vAlign w:val="center"/>
          </w:tcPr>
          <w:p>
            <w:pPr>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trPr>
        <w:tc>
          <w:tcPr>
            <w:tcW w:w="468" w:type="dxa"/>
            <w:tcBorders>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1</w:t>
            </w:r>
          </w:p>
        </w:tc>
        <w:tc>
          <w:tcPr>
            <w:tcW w:w="1561" w:type="dxa"/>
            <w:tcBorders>
              <w:left w:val="single" w:color="auto" w:sz="4" w:space="0"/>
            </w:tcBorders>
            <w:noWrap w:val="0"/>
            <w:vAlign w:val="center"/>
          </w:tcPr>
          <w:p>
            <w:pPr>
              <w:rPr>
                <w:rFonts w:hint="eastAsia" w:ascii="宋体" w:hAnsi="宋体" w:eastAsia="宋体"/>
                <w:color w:val="auto"/>
                <w:highlight w:val="none"/>
                <w:lang w:eastAsia="zh-CN"/>
              </w:rPr>
            </w:pPr>
            <w:r>
              <w:rPr>
                <w:rFonts w:hint="eastAsia" w:ascii="宋体" w:hAnsi="宋体"/>
                <w:color w:val="auto"/>
                <w:highlight w:val="none"/>
                <w:lang w:eastAsia="zh-CN"/>
              </w:rPr>
              <w:t>企业综合实力</w:t>
            </w:r>
          </w:p>
        </w:tc>
        <w:tc>
          <w:tcPr>
            <w:tcW w:w="6595" w:type="dxa"/>
            <w:tcBorders>
              <w:top w:val="single" w:color="auto" w:sz="4" w:space="0"/>
              <w:right w:val="single" w:color="auto" w:sz="4" w:space="0"/>
            </w:tcBorders>
            <w:noWrap w:val="0"/>
            <w:vAlign w:val="center"/>
          </w:tcPr>
          <w:p>
            <w:pPr>
              <w:numPr>
                <w:ilvl w:val="0"/>
                <w:numId w:val="0"/>
              </w:numPr>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根据投标人提供的在有效期内的权威认证证书、信誉、企业状况等进行综合评分，由评委进行打分，一档得5分；二档4.5分；三档4分；四档3.5分；五档3分；六档2.5分；七档2分；八档1.5分；九档1分，未提供得0分。</w:t>
            </w:r>
          </w:p>
        </w:tc>
        <w:tc>
          <w:tcPr>
            <w:tcW w:w="712" w:type="dxa"/>
            <w:tcBorders>
              <w:top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atLeast"/>
        </w:trPr>
        <w:tc>
          <w:tcPr>
            <w:tcW w:w="0" w:type="auto"/>
            <w:tcBorders>
              <w:top w:val="single" w:color="auto" w:sz="4" w:space="0"/>
              <w:left w:val="single" w:color="auto" w:sz="4" w:space="0"/>
              <w:bottom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2</w:t>
            </w:r>
          </w:p>
        </w:tc>
        <w:tc>
          <w:tcPr>
            <w:tcW w:w="156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eastAsia="zh-CN"/>
              </w:rPr>
              <w:t>业绩</w:t>
            </w:r>
          </w:p>
        </w:tc>
        <w:tc>
          <w:tcPr>
            <w:tcW w:w="6595" w:type="dxa"/>
            <w:tcBorders>
              <w:bottom w:val="single" w:color="auto" w:sz="4" w:space="0"/>
              <w:right w:val="single" w:color="auto" w:sz="4" w:space="0"/>
            </w:tcBorders>
            <w:noWrap w:val="0"/>
            <w:vAlign w:val="center"/>
          </w:tcPr>
          <w:p>
            <w:p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投标人具有202</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年</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月1日至今（以签订合同时间为准）</w:t>
            </w:r>
            <w:r>
              <w:rPr>
                <w:rFonts w:hint="eastAsia" w:ascii="宋体" w:hAnsi="宋体" w:eastAsia="宋体" w:cs="宋体"/>
                <w:color w:val="000000"/>
                <w:kern w:val="0"/>
                <w:szCs w:val="21"/>
                <w:highlight w:val="none"/>
              </w:rPr>
              <w:t>承接过类似</w:t>
            </w:r>
            <w:r>
              <w:rPr>
                <w:rFonts w:hint="eastAsia" w:ascii="宋体" w:hAnsi="宋体" w:eastAsia="宋体" w:cs="宋体"/>
                <w:color w:val="000000"/>
                <w:kern w:val="0"/>
                <w:szCs w:val="21"/>
                <w:highlight w:val="none"/>
                <w:lang w:val="en-US" w:eastAsia="zh-CN"/>
              </w:rPr>
              <w:t>展陈类</w:t>
            </w:r>
            <w:r>
              <w:rPr>
                <w:rFonts w:hint="eastAsia" w:ascii="宋体" w:hAnsi="宋体" w:eastAsia="宋体" w:cs="宋体"/>
                <w:color w:val="000000"/>
                <w:kern w:val="0"/>
                <w:szCs w:val="21"/>
                <w:highlight w:val="none"/>
              </w:rPr>
              <w:t>项目的，</w:t>
            </w:r>
            <w:r>
              <w:rPr>
                <w:rFonts w:hint="eastAsia" w:ascii="宋体" w:hAnsi="宋体" w:eastAsia="宋体" w:cs="宋体"/>
                <w:color w:val="000000"/>
                <w:kern w:val="0"/>
                <w:szCs w:val="21"/>
                <w:highlight w:val="none"/>
                <w:lang w:val="en-US" w:eastAsia="zh-CN"/>
              </w:rPr>
              <w:t>每提供一个案例得1分，最高得</w:t>
            </w:r>
            <w:r>
              <w:rPr>
                <w:rFonts w:hint="eastAsia" w:ascii="宋体" w:hAnsi="宋体" w:cs="宋体"/>
                <w:color w:val="000000"/>
                <w:kern w:val="0"/>
                <w:szCs w:val="21"/>
                <w:highlight w:val="none"/>
                <w:lang w:val="en-US" w:eastAsia="zh-CN"/>
              </w:rPr>
              <w:t>3</w:t>
            </w:r>
            <w:r>
              <w:rPr>
                <w:rFonts w:hint="eastAsia" w:ascii="宋体" w:hAnsi="宋体" w:eastAsia="宋体" w:cs="宋体"/>
                <w:color w:val="000000"/>
                <w:kern w:val="0"/>
                <w:szCs w:val="21"/>
                <w:highlight w:val="none"/>
                <w:lang w:val="en-US" w:eastAsia="zh-CN"/>
              </w:rPr>
              <w:t>分</w:t>
            </w:r>
            <w:r>
              <w:rPr>
                <w:rFonts w:hint="eastAsia" w:ascii="宋体" w:hAnsi="宋体" w:eastAsia="宋体" w:cs="宋体"/>
                <w:color w:val="000000"/>
                <w:kern w:val="0"/>
                <w:szCs w:val="21"/>
                <w:highlight w:val="none"/>
                <w:lang w:eastAsia="zh-CN"/>
              </w:rPr>
              <w:t>，</w:t>
            </w:r>
            <w:r>
              <w:rPr>
                <w:rFonts w:hint="eastAsia" w:ascii="宋体" w:hAnsi="宋体" w:eastAsia="宋体" w:cs="宋体"/>
                <w:color w:val="000000"/>
                <w:kern w:val="0"/>
                <w:szCs w:val="21"/>
                <w:highlight w:val="none"/>
                <w:lang w:val="en-US" w:eastAsia="zh-CN"/>
              </w:rPr>
              <w:t>不提供的不得分</w:t>
            </w:r>
            <w:r>
              <w:rPr>
                <w:rFonts w:hint="eastAsia" w:ascii="宋体" w:hAnsi="宋体" w:eastAsia="宋体" w:cs="宋体"/>
                <w:b w:val="0"/>
                <w:bCs w:val="0"/>
                <w:color w:val="auto"/>
                <w:sz w:val="21"/>
                <w:szCs w:val="21"/>
                <w:highlight w:val="none"/>
                <w:lang w:val="en-US" w:eastAsia="zh-CN"/>
              </w:rPr>
              <w:t>。</w:t>
            </w:r>
          </w:p>
          <w:p>
            <w:pPr>
              <w:rPr>
                <w:rFonts w:ascii="宋体" w:hAnsi="宋体"/>
                <w:color w:val="auto"/>
                <w:highlight w:val="none"/>
              </w:rPr>
            </w:pPr>
            <w:r>
              <w:rPr>
                <w:rFonts w:hint="eastAsia" w:ascii="宋体" w:hAnsi="宋体" w:eastAsia="宋体" w:cs="宋体"/>
                <w:b w:val="0"/>
                <w:bCs w:val="0"/>
                <w:color w:val="auto"/>
                <w:sz w:val="21"/>
                <w:szCs w:val="21"/>
                <w:highlight w:val="none"/>
                <w:lang w:val="en-US" w:eastAsia="zh-CN"/>
              </w:rPr>
              <w:t>注：须提供合同原件扫描件，否则不得分。</w:t>
            </w:r>
          </w:p>
        </w:tc>
        <w:tc>
          <w:tcPr>
            <w:tcW w:w="712" w:type="dxa"/>
            <w:tcBorders>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highlight w:val="none"/>
              </w:rPr>
            </w:pPr>
            <w:r>
              <w:rPr>
                <w:rFonts w:hint="eastAsia" w:ascii="宋体" w:hAnsi="宋体"/>
                <w:color w:val="auto"/>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8" w:hRule="atLeast"/>
        </w:trPr>
        <w:tc>
          <w:tcPr>
            <w:tcW w:w="468" w:type="dxa"/>
            <w:tcBorders>
              <w:top w:val="single" w:color="auto" w:sz="4" w:space="0"/>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3</w:t>
            </w:r>
          </w:p>
        </w:tc>
        <w:tc>
          <w:tcPr>
            <w:tcW w:w="1561" w:type="dxa"/>
            <w:tcBorders>
              <w:top w:val="single" w:color="auto" w:sz="4" w:space="0"/>
              <w:left w:val="single" w:color="auto" w:sz="4" w:space="0"/>
            </w:tcBorders>
            <w:noWrap w:val="0"/>
            <w:vAlign w:val="center"/>
          </w:tcPr>
          <w:p>
            <w:pPr>
              <w:jc w:val="center"/>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履约能力</w:t>
            </w:r>
          </w:p>
        </w:tc>
        <w:tc>
          <w:tcPr>
            <w:tcW w:w="6595" w:type="dxa"/>
            <w:tcBorders>
              <w:bottom w:val="single" w:color="auto" w:sz="4" w:space="0"/>
              <w:right w:val="single" w:color="auto" w:sz="4" w:space="0"/>
            </w:tcBorders>
            <w:noWrap w:val="0"/>
            <w:vAlign w:val="center"/>
          </w:tcPr>
          <w:p>
            <w:pPr>
              <w:numPr>
                <w:ilvl w:val="0"/>
                <w:numId w:val="9"/>
              </w:num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投标人具备</w:t>
            </w:r>
            <w:r>
              <w:rPr>
                <w:rFonts w:hint="eastAsia" w:ascii="宋体" w:hAnsi="宋体" w:eastAsia="宋体" w:cs="宋体"/>
                <w:b w:val="0"/>
                <w:bCs w:val="0"/>
                <w:color w:val="auto"/>
                <w:sz w:val="21"/>
                <w:szCs w:val="21"/>
                <w:highlight w:val="none"/>
                <w:lang w:val="en-US" w:eastAsia="zh-Hans"/>
              </w:rPr>
              <w:t>国家级高新企业</w:t>
            </w:r>
            <w:r>
              <w:rPr>
                <w:rFonts w:hint="eastAsia" w:ascii="宋体" w:hAnsi="宋体" w:eastAsia="宋体" w:cs="宋体"/>
                <w:b w:val="0"/>
                <w:bCs w:val="0"/>
                <w:color w:val="auto"/>
                <w:sz w:val="21"/>
                <w:szCs w:val="21"/>
                <w:highlight w:val="none"/>
                <w:lang w:val="en-US" w:eastAsia="zh-CN"/>
              </w:rPr>
              <w:t>证书的得</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不具备不得分</w:t>
            </w:r>
            <w:r>
              <w:rPr>
                <w:rFonts w:hint="eastAsia" w:ascii="宋体" w:hAnsi="宋体" w:cs="宋体"/>
                <w:b w:val="0"/>
                <w:bCs w:val="0"/>
                <w:color w:val="auto"/>
                <w:sz w:val="21"/>
                <w:szCs w:val="21"/>
                <w:highlight w:val="none"/>
                <w:lang w:val="en-US" w:eastAsia="zh-CN"/>
              </w:rPr>
              <w:t>；</w:t>
            </w:r>
          </w:p>
          <w:p>
            <w:pPr>
              <w:numPr>
                <w:ilvl w:val="0"/>
                <w:numId w:val="9"/>
              </w:numPr>
              <w:ind w:left="0" w:leftChars="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投标人具备住电子与智能化工程专业承包二级及以上</w:t>
            </w:r>
            <w:r>
              <w:rPr>
                <w:rFonts w:hint="eastAsia" w:ascii="宋体" w:hAnsi="宋体" w:eastAsia="宋体" w:cs="宋体"/>
                <w:b w:val="0"/>
                <w:bCs w:val="0"/>
                <w:color w:val="auto"/>
                <w:sz w:val="21"/>
                <w:szCs w:val="21"/>
                <w:highlight w:val="none"/>
                <w:lang w:val="en-US" w:eastAsia="zh-CN"/>
              </w:rPr>
              <w:t>证书的得1分，不具备不得分</w:t>
            </w:r>
            <w:r>
              <w:rPr>
                <w:rFonts w:hint="eastAsia" w:ascii="宋体" w:hAnsi="宋体" w:cs="宋体"/>
                <w:b w:val="0"/>
                <w:bCs w:val="0"/>
                <w:color w:val="auto"/>
                <w:sz w:val="21"/>
                <w:szCs w:val="21"/>
                <w:highlight w:val="none"/>
                <w:lang w:val="en-US" w:eastAsia="zh-CN"/>
              </w:rPr>
              <w:t>；</w:t>
            </w:r>
          </w:p>
          <w:p>
            <w:pPr>
              <w:numPr>
                <w:ilvl w:val="0"/>
                <w:numId w:val="9"/>
              </w:numPr>
              <w:ind w:left="0" w:leftChars="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投标人具备建筑机电安装工程专业承包三级及以上</w:t>
            </w:r>
            <w:r>
              <w:rPr>
                <w:rFonts w:hint="eastAsia" w:ascii="宋体" w:hAnsi="宋体" w:eastAsia="宋体" w:cs="宋体"/>
                <w:b w:val="0"/>
                <w:bCs w:val="0"/>
                <w:color w:val="auto"/>
                <w:sz w:val="21"/>
                <w:szCs w:val="21"/>
                <w:highlight w:val="none"/>
                <w:lang w:val="en-US" w:eastAsia="zh-CN"/>
              </w:rPr>
              <w:t>证书的得1分，不具备不得分</w:t>
            </w:r>
            <w:r>
              <w:rPr>
                <w:rFonts w:hint="eastAsia" w:ascii="宋体" w:hAnsi="宋体" w:cs="宋体"/>
                <w:b w:val="0"/>
                <w:bCs w:val="0"/>
                <w:color w:val="auto"/>
                <w:sz w:val="21"/>
                <w:szCs w:val="21"/>
                <w:highlight w:val="none"/>
                <w:lang w:val="en-US" w:eastAsia="zh-CN"/>
              </w:rPr>
              <w:t>；</w:t>
            </w:r>
          </w:p>
          <w:p>
            <w:pPr>
              <w:pStyle w:val="26"/>
              <w:ind w:left="0" w:leftChars="0" w:firstLine="0" w:firstLineChars="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注：以上提供证书扫描件并加盖公章，</w:t>
            </w:r>
            <w:r>
              <w:rPr>
                <w:rFonts w:hint="eastAsia" w:ascii="宋体" w:hAnsi="宋体" w:eastAsia="宋体" w:cs="宋体"/>
                <w:b w:val="0"/>
                <w:bCs w:val="0"/>
                <w:color w:val="auto"/>
                <w:sz w:val="21"/>
                <w:szCs w:val="21"/>
                <w:highlight w:val="none"/>
                <w:lang w:val="zh-CN" w:eastAsia="zh-CN"/>
              </w:rPr>
              <w:t>否则不得分</w:t>
            </w:r>
            <w:r>
              <w:rPr>
                <w:rFonts w:hint="eastAsia" w:ascii="宋体" w:hAnsi="宋体" w:eastAsia="宋体" w:cs="宋体"/>
                <w:b w:val="0"/>
                <w:bCs w:val="0"/>
                <w:color w:val="auto"/>
                <w:sz w:val="21"/>
                <w:szCs w:val="21"/>
                <w:highlight w:val="none"/>
                <w:lang w:val="en-US" w:eastAsia="zh-CN"/>
              </w:rPr>
              <w:t>。</w:t>
            </w:r>
          </w:p>
        </w:tc>
        <w:tc>
          <w:tcPr>
            <w:tcW w:w="712" w:type="dxa"/>
            <w:tcBorders>
              <w:bottom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468" w:type="dxa"/>
            <w:vMerge w:val="restart"/>
            <w:tcBorders>
              <w:top w:val="single" w:color="auto" w:sz="4" w:space="0"/>
              <w:left w:val="single" w:color="auto" w:sz="4" w:space="0"/>
            </w:tcBorders>
            <w:noWrap w:val="0"/>
            <w:vAlign w:val="center"/>
          </w:tcPr>
          <w:p>
            <w:pPr>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4</w:t>
            </w:r>
          </w:p>
        </w:tc>
        <w:tc>
          <w:tcPr>
            <w:tcW w:w="1561" w:type="dxa"/>
            <w:vMerge w:val="restart"/>
            <w:tcBorders>
              <w:top w:val="single" w:color="auto" w:sz="4" w:space="0"/>
              <w:left w:val="single" w:color="auto" w:sz="4" w:space="0"/>
            </w:tcBorders>
            <w:noWrap w:val="0"/>
            <w:vAlign w:val="center"/>
          </w:tcPr>
          <w:p>
            <w:pPr>
              <w:rPr>
                <w:rFonts w:ascii="宋体" w:hAnsi="宋体"/>
                <w:color w:val="auto"/>
                <w:highlight w:val="none"/>
              </w:rPr>
            </w:pPr>
            <w:r>
              <w:rPr>
                <w:rFonts w:hint="eastAsia" w:ascii="宋体" w:hAnsi="宋体" w:eastAsia="宋体" w:cs="宋体"/>
                <w:b w:val="0"/>
                <w:bCs/>
                <w:color w:val="auto"/>
                <w:sz w:val="21"/>
                <w:szCs w:val="21"/>
                <w:highlight w:val="none"/>
              </w:rPr>
              <w:t>针对本项目拟派</w:t>
            </w:r>
            <w:r>
              <w:rPr>
                <w:rFonts w:hint="eastAsia" w:ascii="宋体" w:hAnsi="宋体" w:eastAsia="宋体" w:cs="宋体"/>
                <w:b w:val="0"/>
                <w:bCs/>
                <w:color w:val="auto"/>
                <w:sz w:val="21"/>
                <w:szCs w:val="21"/>
                <w:highlight w:val="none"/>
                <w:lang w:eastAsia="zh-CN"/>
              </w:rPr>
              <w:t>团队</w:t>
            </w:r>
            <w:r>
              <w:rPr>
                <w:rFonts w:hint="eastAsia" w:ascii="宋体" w:hAnsi="宋体" w:eastAsia="宋体" w:cs="宋体"/>
                <w:b w:val="0"/>
                <w:bCs/>
                <w:color w:val="auto"/>
                <w:sz w:val="21"/>
                <w:szCs w:val="21"/>
                <w:highlight w:val="none"/>
              </w:rPr>
              <w:t>情况</w:t>
            </w:r>
          </w:p>
        </w:tc>
        <w:tc>
          <w:tcPr>
            <w:tcW w:w="6595" w:type="dxa"/>
            <w:tcBorders>
              <w:bottom w:val="single" w:color="auto" w:sz="4" w:space="0"/>
              <w:right w:val="single" w:color="auto" w:sz="4" w:space="0"/>
            </w:tcBorders>
            <w:noWrap w:val="0"/>
            <w:vAlign w:val="center"/>
          </w:tcPr>
          <w:p>
            <w:pPr>
              <w:pStyle w:val="26"/>
              <w:ind w:left="0" w:leftChars="0" w:firstLine="0" w:firstLineChars="0"/>
              <w:jc w:val="left"/>
              <w:rPr>
                <w:rFonts w:ascii="宋体" w:hAnsi="宋体"/>
                <w:color w:val="auto"/>
                <w:highlight w:val="none"/>
              </w:rPr>
            </w:pPr>
            <w:r>
              <w:rPr>
                <w:rFonts w:hint="eastAsia" w:ascii="宋体" w:hAnsi="宋体" w:eastAsia="宋体" w:cs="宋体"/>
                <w:b w:val="0"/>
                <w:bCs w:val="0"/>
                <w:color w:val="auto"/>
                <w:sz w:val="21"/>
                <w:szCs w:val="21"/>
                <w:highlight w:val="none"/>
                <w:lang w:val="zh-CN" w:eastAsia="zh-CN"/>
              </w:rPr>
              <w:t>拟派</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lang w:val="zh-CN" w:eastAsia="zh-CN"/>
              </w:rPr>
              <w:t>项目负责人具有机电工程专业二级及以上注册建造师的得</w:t>
            </w:r>
            <w:r>
              <w:rPr>
                <w:rFonts w:hint="eastAsia" w:ascii="宋体" w:hAnsi="宋体" w:eastAsia="宋体" w:cs="宋体"/>
                <w:b w:val="0"/>
                <w:bCs w:val="0"/>
                <w:color w:val="auto"/>
                <w:sz w:val="21"/>
                <w:szCs w:val="21"/>
                <w:highlight w:val="none"/>
                <w:lang w:val="en-US" w:eastAsia="zh-CN"/>
              </w:rPr>
              <w:t>2分；（</w:t>
            </w:r>
            <w:r>
              <w:rPr>
                <w:rFonts w:hint="eastAsia" w:ascii="宋体" w:hAnsi="宋体" w:eastAsia="宋体" w:cs="宋体"/>
                <w:b w:val="0"/>
                <w:bCs w:val="0"/>
                <w:color w:val="auto"/>
                <w:sz w:val="21"/>
                <w:szCs w:val="21"/>
                <w:highlight w:val="none"/>
                <w:lang w:val="zh-CN" w:eastAsia="zh-CN"/>
              </w:rPr>
              <w:t>提供项目负责人建造师证书及三类人员</w:t>
            </w:r>
            <w:r>
              <w:rPr>
                <w:rFonts w:hint="eastAsia" w:ascii="宋体" w:hAnsi="宋体" w:eastAsia="宋体" w:cs="宋体"/>
                <w:b w:val="0"/>
                <w:bCs w:val="0"/>
                <w:color w:val="auto"/>
                <w:sz w:val="21"/>
                <w:szCs w:val="21"/>
                <w:highlight w:val="none"/>
                <w:lang w:val="en-US" w:eastAsia="zh-CN"/>
              </w:rPr>
              <w:t>B证</w:t>
            </w:r>
            <w:r>
              <w:rPr>
                <w:rFonts w:hint="eastAsia" w:ascii="宋体" w:hAnsi="宋体" w:eastAsia="宋体" w:cs="宋体"/>
                <w:b w:val="0"/>
                <w:bCs w:val="0"/>
                <w:color w:val="auto"/>
                <w:sz w:val="21"/>
                <w:szCs w:val="21"/>
                <w:highlight w:val="none"/>
                <w:lang w:val="zh-CN" w:eastAsia="zh-CN"/>
              </w:rPr>
              <w:t>扫描件，否则不得分</w:t>
            </w:r>
            <w:r>
              <w:rPr>
                <w:rFonts w:hint="eastAsia" w:ascii="宋体" w:hAnsi="宋体" w:eastAsia="宋体" w:cs="宋体"/>
                <w:b w:val="0"/>
                <w:bCs w:val="0"/>
                <w:color w:val="auto"/>
                <w:sz w:val="21"/>
                <w:szCs w:val="21"/>
                <w:highlight w:val="none"/>
                <w:lang w:val="en-US" w:eastAsia="zh-CN"/>
              </w:rPr>
              <w:t>）。</w:t>
            </w:r>
          </w:p>
        </w:tc>
        <w:tc>
          <w:tcPr>
            <w:tcW w:w="712" w:type="dxa"/>
            <w:tcBorders>
              <w:bottom w:val="single" w:color="auto" w:sz="4" w:space="0"/>
              <w:right w:val="single" w:color="auto" w:sz="4" w:space="0"/>
            </w:tcBorders>
            <w:noWrap w:val="0"/>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8" w:hRule="atLeast"/>
        </w:trPr>
        <w:tc>
          <w:tcPr>
            <w:tcW w:w="468" w:type="dxa"/>
            <w:vMerge w:val="continue"/>
            <w:tcBorders>
              <w:left w:val="single" w:color="auto" w:sz="4" w:space="0"/>
            </w:tcBorders>
            <w:noWrap w:val="0"/>
            <w:vAlign w:val="center"/>
          </w:tcPr>
          <w:p>
            <w:pPr>
              <w:jc w:val="center"/>
              <w:rPr>
                <w:rFonts w:hint="eastAsia" w:ascii="宋体" w:hAnsi="宋体"/>
                <w:color w:val="auto"/>
                <w:highlight w:val="none"/>
                <w:lang w:val="en-US" w:eastAsia="zh-CN"/>
              </w:rPr>
            </w:pPr>
          </w:p>
        </w:tc>
        <w:tc>
          <w:tcPr>
            <w:tcW w:w="1561" w:type="dxa"/>
            <w:vMerge w:val="continue"/>
            <w:tcBorders>
              <w:left w:val="single" w:color="auto" w:sz="4" w:space="0"/>
            </w:tcBorders>
            <w:noWrap w:val="0"/>
            <w:vAlign w:val="center"/>
          </w:tcPr>
          <w:p>
            <w:pPr>
              <w:rPr>
                <w:rFonts w:hint="eastAsia" w:ascii="宋体" w:hAnsi="宋体" w:eastAsia="宋体" w:cs="宋体"/>
                <w:b w:val="0"/>
                <w:bCs/>
                <w:color w:val="auto"/>
                <w:sz w:val="21"/>
                <w:szCs w:val="21"/>
                <w:highlight w:val="none"/>
              </w:rPr>
            </w:pPr>
          </w:p>
        </w:tc>
        <w:tc>
          <w:tcPr>
            <w:tcW w:w="659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根据供应商针对本项目的</w:t>
            </w:r>
            <w:r>
              <w:rPr>
                <w:rFonts w:hint="eastAsia" w:ascii="宋体" w:hAnsi="宋体" w:eastAsia="宋体" w:cs="宋体"/>
                <w:b w:val="0"/>
                <w:bCs w:val="0"/>
                <w:color w:val="auto"/>
                <w:sz w:val="21"/>
                <w:szCs w:val="21"/>
                <w:highlight w:val="none"/>
                <w:lang w:val="zh-CN" w:eastAsia="zh-CN"/>
              </w:rPr>
              <w:t>项目管理班子人员的配备情况、项目实施能力和综合保障能力人员投入合理，分工明确等情况综合评定</w:t>
            </w:r>
            <w:r>
              <w:rPr>
                <w:rFonts w:hint="eastAsia" w:ascii="宋体" w:hAnsi="宋体" w:eastAsia="宋体" w:cs="宋体"/>
                <w:b w:val="0"/>
                <w:bCs w:val="0"/>
                <w:color w:val="auto"/>
                <w:sz w:val="21"/>
                <w:szCs w:val="21"/>
                <w:highlight w:val="none"/>
                <w:lang w:val="en-US" w:eastAsia="zh-CN"/>
              </w:rPr>
              <w:t>。一档得5分；二档4.5分；三档4分；四档3.5分；五档3分；六档2.5分；七档2分；八档1.5分；九档1分，未提供得0分。</w:t>
            </w:r>
          </w:p>
          <w:p>
            <w:pPr>
              <w:pStyle w:val="26"/>
              <w:ind w:left="0" w:leftChars="0" w:firstLine="0" w:firstLineChars="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（提供人员相关证明材料和人员投标截止时间前的近期社保证明扫描件，否则不得分）</w:t>
            </w:r>
          </w:p>
        </w:tc>
        <w:tc>
          <w:tcPr>
            <w:tcW w:w="712" w:type="dxa"/>
            <w:tcBorders>
              <w:bottom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5" w:hRule="atLeast"/>
        </w:trPr>
        <w:tc>
          <w:tcPr>
            <w:tcW w:w="468" w:type="dxa"/>
            <w:vMerge w:val="restart"/>
            <w:tcBorders>
              <w:top w:val="single" w:color="auto" w:sz="4" w:space="0"/>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c>
          <w:tcPr>
            <w:tcW w:w="1561" w:type="dxa"/>
            <w:vMerge w:val="restart"/>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left="0" w:leftChars="0" w:right="0" w:rightChars="0" w:firstLine="0" w:firstLineChars="0"/>
              <w:jc w:val="center"/>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售后服务</w:t>
            </w:r>
          </w:p>
        </w:tc>
        <w:tc>
          <w:tcPr>
            <w:tcW w:w="6595" w:type="dxa"/>
            <w:tcBorders>
              <w:right w:val="single" w:color="auto" w:sz="4" w:space="0"/>
            </w:tcBorders>
            <w:noWrap w:val="0"/>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bidi="ar-SA"/>
              </w:rPr>
              <w:t>售后服务的具体内容和措施是否建立完善的服务工作机制；是否有完善的售后服务流程及规章制度、故障分级处理流程、应急预案等。根据售后服务方案进行</w:t>
            </w:r>
            <w:r>
              <w:rPr>
                <w:rFonts w:hint="eastAsia" w:ascii="宋体" w:hAnsi="宋体" w:eastAsia="宋体" w:cs="宋体"/>
                <w:color w:val="000000"/>
                <w:kern w:val="0"/>
                <w:sz w:val="21"/>
                <w:szCs w:val="21"/>
                <w:highlight w:val="none"/>
              </w:rPr>
              <w:t>评分</w:t>
            </w:r>
            <w:r>
              <w:rPr>
                <w:rFonts w:hint="eastAsia" w:ascii="宋体" w:hAnsi="宋体" w:eastAsia="宋体" w:cs="宋体"/>
                <w:color w:val="000000"/>
                <w:kern w:val="0"/>
                <w:sz w:val="21"/>
                <w:szCs w:val="21"/>
                <w:highlight w:val="none"/>
                <w:lang w:eastAsia="zh-CN"/>
              </w:rPr>
              <w:t>。</w:t>
            </w:r>
          </w:p>
          <w:p>
            <w:pPr>
              <w:widowControl/>
              <w:jc w:val="left"/>
              <w:rPr>
                <w:rFonts w:hint="eastAsia" w:ascii="宋体" w:hAnsi="宋体" w:cs="宋体"/>
                <w:color w:val="auto"/>
                <w:sz w:val="21"/>
                <w:szCs w:val="21"/>
                <w:highlight w:val="none"/>
              </w:rPr>
            </w:pPr>
            <w:r>
              <w:rPr>
                <w:rFonts w:hint="eastAsia" w:ascii="宋体" w:hAnsi="宋体" w:eastAsia="宋体" w:cs="宋体"/>
                <w:color w:val="auto"/>
                <w:sz w:val="21"/>
                <w:szCs w:val="21"/>
                <w:highlight w:val="none"/>
                <w:lang w:val="en-US" w:eastAsia="zh-CN"/>
              </w:rPr>
              <w:t>一档</w:t>
            </w:r>
            <w:r>
              <w:rPr>
                <w:rFonts w:hint="eastAsia" w:ascii="宋体" w:hAnsi="宋体" w:eastAsia="宋体" w:cs="宋体"/>
                <w:b w:val="0"/>
                <w:bCs w:val="0"/>
                <w:color w:val="auto"/>
                <w:sz w:val="21"/>
                <w:szCs w:val="21"/>
                <w:highlight w:val="none"/>
                <w:lang w:val="en-US" w:eastAsia="zh-CN"/>
              </w:rPr>
              <w:t>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分；二档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.5分；三档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分；四档</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.5分；五档</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分；六档</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.5分</w:t>
            </w:r>
            <w:r>
              <w:rPr>
                <w:rFonts w:hint="eastAsia" w:ascii="宋体" w:hAnsi="宋体" w:cs="宋体"/>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七档</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分，未提供得0分</w:t>
            </w:r>
          </w:p>
        </w:tc>
        <w:tc>
          <w:tcPr>
            <w:tcW w:w="712" w:type="dxa"/>
            <w:tcBorders>
              <w:bottom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trPr>
        <w:tc>
          <w:tcPr>
            <w:tcW w:w="468" w:type="dxa"/>
            <w:vMerge w:val="continue"/>
            <w:tcBorders>
              <w:left w:val="single" w:color="auto" w:sz="4" w:space="0"/>
            </w:tcBorders>
            <w:noWrap w:val="0"/>
            <w:vAlign w:val="center"/>
          </w:tcPr>
          <w:p>
            <w:pPr>
              <w:jc w:val="center"/>
              <w:rPr>
                <w:rFonts w:hint="default" w:ascii="宋体" w:hAnsi="宋体"/>
                <w:color w:val="auto"/>
                <w:highlight w:val="none"/>
                <w:lang w:val="en-US" w:eastAsia="zh-CN"/>
              </w:rPr>
            </w:pPr>
          </w:p>
        </w:tc>
        <w:tc>
          <w:tcPr>
            <w:tcW w:w="1561"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left="0" w:leftChars="0" w:right="0" w:rightChars="0" w:firstLine="0" w:firstLineChars="0"/>
              <w:jc w:val="center"/>
              <w:textAlignment w:val="auto"/>
              <w:rPr>
                <w:rFonts w:hint="eastAsia" w:ascii="宋体" w:hAnsi="宋体" w:eastAsia="宋体"/>
                <w:color w:val="auto"/>
                <w:sz w:val="21"/>
                <w:szCs w:val="21"/>
                <w:highlight w:val="none"/>
                <w:lang w:eastAsia="zh-CN"/>
              </w:rPr>
            </w:pPr>
          </w:p>
        </w:tc>
        <w:tc>
          <w:tcPr>
            <w:tcW w:w="6595" w:type="dxa"/>
            <w:tcBorders>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bidi="ar-SA"/>
              </w:rPr>
              <w:t>质保期外的后续技术支持和维护能力情况(包含配件、附件、备品备件的准备和保障措施；各区域内容优化升级服务年限等）根据服务解决方案</w:t>
            </w:r>
            <w:r>
              <w:rPr>
                <w:rFonts w:hint="eastAsia" w:ascii="宋体" w:hAnsi="宋体" w:eastAsia="宋体" w:cs="宋体"/>
                <w:color w:val="000000"/>
                <w:kern w:val="0"/>
                <w:sz w:val="21"/>
                <w:szCs w:val="21"/>
                <w:highlight w:val="none"/>
              </w:rPr>
              <w:t>评分</w:t>
            </w:r>
            <w:r>
              <w:rPr>
                <w:rFonts w:hint="eastAsia" w:ascii="宋体" w:hAnsi="宋体" w:eastAsia="宋体" w:cs="宋体"/>
                <w:color w:val="000000"/>
                <w:kern w:val="0"/>
                <w:sz w:val="21"/>
                <w:szCs w:val="21"/>
                <w:highlight w:val="none"/>
                <w:lang w:eastAsia="zh-CN"/>
              </w:rPr>
              <w:t>。</w:t>
            </w:r>
          </w:p>
          <w:p>
            <w:pPr>
              <w:widowControl/>
              <w:jc w:val="left"/>
              <w:rPr>
                <w:rFonts w:hint="eastAsia" w:ascii="宋体" w:hAnsi="宋体" w:cs="宋体"/>
                <w:color w:val="auto"/>
                <w:sz w:val="21"/>
                <w:szCs w:val="21"/>
                <w:highlight w:val="none"/>
              </w:rPr>
            </w:pPr>
            <w:r>
              <w:rPr>
                <w:rFonts w:hint="eastAsia" w:ascii="宋体" w:hAnsi="宋体" w:eastAsia="宋体" w:cs="宋体"/>
                <w:color w:val="auto"/>
                <w:sz w:val="21"/>
                <w:szCs w:val="21"/>
                <w:highlight w:val="none"/>
                <w:lang w:val="en-US" w:eastAsia="zh-CN"/>
              </w:rPr>
              <w:t>一档</w:t>
            </w:r>
            <w:r>
              <w:rPr>
                <w:rFonts w:hint="eastAsia" w:ascii="宋体" w:hAnsi="宋体" w:eastAsia="宋体" w:cs="宋体"/>
                <w:b w:val="0"/>
                <w:bCs w:val="0"/>
                <w:color w:val="auto"/>
                <w:sz w:val="21"/>
                <w:szCs w:val="21"/>
                <w:highlight w:val="none"/>
                <w:lang w:val="en-US" w:eastAsia="zh-CN"/>
              </w:rPr>
              <w:t>得</w:t>
            </w:r>
            <w:r>
              <w:rPr>
                <w:rFonts w:hint="eastAsia" w:ascii="宋体" w:hAnsi="宋体" w:eastAsia="宋体" w:cs="宋体"/>
                <w:color w:val="auto"/>
                <w:sz w:val="21"/>
                <w:szCs w:val="21"/>
                <w:highlight w:val="none"/>
                <w:lang w:val="en-US" w:eastAsia="zh-CN"/>
              </w:rPr>
              <w:t>3分；二档2.5分；三档2分；四档1.5分；五档1分，未提供得0分。</w:t>
            </w:r>
          </w:p>
        </w:tc>
        <w:tc>
          <w:tcPr>
            <w:tcW w:w="712" w:type="dxa"/>
            <w:tcBorders>
              <w:bottom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624"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textAlignment w:val="auto"/>
              <w:rPr>
                <w:rFonts w:hint="eastAsia" w:ascii="宋体" w:hAnsi="宋体" w:cs="宋体"/>
                <w:color w:val="auto"/>
                <w:sz w:val="21"/>
                <w:szCs w:val="21"/>
                <w:highlight w:val="none"/>
              </w:rPr>
            </w:pPr>
            <w:r>
              <w:rPr>
                <w:rFonts w:hint="eastAsia" w:ascii="宋体" w:hAnsi="宋体" w:eastAsia="宋体" w:cs="宋体"/>
                <w:b/>
                <w:bCs/>
                <w:color w:val="auto"/>
                <w:sz w:val="21"/>
                <w:szCs w:val="21"/>
                <w:highlight w:val="none"/>
              </w:rPr>
              <w:t>二、技术分</w:t>
            </w:r>
          </w:p>
        </w:tc>
        <w:tc>
          <w:tcPr>
            <w:tcW w:w="712" w:type="dxa"/>
            <w:tcBorders>
              <w:bottom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9" w:hRule="atLeast"/>
        </w:trPr>
        <w:tc>
          <w:tcPr>
            <w:tcW w:w="0" w:type="auto"/>
            <w:tcBorders>
              <w:top w:val="single" w:color="auto" w:sz="4" w:space="0"/>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6</w:t>
            </w:r>
          </w:p>
        </w:tc>
        <w:tc>
          <w:tcPr>
            <w:tcW w:w="1561" w:type="dxa"/>
            <w:tcBorders>
              <w:top w:val="single" w:color="auto" w:sz="4" w:space="0"/>
              <w:left w:val="single" w:color="auto" w:sz="4" w:space="0"/>
            </w:tcBorders>
            <w:noWrap w:val="0"/>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color w:val="000000"/>
                <w:kern w:val="0"/>
                <w:szCs w:val="21"/>
                <w:highlight w:val="none"/>
              </w:rPr>
            </w:pPr>
            <w:r>
              <w:rPr>
                <w:rFonts w:hint="eastAsia" w:ascii="宋体" w:hAnsi="宋体" w:eastAsia="宋体" w:cs="宋体"/>
                <w:b w:val="0"/>
                <w:bCs/>
                <w:color w:val="000000"/>
                <w:kern w:val="0"/>
                <w:sz w:val="21"/>
                <w:szCs w:val="21"/>
                <w:highlight w:val="none"/>
                <w:lang w:val="en-US" w:eastAsia="zh-CN"/>
              </w:rPr>
              <w:t>产品性能及技术参数响应情况</w:t>
            </w:r>
          </w:p>
        </w:tc>
        <w:tc>
          <w:tcPr>
            <w:tcW w:w="6595" w:type="dxa"/>
            <w:tcBorders>
              <w:bottom w:val="single" w:color="auto" w:sz="4" w:space="0"/>
              <w:right w:val="single" w:color="auto" w:sz="4" w:space="0"/>
            </w:tcBorders>
            <w:noWrap w:val="0"/>
            <w:vAlign w:val="center"/>
          </w:tcPr>
          <w:p>
            <w:pPr>
              <w:pStyle w:val="2"/>
              <w:spacing w:after="0"/>
              <w:ind w:left="0" w:leftChars="0" w:firstLine="0"/>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 w:val="21"/>
                <w:szCs w:val="21"/>
                <w:highlight w:val="none"/>
                <w:lang w:val="en-US" w:eastAsia="zh-CN" w:bidi="ar-SA"/>
              </w:rPr>
              <w:t>投标产品的技术参数和性能指标全部响应或满足招标文件要求的得满分</w:t>
            </w:r>
            <w:r>
              <w:rPr>
                <w:rFonts w:hint="eastAsia" w:ascii="宋体" w:hAnsi="宋体" w:cs="宋体"/>
                <w:color w:val="000000"/>
                <w:kern w:val="0"/>
                <w:sz w:val="21"/>
                <w:szCs w:val="21"/>
                <w:highlight w:val="none"/>
                <w:lang w:val="en-US" w:eastAsia="zh-CN" w:bidi="ar-SA"/>
              </w:rPr>
              <w:t>5分</w:t>
            </w:r>
            <w:r>
              <w:rPr>
                <w:rFonts w:hint="eastAsia" w:ascii="宋体" w:hAnsi="宋体" w:eastAsia="宋体" w:cs="宋体"/>
                <w:color w:val="000000"/>
                <w:kern w:val="0"/>
                <w:sz w:val="21"/>
                <w:szCs w:val="21"/>
                <w:highlight w:val="none"/>
                <w:lang w:val="en-US" w:eastAsia="zh-CN" w:bidi="ar-SA"/>
              </w:rPr>
              <w:t>，技术指标不满足或负偏离的一项扣1分，扣完为止。</w:t>
            </w:r>
          </w:p>
        </w:tc>
        <w:tc>
          <w:tcPr>
            <w:tcW w:w="712" w:type="dxa"/>
            <w:tcBorders>
              <w:bottom w:val="single" w:color="auto" w:sz="4" w:space="0"/>
              <w:right w:val="single" w:color="auto" w:sz="4" w:space="0"/>
            </w:tcBorders>
            <w:noWrap w:val="0"/>
            <w:vAlign w:val="center"/>
          </w:tcPr>
          <w:p>
            <w:pPr>
              <w:widowControl/>
              <w:jc w:val="center"/>
              <w:rPr>
                <w:rFonts w:hint="default" w:ascii="宋体" w:hAnsi="宋体" w:cs="宋体"/>
                <w:b w:val="0"/>
                <w:bCs w:val="0"/>
                <w:color w:val="000000"/>
                <w:sz w:val="21"/>
                <w:szCs w:val="21"/>
                <w:highlight w:val="none"/>
                <w:lang w:val="en-US" w:eastAsia="zh-CN"/>
              </w:rPr>
            </w:pPr>
            <w:r>
              <w:rPr>
                <w:rFonts w:hint="eastAsia" w:ascii="宋体" w:hAnsi="宋体" w:cs="宋体"/>
                <w:b w:val="0"/>
                <w:bCs w:val="0"/>
                <w:color w:val="000000"/>
                <w:sz w:val="21"/>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9" w:hRule="atLeast"/>
        </w:trPr>
        <w:tc>
          <w:tcPr>
            <w:tcW w:w="0" w:type="auto"/>
            <w:tcBorders>
              <w:top w:val="single" w:color="auto" w:sz="4" w:space="0"/>
              <w:left w:val="single" w:color="auto" w:sz="4" w:space="0"/>
            </w:tcBorders>
            <w:noWrap w:val="0"/>
            <w:vAlign w:val="center"/>
          </w:tcPr>
          <w:p>
            <w:pPr>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7</w:t>
            </w:r>
          </w:p>
        </w:tc>
        <w:tc>
          <w:tcPr>
            <w:tcW w:w="1561"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left="0" w:leftChars="0" w:right="0" w:rightChars="0" w:firstLine="0" w:firstLineChars="0"/>
              <w:jc w:val="center"/>
              <w:textAlignment w:val="auto"/>
              <w:rPr>
                <w:rFonts w:ascii="宋体" w:hAnsi="宋体"/>
                <w:color w:val="auto"/>
                <w:highlight w:val="none"/>
              </w:rPr>
            </w:pPr>
            <w:r>
              <w:rPr>
                <w:rFonts w:hint="eastAsia" w:ascii="宋体" w:hAnsi="宋体"/>
                <w:color w:val="auto"/>
                <w:sz w:val="21"/>
                <w:szCs w:val="21"/>
                <w:highlight w:val="none"/>
              </w:rPr>
              <w:t>对本项目的理解</w:t>
            </w:r>
          </w:p>
        </w:tc>
        <w:tc>
          <w:tcPr>
            <w:tcW w:w="659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textAlignment w:val="auto"/>
              <w:rPr>
                <w:color w:val="auto"/>
                <w:highlight w:val="none"/>
              </w:rPr>
            </w:pPr>
            <w:r>
              <w:rPr>
                <w:rFonts w:hint="eastAsia" w:ascii="宋体" w:hAnsi="宋体" w:cs="宋体"/>
                <w:color w:val="auto"/>
                <w:sz w:val="21"/>
                <w:szCs w:val="21"/>
                <w:highlight w:val="none"/>
              </w:rPr>
              <w:t>根据供应商对本项目理解情况，对项目现状和需求描述的全面性、准确性、针对性进行评分</w:t>
            </w:r>
            <w:r>
              <w:rPr>
                <w:rFonts w:hint="eastAsia" w:ascii="宋体" w:hAnsi="宋体" w:cs="宋体"/>
                <w:color w:val="auto"/>
                <w:sz w:val="21"/>
                <w:szCs w:val="21"/>
                <w:highlight w:val="none"/>
                <w:lang w:eastAsia="zh-CN"/>
              </w:rPr>
              <w:t>。</w:t>
            </w:r>
            <w:r>
              <w:rPr>
                <w:rFonts w:hint="eastAsia" w:ascii="宋体" w:hAnsi="宋体" w:cs="宋体"/>
                <w:b w:val="0"/>
                <w:bCs w:val="0"/>
                <w:color w:val="auto"/>
                <w:sz w:val="21"/>
                <w:szCs w:val="21"/>
                <w:highlight w:val="none"/>
                <w:lang w:val="en-US" w:eastAsia="zh-CN"/>
              </w:rPr>
              <w:t>一档得5分；二档4.5分；三档4分；四档3.5分；五档3分；六档2.5分；七档2分；八档1.5分；九档1分，未提供得0分。</w:t>
            </w:r>
          </w:p>
        </w:tc>
        <w:tc>
          <w:tcPr>
            <w:tcW w:w="712" w:type="dxa"/>
            <w:tcBorders>
              <w:bottom w:val="single" w:color="auto" w:sz="4" w:space="0"/>
              <w:right w:val="single" w:color="auto" w:sz="4" w:space="0"/>
            </w:tcBorders>
            <w:noWrap w:val="0"/>
            <w:vAlign w:val="center"/>
          </w:tcPr>
          <w:p>
            <w:pPr>
              <w:widowControl/>
              <w:jc w:val="center"/>
              <w:rPr>
                <w:rFonts w:hint="eastAsia" w:ascii="宋体" w:hAnsi="宋体" w:eastAsia="宋体"/>
                <w:color w:val="auto"/>
                <w:highlight w:val="none"/>
                <w:lang w:eastAsia="zh-CN"/>
              </w:rPr>
            </w:pPr>
            <w:r>
              <w:rPr>
                <w:rFonts w:hint="eastAsia" w:ascii="宋体" w:hAnsi="宋体" w:cs="宋体"/>
                <w:b w:val="0"/>
                <w:bCs w:val="0"/>
                <w:color w:val="000000"/>
                <w:sz w:val="21"/>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9" w:hRule="atLeast"/>
        </w:trPr>
        <w:tc>
          <w:tcPr>
            <w:tcW w:w="468" w:type="dxa"/>
            <w:vMerge w:val="restart"/>
            <w:tcBorders>
              <w:top w:val="single" w:color="auto" w:sz="4" w:space="0"/>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8</w:t>
            </w:r>
          </w:p>
        </w:tc>
        <w:tc>
          <w:tcPr>
            <w:tcW w:w="1561" w:type="dxa"/>
            <w:vMerge w:val="restart"/>
            <w:tcBorders>
              <w:top w:val="single" w:color="auto" w:sz="4" w:space="0"/>
              <w:left w:val="single" w:color="auto" w:sz="4" w:space="0"/>
            </w:tcBorders>
            <w:noWrap w:val="0"/>
            <w:vAlign w:val="center"/>
          </w:tcPr>
          <w:p>
            <w:pPr>
              <w:rPr>
                <w:rFonts w:hint="eastAsia" w:ascii="宋体" w:hAnsi="宋体" w:eastAsia="宋体"/>
                <w:color w:val="auto"/>
                <w:highlight w:val="none"/>
                <w:lang w:eastAsia="zh-CN"/>
              </w:rPr>
            </w:pPr>
            <w:r>
              <w:rPr>
                <w:rFonts w:hint="eastAsia" w:ascii="宋体" w:hAnsi="宋体" w:eastAsia="宋体" w:cs="宋体"/>
                <w:color w:val="000000"/>
                <w:kern w:val="0"/>
                <w:szCs w:val="21"/>
                <w:highlight w:val="none"/>
              </w:rPr>
              <w:t>项目</w:t>
            </w:r>
            <w:r>
              <w:rPr>
                <w:rFonts w:hint="eastAsia" w:ascii="宋体" w:hAnsi="宋体" w:cs="宋体"/>
                <w:color w:val="000000"/>
                <w:kern w:val="0"/>
                <w:szCs w:val="21"/>
                <w:highlight w:val="none"/>
                <w:lang w:val="en-US" w:eastAsia="zh-CN"/>
              </w:rPr>
              <w:t>实施</w:t>
            </w:r>
            <w:r>
              <w:rPr>
                <w:rFonts w:hint="eastAsia" w:ascii="宋体" w:hAnsi="宋体" w:eastAsia="宋体" w:cs="宋体"/>
                <w:color w:val="000000"/>
                <w:kern w:val="0"/>
                <w:szCs w:val="21"/>
                <w:highlight w:val="none"/>
              </w:rPr>
              <w:t>方案</w:t>
            </w:r>
          </w:p>
        </w:tc>
        <w:tc>
          <w:tcPr>
            <w:tcW w:w="6595" w:type="dxa"/>
            <w:tcBorders>
              <w:bottom w:val="single" w:color="auto" w:sz="4" w:space="0"/>
              <w:right w:val="single" w:color="auto" w:sz="4" w:space="0"/>
            </w:tcBorders>
            <w:noWrap w:val="0"/>
            <w:vAlign w:val="center"/>
          </w:tcPr>
          <w:p>
            <w:pPr>
              <w:autoSpaceDE w:val="0"/>
              <w:autoSpaceDN w:val="0"/>
              <w:adjustRightInd w:val="0"/>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根据投标人针对本项目提供的项目整体方案，包括整个项目的进度计划、质量计划、体系架构、功能模块、实现思路、管理平台对接的关键技术等内容进行综合打分。</w:t>
            </w:r>
          </w:p>
          <w:p>
            <w:pPr>
              <w:autoSpaceDE w:val="0"/>
              <w:autoSpaceDN w:val="0"/>
              <w:adjustRightInd w:val="0"/>
              <w:jc w:val="left"/>
              <w:rPr>
                <w:rFonts w:hint="eastAsia" w:ascii="宋体" w:hAnsi="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一档得5分；二档4.5分；三档4分；四档3.5分；五档3分；六档2.5分；七档2分；八档1.5分；九档1分，未提供得0分。</w:t>
            </w:r>
          </w:p>
        </w:tc>
        <w:tc>
          <w:tcPr>
            <w:tcW w:w="712" w:type="dxa"/>
            <w:tcBorders>
              <w:bottom w:val="single" w:color="auto" w:sz="4" w:space="0"/>
              <w:right w:val="single" w:color="auto" w:sz="4" w:space="0"/>
            </w:tcBorders>
            <w:noWrap w:val="0"/>
            <w:vAlign w:val="center"/>
          </w:tcPr>
          <w:p>
            <w:pPr>
              <w:widowControl/>
              <w:jc w:val="center"/>
              <w:rPr>
                <w:rFonts w:hint="eastAsia" w:ascii="宋体" w:hAnsi="宋体"/>
                <w:color w:val="auto"/>
                <w:highlight w:val="none"/>
                <w:lang w:val="en-US" w:eastAsia="zh-CN"/>
              </w:rPr>
            </w:pPr>
            <w:r>
              <w:rPr>
                <w:rFonts w:hint="eastAsia" w:ascii="宋体" w:hAnsi="宋体" w:cs="宋体"/>
                <w:b w:val="0"/>
                <w:bCs w:val="0"/>
                <w:color w:val="000000"/>
                <w:sz w:val="21"/>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9" w:hRule="atLeast"/>
        </w:trPr>
        <w:tc>
          <w:tcPr>
            <w:tcW w:w="468" w:type="dxa"/>
            <w:vMerge w:val="continue"/>
            <w:tcBorders>
              <w:left w:val="single" w:color="auto" w:sz="4" w:space="0"/>
            </w:tcBorders>
            <w:noWrap w:val="0"/>
            <w:vAlign w:val="center"/>
          </w:tcPr>
          <w:p>
            <w:pPr>
              <w:jc w:val="center"/>
              <w:rPr>
                <w:rFonts w:hint="eastAsia" w:ascii="宋体" w:hAnsi="宋体"/>
                <w:color w:val="auto"/>
                <w:highlight w:val="none"/>
                <w:lang w:val="en-US" w:eastAsia="zh-CN"/>
              </w:rPr>
            </w:pPr>
          </w:p>
        </w:tc>
        <w:tc>
          <w:tcPr>
            <w:tcW w:w="1561" w:type="dxa"/>
            <w:vMerge w:val="continue"/>
            <w:tcBorders>
              <w:lef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color w:val="auto"/>
                <w:sz w:val="21"/>
                <w:szCs w:val="21"/>
                <w:highlight w:val="none"/>
              </w:rPr>
            </w:pPr>
          </w:p>
        </w:tc>
        <w:tc>
          <w:tcPr>
            <w:tcW w:w="6595" w:type="dxa"/>
            <w:tcBorders>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根据投标人提供的应急方案（包括服务保障应急预案、对可能遇到的问题及其应对措施的考虑、故障处理的组织和联系机制）进行评分：</w:t>
            </w:r>
          </w:p>
          <w:p>
            <w:pPr>
              <w:widowControl/>
              <w:jc w:val="left"/>
              <w:rPr>
                <w:rFonts w:hint="eastAsia" w:ascii="宋体" w:hAnsi="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一档得5分；二档4.5分；三档4分；四档3.5分；五档3分；六档2.5分；七档2分；八档1.5分；九档1分，未提供得0分。</w:t>
            </w:r>
          </w:p>
        </w:tc>
        <w:tc>
          <w:tcPr>
            <w:tcW w:w="712" w:type="dxa"/>
            <w:tcBorders>
              <w:bottom w:val="single" w:color="auto" w:sz="4" w:space="0"/>
              <w:right w:val="single" w:color="auto" w:sz="4" w:space="0"/>
            </w:tcBorders>
            <w:noWrap w:val="0"/>
            <w:vAlign w:val="center"/>
          </w:tcPr>
          <w:p>
            <w:pPr>
              <w:widowControl/>
              <w:jc w:val="center"/>
              <w:rPr>
                <w:rFonts w:hint="eastAsia" w:ascii="宋体" w:hAnsi="宋体"/>
                <w:color w:val="auto"/>
                <w:highlight w:val="none"/>
                <w:lang w:val="en-US" w:eastAsia="zh-CN"/>
              </w:rPr>
            </w:pPr>
            <w:r>
              <w:rPr>
                <w:rFonts w:hint="eastAsia" w:ascii="宋体" w:hAnsi="宋体" w:cs="宋体"/>
                <w:b w:val="0"/>
                <w:bCs w:val="0"/>
                <w:color w:val="000000"/>
                <w:kern w:val="2"/>
                <w:sz w:val="21"/>
                <w:szCs w:val="21"/>
                <w:highlight w:val="none"/>
                <w:lang w:val="en-US" w:eastAsia="zh-CN" w:bidi="ar-SA"/>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468" w:type="dxa"/>
            <w:vMerge w:val="continue"/>
            <w:tcBorders>
              <w:left w:val="single" w:color="auto" w:sz="4" w:space="0"/>
            </w:tcBorders>
            <w:noWrap w:val="0"/>
            <w:vAlign w:val="center"/>
          </w:tcPr>
          <w:p>
            <w:pPr>
              <w:jc w:val="center"/>
              <w:rPr>
                <w:rFonts w:hint="eastAsia" w:ascii="宋体" w:hAnsi="宋体"/>
                <w:color w:val="auto"/>
                <w:highlight w:val="none"/>
                <w:lang w:val="en-US" w:eastAsia="zh-CN"/>
              </w:rPr>
            </w:pPr>
          </w:p>
        </w:tc>
        <w:tc>
          <w:tcPr>
            <w:tcW w:w="1561" w:type="dxa"/>
            <w:vMerge w:val="continue"/>
            <w:tcBorders>
              <w:left w:val="single" w:color="auto" w:sz="4" w:space="0"/>
            </w:tcBorders>
            <w:noWrap w:val="0"/>
            <w:vAlign w:val="center"/>
          </w:tcPr>
          <w:p>
            <w:pPr>
              <w:rPr>
                <w:rFonts w:hint="eastAsia" w:ascii="宋体" w:hAnsi="宋体" w:cs="宋体"/>
                <w:b w:val="0"/>
                <w:bCs/>
                <w:color w:val="auto"/>
                <w:sz w:val="21"/>
                <w:szCs w:val="21"/>
                <w:highlight w:val="none"/>
                <w:lang w:eastAsia="zh-CN"/>
              </w:rPr>
            </w:pPr>
          </w:p>
        </w:tc>
        <w:tc>
          <w:tcPr>
            <w:tcW w:w="6595" w:type="dxa"/>
            <w:tcBorders>
              <w:top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w:t>
            </w:r>
            <w:r>
              <w:rPr>
                <w:rFonts w:hint="eastAsia" w:ascii="宋体" w:hAnsi="宋体" w:cs="宋体"/>
                <w:color w:val="auto"/>
                <w:sz w:val="21"/>
                <w:szCs w:val="21"/>
                <w:highlight w:val="none"/>
                <w:lang w:eastAsia="zh-CN"/>
              </w:rPr>
              <w:t>提供的空间布局，对空间布局的合理性、使用效率、人流动线流畅合理性进行评分。</w:t>
            </w:r>
            <w:r>
              <w:rPr>
                <w:rFonts w:hint="eastAsia" w:ascii="宋体" w:hAnsi="宋体" w:cs="宋体"/>
                <w:b w:val="0"/>
                <w:bCs w:val="0"/>
                <w:color w:val="auto"/>
                <w:sz w:val="21"/>
                <w:szCs w:val="21"/>
                <w:highlight w:val="none"/>
                <w:lang w:val="en-US" w:eastAsia="zh-CN"/>
              </w:rPr>
              <w:t>一档5分；二档4.5分；三档4分；四档3.5分；五档3分；六档2.5分；七档2分；八档1.5分；九档1分，未提供得0分。</w:t>
            </w:r>
          </w:p>
        </w:tc>
        <w:tc>
          <w:tcPr>
            <w:tcW w:w="712" w:type="dxa"/>
            <w:tcBorders>
              <w:top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468" w:type="dxa"/>
            <w:tcBorders>
              <w:left w:val="single" w:color="auto" w:sz="4" w:space="0"/>
              <w:bottom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9</w:t>
            </w:r>
          </w:p>
        </w:tc>
        <w:tc>
          <w:tcPr>
            <w:tcW w:w="1561" w:type="dxa"/>
            <w:tcBorders>
              <w:left w:val="single" w:color="auto" w:sz="4" w:space="0"/>
              <w:bottom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项目重难点分析</w:t>
            </w:r>
          </w:p>
        </w:tc>
        <w:tc>
          <w:tcPr>
            <w:tcW w:w="6595" w:type="dxa"/>
            <w:tcBorders>
              <w:top w:val="single" w:color="auto" w:sz="4" w:space="0"/>
              <w:right w:val="single" w:color="auto" w:sz="4" w:space="0"/>
            </w:tcBorders>
            <w:noWrap w:val="0"/>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Hans"/>
              </w:rPr>
              <w:t>根据投标人对本项目实施的重点、难点的把握，</w:t>
            </w:r>
            <w:r>
              <w:rPr>
                <w:rFonts w:hint="eastAsia" w:ascii="宋体" w:hAnsi="宋体" w:cs="宋体"/>
                <w:kern w:val="0"/>
                <w:sz w:val="21"/>
                <w:szCs w:val="21"/>
              </w:rPr>
              <w:t>解决方案及合理化建议</w:t>
            </w:r>
            <w:r>
              <w:rPr>
                <w:rFonts w:hint="eastAsia" w:ascii="宋体" w:hAnsi="宋体" w:eastAsia="宋体" w:cs="宋体"/>
                <w:color w:val="auto"/>
                <w:sz w:val="21"/>
                <w:szCs w:val="21"/>
                <w:highlight w:val="none"/>
                <w:lang w:eastAsia="zh-Hans"/>
              </w:rPr>
              <w:t>进行打分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一档</w:t>
            </w:r>
            <w:r>
              <w:rPr>
                <w:rFonts w:hint="eastAsia" w:ascii="宋体" w:hAnsi="宋体" w:eastAsia="宋体" w:cs="宋体"/>
                <w:b w:val="0"/>
                <w:bCs w:val="0"/>
                <w:color w:val="auto"/>
                <w:sz w:val="21"/>
                <w:szCs w:val="21"/>
                <w:highlight w:val="none"/>
                <w:lang w:val="en-US" w:eastAsia="zh-CN"/>
              </w:rPr>
              <w:t>得</w:t>
            </w:r>
            <w:r>
              <w:rPr>
                <w:rFonts w:hint="eastAsia" w:ascii="宋体" w:hAnsi="宋体" w:eastAsia="宋体" w:cs="宋体"/>
                <w:color w:val="auto"/>
                <w:sz w:val="21"/>
                <w:szCs w:val="21"/>
                <w:highlight w:val="none"/>
                <w:lang w:val="en-US" w:eastAsia="zh-CN"/>
              </w:rPr>
              <w:t>5分；二档4.5分；三档4分；四档3.5分；五档3分；六档2.5分；七档2分；八档1.5分；九档1分，未提供得0分。</w:t>
            </w:r>
          </w:p>
        </w:tc>
        <w:tc>
          <w:tcPr>
            <w:tcW w:w="712" w:type="dxa"/>
            <w:tcBorders>
              <w:top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468" w:type="dxa"/>
            <w:tcBorders>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10</w:t>
            </w:r>
          </w:p>
        </w:tc>
        <w:tc>
          <w:tcPr>
            <w:tcW w:w="1561" w:type="dxa"/>
            <w:tcBorders>
              <w:left w:val="single" w:color="auto" w:sz="4" w:space="0"/>
            </w:tcBorders>
            <w:noWrap w:val="0"/>
            <w:vAlign w:val="center"/>
          </w:tcPr>
          <w:p>
            <w:pPr>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安装工艺</w:t>
            </w:r>
          </w:p>
        </w:tc>
        <w:tc>
          <w:tcPr>
            <w:tcW w:w="6595" w:type="dxa"/>
            <w:tcBorders>
              <w:top w:val="single" w:color="auto" w:sz="4" w:space="0"/>
              <w:right w:val="single" w:color="auto" w:sz="4" w:space="0"/>
            </w:tcBorders>
            <w:noWrap w:val="0"/>
            <w:vAlign w:val="center"/>
          </w:tcPr>
          <w:p>
            <w:pPr>
              <w:jc w:val="left"/>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安装工艺技术方案及保障。根据项目具体施工内容，提出相应的</w:t>
            </w:r>
            <w:r>
              <w:rPr>
                <w:rFonts w:hint="eastAsia" w:ascii="宋体" w:hAnsi="宋体" w:eastAsia="宋体" w:cs="宋体"/>
                <w:color w:val="auto"/>
                <w:sz w:val="21"/>
                <w:szCs w:val="21"/>
                <w:highlight w:val="none"/>
                <w:lang w:eastAsia="zh-CN"/>
              </w:rPr>
              <w:t>安装</w:t>
            </w:r>
            <w:r>
              <w:rPr>
                <w:rFonts w:hint="eastAsia" w:ascii="宋体" w:hAnsi="宋体" w:eastAsia="宋体" w:cs="宋体"/>
                <w:color w:val="auto"/>
                <w:sz w:val="21"/>
                <w:szCs w:val="21"/>
                <w:highlight w:val="none"/>
                <w:lang w:eastAsia="zh-Hans"/>
              </w:rPr>
              <w:t>工艺（包括不限于艺术品、灯箱、展板、多媒体等</w:t>
            </w:r>
            <w:r>
              <w:rPr>
                <w:rFonts w:hint="eastAsia" w:ascii="宋体" w:hAnsi="宋体" w:eastAsia="宋体" w:cs="宋体"/>
                <w:color w:val="auto"/>
                <w:sz w:val="21"/>
                <w:szCs w:val="21"/>
                <w:highlight w:val="none"/>
                <w:lang w:eastAsia="zh-CN"/>
              </w:rPr>
              <w:t>安装</w:t>
            </w:r>
            <w:r>
              <w:rPr>
                <w:rFonts w:hint="eastAsia" w:ascii="宋体" w:hAnsi="宋体" w:eastAsia="宋体" w:cs="宋体"/>
                <w:color w:val="auto"/>
                <w:sz w:val="21"/>
                <w:szCs w:val="21"/>
                <w:highlight w:val="none"/>
                <w:lang w:eastAsia="zh-Hans"/>
              </w:rPr>
              <w:t>工艺），确保</w:t>
            </w:r>
            <w:r>
              <w:rPr>
                <w:rFonts w:hint="eastAsia" w:ascii="宋体" w:hAnsi="宋体" w:eastAsia="宋体" w:cs="宋体"/>
                <w:color w:val="auto"/>
                <w:sz w:val="21"/>
                <w:szCs w:val="21"/>
                <w:highlight w:val="none"/>
                <w:lang w:eastAsia="zh-CN"/>
              </w:rPr>
              <w:t>满足</w:t>
            </w:r>
            <w:r>
              <w:rPr>
                <w:rFonts w:hint="eastAsia" w:ascii="宋体" w:hAnsi="宋体" w:eastAsia="宋体" w:cs="宋体"/>
                <w:color w:val="auto"/>
                <w:sz w:val="21"/>
                <w:szCs w:val="21"/>
                <w:highlight w:val="none"/>
                <w:lang w:eastAsia="zh-Hans"/>
              </w:rPr>
              <w:t>质量要求，进行综合评议评分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一档</w:t>
            </w:r>
            <w:r>
              <w:rPr>
                <w:rFonts w:hint="eastAsia" w:ascii="宋体" w:hAnsi="宋体" w:eastAsia="宋体" w:cs="宋体"/>
                <w:b w:val="0"/>
                <w:bCs w:val="0"/>
                <w:color w:val="auto"/>
                <w:sz w:val="21"/>
                <w:szCs w:val="21"/>
                <w:highlight w:val="none"/>
                <w:lang w:val="en-US" w:eastAsia="zh-CN"/>
              </w:rPr>
              <w:t>得</w:t>
            </w:r>
            <w:r>
              <w:rPr>
                <w:rFonts w:hint="eastAsia" w:ascii="宋体" w:hAnsi="宋体" w:eastAsia="宋体" w:cs="宋体"/>
                <w:color w:val="auto"/>
                <w:sz w:val="21"/>
                <w:szCs w:val="21"/>
                <w:highlight w:val="none"/>
                <w:lang w:val="en-US" w:eastAsia="zh-CN"/>
              </w:rPr>
              <w:t>5分；二档4.5分；三档4分；四档3.5分；五档3分；六档2.5分；七档2分；八档1.5分；九档1分，未提供得0分。</w:t>
            </w:r>
          </w:p>
        </w:tc>
        <w:tc>
          <w:tcPr>
            <w:tcW w:w="712" w:type="dxa"/>
            <w:tcBorders>
              <w:top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468" w:type="dxa"/>
            <w:tcBorders>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11</w:t>
            </w:r>
          </w:p>
        </w:tc>
        <w:tc>
          <w:tcPr>
            <w:tcW w:w="1561" w:type="dxa"/>
            <w:tcBorders>
              <w:left w:val="single" w:color="auto" w:sz="4" w:space="0"/>
            </w:tcBorders>
            <w:noWrap w:val="0"/>
            <w:vAlign w:val="center"/>
          </w:tcPr>
          <w:p>
            <w:pPr>
              <w:widowControl/>
              <w:jc w:val="left"/>
              <w:rPr>
                <w:rFonts w:hint="eastAsia" w:ascii="宋体" w:hAnsi="宋体" w:cs="宋体"/>
                <w:b w:val="0"/>
                <w:bCs/>
                <w:color w:val="auto"/>
                <w:sz w:val="21"/>
                <w:szCs w:val="21"/>
                <w:highlight w:val="none"/>
                <w:lang w:val="en-US" w:eastAsia="zh-CN"/>
              </w:rPr>
            </w:pPr>
            <w:r>
              <w:rPr>
                <w:rFonts w:hint="eastAsia" w:ascii="宋体" w:hAnsi="宋体" w:eastAsia="宋体" w:cs="宋体"/>
                <w:color w:val="000000"/>
                <w:kern w:val="0"/>
                <w:sz w:val="21"/>
                <w:szCs w:val="21"/>
                <w:highlight w:val="none"/>
              </w:rPr>
              <w:t>培训方案</w:t>
            </w:r>
          </w:p>
        </w:tc>
        <w:tc>
          <w:tcPr>
            <w:tcW w:w="6595"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根据投标人的技术培训及技术支持承诺、人员培训计划的合理性、承诺免费培训课程情况、培训时间、培训方案的科学性、完整性、先进性、可行性进行综合打分。</w:t>
            </w:r>
          </w:p>
          <w:p>
            <w:pPr>
              <w:widowControl/>
              <w:jc w:val="left"/>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val="en-US" w:eastAsia="zh-CN"/>
              </w:rPr>
              <w:t>一档</w:t>
            </w:r>
            <w:r>
              <w:rPr>
                <w:rFonts w:hint="eastAsia" w:ascii="宋体" w:hAnsi="宋体" w:eastAsia="宋体" w:cs="宋体"/>
                <w:b w:val="0"/>
                <w:bCs w:val="0"/>
                <w:color w:val="auto"/>
                <w:sz w:val="21"/>
                <w:szCs w:val="21"/>
                <w:highlight w:val="none"/>
                <w:lang w:val="en-US" w:eastAsia="zh-CN"/>
              </w:rPr>
              <w:t>得</w:t>
            </w:r>
            <w:r>
              <w:rPr>
                <w:rFonts w:hint="eastAsia" w:ascii="宋体" w:hAnsi="宋体" w:eastAsia="宋体" w:cs="宋体"/>
                <w:color w:val="auto"/>
                <w:sz w:val="21"/>
                <w:szCs w:val="21"/>
                <w:highlight w:val="none"/>
                <w:lang w:val="en-US" w:eastAsia="zh-CN"/>
              </w:rPr>
              <w:t>5分；二档4.5分；三档4分；四档3.5分；五档3分；六档2.5分；七档2分；八档1.5分；九档1分，未提供得0分。</w:t>
            </w:r>
          </w:p>
        </w:tc>
        <w:tc>
          <w:tcPr>
            <w:tcW w:w="712" w:type="dxa"/>
            <w:tcBorders>
              <w:top w:val="single" w:color="auto" w:sz="4" w:space="0"/>
              <w:bottom w:val="single" w:color="auto" w:sz="4" w:space="0"/>
              <w:righ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468" w:type="dxa"/>
            <w:vMerge w:val="restart"/>
            <w:tcBorders>
              <w:left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12</w:t>
            </w:r>
          </w:p>
        </w:tc>
        <w:tc>
          <w:tcPr>
            <w:tcW w:w="1561" w:type="dxa"/>
            <w:vMerge w:val="restart"/>
            <w:tcBorders>
              <w:left w:val="single" w:color="auto" w:sz="4" w:space="0"/>
            </w:tcBorders>
            <w:noWrap w:val="0"/>
            <w:vAlign w:val="center"/>
          </w:tcPr>
          <w:p>
            <w:pPr>
              <w:spacing w:line="400" w:lineRule="exact"/>
              <w:jc w:val="center"/>
              <w:rPr>
                <w:rFonts w:hint="eastAsia" w:ascii="宋体" w:hAnsi="宋体" w:eastAsia="宋体" w:cs="宋体"/>
                <w:color w:val="000000"/>
                <w:kern w:val="0"/>
                <w:sz w:val="21"/>
                <w:szCs w:val="21"/>
                <w:highlight w:val="none"/>
              </w:rPr>
            </w:pPr>
            <w:r>
              <w:rPr>
                <w:rFonts w:hint="eastAsia" w:ascii="宋体" w:hAnsi="宋体" w:cs="宋体"/>
                <w:color w:val="000000"/>
                <w:kern w:val="0"/>
              </w:rPr>
              <w:t>多媒体演示</w:t>
            </w:r>
          </w:p>
        </w:tc>
        <w:tc>
          <w:tcPr>
            <w:tcW w:w="7307" w:type="dxa"/>
            <w:gridSpan w:val="2"/>
            <w:tcBorders>
              <w:top w:val="single" w:color="auto" w:sz="4" w:space="0"/>
              <w:bottom w:val="single" w:color="auto" w:sz="4" w:space="0"/>
              <w:right w:val="single" w:color="auto" w:sz="4" w:space="0"/>
            </w:tcBorders>
            <w:noWrap w:val="0"/>
            <w:vAlign w:val="center"/>
          </w:tcPr>
          <w:p>
            <w:pPr>
              <w:jc w:val="left"/>
              <w:rPr>
                <w:rFonts w:hint="eastAsia" w:ascii="宋体" w:hAnsi="宋体"/>
                <w:color w:val="auto"/>
                <w:highlight w:val="none"/>
                <w:lang w:val="en-US" w:eastAsia="zh-CN"/>
              </w:rPr>
            </w:pPr>
            <w:r>
              <w:rPr>
                <w:rFonts w:hint="eastAsia" w:ascii="宋体" w:hAnsi="宋体" w:cs="宋体"/>
                <w:b/>
                <w:bCs/>
              </w:rPr>
              <w:t>投标人需要提供以下演示内容视频，视频时长不超过15分钟。根据提供的演示内容进行打分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468" w:type="dxa"/>
            <w:vMerge w:val="continue"/>
            <w:tcBorders>
              <w:left w:val="single" w:color="auto" w:sz="4" w:space="0"/>
            </w:tcBorders>
            <w:noWrap w:val="0"/>
            <w:vAlign w:val="center"/>
          </w:tcPr>
          <w:p>
            <w:pPr>
              <w:jc w:val="center"/>
              <w:rPr>
                <w:rFonts w:hint="eastAsia" w:ascii="宋体" w:hAnsi="宋体"/>
                <w:color w:val="auto"/>
                <w:highlight w:val="none"/>
                <w:lang w:val="en-US" w:eastAsia="zh-CN"/>
              </w:rPr>
            </w:pPr>
          </w:p>
        </w:tc>
        <w:tc>
          <w:tcPr>
            <w:tcW w:w="1561" w:type="dxa"/>
            <w:vMerge w:val="continue"/>
            <w:tcBorders>
              <w:left w:val="single" w:color="auto" w:sz="4" w:space="0"/>
            </w:tcBorders>
            <w:noWrap w:val="0"/>
            <w:vAlign w:val="center"/>
          </w:tcPr>
          <w:p>
            <w:pPr>
              <w:spacing w:line="400" w:lineRule="exact"/>
              <w:jc w:val="center"/>
              <w:rPr>
                <w:rFonts w:hint="eastAsia" w:ascii="宋体" w:hAnsi="宋体" w:eastAsia="宋体" w:cs="宋体"/>
                <w:color w:val="000000"/>
                <w:kern w:val="0"/>
                <w:sz w:val="21"/>
                <w:szCs w:val="21"/>
                <w:highlight w:val="none"/>
              </w:rPr>
            </w:pPr>
          </w:p>
        </w:tc>
        <w:tc>
          <w:tcPr>
            <w:tcW w:w="6595" w:type="dxa"/>
            <w:tcBorders>
              <w:top w:val="single" w:color="auto" w:sz="4" w:space="0"/>
              <w:right w:val="single" w:color="auto" w:sz="4" w:space="0"/>
            </w:tcBorders>
            <w:noWrap w:val="0"/>
            <w:vAlign w:val="center"/>
          </w:tcPr>
          <w:p>
            <w:pPr>
              <w:rPr>
                <w:rFonts w:ascii="宋体" w:hAnsi="宋体" w:cs="宋体"/>
                <w:b/>
              </w:rPr>
            </w:pPr>
            <w:r>
              <w:rPr>
                <w:rFonts w:hint="eastAsia" w:ascii="宋体" w:hAnsi="宋体" w:cs="宋体"/>
                <w:b/>
              </w:rPr>
              <w:t>多媒体演示内容：</w:t>
            </w:r>
          </w:p>
          <w:p>
            <w:pPr>
              <w:rPr>
                <w:rFonts w:hint="eastAsia" w:ascii="宋体" w:hAnsi="宋体" w:cs="宋体"/>
              </w:rPr>
            </w:pPr>
            <w:r>
              <w:rPr>
                <w:rFonts w:hint="eastAsia" w:ascii="宋体" w:hAnsi="宋体" w:cs="宋体"/>
              </w:rPr>
              <w:t>根据投标人对采购设备以及配套设施在展厅中应用效果评分：</w:t>
            </w:r>
          </w:p>
          <w:p>
            <w:pPr>
              <w:rPr>
                <w:rFonts w:hint="eastAsia" w:ascii="宋体" w:hAnsi="宋体" w:cs="宋体"/>
              </w:rPr>
            </w:pPr>
            <w:r>
              <w:rPr>
                <w:rFonts w:hint="eastAsia" w:ascii="宋体" w:hAnsi="宋体" w:cs="宋体"/>
              </w:rPr>
              <w:t>（1）采购设备的应用：</w:t>
            </w:r>
          </w:p>
          <w:p>
            <w:pPr>
              <w:rPr>
                <w:rFonts w:hint="eastAsia" w:ascii="宋体" w:hAnsi="宋体" w:cs="宋体"/>
              </w:rPr>
            </w:pPr>
            <w:r>
              <w:rPr>
                <w:rFonts w:hint="eastAsia" w:ascii="宋体" w:hAnsi="宋体" w:cs="宋体"/>
              </w:rPr>
              <w:t>一档得3分；二档2.5分；三档2分；四档1.5分；五档1分，未提供得0分。</w:t>
            </w:r>
          </w:p>
          <w:p>
            <w:pPr>
              <w:rPr>
                <w:rFonts w:hint="eastAsia" w:ascii="宋体" w:hAnsi="宋体" w:cs="宋体"/>
              </w:rPr>
            </w:pPr>
            <w:r>
              <w:rPr>
                <w:rFonts w:hint="eastAsia" w:ascii="宋体" w:hAnsi="宋体" w:cs="宋体"/>
              </w:rPr>
              <w:t>（2）配套设施的应用：</w:t>
            </w:r>
          </w:p>
          <w:p>
            <w:pPr>
              <w:rPr>
                <w:rFonts w:hint="eastAsia" w:ascii="宋体" w:hAnsi="宋体" w:eastAsia="宋体" w:cs="宋体"/>
                <w:color w:val="auto"/>
                <w:sz w:val="21"/>
                <w:szCs w:val="21"/>
                <w:highlight w:val="none"/>
                <w:lang w:val="en-US" w:eastAsia="zh-CN"/>
              </w:rPr>
            </w:pPr>
            <w:r>
              <w:rPr>
                <w:rFonts w:hint="eastAsia" w:ascii="宋体" w:hAnsi="宋体" w:cs="宋体"/>
              </w:rPr>
              <w:t>一档2分；二档1.5分；三档1分，未提供得0分。</w:t>
            </w:r>
          </w:p>
        </w:tc>
        <w:tc>
          <w:tcPr>
            <w:tcW w:w="712" w:type="dxa"/>
            <w:tcBorders>
              <w:top w:val="single" w:color="auto" w:sz="4" w:space="0"/>
              <w:right w:val="single" w:color="auto" w:sz="4" w:space="0"/>
            </w:tcBorders>
            <w:noWrap w:val="0"/>
            <w:vAlign w:val="center"/>
          </w:tcPr>
          <w:p>
            <w:pPr>
              <w:jc w:val="center"/>
              <w:rPr>
                <w:rFonts w:hint="eastAsia" w:ascii="宋体" w:hAnsi="宋体" w:eastAsia="宋体"/>
                <w:color w:val="auto"/>
                <w:highlight w:val="none"/>
                <w:lang w:val="en-US" w:eastAsia="zh-CN"/>
              </w:rPr>
            </w:pPr>
            <w:r>
              <w:rPr>
                <w:rFonts w:hint="eastAsia" w:ascii="宋体" w:hAnsi="宋体"/>
                <w:highlight w:val="none"/>
                <w:lang w:val="en-US" w:eastAsia="zh-CN"/>
              </w:rPr>
              <w:t>5</w:t>
            </w:r>
          </w:p>
        </w:tc>
      </w:tr>
    </w:tbl>
    <w:p>
      <w:pPr>
        <w:pStyle w:val="4"/>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kern w:val="2"/>
          <w:sz w:val="21"/>
          <w:szCs w:val="21"/>
          <w:lang w:val="zh-CN" w:eastAsia="zh-CN" w:bidi="ar-SA"/>
        </w:rPr>
      </w:pPr>
      <w:r>
        <w:rPr>
          <w:rFonts w:hint="eastAsia" w:ascii="宋体" w:hAnsi="宋体" w:eastAsia="宋体" w:cs="宋体"/>
          <w:kern w:val="2"/>
          <w:sz w:val="21"/>
          <w:szCs w:val="21"/>
          <w:lang w:val="zh-CN" w:eastAsia="zh-CN" w:bidi="ar-SA"/>
        </w:rPr>
        <w:t>注：演示资料提交要求：需提供的视频演示资料U盘一份</w:t>
      </w:r>
      <w:r>
        <w:rPr>
          <w:rFonts w:hint="eastAsia" w:ascii="宋体" w:hAnsi="宋体" w:cs="宋体"/>
          <w:kern w:val="2"/>
          <w:sz w:val="21"/>
          <w:szCs w:val="21"/>
          <w:lang w:val="zh-CN" w:eastAsia="zh-CN" w:bidi="ar-SA"/>
        </w:rPr>
        <w:t>。</w:t>
      </w:r>
      <w:r>
        <w:rPr>
          <w:rFonts w:hint="eastAsia" w:ascii="宋体" w:hAnsi="宋体" w:eastAsia="宋体" w:cs="宋体"/>
          <w:kern w:val="2"/>
          <w:sz w:val="21"/>
          <w:szCs w:val="21"/>
          <w:lang w:val="zh-CN" w:eastAsia="zh-CN" w:bidi="ar-SA"/>
        </w:rPr>
        <w:t>演示资料单独密封包装，包装（内或外）封口应加盖单位公章，封口处应由授权人用记号笔签字，外包装上需写明编号、项目名称及响应公司全称</w:t>
      </w:r>
      <w:r>
        <w:rPr>
          <w:rFonts w:hint="eastAsia" w:ascii="宋体" w:hAnsi="宋体" w:cs="宋体"/>
          <w:kern w:val="2"/>
          <w:sz w:val="21"/>
          <w:szCs w:val="21"/>
          <w:lang w:val="zh-CN" w:eastAsia="zh-CN" w:bidi="ar-SA"/>
        </w:rPr>
        <w:t>。</w:t>
      </w:r>
    </w:p>
    <w:p>
      <w:pPr>
        <w:pStyle w:val="4"/>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zh-CN" w:eastAsia="zh-CN" w:bidi="ar-SA"/>
        </w:rPr>
        <w:t>递交方式：</w:t>
      </w:r>
      <w:r>
        <w:rPr>
          <w:rFonts w:hint="eastAsia" w:ascii="宋体" w:hAnsi="宋体" w:cs="宋体"/>
          <w:kern w:val="2"/>
          <w:sz w:val="21"/>
          <w:szCs w:val="21"/>
          <w:lang w:val="en-US" w:eastAsia="zh-CN" w:bidi="ar-SA"/>
        </w:rPr>
        <w:t>1、</w:t>
      </w:r>
      <w:r>
        <w:rPr>
          <w:rFonts w:hint="eastAsia" w:ascii="宋体" w:hAnsi="宋体" w:eastAsia="宋体" w:cs="宋体"/>
          <w:sz w:val="21"/>
          <w:szCs w:val="21"/>
        </w:rPr>
        <w:t>在投标截止时间前送交到开标地点</w:t>
      </w:r>
      <w:r>
        <w:rPr>
          <w:rFonts w:hint="eastAsia" w:ascii="宋体" w:hAnsi="宋体" w:cs="宋体"/>
          <w:kern w:val="2"/>
          <w:sz w:val="21"/>
          <w:szCs w:val="21"/>
          <w:lang w:val="en-US" w:eastAsia="zh-CN" w:bidi="ar-SA"/>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Chars="0" w:firstLine="420" w:firstLineChars="200"/>
        <w:textAlignment w:val="auto"/>
        <w:rPr>
          <w:rFonts w:hint="eastAsia" w:ascii="宋体" w:hAnsi="宋体" w:eastAsia="宋体" w:cs="宋体"/>
          <w:kern w:val="2"/>
          <w:sz w:val="21"/>
          <w:szCs w:val="21"/>
          <w:lang w:val="zh-CN" w:eastAsia="zh-CN" w:bidi="ar-SA"/>
        </w:rPr>
      </w:pPr>
      <w:r>
        <w:rPr>
          <w:rFonts w:hint="eastAsia" w:ascii="宋体" w:hAnsi="宋体" w:cs="宋体"/>
          <w:sz w:val="21"/>
          <w:szCs w:val="21"/>
          <w:lang w:val="en-US" w:eastAsia="zh-CN"/>
        </w:rPr>
        <w:t>2、</w:t>
      </w:r>
      <w:r>
        <w:rPr>
          <w:rFonts w:hint="eastAsia" w:ascii="宋体" w:hAnsi="宋体" w:eastAsia="宋体" w:cs="宋体"/>
          <w:sz w:val="21"/>
          <w:szCs w:val="21"/>
        </w:rPr>
        <w:t>采用邮寄方式，邮寄公司统一采用顺丰（包裹外包装上请注明单位、项目名称、联系电话等信息，以便代理机构作接收登记工作），邮寄接收截止时间为投标截止时间前一个工作日下午1</w:t>
      </w:r>
      <w:r>
        <w:rPr>
          <w:rFonts w:hint="eastAsia" w:ascii="宋体" w:hAnsi="宋体" w:cs="宋体"/>
          <w:sz w:val="21"/>
          <w:szCs w:val="21"/>
          <w:lang w:val="en-US" w:eastAsia="zh-CN"/>
        </w:rPr>
        <w:t>6</w:t>
      </w:r>
      <w:r>
        <w:rPr>
          <w:rFonts w:hint="eastAsia" w:ascii="宋体" w:hAnsi="宋体" w:eastAsia="宋体" w:cs="宋体"/>
          <w:sz w:val="21"/>
          <w:szCs w:val="21"/>
        </w:rPr>
        <w:t>:</w:t>
      </w:r>
      <w:r>
        <w:rPr>
          <w:rFonts w:hint="eastAsia" w:ascii="宋体" w:hAnsi="宋体" w:cs="宋体"/>
          <w:sz w:val="21"/>
          <w:szCs w:val="21"/>
          <w:lang w:val="en-US" w:eastAsia="zh-CN"/>
        </w:rPr>
        <w:t>3</w:t>
      </w:r>
      <w:r>
        <w:rPr>
          <w:rFonts w:hint="eastAsia" w:ascii="宋体" w:hAnsi="宋体" w:eastAsia="宋体" w:cs="宋体"/>
          <w:sz w:val="21"/>
          <w:szCs w:val="21"/>
        </w:rPr>
        <w:t>0前（邮寄地址：</w:t>
      </w:r>
      <w:r>
        <w:rPr>
          <w:rFonts w:hint="eastAsia" w:ascii="宋体" w:hAnsi="宋体" w:cs="宋体"/>
          <w:sz w:val="21"/>
          <w:szCs w:val="21"/>
          <w:lang w:eastAsia="zh-CN"/>
        </w:rPr>
        <w:t>黄岩区大桥路</w:t>
      </w:r>
      <w:r>
        <w:rPr>
          <w:rFonts w:hint="eastAsia" w:ascii="宋体" w:hAnsi="宋体" w:cs="宋体"/>
          <w:sz w:val="21"/>
          <w:szCs w:val="21"/>
          <w:lang w:val="en-US" w:eastAsia="zh-CN"/>
        </w:rPr>
        <w:t>671号</w:t>
      </w:r>
      <w:r>
        <w:rPr>
          <w:rFonts w:hint="eastAsia" w:ascii="宋体" w:hAnsi="宋体" w:eastAsia="宋体" w:cs="宋体"/>
          <w:sz w:val="21"/>
          <w:szCs w:val="21"/>
        </w:rPr>
        <w:t>，联系人：</w:t>
      </w:r>
      <w:r>
        <w:rPr>
          <w:rFonts w:hint="eastAsia" w:ascii="宋体" w:hAnsi="宋体" w:cs="宋体"/>
          <w:sz w:val="21"/>
          <w:szCs w:val="21"/>
          <w:lang w:eastAsia="zh-CN"/>
        </w:rPr>
        <w:t>王女士</w:t>
      </w:r>
      <w:r>
        <w:rPr>
          <w:rFonts w:hint="eastAsia" w:ascii="宋体" w:hAnsi="宋体" w:eastAsia="宋体" w:cs="宋体"/>
          <w:sz w:val="21"/>
          <w:szCs w:val="21"/>
        </w:rPr>
        <w:t>，电话：</w:t>
      </w:r>
      <w:r>
        <w:rPr>
          <w:rFonts w:hint="eastAsia" w:ascii="宋体" w:hAnsi="宋体" w:eastAsia="宋体" w:cs="宋体"/>
          <w:kern w:val="2"/>
          <w:sz w:val="21"/>
          <w:szCs w:val="21"/>
          <w:lang w:val="zh-CN" w:eastAsia="zh-CN" w:bidi="ar-SA"/>
        </w:rPr>
        <w:t>13586019129</w:t>
      </w:r>
      <w:r>
        <w:rPr>
          <w:rFonts w:hint="eastAsia" w:ascii="宋体" w:hAnsi="宋体" w:eastAsia="宋体" w:cs="宋体"/>
          <w:sz w:val="21"/>
          <w:szCs w:val="21"/>
        </w:rPr>
        <w:t>。)</w:t>
      </w:r>
      <w:r>
        <w:rPr>
          <w:rFonts w:hint="eastAsia" w:ascii="宋体" w:hAnsi="宋体" w:eastAsia="宋体" w:cs="宋体"/>
          <w:kern w:val="2"/>
          <w:sz w:val="21"/>
          <w:szCs w:val="21"/>
          <w:lang w:val="zh-CN" w:eastAsia="zh-CN" w:bidi="ar-SA"/>
        </w:rPr>
        <w:t>逾期寄达恕不接受；邮寄的演示资料文件不予退回。</w:t>
      </w:r>
    </w:p>
    <w:p>
      <w:pPr>
        <w:pStyle w:val="5"/>
        <w:rPr>
          <w:lang w:val="zh-CN"/>
        </w:rPr>
      </w:pPr>
    </w:p>
    <w:p>
      <w:pPr>
        <w:rPr>
          <w:lang w:val="zh-CN"/>
        </w:rPr>
      </w:pPr>
    </w:p>
    <w:p>
      <w:pPr>
        <w:rPr>
          <w:lang w:val="zh-CN"/>
        </w:rPr>
      </w:pPr>
    </w:p>
    <w:p>
      <w:pPr>
        <w:rPr>
          <w:lang w:val="zh-CN"/>
        </w:rPr>
      </w:pPr>
    </w:p>
    <w:p>
      <w:pPr>
        <w:rPr>
          <w:lang w:val="zh-CN"/>
        </w:rPr>
      </w:pPr>
    </w:p>
    <w:p>
      <w:pPr>
        <w:numPr>
          <w:ilvl w:val="0"/>
          <w:numId w:val="10"/>
        </w:numPr>
        <w:spacing w:line="360" w:lineRule="auto"/>
        <w:jc w:val="center"/>
        <w:rPr>
          <w:rFonts w:ascii="宋体" w:hAnsi="宋体" w:cs="宋体"/>
          <w:b/>
          <w:bCs/>
          <w:sz w:val="36"/>
          <w:szCs w:val="36"/>
        </w:rPr>
      </w:pPr>
      <w:r>
        <w:rPr>
          <w:rFonts w:hint="eastAsia" w:ascii="宋体" w:hAnsi="宋体" w:cs="宋体"/>
          <w:b/>
          <w:bCs/>
          <w:sz w:val="36"/>
          <w:szCs w:val="36"/>
        </w:rPr>
        <w:t>公开招标需求</w:t>
      </w:r>
      <w:bookmarkStart w:id="0" w:name="_Toc51703651"/>
    </w:p>
    <w:bookmarkEnd w:id="0"/>
    <w:p>
      <w:pPr>
        <w:pStyle w:val="4"/>
        <w:keepNext w:val="0"/>
        <w:keepLines w:val="0"/>
        <w:pageBreakBefore w:val="0"/>
        <w:numPr>
          <w:ilvl w:val="0"/>
          <w:numId w:val="11"/>
        </w:numPr>
        <w:wordWrap/>
        <w:topLinePunct w:val="0"/>
        <w:bidi w:val="0"/>
        <w:snapToGrid/>
        <w:spacing w:before="0" w:after="0" w:line="240" w:lineRule="auto"/>
        <w:ind w:left="0" w:leftChars="0" w:right="0" w:firstLine="0" w:firstLineChars="0"/>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采购项目一览表</w:t>
      </w:r>
    </w:p>
    <w:p>
      <w:pPr>
        <w:pStyle w:val="4"/>
        <w:keepNext w:val="0"/>
        <w:keepLines w:val="0"/>
        <w:pageBreakBefore w:val="0"/>
        <w:numPr>
          <w:ilvl w:val="0"/>
          <w:numId w:val="0"/>
        </w:numPr>
        <w:wordWrap/>
        <w:topLinePunct w:val="0"/>
        <w:bidi w:val="0"/>
        <w:snapToGrid/>
        <w:spacing w:before="0" w:after="0" w:line="240" w:lineRule="auto"/>
        <w:ind w:left="0" w:leftChars="0" w:right="0"/>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本次采购共1个标段，具体内容如下表：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215"/>
        <w:gridCol w:w="1014"/>
        <w:gridCol w:w="957"/>
        <w:gridCol w:w="1343"/>
        <w:gridCol w:w="162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71"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标项</w:t>
            </w:r>
          </w:p>
        </w:tc>
        <w:tc>
          <w:tcPr>
            <w:tcW w:w="2215"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firstLine="105" w:firstLineChars="5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项目名称</w:t>
            </w:r>
          </w:p>
        </w:tc>
        <w:tc>
          <w:tcPr>
            <w:tcW w:w="1014"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数量</w:t>
            </w:r>
          </w:p>
        </w:tc>
        <w:tc>
          <w:tcPr>
            <w:tcW w:w="957"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单位</w:t>
            </w:r>
          </w:p>
        </w:tc>
        <w:tc>
          <w:tcPr>
            <w:tcW w:w="1343"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投标总报价上限（元）</w:t>
            </w:r>
          </w:p>
        </w:tc>
        <w:tc>
          <w:tcPr>
            <w:tcW w:w="1628"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kern w:val="2"/>
                <w:sz w:val="21"/>
                <w:szCs w:val="21"/>
                <w:lang w:val="en-US" w:eastAsia="zh-CN" w:bidi="ar-SA"/>
              </w:rPr>
              <w:t>合同履行时间</w:t>
            </w:r>
          </w:p>
        </w:tc>
        <w:tc>
          <w:tcPr>
            <w:tcW w:w="1572"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kern w:val="2"/>
                <w:sz w:val="21"/>
                <w:szCs w:val="21"/>
                <w:lang w:val="en-US" w:eastAsia="zh-CN" w:bidi="ar-SA"/>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771" w:type="dxa"/>
            <w:noWrap w:val="0"/>
            <w:vAlign w:val="center"/>
          </w:tcPr>
          <w:p>
            <w:pPr>
              <w:keepNext w:val="0"/>
              <w:keepLines w:val="0"/>
              <w:pageBreakBefore w:val="0"/>
              <w:widowControl/>
              <w:wordWrap/>
              <w:topLinePunct w:val="0"/>
              <w:bidi w:val="0"/>
              <w:snapToGrid/>
              <w:spacing w:line="240" w:lineRule="auto"/>
              <w:ind w:left="0" w:right="0"/>
              <w:jc w:val="center"/>
              <w:textAlignment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w:t>
            </w:r>
          </w:p>
        </w:tc>
        <w:tc>
          <w:tcPr>
            <w:tcW w:w="2215" w:type="dxa"/>
            <w:noWrap w:val="0"/>
            <w:vAlign w:val="center"/>
          </w:tcPr>
          <w:p>
            <w:pPr>
              <w:keepNext w:val="0"/>
              <w:keepLines w:val="0"/>
              <w:pageBreakBefore w:val="0"/>
              <w:wordWrap/>
              <w:topLinePunct w:val="0"/>
              <w:bidi w:val="0"/>
              <w:snapToGrid/>
              <w:spacing w:line="240" w:lineRule="auto"/>
              <w:ind w:left="0" w:right="0"/>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kern w:val="2"/>
                <w:sz w:val="21"/>
                <w:szCs w:val="21"/>
                <w:lang w:val="en-US" w:eastAsia="zh-CN" w:bidi="ar-SA"/>
              </w:rPr>
              <w:t>东魁杨梅集成创新-东魁杨梅博览馆布展多媒体采购项目</w:t>
            </w:r>
          </w:p>
        </w:tc>
        <w:tc>
          <w:tcPr>
            <w:tcW w:w="1014" w:type="dxa"/>
            <w:noWrap w:val="0"/>
            <w:vAlign w:val="center"/>
          </w:tcPr>
          <w:p>
            <w:pPr>
              <w:keepNext w:val="0"/>
              <w:keepLines w:val="0"/>
              <w:pageBreakBefore w:val="0"/>
              <w:wordWrap/>
              <w:topLinePunct w:val="0"/>
              <w:bidi w:val="0"/>
              <w:snapToGrid/>
              <w:spacing w:line="240" w:lineRule="auto"/>
              <w:ind w:left="0" w:right="0"/>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w:t>
            </w:r>
          </w:p>
        </w:tc>
        <w:tc>
          <w:tcPr>
            <w:tcW w:w="957" w:type="dxa"/>
            <w:noWrap w:val="0"/>
            <w:vAlign w:val="center"/>
          </w:tcPr>
          <w:p>
            <w:pPr>
              <w:keepNext w:val="0"/>
              <w:keepLines w:val="0"/>
              <w:pageBreakBefore w:val="0"/>
              <w:wordWrap/>
              <w:topLinePunct w:val="0"/>
              <w:bidi w:val="0"/>
              <w:snapToGrid/>
              <w:spacing w:line="240" w:lineRule="auto"/>
              <w:ind w:left="0" w:right="0"/>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kern w:val="2"/>
                <w:sz w:val="21"/>
                <w:szCs w:val="21"/>
                <w:lang w:val="en-US" w:eastAsia="zh-CN" w:bidi="ar-SA"/>
              </w:rPr>
              <w:t>项</w:t>
            </w:r>
          </w:p>
        </w:tc>
        <w:tc>
          <w:tcPr>
            <w:tcW w:w="1343"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default" w:ascii="宋体" w:hAnsi="宋体" w:eastAsia="宋体" w:cs="宋体"/>
                <w:b w:val="0"/>
                <w:bCs/>
                <w:color w:val="000000"/>
                <w:kern w:val="2"/>
                <w:sz w:val="21"/>
                <w:szCs w:val="21"/>
                <w:lang w:val="en-US" w:eastAsia="zh-CN" w:bidi="ar-SA"/>
              </w:rPr>
            </w:pPr>
            <w:r>
              <w:rPr>
                <w:rFonts w:hint="eastAsia" w:ascii="宋体" w:hAnsi="宋体" w:eastAsia="宋体" w:cs="宋体"/>
                <w:color w:val="auto"/>
                <w:kern w:val="0"/>
                <w:sz w:val="21"/>
                <w:szCs w:val="21"/>
                <w:lang w:val="en-US" w:eastAsia="zh-CN"/>
              </w:rPr>
              <w:t>7724585</w:t>
            </w:r>
          </w:p>
        </w:tc>
        <w:tc>
          <w:tcPr>
            <w:tcW w:w="1628" w:type="dxa"/>
            <w:noWrap w:val="0"/>
            <w:vAlign w:val="center"/>
          </w:tcPr>
          <w:p>
            <w:pPr>
              <w:keepNext w:val="0"/>
              <w:keepLines w:val="0"/>
              <w:pageBreakBefore w:val="0"/>
              <w:tabs>
                <w:tab w:val="left" w:pos="8280"/>
              </w:tabs>
              <w:wordWrap/>
              <w:topLinePunct w:val="0"/>
              <w:autoSpaceDE w:val="0"/>
              <w:autoSpaceDN w:val="0"/>
              <w:bidi w:val="0"/>
              <w:adjustRightInd w:val="0"/>
              <w:snapToGrid/>
              <w:spacing w:line="240" w:lineRule="auto"/>
              <w:ind w:left="0" w:right="0"/>
              <w:jc w:val="center"/>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kern w:val="2"/>
                <w:sz w:val="21"/>
                <w:szCs w:val="21"/>
                <w:lang w:val="en-US" w:eastAsia="zh-CN" w:bidi="ar-SA"/>
              </w:rPr>
              <w:t>合同签订后60天内完成全部智能化系统设备的供货、安装调试完毕并通过验收。</w:t>
            </w:r>
          </w:p>
        </w:tc>
        <w:tc>
          <w:tcPr>
            <w:tcW w:w="1572" w:type="dxa"/>
            <w:noWrap w:val="0"/>
            <w:vAlign w:val="center"/>
          </w:tcPr>
          <w:p>
            <w:pPr>
              <w:keepNext w:val="0"/>
              <w:keepLines w:val="0"/>
              <w:pageBreakBefore w:val="0"/>
              <w:widowControl/>
              <w:wordWrap/>
              <w:topLinePunct w:val="0"/>
              <w:bidi w:val="0"/>
              <w:snapToGrid/>
              <w:spacing w:line="240" w:lineRule="auto"/>
              <w:ind w:left="0" w:right="0"/>
              <w:jc w:val="center"/>
              <w:textAlignment w:val="center"/>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kern w:val="2"/>
                <w:sz w:val="21"/>
                <w:szCs w:val="21"/>
                <w:lang w:val="en-US" w:eastAsia="zh-CN" w:bidi="ar-SA"/>
              </w:rPr>
              <w:t>采购人指定地点</w:t>
            </w:r>
          </w:p>
        </w:tc>
      </w:tr>
    </w:tbl>
    <w:p>
      <w:pPr>
        <w:pStyle w:val="4"/>
        <w:keepNext w:val="0"/>
        <w:keepLines w:val="0"/>
        <w:pageBreakBefore w:val="0"/>
        <w:numPr>
          <w:ilvl w:val="0"/>
          <w:numId w:val="11"/>
        </w:numPr>
        <w:wordWrap/>
        <w:topLinePunct w:val="0"/>
        <w:bidi w:val="0"/>
        <w:snapToGrid/>
        <w:spacing w:before="0" w:after="0" w:line="240" w:lineRule="auto"/>
        <w:ind w:left="0" w:leftChars="0" w:right="0" w:firstLine="0" w:firstLineChars="0"/>
        <w:rPr>
          <w:rFonts w:hint="default"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采购清单</w:t>
      </w:r>
    </w:p>
    <w:tbl>
      <w:tblPr>
        <w:tblStyle w:val="27"/>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429"/>
        <w:gridCol w:w="735"/>
        <w:gridCol w:w="989"/>
        <w:gridCol w:w="5287"/>
        <w:gridCol w:w="408"/>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展厅名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单元名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展项名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制作内容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描述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灵树骊珠</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东魁杨梅种源之谜</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（第一展厅）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序厅弧形屏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数字显示及其系统（软、非规则形状）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1．像素间距≤1.86mm，像素密度≥288906点/㎡；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2．整屏尺寸：长宽由各生产厂家自行设计，长宽尺寸和面积不小于规定尺寸；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3．显示单元平整度（mm）≤0.05；模组平整度（mm）≤0.05；相对错位偏差（水平/垂直）≤1.0%；校正后亮度≥500nit，（0-100%无级可调）；最高对比度≥10000:1；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4．刷新率≥3840Hz，支持通过配套控制软件调节刷新率设置，支持420Hz-4880Hz调节；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5．货物制造商通过IECQQC080000有害物质过程管理体系认证，同时所投产品获得中国节能、环保、CCC、TUV低蓝光认证证书；</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6.大屏显示系统开发，包含欢迎词系统.视频轮播.资源管理等，基于WINDOWS开发，主逻辑编程，Unity开发引擎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1.数字显示设备钢结构（内弧）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三画面；带载650万，横向最大10240,纵向最大8292;输入：2×HDMI1.4.1×SDI.1×DVI，1×Audio;输出：1×SDILoop.1×HDM预监.1×Aodio.网×10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I7,16g,128g,独显，工业机箱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序厅宣传片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序厅宣传片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1.序厅弧形屏展项配套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“果中玛瑙”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1.显示尺寸49英寸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显示面积：1115.8*636.4mm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触控方案:电容触摸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机身尺寸：1135.8*656.4*78mm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工作功率：130W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1.果中玛瑙展项配套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一生是宝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1.显示尺寸32英寸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显示面积：698*392mm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机身尺寸：761.4*455.85*69.6mm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工作功率：65W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1.一生是宝展项配套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东魁杨梅的发现与成名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动画短片及采访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1．像素间距≤1.86mm，像素密度≥288906点/㎡；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2．整屏尺寸：长宽由各生产厂家自行设计，长宽尺寸和面积不小于规定尺寸；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3．显示单元平整度（mm）≤0.05；模组平整度（mm）≤0.05；相对错位偏差（水平/垂直）≤1.0%；校正后亮度≥500nit，（0-100%无级可调）；最高对比度≥10000:1；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4．刷新率≥3840Hz，支持通过配套控制软件调节刷新率设置，支持420Hz-4880Hz调节；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5．货物制造商通过IECQQC080000有害物质过程管理体系认证，同时所投产品获得中国节能、环保、CCC、TUV低蓝光认证证书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1.数字显示设备钢结构（内弧）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单画面；带载260万.横向最大3840.纵向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最大1920;U盘脱机播放；支持无线投屏；输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入：1×USB.1xVGA.1xDVI.1xHDMI.</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1xAudio;输出：4x网.1xAudio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I7,16g,128g,独显，工业机箱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动画短片及采访（口述历史传承视频）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1.东魁杨梅的发现与成名展项配套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东魁杨梅全年生产形态展示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boe2k，红外多点触控，i5 6代/8/120集显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透明屏全息视频制作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透明屏全息视频制作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1.东魁杨梅全年生产形态展示展项配套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石墨投影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显示技术：3LCD技术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亮度：7000流明（ISO 21118）</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物理分辨率：1920*1200（16:10）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对比度：2500000:1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光源：激光光源，使用寿命20000小时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接口：HDMI×1.HDBaseT×1.VGA×1.RS-232C×1，RJ45×1， DVI-D×1，USB Type A×2，USB Type B×1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9种原装工程镜头可选（仅指制造商原厂镜头，非第三方产品），投射比范围最小可至0.35，最大可至10.11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支持360度安装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支持网络监控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支持细节增强和超解像功能，大幅增强投影机的清晰度，使得文字和图片更加清晰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支持快速四角调节，梯形.弧形等几何校正功能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原厂质保三年,免费换新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投射比0.8:1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工程投影机专业支架，根据现场环境定制，钢管结构，具备上下伸缩调节，水平/垂直角度调节，承重50KG以上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Intel I7九代处理器，8GB DDR4内存，120G SSD硬盘，四通道专业融合显卡，4U工业服务器机箱，WIN10专业版系统，千兆网卡支持网络远程唤醒远程关机功能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压感触摸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压感触摸，定制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传输器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通过一根6类网线延长视频信号，传输距离不小于70米，DVI接口，支持BaseT传输，支持1920x1200@60Hz/3840x2160@30Hz/双工RS232和红外双向传输，支持EDID管理。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石墨投影墙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利用石墨烯导电原理.投影技术等将传统的墙面变成可以会发光.发声.动态的新型交互式媒体，用户可以通过点击触发墙面上的信息，获得文字.视频.动画等多种有趣的内容。石墨投影墙支持多人同时触摸，投影动画立刻启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魔法墙底图设计制作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1.魔法墙底图方案设计.平面设计.元素设计和制作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2.魔法墙互动程序开发，人机交互编程设计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互动视频制作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点击互动动画演示杨梅树第一、第二更新体的形成及成长过程演绎。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1.石墨投影展项配套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东魁杨梅品种优势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1.显示尺寸43英寸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显示面积：960.5*549.3mm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机身尺寸：980.5*569.3*71.8mm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工作功率：100W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立式支架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1.东魁杨梅品种优势展项配套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不胫而走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东魁杨梅的传播</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（第二展厅）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东魁杨梅种源传播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1．像素间距≤1.86mm，像素密度≥288906点/㎡；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2．整屏尺寸：长宽由各生产厂家自行设计，长宽尺寸和面积不小于规定尺寸；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3．显示单元平整度（mm）≤0.05；模组平整度（mm）≤0.05；相对错位偏差（水平/垂直）≤1.0%；校正后亮度≥500nit，（0-100%无级可调）；最高对比度≥10000:1；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4．刷新率≥3840Hz，支持通过配套控制软件调节刷新率设置，支持420Hz-4880Hz调节；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5．货物制造商通过IECQQC080000有害物质过程管理体系认证，同时所投产品获得中国节能、环保、CCC、TUV低蓝光认证证书；</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6.大屏显示系统开发，包含欢迎词系统.视频轮播.资源管理等，基于WINDOWS开发，主逻辑编程，Unity开发引擎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1.数字显示设备钢结构（内弧）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三画面；带载650万，横向最大10240,纵向最大8292;输入：2×HDMI1.4.1×SDI.1×DVI，1×Audio;输出：1×SDILoop.1×HDM预监.1×Aodio.网×10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I7,16g,128g,独显，工业机箱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东魁杨梅种源传播宣传片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1.东魁杨梅种源传播展项配套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触摸互动（立式）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1.定制开关互动装置（不含造型）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2.按钮式交互程序制作，包含模拟信号转换模块.通信模块开发等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1.触摸互动（立式）展项配套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电子沙盘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沙盘模型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尺寸：3000mm*1600mm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综合材料模型制作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1、艺术家创作设计稿，并经业主专家确认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2、电脑绘制雕刻施工图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3、木龙骨及2厘阻燃板制作模型底板，高密度塑形泡沫制作模型基层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4、abs板雕刻造型，拼接固定，成品修补打磨，上底色</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5、背景灯安装调试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6、运输安装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7.电子沙盘系统开发，包含三维沙盘制作.沙盘动画制作.特效制作.资源管理等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联动灯光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根据实际需求定配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1.电子沙盘展项配套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东魁杨梅传播的佚事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显示尺寸:55英寸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显示面积：1214*684mm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边框材质：铝合金氧化拉丝型材.3.5mm厚高强度物理钢化玻璃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机身尺寸：1261.48*731.8*90.7mm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主机：I5(五代)CPU,8G内存,120G固态硬盘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系统接口：DC*1  USB*2  MIC*1  RJ45*1  音频*1</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工作功率：90W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东魁杨梅传播的佚事片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东魁杨梅传播的佚事片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1.东魁杨梅传播的佚事展项配套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全国通讯信件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1.显示尺寸43英寸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显示面积：960.5*549.3mm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机身尺寸：980.5*569.3*71.8mm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工作功率：100W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立式支架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1.全国通讯信件展项配套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东魁杨梅种源及技术的研发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1.显示尺寸:55英寸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显示面积：1209.6(H)×680.4(V) 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机身尺寸：250*720*68mm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主机：I3(三代)CPU,4G内存,120G固态硬盘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工作功率：100W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1.东魁杨梅种源及技术的研发展项配套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一生呵护</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东魁杨梅种植技术全程研究</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（第三展厅）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高光效修剪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1.显示尺寸43英寸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显示面积：960.5*549.3mm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机身尺寸：980.5*569.3*71.8mm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工作功率：100W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桌面支架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现场定制定做，结合桌面材料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1.高光效修剪展项配套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VR互动体验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VR眼镜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带无线套装，单眼1440*1700双眼2880*1700，最大视场角110°，屏幕刷新率90Hz，支持定位追踪2.0，Hi-resAudio认证，内置麦克风.蓝支持蓝牙，DP1.2，USB-C 3.0，可调节瞳距57-70mm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i7-12700/内存32G/存储512G固态/RTX4060显卡或同等性能硬件配置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VR修剪杨梅体验互动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VR修剪杨梅体验互动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1.VR互动体验展项配套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板块五</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罗幔技术介绍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显示尺寸:55英寸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显示面积：1214*684mm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边框材质：铝合金氧化拉丝型材.3.5mm厚高强度物理钢化玻璃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机身尺寸：1261.48*731.8*90.7mm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主机：I5(五代)CPU,8G内存,120G固态硬盘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系统接口：DC*1  USB*2  MIC*1  RJ45*1  音频*1</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工作功率：90W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罗幔技术介绍片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罗幔技术介绍片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1.罗幔技术介绍展项配套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罗幔技术央视专题片（视频）</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；东魁杨梅罗幔技术防护机制讲解动画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显示尺寸:32英寸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显示面积：699×393.2mm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机身尺寸：739*433.2*63mm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主机：I3(三代)CPU,4G内存,120G固态硬盘</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工作功率：100W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罗幔技术央视专题片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罗幔技术央视专题片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1.东魁杨梅罗幔技术防护机制讲解动画展项配套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罗幔技术运用前后的产量对比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1.显示尺寸32英寸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显示面积：698*392mm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机身尺寸：761.4*455.85*69.6mm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工作功率：65W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1.罗幔技术运用前后的产量对比展项配套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嫁接技术-授粉结果-控梢互动游戏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数字显示及其系统（COB）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（1）像素间距≤1.25mm，像素密度≥640000点/㎡，共阴技术；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（2）为适应室内长期观看，显示系统校正后亮度或白平衡亮度≥600cd/㎡（0-100%无级可调）；（提供封面具有CNAS或CMA盖章的检测报告证明）</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（3）亮度均匀性≥99%,色准△E≤0.9，色域≥110%NTSC；</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（4）最高对比度≥6500:1，LED像素失控率≤1/1500000；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（5）采用精细化灰度提升技术，支持低亮高灰，100%亮度时，16bit；20%亮度时15bit；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（6）产品峰值功耗：≤620W/㎡，平均功耗：≤205W/㎡；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（7）具有智能节电技术，能源效率值≥3cd/W，开启智能节电功能比没有开启节能50%以上；</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（8）多点触摸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1.数字显示设备钢结构（内弧）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三画面；带载650万，横向最大10240,纵向最大8292;输入：2×HDMI1.4.1×SDI.1×DVI，1×Audio;输出：1×SDILoop.1×HDM预监.1×Aodio.网×10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I7,16g,128g,独显，工业机箱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嫁接技术-授粉结果-控梢互动游戏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嫁接技术-授粉结果-控梢互动游戏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1.嫁接技术-授粉结果-控梢互动游戏展项配套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黄岩东魁杨梅集成创新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显示尺寸:49英寸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显示面积：1096*616mm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边框材质：铝合金氧化拉丝型材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3.5mm厚高强度物理钢化玻璃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机身尺寸：1136*658*68mm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系统接口：DC*1  USB*2  MIC*1  RJ45*1  音频*1</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工作功率：100W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1.显示尺寸:55英寸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显示面积：1209.6(H)×680.4(V) 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机身尺寸：250*720*68mm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主机：I3(三代)CPU,4G内存,120G固态硬盘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工作功率：100W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前维护液压壁挂支架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磁吸式自动讲解听筒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磁吸式自动讲解听筒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黄岩东魁杨梅集成创新宣传片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黄岩东魁杨梅集成创新宣传片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1.黄岩东魁杨梅集成创新展项配套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星星之火</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东魁杨梅的产业发展</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（第四展厅）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板块二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全国东魁杨梅产业发展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1．像素间距≤1.86mm，像素密度≥288906点/㎡；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2．整屏尺寸：长宽由各生产厂家自行设计，长宽尺寸和面积不小于规定尺寸；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3．显示单元平整度（mm）≤0.05；模组平整度（mm）≤0.05；相对错位偏差（水平/垂直）≤1.0%；校正后亮度≥500nit，（0-100%无级可调）；最高对比度≥10000:1；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4．刷新率≥3840Hz，支持通过配套控制软件调节刷新率设置，支持420Hz-4880Hz调节；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5．货物制造商通过IECQQC080000有害物质过程管理体系认证，同时所投产品获得中国节能、环保、CCC、TUV低蓝光认证证书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1.全硬件FPGA架构，故障率低，板卡式模块化设计，支持热插拔，性能稳定；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2.支持RS232.RS485.RJ45等接口调试方式；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3.支持HDMI.DVI.DP.VGA.CVBS.SDI.IP 等常见视频端口，支持EDID管理；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4.输入分辨率：单信号源最大4096*2160@60Hz 像素，支持分辨率任意设置；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5.支持网口.光口.HDMI等高清视频接口，支持上下.左右任意拼接；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6.接口：2路4K输入.40路网口输出等；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7.支持预监回显，多屏多图层管理；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8.支持B/S架构管理，支持多用户在线操作；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9.支持视频源任意切换，可根据显示系统分辨率对输入图像进行漫游.拼接.缩放.；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10.支持整机最多40个画面显示；</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11.支持在线升级；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1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播控处理器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1.采用2U金属结构机箱，外壳防护等级符合GB/T4208-2017中IP20的要求。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2.支持独立的2路DP输出，接口分辨率可设置为4096*2160@60Hz，单接口极限宽度可设置为8192，单口极限高度可设置8192。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3.支持单设备2接口拼接同步显示，拼接带载分辨率可设置为8192*2160@60Hz。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4.支持3D视频源解码播放输出，可实现单接口独立3D播放输出或2接口拼接3D同步输出，分辨率可设置为3840x2160@60Hz。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5.支持独立的HDMI或DP监视接口输出，用于播控软件界面编辑，不占用显示输出接口。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6.设备出厂配置英特尔（intel）第 11代酷睿处理器.16G DDR4 2666高速内存.华硕B系列主板.250G双固态硬盘。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7.设备支持一键硬件开关机控制和一键软件远程开关机控制，整机自带6路USB接口。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8.支持1路3.5mm 麦克风音频输入接口，1路3.5mm 外置音频输入接口，1路3.5mm 音频输出接口。支持5.1声道，可实现立体环绕声输出。支持2路PCIE插槽，用于同步卡.采集卡.网卡的扩展。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9.采用千兆网口通讯，可支持第三方通过TCP.UDP进行集成控制。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10.可满足至少1个8K2K或2个4K2K硬件解码播放，且播放流畅不卡顿。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11.支持实现多个输出接口的任意重组以及任意角度旋转，实现对不规则显示系统的拼接带载。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12.支持播放画面编辑和输出分离，预览编辑完成后再输出播放。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13.支持播放画面直切.淡入淡出的切换特效和渐变黑屏.测试画面.输出显示控制。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14.支持从本地媒体画面或输入源画面中拾取颜色，然后按照拾取的颜色进行抠像处理。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15.支持多画面同时播放时按照主计时媒体进行跳转。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16.支持通过灵石可视化控制平台软件对播放画面的编辑和控制。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17.支持输出接口虚拟放大和缩小，方便点对点开窗。支持输出接口标记，快速定位输出接口的位置。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18.支持在媒体库中添加本地的视频文件.图片文件.音频文件.PPT文件.NDI媒体.采集设备.网站.流媒体.播放合集。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19.支持将媒体库的媒体添加到节目中，同时支持对节目中任意一个媒体按区域进行画质调节.裁剪，遮罩。</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20.支持节目整体播放.暂停.停止.音量调节，单个媒体的音量调节，单个媒体的快进和快退播放。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21.经过完整的可靠性测试，包括高温测试.低温测试.高温高湿测试.模拟运输震动测试.跌落测试，详情可参考《EG2000正式可靠性测试报告》。</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22.设备经过严格老化压力测试.系统功能测试.成品出货检验等，质量稳定可靠.运输安全无忧。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CAVE沉浸式视频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CAVE沉浸式视频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1.全国东魁杨梅产业发展展项配套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中国东魁杨梅产业发展成就展示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1．像素间距≤1.86mm，像素密度≥288906点/㎡；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2．整屏尺寸：长宽由各生产厂家自行设计，长宽尺寸和面积不小于规定尺寸；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3．显示单元平整度（mm）≤0.05；模组平整度（mm）≤0.05；相对错位偏差（水平/垂直）≤1.0%；校正后亮度≥500nit，（0-100%无级可调）；最高对比度≥10000:1；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4．刷新率≥3840Hz，支持通过配套控制软件调节刷新率设置，支持420Hz-4880Hz调节；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5．货物制造商通过IECQQC080000有害物质过程管理体系认证，同时所投产品获得中国节能、环保、CCC、TUV低蓝光认证证书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1.数字显示设备钢结构（内弧）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单画面；带载260万.横向最大3840.纵向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最大1920;U盘脱机播放；支持无线投屏；输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入：1×USB.1xVGA.1xDVI.1xHDMI.</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1xAudio;输出：4x网.1xAudio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I7,16g,128g,独显，工业机箱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中国东魁杨梅产业发展成就展示片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1.中国东魁杨梅产业发展成就展示展项配套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东魁杨梅品牌视觉设计演变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1.显示尺寸：32英寸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显示面积：698*392mm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触控方案:红外触摸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触控点数：10点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触控次数：50万次以上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机身尺寸：761.4*455.85*69.6mm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工作功率：65W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2.触摸查询系统制作，包含UI制作.编程开发.触摸模块开发.通信模块开发等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液压壁挂支架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材质冷轧钢板离墙距离80mm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有水平仪</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适用电视孔距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1000x600范围内（横向x纵向）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左右调节度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最大承重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适用电视尺寸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43英寸-75英寸</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长487mm；宽432mm；高232mm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1.东魁杨梅品牌视觉设计演变展项配套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会议大屏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1．像素间距≤1.86mm，像素密度≥288906点/㎡；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2．整屏尺寸：长宽由各生产厂家自行设计，长宽尺寸和面积不小于规定尺寸；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3．显示单元平整度（mm）≤0.05；模组平整度（mm）≤0.05；相对错位偏差（水平/垂直）≤1.0%；校正后亮度≥500nit，（0-100%无级可调）；最高对比度≥10000:1；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4．刷新率≥3840Hz，支持通过配套控制软件调节刷新率设置，支持420Hz-4880Hz调节；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5．货物制造商通过IECQQC080000有害物质过程管理体系认证，同时所投产品获得中国节能、环保、CCC、TUV低蓝光认证证书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数字显示及其系统配套设备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1.数字显示设备钢结构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图像信号处理调节矩阵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三画面；带载650万，横向最大10240,纵向最大8292;输入：2×HDMI1.4.1×SDI.1×DVI，1×Audio;输出：1×SDILoop.1×HDM预监.1×Aodio.网×10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播控处理器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1.采用2U金属结构机箱，外壳防护等级符合GB/T4208-2017中IP20的要求。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2.支持独立的2路DP输出，接口分辨率可设置为4096*2160@60Hz，单接口极限宽度可设置为8192，单口极限高度可设置8192。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3.支持单设备2接口拼接同步显示，拼接带载分辨率可设置为8192*2160@60Hz。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4.支持3D视频源解码播放输出，可实现单接口独立3D播放输出或2接口拼接3D同步输出，分辨率可设置为3840x2160@60Hz。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5.支持独立的HDMI或DP监视接口输出，用于播控软件界面编辑，不占用显示输出接口。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6.设备出厂配置英特尔（intel）第 11代酷睿处理器.16G DDR4 2666高速内存.华硕B系列主板.250G双固态硬盘。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7.设备支持一键硬件开关机控制和一键软件远程开关机控制，整机自带6路USB接口。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8.支持1路3.5mm 麦克风音频输入接口，1路3.5mm 外置音频输入接口，1路3.5mm 音频输出接口。支持5.1声道，可实现立体环绕声输出。支持2路PCIE插槽，用于同步卡.采集卡.网卡的扩展。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9.采用千兆网口通讯，可支持第三方通过TCP.UDP进行集成控制。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10.可满足至少1个8K2K或2个4K2K硬件解码播放，且播放流畅不卡顿。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11.支持实现多个输出接口的任意重组以及任意角度旋转，实现对不规则显示系统的拼接带载。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12.支持播放画面编辑和输出分离，预览编辑完成后再输出播放。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13.支持播放画面直切.淡入淡出的切换特效和渐变黑屏.测试画面.输出显示控制。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14.支持从本地媒体画面或输入源画面中拾取颜色，然后按照拾取的颜色进行抠像处理。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15.支持多画面同时播放时按照主计时媒体进行跳转。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16.支持通过灵石可视化控制平台软件对播放画面的编辑和控制。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17.支持输出接口虚拟放大和缩小，方便点对点开窗。支持输出接口标记，快速定位输出接口的位置。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18.支持在媒体库中添加本地的视频文件.图片文件.音频文件.PPT文件.NDI媒体.采集设备.网站.流媒体.播放合集。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19.支持将媒体库的媒体添加到节目中，同时支持对节目中任意一个媒体按区域进行画质调节.裁剪，遮罩。</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20.支持节目整体播放.暂停.停止.音量调节，单个媒体的音量调节，单个媒体的快进和快退播放。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21.经过完整的可靠性测试，包括高温测试.低温测试.高温高湿测试.模拟运输震动测试.跌落测试，详情可参考《EG2000正式可靠性测试报告》。</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22.设备经过严格老化压力测试.系统功能测试.成品出货检验等，质量稳定可靠.运输安全无忧。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智慧讲解系统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载波频段：U段  603-666MHz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调制方式：FM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有效使用距离：≈60m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频率振荡模式：PLL相位锁定频率合成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灵敏度：在偏移度等于25KHz,输入6dBv时，S/N&gt;60Db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频带宽度：30MHz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最大偏移度：±45KHz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综合T.H.D：&lt;0.7%@1KHz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综合频率响应：45Hz-18KHz±1dB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供电：DC 12V-16V 10W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音频输出接口：4 XLR Balanced Socket+Unbalance TRS 6.3mm Socket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单元参数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载波频段：UHF 603-666MHz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振荡方式：PLL相位锁定频率合成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谐波辐射：&lt;-65dBm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频带宽度：30MHz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最大偏移度：±45KHz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咪芯：驻极体电容式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灵敏度：-40dBV/Pa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指向性：心形单指向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频率响应：20Hz – 20KHz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输出阻抗：280欧姆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最大声压：140dB，THD&lt;1%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信噪比：&gt;92dB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RF功率输出：10mW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电池：AAX2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电流消耗：&lt;150mA</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连续工作时间：约8小时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功率：8Ω立体声功率：450W，4Ω立体声功率：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700W，8Ω桥接功率：1400W，频率响应：20Hz-20KHz（±0.5dB），</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总谐波失真（正常工作条件，1KHz/8Ω）≤0.05%，信噪比（1KHz，0.775V A计权）≥102dB，阻尼系数：≥300，转换速率：≥10V/us，输入灵敏度：0.775V/1V/32dB，输入阻抗（平衡/不平衡）20KΩ/10KΩ，电压增益（1KHz/8Ω/0.775V）37.8dB，输入类别：Class H，冷却：无级风扇调速，由前向后出风，保护功能：软启动/直流/断路/过载/过热保护/失真压限/高频压限/开机音量淡入， 输入：平衡输入XLR母插座/平衡并接XLR公插座，输出Speakon（NL4）插座。                                              前面板：电源开关/独立通道音量控制旋钮/电源指示/信号指示/削峰指示/保护指示/增益调节， 背板：模式转换开关/灵敏度选择开关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智慧讲解系统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1.频率响应：≥45Hz~≤20KHz；（提供由省级或以上第三方检测报告复印件加盖生产厂家公章）                                                                            2.灵敏度（1w@1m）：≥94dB（±3dB）；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3.标称覆盖角：水平≥100°垂直≥50°；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4.最大声压级：≥118dB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5.单元配置：≥LF：1 x 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6.单元配置：≥HI：1 x 2.5MM”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7.额定输入功率（RMS） ≥ Passive：120 W                                                    8.为确保音箱设备生产厂家具备对产品的自主检测及质量复检实力，投标的音箱设备（主扩音箱.辅助音箱）生产厂家需具备通过第三方检测机构检测认证的消声测试实验室，投标人应提供所投音箱设备品牌厂家的消声实验室相关参数简介及第三方权威机构出具的相关检测报告复印件并加盖设备制造商公章鲜章原件. 9.投标产品厂家出示ISO9001质量管理体系认证.ISO14001环境体系认证.OHSAS18001职业健康安全管理体系认证，知识产权管理体系认证证书，安全生产标准化三级证书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智慧讲解系统配套设备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产品特性：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1.2编组4母线调音台 （带USB连接口输入）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2.8路线路输入+2组立体声输入,内置16种数码效果器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3.内置多格式蓝牙MP3播放器,MP3音源可转入本机立体声声道进行调音或混合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4.分路3段美式EQ,带衰减,2路AUX输出.编组选择按键,另设有监听功能.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5.6路母线(BUS):主输出+两编组+监听室输出+录音输出与返回</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6.在无需外置设备下可独立完成6路不同音源的输出.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7.1路AUX外接与返回,双7段图视均衡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8.100MM长行程推子控制.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9.内置48V幻象供电,内置80V-240V宽电压工作电源.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(带可调频独立低音炮输出,可选装机柜侧翼)                                                                                                                                                      尺寸：43.4X44.5X10.5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智慧讲解系统配套设备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1.48KHz采样频率，48-bitDSP处理器，24-bit A/D及D/A转换。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2.2输入6输出，可灵活组合多种分频模式，高.低通分频点均可达20Hz～20KHz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3.提供USB和RS485接口可连接电脑，通过RS485接口可最多连接250台机器和超过1500米的距离外用电脑来控制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4.直接用面板的功能键和拔轮进行功能设置或是连接电脑通过PC控制软件来控制，均十分方便.直观和简洁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5.单机可存储20种用户程序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6.可通过面板的SYPAEM按键来设定密码锁定面板控制功能，以防止闲杂人员的操作破坏机器的工作状态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7.每个输入和输出均有6段独立的参量均衡，调节增益范围可达±20dB，同时输出通道的均衡还可选择Lo-shelf和Hi-shelf两种斜坡方式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8.2×24 LCD蓝色背光显示功能设置，6段LED显示输入/输出的精确数字电平表.哑音及编辑状态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9.每个输入和输出均有延时和相位控制及哑音设置，延时最长可达1000ms，延时单位可选择毫秒(ms).米(m).英尺(ft)三种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10.输出通道还可控制增益.压限及选择输入通道信号，并能将某通道的所有参数复制到另外一个通道并能进行联动控制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11.本机可使用无线WIFI网络控制（以太网控制）。（可通过连接PC机对设备群组进行管理）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(提示：在设置过程中可按ESC键退出返回至待机界面）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1.多功能厅展项配套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可移动液晶屏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显示尺寸:65英寸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显示面积：1428.6*805mm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可视角度：89/89/89/89(左/右/上/下)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亮度：350cd/m2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响应时间：16.7M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工作频率:60HZ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边框材质：铝合金氧化拉丝型材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3.5mm厚高强度物理钢化玻璃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机身尺寸：1469*845*68mm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主机：I5(三代)CPU,8G内存,120G固态硬盘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系统接口：DC*1  USB*2  MIC*1  RJ45*1  音频*1</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工作功率：180W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视频显示及系统配套设备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65寸液晶屏移动支架，落地移动4静音万向轮款，材质冷轧钢板，升降高度0.98-1.14，承重60KG，适用与32-70寸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中控系统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中控主机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新一代多媒体及全屋控制系统，• Core 3操作系统™，• 独立的模块化编程架构，• 矢量浮点处理器和128 KB L2高速缓存，• 板载512MB内存和4 GB的闪存，• 可扩展的存储多达1 TB，• 1个RS-232/422/485串口带软件和硬件握手，• 2个RS-232串口带软件握手， 8个红外/串口, 8个继电器,8个Versiport I/O端口，• 后面板记忆卡插槽，• 高速USB 2.0端口，• 行业标准以太网和Cresnet®有线通信，• 内置 e-Control®网页服务器，• 支持基于网络的远程控制的Core 3 UI™ XPanel，• Crestron Mobile®支持 iPhone® and iPad®等移动终端，• 支持 Fusion RV® 和 SNMP 远程管理，• 向后兼容所有的SIMPL程序，• 支持全Unicode（多语言），• 设备直接支持BACnet®/IP协议，• 可通过快思聪Toolbox™或IE浏览器进行设置，• 提高网络吞吐量和安全性，• 活动目录集成或独立账户管理安全访问，• 内置IIS v.6.0网页服务器 ，• IPv6就绪，•前面板USB电脑控制台端口，•1U机架安装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移动触控平板电脑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分辨率：2360*1640，内存容量：256GB，厚度：7.0mm以下，屏幕尺寸：10.9英寸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485串口转换器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485串口转换器，RJ45.10/100Mbps.交叉直连自适应，串口数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302：RS232*1（DB9针）；304：RS485*1（3P端子）；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306：RS232*1/RS485*1/RS422*1（不可同时使用）串口波特率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600-230.4K（bps）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数据位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芯片：7.8</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校验位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芯片：None.Odd.Even.Mark.Space</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芯片：数据位为7位时，支持Odd.Even.Mark.Space；</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数据位为8位时，支持None.Odd.Even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一键恢复出厂设置按键.指示灯（仅306正面具备）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产品尺寸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规格(L*W*H)</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302：66.3×70.0×25.0mm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304：73.2×70.0×25.0mm网络协议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IP.TCP/UDP.ARP.ICMP.IPV4.HTTP</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IP获取方式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静态IP.DHCP</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域名解析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支持,可自定义DNS服务器地址</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用户配置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软件配置，网页配置，AT指令配置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TCP Server/TCP Client/UDP Server/UDP Client/Httpd Client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Modbus网关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支持ModbusRTU和ModbusTCP协议互转；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支持指令自动轮询，最多5条，可选透传/JSON协议上报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注：此功能近国产芯片方案支持，请注意区分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TCP Server连接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支持最多16路TCP连接（可自定义）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TCP Server连接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支持最多16路TCP连接（可自定义）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网络缓存</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发送：6Kbyte；接收：4Kbyte，6Kbyte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产品名称:8 路 wiFi 继电器 工作电源:DC12V工作电流:&lt;30mA( 继电器不动作时 )开关触点: 每路继电器 AC250V/50A 触点(AC220V LED 灯具负载每路S1000w)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工作温度:-10~60°C无线类型: 2.4 GHz wiFi外壳材质:ABS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串口扩展模块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串口扩展模块 八口串口控制器（含二次开发包）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智能中控软件及编程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控软件：定制开发基于windows技术开发的应用软件，含windows2003和sqlserver2003系统平台，统一的操作界面，界面友好.直观，通过按键可进行音频信号的分区和信号处理.灯光的开关和亮暗.投影机和控制电脑等设备的开关机等操作，也可对各展区的多媒体演示资料进行增加.删除等编辑操作，还能以图示化的方式实时显示设备的运行状态。系统软件 AutoShop 过程控制系统应用软件 多媒体展项音源切换软件  远程电脑桌面管理  远程文件传输（资料与软件更新） 操作系统远程管理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42U标准机柜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1.42U标准机柜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24口POE交换机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千兆RJ45端口 24 MAC地址容量 8K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模式开关 支持云管理.VLAN隔离.标准交换三种工作模式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网络管理功能 支持通过商云APP.商云网络云平台（Web端）进行远程管理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支持本地Web管理支持802.1Q VLAN.MTU VLAN.端口VLAN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支持配置端口流控.双工.开启/关闭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支持端口汇聚.端口监控.端口隔离.端口流量统计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支持DHCP Snooping（5/8口机型除外）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路由器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IEEE 802.11a/b/g/n/ac/ax无线协议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最高无线速率3202Mbps（2.4GHz 800Mbps，5GHz 2402Mbps）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波束成形（Beamforming）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 MU-MIMO</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WMM：基于优先级的数据处理和转发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Wi-Fi多频合一</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易展功能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以太网端口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4个10/100/1000Mbps速率自适应以太网接口，支持WAN/LAN自适应（网口盲插）裸机尺寸（长×宽×高）：251×251×214mm，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包装尺寸（长×宽×高）：423.5*369.5*84.5mm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天线类型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外置全向天线：4根2.4G天线，4根5G天线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软件功能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无线桥接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信号调节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终端管理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IP与MAC地址绑定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AP隔离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虚拟服务器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动态域名服务（DDNS）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DMZ主机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自动清理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无线定时开关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本地在线/本地固件/远程升级安全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WPA-PSK.WPA2-PSK.WPA3无线加密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主人网络.访客网络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管理员身份限定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直流供电，出厂配送12V/2A电源适配器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无线ap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新一代Wi-Fi 6 (802.11ax)技术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11AX  2.4G/5G 双频并发，无线速率高达2976Mbps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国标86壳体，外观优雅，贴墙安装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全千兆端口，支持全屋千兆组网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802.3af/at标准PoE网线供电，无需外接电源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支持TP-LINK易展功能，简单按下按键，即可供TP-LINK易展设备无线接入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频谱导航，引导双频用户优先连接5GHz频段，使2.4GHz 和5GHz 两个频段负载均衡，保障网络性能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FIT模式支持自动射频调优.智能漫游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支持弱信号设备剔除.禁止弱信号设备接入功能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胖瘦一体，可以根据不同应用环境选择不同模式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支持TP-LINK 商用网络云平台集中管理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支持TP-LINK 商云APP远程查看/管理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4吸顶音响+1功放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喇叭口径 8"X1 2"X1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额定功率 60W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最大功率 120W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额定阻抗 8Ω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灵敏度 87dB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频响范围 40Hz-20KHz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谐振频率 45Hz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重量 2.5Kg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开孔尺寸 Φ247mm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输出功率8Ω 2X250W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输出功率4Ω 2X500W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桥接输出4Ω 800W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信噪比 ≥105dB（A计权）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频率响应 20-20KHz 8Ω时，-0.5dB； 4Ω时，-1dB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总谐波失真 &lt;0.1%</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供电电源 AC 220V±10% 50-60Hz</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bl>
    <w:p>
      <w:pPr>
        <w:spacing w:line="240" w:lineRule="auto"/>
        <w:ind w:firstLine="422" w:firstLineChars="200"/>
        <w:rPr>
          <w:rFonts w:hint="eastAsia" w:ascii="仿宋" w:hAnsi="仿宋" w:eastAsia="仿宋" w:cs="仿宋"/>
          <w:sz w:val="21"/>
          <w:szCs w:val="21"/>
        </w:rPr>
      </w:pPr>
      <w:r>
        <w:rPr>
          <w:rFonts w:hint="eastAsia" w:ascii="仿宋" w:hAnsi="仿宋" w:eastAsia="仿宋" w:cs="仿宋"/>
          <w:b/>
          <w:bCs/>
          <w:color w:val="auto"/>
          <w:sz w:val="21"/>
          <w:szCs w:val="21"/>
          <w:highlight w:val="none"/>
        </w:rPr>
        <w:t>注：</w:t>
      </w:r>
      <w:r>
        <w:rPr>
          <w:rFonts w:hint="eastAsia" w:ascii="仿宋" w:hAnsi="仿宋" w:eastAsia="仿宋" w:cs="仿宋"/>
          <w:sz w:val="21"/>
          <w:szCs w:val="21"/>
          <w:lang w:eastAsia="zh-CN"/>
        </w:rPr>
        <w:t>供应商</w:t>
      </w:r>
      <w:r>
        <w:rPr>
          <w:rFonts w:hint="eastAsia" w:ascii="仿宋" w:hAnsi="仿宋" w:eastAsia="仿宋" w:cs="仿宋"/>
          <w:sz w:val="21"/>
          <w:szCs w:val="21"/>
        </w:rPr>
        <w:t>投标报价时按上述清单数量进行报价，</w:t>
      </w:r>
      <w:r>
        <w:rPr>
          <w:rFonts w:hint="eastAsia" w:ascii="仿宋" w:hAnsi="仿宋" w:eastAsia="仿宋" w:cs="仿宋"/>
          <w:sz w:val="21"/>
          <w:szCs w:val="21"/>
          <w:lang w:eastAsia="zh-CN"/>
        </w:rPr>
        <w:t>结算时按实结算</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autoSpaceDN/>
        <w:bidi w:val="0"/>
        <w:adjustRightInd/>
        <w:spacing w:line="240" w:lineRule="auto"/>
        <w:ind w:firstLine="420" w:firstLineChars="200"/>
        <w:textAlignment w:val="auto"/>
        <w:outlineLvl w:val="9"/>
        <w:rPr>
          <w:rFonts w:hint="eastAsia" w:ascii="仿宋" w:hAnsi="仿宋" w:eastAsia="仿宋" w:cs="仿宋"/>
          <w:sz w:val="21"/>
          <w:szCs w:val="21"/>
        </w:rPr>
      </w:pPr>
      <w:r>
        <w:rPr>
          <w:rFonts w:hint="eastAsia" w:ascii="仿宋" w:hAnsi="仿宋" w:eastAsia="仿宋" w:cs="仿宋"/>
          <w:sz w:val="21"/>
          <w:szCs w:val="21"/>
        </w:rPr>
        <w:t>中标人所提供的产品应当不得有妨碍展馆正常运营或降低展示效果的任何设置，采购人对中标人提供的产品拥有完全的所有权和使用权，中标人未经采购人同意不得擅自进行后台操作或设置，否则中标人承担相应的法律责任。</w:t>
      </w:r>
    </w:p>
    <w:p>
      <w:pPr>
        <w:keepNext w:val="0"/>
        <w:keepLines w:val="0"/>
        <w:pageBreakBefore w:val="0"/>
        <w:widowControl w:val="0"/>
        <w:kinsoku/>
        <w:wordWrap/>
        <w:overflowPunct/>
        <w:topLinePunct w:val="0"/>
        <w:autoSpaceDE/>
        <w:autoSpaceDN/>
        <w:bidi w:val="0"/>
        <w:adjustRightInd/>
        <w:spacing w:line="324" w:lineRule="auto"/>
        <w:textAlignment w:val="auto"/>
        <w:outlineLvl w:val="9"/>
        <w:rPr>
          <w:rFonts w:hint="eastAsia" w:ascii="宋体" w:hAnsi="宋体" w:eastAsia="宋体" w:cs="宋体"/>
          <w:b/>
          <w:bCs/>
          <w:color w:val="000000"/>
          <w:sz w:val="21"/>
          <w:szCs w:val="21"/>
        </w:rPr>
      </w:pPr>
      <w:r>
        <w:rPr>
          <w:rFonts w:hint="eastAsia" w:ascii="仿宋" w:hAnsi="仿宋" w:eastAsia="仿宋" w:cs="仿宋"/>
          <w:b/>
          <w:bCs/>
          <w:sz w:val="24"/>
          <w:lang w:eastAsia="zh-CN"/>
        </w:rPr>
        <w:t>三</w:t>
      </w:r>
      <w:r>
        <w:rPr>
          <w:rFonts w:hint="eastAsia" w:ascii="仿宋" w:hAnsi="仿宋" w:eastAsia="仿宋" w:cs="仿宋"/>
          <w:b/>
          <w:bCs/>
          <w:sz w:val="24"/>
        </w:rPr>
        <w:t>、</w:t>
      </w:r>
      <w:r>
        <w:rPr>
          <w:rFonts w:hint="eastAsia" w:ascii="宋体" w:hAnsi="宋体" w:eastAsia="宋体" w:cs="宋体"/>
          <w:b/>
          <w:bCs/>
          <w:color w:val="000000"/>
          <w:sz w:val="21"/>
          <w:szCs w:val="21"/>
        </w:rPr>
        <w:t>硬件系统采购、安装管理的要求</w:t>
      </w:r>
    </w:p>
    <w:p>
      <w:pPr>
        <w:keepNext w:val="0"/>
        <w:keepLines w:val="0"/>
        <w:pageBreakBefore w:val="0"/>
        <w:widowControl w:val="0"/>
        <w:kinsoku/>
        <w:wordWrap/>
        <w:overflowPunct/>
        <w:topLinePunct w:val="0"/>
        <w:autoSpaceDE/>
        <w:autoSpaceDN/>
        <w:bidi w:val="0"/>
        <w:adjustRightInd/>
        <w:spacing w:line="324" w:lineRule="auto"/>
        <w:ind w:firstLine="421"/>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中标人应严格按设计图纸和已确认的布展硬件技术响应方案、清单，组织展陈硬件安装，并无条件地接受采购人对布展质量的监督和管理。</w:t>
      </w:r>
    </w:p>
    <w:p>
      <w:pPr>
        <w:keepNext w:val="0"/>
        <w:keepLines w:val="0"/>
        <w:pageBreakBefore w:val="0"/>
        <w:widowControl w:val="0"/>
        <w:kinsoku/>
        <w:wordWrap/>
        <w:overflowPunct/>
        <w:topLinePunct w:val="0"/>
        <w:autoSpaceDE/>
        <w:autoSpaceDN/>
        <w:bidi w:val="0"/>
        <w:adjustRightInd/>
        <w:spacing w:line="324" w:lineRule="auto"/>
        <w:ind w:firstLine="421"/>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投标人在投标文件中承诺的项目负责人及相应资质的专业技术、管理人员未经采购人书面同意，不得调换和撤离，并按进度及时到位。采购人有权要求中标人撤换工作不负责任、管理不力、违法乱纪的专业技术、管理人员直至项目负责人，直至采购人满意为止。由于布展场地和项目的特殊性，要求中标人在要求在投标文件中阐述有关布展方案和管理措施，并做出相应承诺，确保场内外道路清洁畅通，确保来往车辆、人员、布展安全及与其他单位之间的协调。</w:t>
      </w:r>
    </w:p>
    <w:p>
      <w:pPr>
        <w:pStyle w:val="4"/>
        <w:spacing w:before="0" w:after="0" w:line="444" w:lineRule="exact"/>
        <w:rPr>
          <w:rFonts w:hint="eastAsia" w:ascii="宋体" w:hAnsi="宋体" w:eastAsia="宋体" w:cs="宋体"/>
          <w:b/>
          <w:bCs/>
          <w:sz w:val="24"/>
          <w:szCs w:val="24"/>
          <w:lang w:eastAsia="zh-CN"/>
        </w:rPr>
      </w:pPr>
      <w:r>
        <w:rPr>
          <w:rFonts w:hint="eastAsia" w:ascii="宋体" w:hAnsi="宋体" w:cs="宋体"/>
          <w:b/>
          <w:bCs/>
          <w:sz w:val="24"/>
          <w:szCs w:val="24"/>
          <w:lang w:eastAsia="zh-CN"/>
        </w:rPr>
        <w:t>四</w:t>
      </w:r>
      <w:r>
        <w:rPr>
          <w:rFonts w:hint="eastAsia" w:ascii="宋体" w:hAnsi="宋体" w:cs="宋体"/>
          <w:b/>
          <w:bCs/>
          <w:sz w:val="24"/>
          <w:szCs w:val="24"/>
        </w:rPr>
        <w:t>、商务</w:t>
      </w:r>
      <w:r>
        <w:rPr>
          <w:rFonts w:hint="eastAsia" w:ascii="宋体" w:hAnsi="宋体" w:cs="宋体"/>
          <w:b/>
          <w:bCs/>
          <w:sz w:val="24"/>
          <w:szCs w:val="24"/>
          <w:lang w:eastAsia="zh-CN"/>
        </w:rPr>
        <w:t>条款</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outlineLvl w:val="9"/>
        <w:rPr>
          <w:rFonts w:hint="eastAsia" w:ascii="宋体" w:hAnsi="宋体" w:eastAsia="宋体" w:cs="宋体"/>
          <w:b w:val="0"/>
          <w:bCs/>
          <w:color w:val="000000"/>
          <w:sz w:val="21"/>
          <w:szCs w:val="21"/>
          <w:highlight w:val="none"/>
        </w:rPr>
      </w:pPr>
      <w:r>
        <w:rPr>
          <w:rFonts w:hint="eastAsia" w:ascii="仿宋" w:hAnsi="仿宋" w:eastAsia="仿宋" w:cs="仿宋"/>
          <w:sz w:val="24"/>
        </w:rPr>
        <w:t>1、</w:t>
      </w:r>
      <w:r>
        <w:rPr>
          <w:rFonts w:hint="eastAsia" w:ascii="宋体" w:hAnsi="宋体" w:eastAsia="宋体" w:cs="宋体"/>
          <w:color w:val="000000"/>
          <w:sz w:val="21"/>
          <w:szCs w:val="21"/>
        </w:rPr>
        <w:t>为保证设备稳定运行、保障售后服务质量、保护甲方的合法权益，投标</w:t>
      </w:r>
      <w:r>
        <w:rPr>
          <w:rFonts w:hint="eastAsia" w:ascii="宋体" w:hAnsi="宋体" w:eastAsia="宋体" w:cs="宋体"/>
          <w:color w:val="000000"/>
          <w:sz w:val="21"/>
          <w:szCs w:val="21"/>
          <w:lang w:eastAsia="zh-CN"/>
        </w:rPr>
        <w:t>人</w:t>
      </w:r>
      <w:r>
        <w:rPr>
          <w:rFonts w:hint="eastAsia" w:ascii="宋体" w:hAnsi="宋体" w:eastAsia="宋体" w:cs="宋体"/>
          <w:color w:val="000000"/>
          <w:sz w:val="21"/>
          <w:szCs w:val="21"/>
        </w:rPr>
        <w:t>及厂商必须保证：本项目所有设备原厂售后服务权益方名称为</w:t>
      </w:r>
      <w:r>
        <w:rPr>
          <w:rFonts w:hint="eastAsia" w:ascii="宋体" w:hAnsi="宋体" w:cs="宋体"/>
          <w:color w:val="000000"/>
          <w:sz w:val="21"/>
          <w:szCs w:val="21"/>
          <w:lang w:eastAsia="zh-CN"/>
        </w:rPr>
        <w:t>台州市黄岩区人民政府江口街道办事处</w:t>
      </w:r>
      <w:r>
        <w:rPr>
          <w:rFonts w:hint="eastAsia" w:ascii="宋体" w:hAnsi="宋体" w:eastAsia="宋体" w:cs="宋体"/>
          <w:color w:val="000000"/>
          <w:sz w:val="21"/>
          <w:szCs w:val="21"/>
        </w:rPr>
        <w:t>。投标人提供的中标产品，必须符合本招标文件要求</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投标</w:t>
      </w:r>
      <w:r>
        <w:rPr>
          <w:rFonts w:hint="eastAsia" w:ascii="宋体" w:hAnsi="宋体" w:eastAsia="宋体" w:cs="宋体"/>
          <w:color w:val="000000"/>
          <w:sz w:val="21"/>
          <w:szCs w:val="21"/>
          <w:lang w:eastAsia="zh-CN"/>
        </w:rPr>
        <w:t>人</w:t>
      </w:r>
      <w:r>
        <w:rPr>
          <w:rFonts w:hint="eastAsia" w:ascii="宋体" w:hAnsi="宋体" w:eastAsia="宋体" w:cs="宋体"/>
          <w:color w:val="000000"/>
          <w:sz w:val="21"/>
          <w:szCs w:val="21"/>
        </w:rPr>
        <w:t>及厂商必须保证所有投标产品均为中华人民共和国境内（不含</w:t>
      </w:r>
      <w:r>
        <w:rPr>
          <w:rFonts w:hint="eastAsia" w:ascii="宋体" w:hAnsi="宋体" w:eastAsia="宋体" w:cs="宋体"/>
          <w:color w:val="000000"/>
          <w:sz w:val="21"/>
          <w:szCs w:val="21"/>
          <w:highlight w:val="none"/>
        </w:rPr>
        <w:t>港澳台地区）合法销售的产品，并保证所有投标参数真实可信，</w:t>
      </w:r>
      <w:r>
        <w:rPr>
          <w:rFonts w:ascii="宋体" w:hAnsi="宋体"/>
          <w:color w:val="000000"/>
          <w:kern w:val="0"/>
          <w:sz w:val="21"/>
          <w:szCs w:val="21"/>
        </w:rPr>
        <w:t>有产品合格证书、保修卡。</w:t>
      </w:r>
      <w:r>
        <w:rPr>
          <w:rFonts w:hint="eastAsia" w:ascii="宋体" w:hAnsi="宋体" w:cs="宋体"/>
          <w:color w:val="000000"/>
          <w:sz w:val="21"/>
          <w:szCs w:val="21"/>
        </w:rPr>
        <w:t>如有不符，采购人可以无条件退货，所造成的损失由中标人承担</w:t>
      </w:r>
      <w:r>
        <w:rPr>
          <w:rFonts w:hint="eastAsia" w:ascii="宋体" w:hAnsi="宋体" w:cs="宋体"/>
          <w:color w:val="000000"/>
          <w:sz w:val="21"/>
          <w:szCs w:val="21"/>
          <w:lang w:eastAsia="zh-CN"/>
        </w:rPr>
        <w:t>，</w:t>
      </w:r>
      <w:r>
        <w:rPr>
          <w:rFonts w:hint="eastAsia" w:ascii="宋体" w:hAnsi="宋体" w:eastAsia="宋体" w:cs="宋体"/>
          <w:b w:val="0"/>
          <w:bCs/>
          <w:color w:val="000000"/>
          <w:sz w:val="21"/>
          <w:szCs w:val="21"/>
          <w:highlight w:val="none"/>
        </w:rPr>
        <w:t>同时承担以非法产品或虚假参数应标所带来的一切法律风险。</w:t>
      </w:r>
    </w:p>
    <w:p>
      <w:pPr>
        <w:keepNext w:val="0"/>
        <w:keepLines w:val="0"/>
        <w:pageBreakBefore w:val="0"/>
        <w:widowControl w:val="0"/>
        <w:kinsoku/>
        <w:wordWrap/>
        <w:overflowPunct/>
        <w:topLinePunct w:val="0"/>
        <w:autoSpaceDE/>
        <w:autoSpaceDN/>
        <w:bidi w:val="0"/>
        <w:adjustRightInd/>
        <w:spacing w:line="324" w:lineRule="auto"/>
        <w:ind w:firstLine="421"/>
        <w:textAlignment w:val="auto"/>
        <w:outlineLvl w:val="9"/>
        <w:rPr>
          <w:rFonts w:hint="eastAsia" w:hAnsi="宋体"/>
          <w:color w:val="000000"/>
          <w:sz w:val="21"/>
          <w:szCs w:val="21"/>
        </w:rPr>
      </w:pPr>
      <w:r>
        <w:rPr>
          <w:rFonts w:hint="eastAsia" w:ascii="仿宋" w:hAnsi="仿宋" w:eastAsia="仿宋" w:cs="仿宋"/>
          <w:sz w:val="24"/>
          <w:lang w:val="en-US" w:eastAsia="zh-CN"/>
        </w:rPr>
        <w:t>2、</w:t>
      </w:r>
      <w:r>
        <w:rPr>
          <w:rFonts w:hint="eastAsia" w:hAnsi="宋体"/>
          <w:b/>
          <w:bCs/>
          <w:color w:val="000000"/>
          <w:sz w:val="21"/>
          <w:szCs w:val="21"/>
        </w:rPr>
        <w:t>质保期要求：</w:t>
      </w:r>
      <w:r>
        <w:rPr>
          <w:rFonts w:hint="eastAsia" w:ascii="宋体" w:hAnsi="宋体" w:cs="宋体"/>
          <w:b/>
          <w:bCs/>
          <w:color w:val="000000"/>
          <w:sz w:val="21"/>
          <w:szCs w:val="21"/>
        </w:rPr>
        <w:t>提供</w:t>
      </w:r>
      <w:r>
        <w:rPr>
          <w:rFonts w:hint="eastAsia" w:ascii="宋体" w:hAnsi="宋体" w:cs="宋体"/>
          <w:b/>
          <w:bCs/>
          <w:color w:val="000000"/>
          <w:sz w:val="21"/>
          <w:szCs w:val="21"/>
          <w:lang w:eastAsia="zh-CN"/>
        </w:rPr>
        <w:t>整个项目不少于</w:t>
      </w:r>
      <w:r>
        <w:rPr>
          <w:rFonts w:hint="eastAsia" w:ascii="宋体" w:hAnsi="宋体" w:cs="宋体"/>
          <w:b/>
          <w:bCs/>
          <w:color w:val="000000"/>
          <w:sz w:val="21"/>
          <w:szCs w:val="21"/>
          <w:lang w:val="en-US" w:eastAsia="zh-CN"/>
        </w:rPr>
        <w:t>二</w:t>
      </w:r>
      <w:r>
        <w:rPr>
          <w:rFonts w:hint="eastAsia" w:ascii="宋体" w:hAnsi="宋体" w:cs="宋体"/>
          <w:b/>
          <w:bCs/>
          <w:color w:val="000000"/>
          <w:sz w:val="21"/>
          <w:szCs w:val="21"/>
        </w:rPr>
        <w:t>年免费质保服务</w:t>
      </w:r>
      <w:r>
        <w:rPr>
          <w:rFonts w:hint="eastAsia" w:ascii="宋体" w:hAnsi="宋体" w:cs="宋体"/>
          <w:color w:val="000000"/>
          <w:sz w:val="21"/>
          <w:szCs w:val="21"/>
          <w:lang w:eastAsia="zh-CN"/>
        </w:rPr>
        <w:t>（包含</w:t>
      </w:r>
      <w:r>
        <w:rPr>
          <w:rFonts w:hint="eastAsia" w:hAnsi="宋体" w:cs="宋体"/>
          <w:color w:val="000000"/>
          <w:sz w:val="21"/>
          <w:szCs w:val="21"/>
          <w:lang w:eastAsia="zh-CN"/>
        </w:rPr>
        <w:t>智能化系统</w:t>
      </w:r>
      <w:r>
        <w:rPr>
          <w:rFonts w:hint="eastAsia" w:ascii="宋体" w:hAnsi="宋体" w:cs="宋体"/>
          <w:color w:val="000000"/>
          <w:sz w:val="21"/>
          <w:szCs w:val="21"/>
          <w:lang w:eastAsia="zh-CN"/>
        </w:rPr>
        <w:t>的硬件设备）</w:t>
      </w:r>
      <w:r>
        <w:rPr>
          <w:rFonts w:hint="eastAsia" w:ascii="宋体" w:hAnsi="宋体" w:cs="宋体"/>
          <w:color w:val="000000"/>
          <w:sz w:val="21"/>
          <w:szCs w:val="21"/>
        </w:rPr>
        <w:t>。（质保期从项目</w:t>
      </w:r>
      <w:r>
        <w:rPr>
          <w:rFonts w:hint="eastAsia" w:hAnsi="宋体" w:cs="宋体"/>
          <w:color w:val="000000"/>
          <w:sz w:val="21"/>
          <w:szCs w:val="21"/>
          <w:lang w:eastAsia="zh-CN"/>
        </w:rPr>
        <w:t>最终</w:t>
      </w:r>
      <w:r>
        <w:rPr>
          <w:rFonts w:hint="eastAsia" w:ascii="宋体" w:hAnsi="宋体" w:cs="宋体"/>
          <w:color w:val="000000"/>
          <w:sz w:val="21"/>
          <w:szCs w:val="21"/>
        </w:rPr>
        <w:t>验收合格之日起开始计算），在此保证期内，如在正常使用过程中出现的质量问题，供应商须负责免费维修或调换。质保期满后，成交供应商终身维护，仅收取零配件成本费用，免人工费、差旅费。</w:t>
      </w:r>
    </w:p>
    <w:p>
      <w:pPr>
        <w:keepNext w:val="0"/>
        <w:keepLines w:val="0"/>
        <w:pageBreakBefore w:val="0"/>
        <w:widowControl w:val="0"/>
        <w:kinsoku/>
        <w:wordWrap/>
        <w:overflowPunct/>
        <w:topLinePunct w:val="0"/>
        <w:autoSpaceDE/>
        <w:autoSpaceDN/>
        <w:bidi w:val="0"/>
        <w:adjustRightInd/>
        <w:spacing w:line="324" w:lineRule="auto"/>
        <w:ind w:firstLine="422" w:firstLineChars="200"/>
        <w:textAlignment w:val="auto"/>
        <w:outlineLvl w:val="9"/>
        <w:rPr>
          <w:rFonts w:hint="eastAsia" w:ascii="宋体" w:hAnsi="宋体" w:eastAsia="宋体" w:cs="宋体"/>
          <w:color w:val="000000"/>
          <w:sz w:val="21"/>
          <w:szCs w:val="21"/>
        </w:rPr>
      </w:pPr>
      <w:r>
        <w:rPr>
          <w:rFonts w:hint="eastAsia" w:ascii="宋体" w:hAnsi="宋体" w:cs="宋体"/>
          <w:b/>
          <w:bCs/>
          <w:color w:val="000000"/>
          <w:sz w:val="21"/>
          <w:szCs w:val="21"/>
          <w:lang w:val="en-US" w:eastAsia="zh-CN"/>
        </w:rPr>
        <w:t>3、响应时间要求：</w:t>
      </w:r>
      <w:r>
        <w:rPr>
          <w:rFonts w:hint="eastAsia" w:ascii="宋体" w:hAnsi="宋体" w:cs="宋体"/>
          <w:b w:val="0"/>
          <w:bCs w:val="0"/>
          <w:color w:val="000000"/>
          <w:sz w:val="21"/>
          <w:szCs w:val="21"/>
          <w:lang w:val="en-US" w:eastAsia="zh-CN"/>
        </w:rPr>
        <w:t>投标人能提供7×24小时电话服务；产品出现故障时，投标人需在1小时内响应，24小时内能提出解决方案；须至现场解决产品故障的，台州及附近地区4小时内，外地6小时内派人赴现</w:t>
      </w:r>
      <w:r>
        <w:rPr>
          <w:rFonts w:hint="eastAsia" w:ascii="宋体" w:hAnsi="宋体" w:eastAsia="宋体" w:cs="宋体"/>
          <w:b w:val="0"/>
          <w:bCs w:val="0"/>
          <w:color w:val="000000"/>
          <w:sz w:val="21"/>
          <w:szCs w:val="21"/>
          <w:lang w:val="en-US" w:eastAsia="zh-CN"/>
        </w:rPr>
        <w:t>场处理设备质量问题，24小时内不能修复的，则无偿提供备机或备用零件供采购单位使用。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24" w:lineRule="auto"/>
        <w:ind w:firstLine="422" w:firstLineChars="200"/>
        <w:textAlignment w:val="auto"/>
        <w:outlineLvl w:val="9"/>
        <w:rPr>
          <w:rFonts w:hint="eastAsia" w:ascii="宋体" w:hAnsi="宋体" w:cs="宋体"/>
          <w:color w:val="000000"/>
          <w:sz w:val="21"/>
          <w:szCs w:val="21"/>
          <w:highlight w:val="none"/>
          <w:lang w:eastAsia="zh-CN"/>
        </w:rPr>
      </w:pPr>
      <w:r>
        <w:rPr>
          <w:rFonts w:hint="eastAsia" w:ascii="宋体" w:hAnsi="宋体" w:cs="宋体"/>
          <w:b/>
          <w:bCs/>
          <w:color w:val="000000"/>
          <w:sz w:val="21"/>
          <w:szCs w:val="21"/>
          <w:lang w:val="en-US" w:eastAsia="zh-CN"/>
        </w:rPr>
        <w:t>5、</w:t>
      </w:r>
      <w:r>
        <w:rPr>
          <w:rFonts w:hint="eastAsia" w:ascii="宋体" w:hAnsi="宋体" w:cs="宋体"/>
          <w:b/>
          <w:bCs/>
          <w:color w:val="000000"/>
          <w:sz w:val="21"/>
          <w:szCs w:val="21"/>
        </w:rPr>
        <w:t>交货时间:</w:t>
      </w:r>
      <w:r>
        <w:rPr>
          <w:rFonts w:hint="eastAsia" w:ascii="宋体" w:hAnsi="宋体" w:cs="宋体"/>
          <w:color w:val="000000"/>
          <w:sz w:val="21"/>
          <w:szCs w:val="21"/>
        </w:rPr>
        <w:t xml:space="preserve"> </w:t>
      </w:r>
      <w:r>
        <w:rPr>
          <w:rFonts w:hint="eastAsia" w:ascii="宋体" w:hAnsi="宋体" w:cs="宋体"/>
          <w:color w:val="000000"/>
          <w:sz w:val="21"/>
          <w:szCs w:val="21"/>
          <w:highlight w:val="none"/>
        </w:rPr>
        <w:t>合同签订后</w:t>
      </w:r>
      <w:r>
        <w:rPr>
          <w:rFonts w:hint="eastAsia" w:ascii="宋体" w:hAnsi="宋体" w:cs="宋体"/>
          <w:color w:val="000000"/>
          <w:sz w:val="21"/>
          <w:szCs w:val="21"/>
          <w:highlight w:val="none"/>
          <w:lang w:val="en-US" w:eastAsia="zh-CN"/>
        </w:rPr>
        <w:t>60</w:t>
      </w:r>
      <w:r>
        <w:rPr>
          <w:rFonts w:hint="eastAsia" w:ascii="宋体" w:hAnsi="宋体" w:cs="宋体"/>
          <w:color w:val="000000"/>
          <w:sz w:val="21"/>
          <w:szCs w:val="21"/>
          <w:highlight w:val="none"/>
        </w:rPr>
        <w:t>天内</w:t>
      </w:r>
      <w:r>
        <w:rPr>
          <w:rFonts w:hint="eastAsia" w:ascii="宋体" w:hAnsi="宋体" w:cs="宋体"/>
          <w:color w:val="000000"/>
          <w:sz w:val="21"/>
          <w:szCs w:val="21"/>
          <w:highlight w:val="none"/>
          <w:lang w:eastAsia="zh-CN"/>
        </w:rPr>
        <w:t>完成</w:t>
      </w:r>
      <w:r>
        <w:rPr>
          <w:rFonts w:hint="eastAsia" w:ascii="宋体" w:hAnsi="宋体" w:cs="宋体"/>
          <w:color w:val="000000"/>
          <w:sz w:val="21"/>
          <w:szCs w:val="21"/>
          <w:highlight w:val="none"/>
        </w:rPr>
        <w:t>全部</w:t>
      </w:r>
      <w:r>
        <w:rPr>
          <w:rFonts w:hint="eastAsia" w:ascii="宋体" w:hAnsi="宋体" w:cs="宋体"/>
          <w:color w:val="000000"/>
          <w:sz w:val="21"/>
          <w:szCs w:val="21"/>
          <w:highlight w:val="none"/>
          <w:lang w:eastAsia="zh-CN"/>
        </w:rPr>
        <w:t>智能化系统设备的供</w:t>
      </w:r>
      <w:r>
        <w:rPr>
          <w:rFonts w:hint="eastAsia" w:ascii="宋体" w:hAnsi="宋体" w:cs="宋体"/>
          <w:color w:val="000000"/>
          <w:sz w:val="21"/>
          <w:szCs w:val="21"/>
          <w:highlight w:val="none"/>
        </w:rPr>
        <w:t>货</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安装</w:t>
      </w:r>
      <w:r>
        <w:rPr>
          <w:rFonts w:hint="eastAsia" w:ascii="宋体" w:hAnsi="宋体" w:cs="宋体"/>
          <w:color w:val="000000"/>
          <w:sz w:val="21"/>
          <w:szCs w:val="21"/>
          <w:highlight w:val="none"/>
          <w:lang w:eastAsia="zh-CN"/>
        </w:rPr>
        <w:t>调试</w:t>
      </w:r>
      <w:r>
        <w:rPr>
          <w:rFonts w:hint="eastAsia" w:ascii="宋体" w:hAnsi="宋体" w:cs="宋体"/>
          <w:color w:val="000000"/>
          <w:sz w:val="21"/>
          <w:szCs w:val="21"/>
          <w:highlight w:val="none"/>
        </w:rPr>
        <w:t>完毕并通过验收</w:t>
      </w:r>
      <w:r>
        <w:rPr>
          <w:rFonts w:hint="eastAsia" w:ascii="宋体" w:hAnsi="宋体" w:cs="宋体"/>
          <w:color w:val="000000"/>
          <w:sz w:val="21"/>
          <w:szCs w:val="21"/>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24" w:lineRule="auto"/>
        <w:ind w:firstLine="422" w:firstLineChars="200"/>
        <w:textAlignment w:val="auto"/>
        <w:outlineLvl w:val="9"/>
        <w:rPr>
          <w:rFonts w:hint="eastAsia" w:ascii="宋体" w:hAnsi="宋体" w:cs="宋体"/>
          <w:b w:val="0"/>
          <w:bCs w:val="0"/>
          <w:color w:val="000000"/>
          <w:sz w:val="21"/>
          <w:szCs w:val="21"/>
          <w:lang w:val="en-US" w:eastAsia="zh-CN"/>
        </w:rPr>
      </w:pPr>
      <w:r>
        <w:rPr>
          <w:rFonts w:hint="eastAsia" w:ascii="宋体" w:hAnsi="宋体" w:cs="宋体"/>
          <w:b/>
          <w:bCs/>
          <w:color w:val="000000"/>
          <w:sz w:val="21"/>
          <w:szCs w:val="21"/>
          <w:lang w:val="en-US" w:eastAsia="zh-CN"/>
        </w:rPr>
        <w:t>6、技术培训：</w:t>
      </w:r>
      <w:r>
        <w:rPr>
          <w:rFonts w:hint="eastAsia" w:ascii="宋体" w:hAnsi="宋体" w:cs="宋体"/>
          <w:b w:val="0"/>
          <w:bCs w:val="0"/>
          <w:color w:val="000000"/>
          <w:sz w:val="21"/>
          <w:szCs w:val="21"/>
          <w:lang w:val="en-US" w:eastAsia="zh-CN"/>
        </w:rPr>
        <w:t>中标方应科学制定相配套的培训计划，对采购人的使用操作人员进行切实有效的培训，确保产品能良好地运作；在采购人指定场所进行安装、调试完成后，需中标方自备试件完成设备所有参数的测试，提供培训手册，并进行现场全过程操作培训。</w:t>
      </w:r>
    </w:p>
    <w:p>
      <w:pPr>
        <w:widowControl/>
        <w:snapToGrid w:val="0"/>
        <w:spacing w:line="360" w:lineRule="auto"/>
        <w:ind w:firstLine="422" w:firstLineChars="200"/>
        <w:jc w:val="left"/>
        <w:rPr>
          <w:rFonts w:hint="eastAsia" w:ascii="宋体" w:hAnsi="宋体" w:cs="宋体"/>
          <w:b/>
          <w:bCs/>
          <w:color w:val="000000"/>
          <w:sz w:val="21"/>
          <w:szCs w:val="21"/>
        </w:rPr>
      </w:pPr>
      <w:r>
        <w:rPr>
          <w:rFonts w:hint="eastAsia" w:ascii="宋体" w:hAnsi="宋体" w:cs="宋体"/>
          <w:b/>
          <w:bCs/>
          <w:color w:val="000000"/>
          <w:sz w:val="21"/>
          <w:szCs w:val="21"/>
          <w:lang w:val="en-US" w:eastAsia="zh-CN"/>
        </w:rPr>
        <w:t>7</w:t>
      </w:r>
      <w:r>
        <w:rPr>
          <w:rFonts w:hint="eastAsia" w:ascii="宋体" w:hAnsi="宋体" w:cs="宋体"/>
          <w:b/>
          <w:bCs/>
          <w:color w:val="000000"/>
          <w:sz w:val="21"/>
          <w:szCs w:val="21"/>
        </w:rPr>
        <w:t>、付款</w:t>
      </w:r>
      <w:r>
        <w:rPr>
          <w:rFonts w:hint="eastAsia" w:ascii="宋体" w:hAnsi="宋体" w:cs="宋体"/>
          <w:b/>
          <w:bCs/>
          <w:color w:val="000000"/>
          <w:sz w:val="21"/>
          <w:szCs w:val="21"/>
          <w:lang w:eastAsia="zh-CN"/>
        </w:rPr>
        <w:t>方式</w:t>
      </w:r>
      <w:r>
        <w:rPr>
          <w:rFonts w:hint="eastAsia" w:ascii="宋体" w:hAnsi="宋体" w:cs="宋体"/>
          <w:b/>
          <w:bCs/>
          <w:color w:val="000000"/>
          <w:sz w:val="21"/>
          <w:szCs w:val="21"/>
        </w:rPr>
        <w:t>：</w:t>
      </w:r>
    </w:p>
    <w:p>
      <w:pPr>
        <w:widowControl/>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（1）在政府采购合同签订生效后及具备实施条件7个工作日内支付预付款，预付款金额为项目合同</w:t>
      </w:r>
      <w:r>
        <w:rPr>
          <w:rFonts w:hint="eastAsia" w:ascii="仿宋" w:hAnsi="仿宋" w:eastAsia="仿宋" w:cs="仿宋"/>
          <w:kern w:val="0"/>
          <w:sz w:val="24"/>
          <w:highlight w:val="none"/>
          <w:lang w:val="en-US" w:eastAsia="zh-CN"/>
        </w:rPr>
        <w:t>金</w:t>
      </w:r>
      <w:r>
        <w:rPr>
          <w:rFonts w:hint="eastAsia" w:ascii="仿宋" w:hAnsi="仿宋" w:eastAsia="仿宋" w:cs="仿宋"/>
          <w:kern w:val="0"/>
          <w:sz w:val="24"/>
          <w:highlight w:val="none"/>
        </w:rPr>
        <w:t>额的40%；预付款支付前</w:t>
      </w:r>
      <w:r>
        <w:rPr>
          <w:rFonts w:hint="eastAsia" w:ascii="仿宋" w:hAnsi="仿宋" w:eastAsia="仿宋" w:cs="仿宋"/>
          <w:kern w:val="0"/>
          <w:sz w:val="24"/>
          <w:highlight w:val="none"/>
          <w:lang w:eastAsia="zh-CN"/>
        </w:rPr>
        <w:t>中标供应商</w:t>
      </w:r>
      <w:r>
        <w:rPr>
          <w:rFonts w:hint="eastAsia" w:ascii="仿宋" w:hAnsi="仿宋" w:eastAsia="仿宋" w:cs="仿宋"/>
          <w:kern w:val="0"/>
          <w:sz w:val="24"/>
          <w:highlight w:val="none"/>
        </w:rPr>
        <w:t>须提交银行、保险公司等金融机构出具的预付款保函或其他担保措施。</w:t>
      </w:r>
    </w:p>
    <w:p>
      <w:pPr>
        <w:widowControl/>
        <w:snapToGrid w:val="0"/>
        <w:spacing w:line="360" w:lineRule="auto"/>
        <w:ind w:firstLine="480" w:firstLineChars="200"/>
        <w:jc w:val="left"/>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（2）整体项目验收合格后，</w:t>
      </w:r>
      <w:r>
        <w:rPr>
          <w:rFonts w:hint="eastAsia" w:ascii="仿宋" w:hAnsi="仿宋" w:eastAsia="仿宋" w:cs="仿宋"/>
          <w:kern w:val="0"/>
          <w:sz w:val="24"/>
          <w:highlight w:val="none"/>
          <w:lang w:val="en-US" w:eastAsia="zh-CN"/>
        </w:rPr>
        <w:t>采购人支付至合同总价的85%，结算经审定后付至结算价的100%。</w:t>
      </w:r>
    </w:p>
    <w:p>
      <w:pPr>
        <w:spacing w:line="460" w:lineRule="exact"/>
        <w:ind w:right="-178" w:rightChars="-85" w:firstLine="480" w:firstLineChars="200"/>
        <w:rPr>
          <w:rFonts w:ascii="仿宋" w:hAnsi="仿宋" w:eastAsia="仿宋" w:cs="仿宋"/>
          <w:sz w:val="24"/>
          <w:highlight w:val="none"/>
        </w:rPr>
      </w:pPr>
      <w:r>
        <w:rPr>
          <w:rFonts w:hint="eastAsia" w:ascii="仿宋" w:hAnsi="仿宋" w:eastAsia="仿宋" w:cs="仿宋"/>
          <w:kern w:val="0"/>
          <w:sz w:val="24"/>
          <w:highlight w:val="none"/>
          <w:lang w:val="en-US" w:eastAsia="zh-CN"/>
        </w:rPr>
        <w:t>（3）正式税务发票(增值税专用发票)应随付款进度及时提供。</w:t>
      </w: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ascii="宋体"/>
          <w:b/>
          <w:bCs/>
          <w:sz w:val="36"/>
          <w:szCs w:val="36"/>
        </w:rPr>
      </w:pPr>
      <w:r>
        <w:rPr>
          <w:rFonts w:hint="eastAsia" w:ascii="宋体" w:hAnsi="宋体" w:cs="宋体"/>
          <w:b/>
          <w:bCs/>
          <w:sz w:val="36"/>
          <w:szCs w:val="36"/>
        </w:rPr>
        <w:t>第五章  合同主要条款</w:t>
      </w:r>
    </w:p>
    <w:p>
      <w:pPr>
        <w:spacing w:line="360" w:lineRule="auto"/>
        <w:rPr>
          <w:rFonts w:ascii="宋体" w:hAnsi="宋体" w:cs="宋体"/>
          <w:sz w:val="24"/>
          <w:szCs w:val="24"/>
        </w:rPr>
      </w:pPr>
    </w:p>
    <w:p>
      <w:pPr>
        <w:pageBreakBefore w:val="0"/>
        <w:kinsoku/>
        <w:wordWrap/>
        <w:overflowPunct/>
        <w:topLinePunct w:val="0"/>
        <w:bidi w:val="0"/>
        <w:spacing w:line="360" w:lineRule="auto"/>
        <w:ind w:left="0" w:right="0"/>
        <w:textAlignment w:val="auto"/>
        <w:rPr>
          <w:rFonts w:hint="eastAsia" w:ascii="宋体" w:hAnsi="宋体" w:eastAsia="宋体" w:cs="宋体"/>
          <w:sz w:val="24"/>
          <w:szCs w:val="24"/>
          <w:u w:val="single"/>
          <w:lang w:eastAsia="zh-CN"/>
        </w:rPr>
      </w:pPr>
      <w:r>
        <w:rPr>
          <w:rFonts w:hint="eastAsia" w:ascii="宋体" w:hAnsi="宋体" w:cs="宋体"/>
          <w:b/>
          <w:bCs/>
          <w:sz w:val="24"/>
          <w:szCs w:val="24"/>
        </w:rPr>
        <w:t>项目名称：</w:t>
      </w:r>
      <w:r>
        <w:rPr>
          <w:rFonts w:hint="eastAsia" w:ascii="宋体" w:hAnsi="宋体" w:cs="宋体"/>
          <w:sz w:val="24"/>
          <w:szCs w:val="24"/>
          <w:u w:val="single"/>
          <w:lang w:eastAsia="zh-CN"/>
        </w:rPr>
        <w:t>东魁杨梅集成创新-东魁杨梅博览馆布展多媒体采购项目</w:t>
      </w:r>
    </w:p>
    <w:p>
      <w:pPr>
        <w:pageBreakBefore w:val="0"/>
        <w:kinsoku/>
        <w:wordWrap/>
        <w:overflowPunct/>
        <w:topLinePunct w:val="0"/>
        <w:bidi w:val="0"/>
        <w:spacing w:line="360" w:lineRule="auto"/>
        <w:ind w:left="0" w:right="0"/>
        <w:textAlignment w:val="auto"/>
        <w:rPr>
          <w:rFonts w:ascii="宋体" w:hAnsi="宋体" w:cs="宋体"/>
          <w:b/>
          <w:bCs/>
          <w:sz w:val="24"/>
          <w:szCs w:val="24"/>
        </w:rPr>
      </w:pPr>
      <w:r>
        <w:rPr>
          <w:rFonts w:hint="eastAsia" w:ascii="宋体" w:hAnsi="宋体" w:cs="宋体"/>
          <w:b/>
          <w:bCs/>
          <w:sz w:val="24"/>
          <w:szCs w:val="24"/>
        </w:rPr>
        <w:t>项目编号：</w:t>
      </w:r>
      <w:r>
        <w:rPr>
          <w:rFonts w:hint="eastAsia" w:ascii="宋体" w:hAnsi="宋体" w:cs="宋体"/>
          <w:sz w:val="24"/>
          <w:szCs w:val="24"/>
          <w:u w:val="single"/>
        </w:rPr>
        <w:t>临[2024]8号</w:t>
      </w:r>
    </w:p>
    <w:p>
      <w:pPr>
        <w:pageBreakBefore w:val="0"/>
        <w:kinsoku/>
        <w:wordWrap/>
        <w:overflowPunct/>
        <w:topLinePunct w:val="0"/>
        <w:bidi w:val="0"/>
        <w:spacing w:line="360" w:lineRule="auto"/>
        <w:ind w:left="0" w:right="0"/>
        <w:textAlignment w:val="auto"/>
        <w:rPr>
          <w:rFonts w:ascii="宋体" w:hAnsi="宋体" w:cs="宋体"/>
          <w:b/>
          <w:bCs/>
          <w:sz w:val="24"/>
          <w:szCs w:val="24"/>
        </w:rPr>
      </w:pPr>
      <w:r>
        <w:rPr>
          <w:rFonts w:hint="eastAsia" w:ascii="宋体" w:hAnsi="宋体" w:cs="宋体"/>
          <w:b/>
          <w:bCs/>
          <w:sz w:val="24"/>
          <w:szCs w:val="24"/>
        </w:rPr>
        <w:t>甲方（采购人）：</w:t>
      </w:r>
      <w:r>
        <w:rPr>
          <w:rFonts w:hint="eastAsia" w:ascii="宋体" w:hAnsi="宋体" w:cs="宋体"/>
          <w:sz w:val="24"/>
          <w:szCs w:val="24"/>
          <w:u w:val="single"/>
          <w:lang w:eastAsia="zh-CN"/>
        </w:rPr>
        <w:t>台州市黄岩区人民政府江口街道办事处</w:t>
      </w:r>
      <w:r>
        <w:rPr>
          <w:rFonts w:hint="eastAsia" w:ascii="宋体" w:hAnsi="宋体" w:cs="宋体"/>
          <w:sz w:val="24"/>
          <w:szCs w:val="24"/>
          <w:u w:val="single"/>
        </w:rPr>
        <w:t xml:space="preserve"> </w:t>
      </w:r>
    </w:p>
    <w:p>
      <w:pPr>
        <w:pageBreakBefore w:val="0"/>
        <w:kinsoku/>
        <w:wordWrap/>
        <w:overflowPunct/>
        <w:topLinePunct w:val="0"/>
        <w:bidi w:val="0"/>
        <w:spacing w:line="360" w:lineRule="auto"/>
        <w:ind w:left="0" w:right="0"/>
        <w:textAlignment w:val="auto"/>
        <w:rPr>
          <w:rFonts w:ascii="宋体" w:hAnsi="宋体" w:cs="宋体"/>
          <w:b/>
          <w:bCs/>
          <w:sz w:val="24"/>
          <w:szCs w:val="24"/>
          <w:u w:val="single"/>
        </w:rPr>
      </w:pPr>
      <w:r>
        <w:rPr>
          <w:rFonts w:hint="eastAsia" w:ascii="宋体" w:hAnsi="宋体" w:cs="宋体"/>
          <w:b/>
          <w:bCs/>
          <w:sz w:val="24"/>
          <w:szCs w:val="24"/>
        </w:rPr>
        <w:t>乙方（中标人）：</w:t>
      </w:r>
      <w:r>
        <w:rPr>
          <w:rFonts w:hint="eastAsia" w:ascii="宋体" w:hAnsi="宋体" w:cs="宋体"/>
          <w:b/>
          <w:bCs/>
          <w:sz w:val="24"/>
          <w:szCs w:val="24"/>
          <w:u w:val="single"/>
        </w:rPr>
        <w:t xml:space="preserve">                                               </w:t>
      </w:r>
    </w:p>
    <w:p>
      <w:pPr>
        <w:pageBreakBefore w:val="0"/>
        <w:kinsoku/>
        <w:wordWrap/>
        <w:overflowPunct/>
        <w:topLinePunct w:val="0"/>
        <w:bidi w:val="0"/>
        <w:spacing w:line="360" w:lineRule="auto"/>
        <w:ind w:left="0" w:right="0" w:firstLine="480" w:firstLineChars="200"/>
        <w:textAlignment w:val="auto"/>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lang w:eastAsia="zh-CN"/>
        </w:rPr>
        <w:t>东魁杨梅集成创新-东魁杨梅博览馆布展多媒体采购项目</w:t>
      </w:r>
      <w:r>
        <w:rPr>
          <w:rFonts w:hint="eastAsia" w:ascii="宋体" w:hAnsi="宋体" w:cs="宋体"/>
          <w:sz w:val="24"/>
          <w:szCs w:val="24"/>
        </w:rPr>
        <w:t>的招标结果，经双方协商一致，达成以下条款：</w:t>
      </w:r>
    </w:p>
    <w:p>
      <w:pPr>
        <w:pageBreakBefore w:val="0"/>
        <w:kinsoku/>
        <w:wordWrap/>
        <w:overflowPunct/>
        <w:topLinePunct w:val="0"/>
        <w:bidi w:val="0"/>
        <w:spacing w:line="360" w:lineRule="auto"/>
        <w:ind w:left="0" w:right="0"/>
        <w:textAlignment w:val="auto"/>
        <w:rPr>
          <w:rFonts w:ascii="宋体" w:hAnsi="宋体" w:cs="宋体"/>
          <w:b/>
          <w:bCs/>
          <w:sz w:val="24"/>
          <w:szCs w:val="24"/>
        </w:rPr>
      </w:pPr>
      <w:r>
        <w:rPr>
          <w:rFonts w:hint="eastAsia" w:ascii="宋体" w:hAnsi="宋体" w:cs="宋体"/>
          <w:b/>
          <w:bCs/>
          <w:sz w:val="24"/>
          <w:szCs w:val="24"/>
        </w:rPr>
        <w:t>第一条：承包内容</w:t>
      </w:r>
    </w:p>
    <w:p>
      <w:pPr>
        <w:pageBreakBefore w:val="0"/>
        <w:kinsoku/>
        <w:wordWrap/>
        <w:overflowPunct/>
        <w:topLinePunct w:val="0"/>
        <w:bidi w:val="0"/>
        <w:spacing w:line="360" w:lineRule="auto"/>
        <w:ind w:left="0" w:right="0" w:firstLine="480" w:firstLineChars="200"/>
        <w:textAlignment w:val="auto"/>
        <w:rPr>
          <w:rFonts w:ascii="宋体" w:hAnsi="宋体" w:cs="宋体"/>
          <w:sz w:val="24"/>
          <w:szCs w:val="24"/>
        </w:rPr>
      </w:pPr>
      <w:r>
        <w:rPr>
          <w:rFonts w:hint="eastAsia" w:ascii="宋体" w:hAnsi="宋体" w:cs="宋体"/>
          <w:sz w:val="24"/>
          <w:szCs w:val="24"/>
          <w:lang w:eastAsia="zh-CN"/>
        </w:rPr>
        <w:t>东魁杨梅集成创新-东魁杨梅博览馆布展多媒体采购项目</w:t>
      </w:r>
      <w:r>
        <w:rPr>
          <w:rFonts w:hint="eastAsia" w:ascii="宋体" w:hAnsi="宋体" w:cs="宋体"/>
          <w:sz w:val="24"/>
          <w:szCs w:val="24"/>
        </w:rPr>
        <w:t>，包括项目建设、实施、直至验收合格及售后服务等。</w:t>
      </w:r>
    </w:p>
    <w:p>
      <w:pPr>
        <w:pageBreakBefore w:val="0"/>
        <w:kinsoku/>
        <w:wordWrap/>
        <w:overflowPunct/>
        <w:topLinePunct w:val="0"/>
        <w:bidi w:val="0"/>
        <w:spacing w:line="360" w:lineRule="auto"/>
        <w:ind w:left="0" w:right="0"/>
        <w:textAlignment w:val="auto"/>
        <w:rPr>
          <w:rFonts w:ascii="宋体" w:hAnsi="宋体" w:cs="宋体"/>
          <w:b/>
          <w:bCs/>
          <w:sz w:val="24"/>
          <w:szCs w:val="24"/>
        </w:rPr>
      </w:pPr>
      <w:r>
        <w:rPr>
          <w:rFonts w:hint="eastAsia" w:ascii="宋体" w:hAnsi="宋体" w:cs="宋体"/>
          <w:b/>
          <w:bCs/>
          <w:sz w:val="24"/>
          <w:szCs w:val="24"/>
        </w:rPr>
        <w:t>第二条：合同金额</w:t>
      </w:r>
    </w:p>
    <w:p>
      <w:pPr>
        <w:pageBreakBefore w:val="0"/>
        <w:kinsoku/>
        <w:wordWrap/>
        <w:overflowPunct/>
        <w:topLinePunct w:val="0"/>
        <w:bidi w:val="0"/>
        <w:spacing w:line="360" w:lineRule="auto"/>
        <w:ind w:left="0" w:right="0" w:firstLine="480" w:firstLineChars="200"/>
        <w:textAlignment w:val="auto"/>
        <w:rPr>
          <w:rFonts w:ascii="宋体" w:hAnsi="宋体" w:cs="宋体"/>
          <w:sz w:val="24"/>
        </w:rPr>
      </w:pPr>
      <w:r>
        <w:rPr>
          <w:rFonts w:hint="eastAsia" w:ascii="宋体" w:hAnsi="宋体" w:cs="宋体"/>
          <w:sz w:val="24"/>
        </w:rPr>
        <w:t>本合同金额为（大写）：</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 xml:space="preserve">        </w:t>
      </w:r>
      <w:r>
        <w:rPr>
          <w:rFonts w:hint="eastAsia" w:ascii="宋体" w:hAnsi="宋体" w:cs="宋体"/>
          <w:sz w:val="24"/>
        </w:rPr>
        <w:t>元）人民币。</w:t>
      </w:r>
    </w:p>
    <w:p>
      <w:pPr>
        <w:pageBreakBefore w:val="0"/>
        <w:kinsoku/>
        <w:wordWrap/>
        <w:overflowPunct/>
        <w:topLinePunct w:val="0"/>
        <w:bidi w:val="0"/>
        <w:spacing w:line="360" w:lineRule="auto"/>
        <w:ind w:left="0" w:right="0"/>
        <w:textAlignment w:val="auto"/>
        <w:rPr>
          <w:rFonts w:ascii="宋体" w:hAnsi="宋体" w:cs="宋体"/>
          <w:b/>
          <w:bCs/>
          <w:sz w:val="24"/>
        </w:rPr>
      </w:pPr>
      <w:r>
        <w:rPr>
          <w:rFonts w:hint="eastAsia" w:ascii="宋体" w:hAnsi="宋体" w:cs="宋体"/>
          <w:b/>
          <w:bCs/>
          <w:sz w:val="24"/>
        </w:rPr>
        <w:t>第三条：建设工期、验收方式及地点</w:t>
      </w:r>
    </w:p>
    <w:p>
      <w:pPr>
        <w:keepNext w:val="0"/>
        <w:keepLines w:val="0"/>
        <w:pageBreakBefore w:val="0"/>
        <w:widowControl/>
        <w:numPr>
          <w:ilvl w:val="0"/>
          <w:numId w:val="12"/>
        </w:numPr>
        <w:kinsoku/>
        <w:wordWrap/>
        <w:overflowPunct/>
        <w:topLinePunct w:val="0"/>
        <w:autoSpaceDE/>
        <w:autoSpaceDN/>
        <w:bidi w:val="0"/>
        <w:adjustRightInd/>
        <w:snapToGrid w:val="0"/>
        <w:spacing w:line="360" w:lineRule="auto"/>
        <w:ind w:left="0" w:right="0" w:firstLine="480" w:firstLineChars="200"/>
        <w:jc w:val="left"/>
        <w:textAlignment w:val="auto"/>
        <w:rPr>
          <w:rFonts w:ascii="宋体" w:hAnsi="宋体" w:cs="宋体"/>
          <w:sz w:val="24"/>
        </w:rPr>
      </w:pPr>
      <w:r>
        <w:rPr>
          <w:rFonts w:hint="eastAsia" w:ascii="宋体" w:hAnsi="宋体" w:cs="宋体"/>
          <w:sz w:val="24"/>
        </w:rPr>
        <w:t>建设工期：</w:t>
      </w:r>
      <w:r>
        <w:rPr>
          <w:rFonts w:hint="eastAsia" w:ascii="宋体" w:hAnsi="宋体" w:cs="宋体"/>
          <w:b w:val="0"/>
          <w:bCs w:val="0"/>
          <w:i w:val="0"/>
          <w:iCs w:val="0"/>
          <w:color w:val="auto"/>
          <w:kern w:val="2"/>
          <w:sz w:val="24"/>
          <w:szCs w:val="24"/>
          <w:highlight w:val="none"/>
          <w:vertAlign w:val="baseline"/>
          <w:lang w:val="en-US" w:eastAsia="zh-CN"/>
        </w:rPr>
        <w:t>合同签订后60天内完成全部智能化系统设备的供货、安装调试完毕并通过验收。</w:t>
      </w:r>
    </w:p>
    <w:p>
      <w:pPr>
        <w:pageBreakBefore w:val="0"/>
        <w:kinsoku/>
        <w:wordWrap/>
        <w:overflowPunct/>
        <w:topLinePunct w:val="0"/>
        <w:bidi w:val="0"/>
        <w:spacing w:line="360" w:lineRule="auto"/>
        <w:ind w:left="0" w:right="0" w:firstLine="480" w:firstLineChars="200"/>
        <w:textAlignment w:val="auto"/>
        <w:rPr>
          <w:rFonts w:ascii="宋体" w:hAnsi="宋体" w:cs="宋体"/>
          <w:sz w:val="24"/>
        </w:rPr>
      </w:pPr>
      <w:r>
        <w:rPr>
          <w:rFonts w:hint="eastAsia" w:ascii="宋体" w:hAnsi="宋体" w:cs="宋体"/>
          <w:sz w:val="24"/>
        </w:rPr>
        <w:t>2.验收方式及地点：按</w:t>
      </w:r>
      <w:r>
        <w:rPr>
          <w:rFonts w:hint="eastAsia" w:ascii="宋体" w:hAnsi="宋体" w:cs="宋体"/>
          <w:sz w:val="24"/>
          <w:lang w:eastAsia="zh-CN"/>
        </w:rPr>
        <w:t>台州市黄岩区人民政府江口街道办事处</w:t>
      </w:r>
      <w:r>
        <w:rPr>
          <w:rFonts w:hint="eastAsia" w:ascii="宋体" w:hAnsi="宋体" w:cs="宋体"/>
          <w:sz w:val="24"/>
        </w:rPr>
        <w:t>指定的方式、地点验收。</w:t>
      </w:r>
    </w:p>
    <w:p>
      <w:pPr>
        <w:pageBreakBefore w:val="0"/>
        <w:kinsoku/>
        <w:wordWrap/>
        <w:overflowPunct/>
        <w:topLinePunct w:val="0"/>
        <w:bidi w:val="0"/>
        <w:spacing w:line="360" w:lineRule="auto"/>
        <w:ind w:left="0" w:right="0"/>
        <w:textAlignment w:val="auto"/>
        <w:rPr>
          <w:rFonts w:ascii="宋体" w:hAnsi="宋体" w:cs="宋体"/>
          <w:b/>
          <w:bCs/>
          <w:sz w:val="24"/>
        </w:rPr>
      </w:pPr>
      <w:r>
        <w:rPr>
          <w:rFonts w:hint="eastAsia" w:ascii="宋体" w:hAnsi="宋体" w:cs="宋体"/>
          <w:b/>
          <w:bCs/>
          <w:sz w:val="24"/>
        </w:rPr>
        <w:t>第四条：</w:t>
      </w:r>
      <w:r>
        <w:rPr>
          <w:rFonts w:hint="eastAsia" w:ascii="宋体" w:hAnsi="宋体" w:cs="宋体"/>
          <w:b/>
          <w:bCs/>
          <w:sz w:val="24"/>
          <w:lang w:val="en-US" w:eastAsia="zh-CN"/>
        </w:rPr>
        <w:t>质保期</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lang w:val="en-US" w:eastAsia="zh-CN"/>
        </w:rPr>
        <w:t>质保期</w:t>
      </w:r>
      <w:r>
        <w:rPr>
          <w:rFonts w:hint="eastAsia" w:hAnsi="宋体"/>
          <w:sz w:val="24"/>
        </w:rPr>
        <w:t>：</w:t>
      </w:r>
      <w:r>
        <w:rPr>
          <w:rFonts w:hint="eastAsia" w:hAnsi="宋体"/>
          <w:sz w:val="24"/>
          <w:u w:val="single"/>
        </w:rPr>
        <w:t xml:space="preserve">    </w:t>
      </w:r>
      <w:r>
        <w:rPr>
          <w:rFonts w:hint="eastAsia" w:hAnsi="宋体"/>
          <w:sz w:val="24"/>
        </w:rPr>
        <w:t>年。（</w:t>
      </w:r>
      <w:r>
        <w:rPr>
          <w:rFonts w:hint="eastAsia" w:hAnsi="宋体"/>
          <w:bCs/>
          <w:sz w:val="24"/>
          <w:szCs w:val="32"/>
        </w:rPr>
        <w:t>质保期从项目最终验收合格之日起开始计算</w:t>
      </w:r>
      <w:r>
        <w:rPr>
          <w:rFonts w:hint="eastAsia" w:hAnsi="宋体"/>
          <w:bCs/>
          <w:sz w:val="24"/>
          <w:szCs w:val="32"/>
          <w:lang w:eastAsia="zh-CN"/>
        </w:rPr>
        <w:t>。</w:t>
      </w:r>
      <w:r>
        <w:rPr>
          <w:rFonts w:hint="eastAsia" w:hAnsi="宋体"/>
          <w:sz w:val="24"/>
        </w:rPr>
        <w:t>）</w:t>
      </w:r>
    </w:p>
    <w:p>
      <w:pPr>
        <w:pStyle w:val="5"/>
        <w:pageBreakBefore w:val="0"/>
        <w:kinsoku/>
        <w:wordWrap/>
        <w:overflowPunct/>
        <w:topLinePunct w:val="0"/>
        <w:bidi w:val="0"/>
        <w:spacing w:before="0" w:after="0" w:line="360" w:lineRule="auto"/>
        <w:ind w:left="0" w:right="0"/>
        <w:textAlignment w:val="auto"/>
        <w:rPr>
          <w:rFonts w:ascii="宋体" w:hAnsi="宋体" w:cs="宋体"/>
          <w:sz w:val="24"/>
          <w:szCs w:val="21"/>
          <w:lang w:val="zh-CN"/>
        </w:rPr>
      </w:pPr>
      <w:r>
        <w:rPr>
          <w:rFonts w:hint="eastAsia" w:ascii="宋体" w:hAnsi="宋体" w:cs="宋体"/>
          <w:sz w:val="24"/>
          <w:szCs w:val="21"/>
        </w:rPr>
        <w:t>第五条：</w:t>
      </w:r>
      <w:r>
        <w:rPr>
          <w:rFonts w:hint="eastAsia" w:ascii="宋体" w:hAnsi="宋体" w:cs="宋体"/>
          <w:sz w:val="24"/>
          <w:szCs w:val="21"/>
          <w:lang w:val="zh-CN"/>
        </w:rPr>
        <w:t>技术资料</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Ansi="宋体"/>
          <w:sz w:val="24"/>
        </w:rPr>
        <w:t>1</w:t>
      </w:r>
      <w:r>
        <w:rPr>
          <w:rFonts w:hint="eastAsia" w:hAnsi="宋体"/>
          <w:sz w:val="24"/>
        </w:rPr>
        <w:t>.</w:t>
      </w:r>
      <w:r>
        <w:rPr>
          <w:rFonts w:hAnsi="宋体"/>
          <w:sz w:val="24"/>
        </w:rPr>
        <w:t>乙方应按</w:t>
      </w:r>
      <w:r>
        <w:rPr>
          <w:rFonts w:hint="eastAsia" w:hAnsi="宋体"/>
          <w:sz w:val="24"/>
        </w:rPr>
        <w:t>招标文件</w:t>
      </w:r>
      <w:r>
        <w:rPr>
          <w:rFonts w:hAnsi="宋体"/>
          <w:sz w:val="24"/>
        </w:rPr>
        <w:t>规定的时间向甲方提供</w:t>
      </w:r>
      <w:r>
        <w:rPr>
          <w:rFonts w:hint="eastAsia" w:hAnsi="宋体"/>
          <w:sz w:val="24"/>
        </w:rPr>
        <w:t>产品、服务及指导</w:t>
      </w:r>
      <w:r>
        <w:rPr>
          <w:rFonts w:hAnsi="宋体"/>
          <w:sz w:val="24"/>
        </w:rPr>
        <w:t>。</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Ansi="宋体"/>
          <w:sz w:val="24"/>
        </w:rPr>
        <w:t>2</w:t>
      </w:r>
      <w:r>
        <w:rPr>
          <w:rFonts w:hint="eastAsia" w:hAnsi="宋体"/>
          <w:sz w:val="24"/>
        </w:rPr>
        <w:t>.</w:t>
      </w:r>
      <w:r>
        <w:rPr>
          <w:rFonts w:hAnsi="宋体"/>
          <w:sz w:val="24"/>
        </w:rPr>
        <w:t>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pStyle w:val="5"/>
        <w:pageBreakBefore w:val="0"/>
        <w:kinsoku/>
        <w:wordWrap/>
        <w:overflowPunct/>
        <w:topLinePunct w:val="0"/>
        <w:bidi w:val="0"/>
        <w:spacing w:before="0" w:after="0" w:line="360" w:lineRule="auto"/>
        <w:ind w:left="0" w:right="0"/>
        <w:textAlignment w:val="auto"/>
        <w:rPr>
          <w:rFonts w:ascii="宋体" w:hAnsi="宋体" w:cs="宋体"/>
          <w:sz w:val="24"/>
          <w:szCs w:val="21"/>
          <w:lang w:val="zh-CN"/>
        </w:rPr>
      </w:pPr>
      <w:r>
        <w:rPr>
          <w:rFonts w:hint="eastAsia" w:ascii="宋体" w:hAnsi="宋体" w:cs="宋体"/>
          <w:sz w:val="24"/>
          <w:szCs w:val="21"/>
        </w:rPr>
        <w:t>第六条：</w:t>
      </w:r>
      <w:r>
        <w:rPr>
          <w:rFonts w:hint="eastAsia" w:ascii="宋体" w:hAnsi="宋体" w:cs="宋体"/>
          <w:sz w:val="24"/>
          <w:szCs w:val="21"/>
          <w:lang w:val="zh-CN"/>
        </w:rPr>
        <w:t>知识产权</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1.</w:t>
      </w:r>
      <w:r>
        <w:rPr>
          <w:rFonts w:hAnsi="宋体"/>
          <w:sz w:val="24"/>
        </w:rPr>
        <w:t>乙方应保证所提供的</w:t>
      </w:r>
      <w:r>
        <w:rPr>
          <w:rFonts w:hint="eastAsia" w:hAnsi="宋体"/>
          <w:sz w:val="24"/>
        </w:rPr>
        <w:t>服务、产品</w:t>
      </w:r>
      <w:r>
        <w:rPr>
          <w:rFonts w:hAnsi="宋体"/>
          <w:sz w:val="24"/>
        </w:rPr>
        <w:t>或其任何一部分均不会侵犯任何第三方的知识产权。</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2.若侵犯,由乙方赔偿甲方因此遭受的损失（包括但不限于应对及追偿过程中所支付的律师费、差旅费、诉讼费、保全费、鉴定费、评估费等）。</w:t>
      </w:r>
    </w:p>
    <w:p>
      <w:pPr>
        <w:pageBreakBefore w:val="0"/>
        <w:kinsoku/>
        <w:wordWrap/>
        <w:overflowPunct/>
        <w:topLinePunct w:val="0"/>
        <w:bidi w:val="0"/>
        <w:spacing w:line="360" w:lineRule="auto"/>
        <w:ind w:left="0" w:right="0"/>
        <w:textAlignment w:val="auto"/>
        <w:rPr>
          <w:rFonts w:ascii="宋体" w:hAnsi="宋体" w:cs="宋体"/>
          <w:b/>
          <w:bCs/>
          <w:sz w:val="24"/>
        </w:rPr>
      </w:pPr>
      <w:r>
        <w:rPr>
          <w:rFonts w:hint="eastAsia" w:ascii="宋体" w:hAnsi="宋体" w:cs="宋体"/>
          <w:b/>
          <w:bCs/>
          <w:sz w:val="24"/>
        </w:rPr>
        <w:t>第七条：履约保证金</w:t>
      </w:r>
    </w:p>
    <w:p>
      <w:pPr>
        <w:pStyle w:val="93"/>
        <w:pageBreakBefore w:val="0"/>
        <w:kinsoku/>
        <w:wordWrap/>
        <w:overflowPunct/>
        <w:topLinePunct w:val="0"/>
        <w:bidi w:val="0"/>
        <w:spacing w:after="0" w:line="360" w:lineRule="auto"/>
        <w:ind w:left="0" w:right="0" w:firstLine="480" w:firstLineChars="200"/>
        <w:textAlignment w:val="auto"/>
        <w:rPr>
          <w:rFonts w:ascii="宋体" w:hAnsi="宋体" w:cs="宋体"/>
          <w:color w:val="auto"/>
          <w:kern w:val="2"/>
          <w:lang w:val="zh-CN"/>
        </w:rPr>
      </w:pPr>
      <w:r>
        <w:rPr>
          <w:rFonts w:hint="eastAsia" w:ascii="宋体" w:hAnsi="宋体" w:cs="宋体"/>
          <w:bCs/>
          <w:color w:val="auto"/>
          <w:lang w:val="zh-CN"/>
        </w:rPr>
        <w:t>签订合同前</w:t>
      </w:r>
      <w:r>
        <w:rPr>
          <w:rFonts w:hint="eastAsia" w:ascii="宋体" w:hAnsi="宋体" w:cs="宋体"/>
          <w:bCs/>
          <w:color w:val="auto"/>
        </w:rPr>
        <w:t>乙方</w:t>
      </w:r>
      <w:r>
        <w:rPr>
          <w:rFonts w:hint="eastAsia" w:ascii="宋体" w:hAnsi="宋体" w:cs="宋体"/>
          <w:bCs/>
          <w:color w:val="auto"/>
          <w:lang w:val="zh-CN"/>
        </w:rPr>
        <w:t>须向</w:t>
      </w:r>
      <w:r>
        <w:rPr>
          <w:rFonts w:hint="eastAsia" w:ascii="宋体" w:hAnsi="宋体" w:cs="宋体"/>
          <w:bCs/>
          <w:color w:val="auto"/>
        </w:rPr>
        <w:t>甲方</w:t>
      </w:r>
      <w:r>
        <w:rPr>
          <w:rFonts w:hint="eastAsia" w:ascii="宋体" w:hAnsi="宋体" w:cs="宋体"/>
          <w:bCs/>
          <w:color w:val="auto"/>
          <w:lang w:val="zh-CN"/>
        </w:rPr>
        <w:t>提交</w:t>
      </w:r>
      <w:r>
        <w:rPr>
          <w:rFonts w:hint="eastAsia" w:ascii="宋体" w:hAnsi="宋体" w:cs="宋体"/>
          <w:bCs/>
          <w:color w:val="auto"/>
        </w:rPr>
        <w:t>合同金额的</w:t>
      </w:r>
      <w:r>
        <w:rPr>
          <w:rFonts w:ascii="宋体" w:hAnsi="宋体" w:cs="宋体"/>
          <w:bCs/>
          <w:color w:val="auto"/>
        </w:rPr>
        <w:t>1</w:t>
      </w:r>
      <w:r>
        <w:rPr>
          <w:rFonts w:hint="eastAsia" w:ascii="宋体" w:hAnsi="宋体" w:cs="宋体"/>
          <w:color w:val="auto"/>
        </w:rPr>
        <w:t>%作为履约</w:t>
      </w:r>
      <w:r>
        <w:rPr>
          <w:rFonts w:hint="eastAsia" w:ascii="宋体" w:hAnsi="宋体" w:cs="宋体"/>
          <w:bCs/>
          <w:color w:val="auto"/>
          <w:lang w:val="zh-CN"/>
        </w:rPr>
        <w:t>保证金</w:t>
      </w:r>
      <w:r>
        <w:rPr>
          <w:rFonts w:hint="eastAsia" w:ascii="宋体" w:hAnsi="宋体" w:cs="宋体"/>
          <w:color w:val="auto"/>
          <w:kern w:val="2"/>
        </w:rPr>
        <w:t>（现金、转账或保函形式均可），项目验收合格</w:t>
      </w:r>
      <w:r>
        <w:rPr>
          <w:rFonts w:hint="eastAsia" w:ascii="宋体" w:hAnsi="宋体" w:cs="宋体"/>
          <w:color w:val="auto"/>
          <w:kern w:val="2"/>
          <w:lang w:val="zh-CN"/>
        </w:rPr>
        <w:t>后7个工作日内退还</w:t>
      </w:r>
      <w:r>
        <w:rPr>
          <w:rFonts w:hint="eastAsia" w:ascii="宋体" w:hAnsi="宋体" w:cs="宋体"/>
          <w:color w:val="auto"/>
          <w:kern w:val="2"/>
        </w:rPr>
        <w:t>或解除保函</w:t>
      </w:r>
      <w:r>
        <w:rPr>
          <w:rFonts w:hint="eastAsia" w:ascii="宋体" w:hAnsi="宋体" w:cs="宋体"/>
          <w:color w:val="auto"/>
          <w:kern w:val="2"/>
          <w:lang w:val="zh-CN"/>
        </w:rPr>
        <w:t>。</w:t>
      </w:r>
    </w:p>
    <w:p>
      <w:pPr>
        <w:pStyle w:val="93"/>
        <w:pageBreakBefore w:val="0"/>
        <w:kinsoku/>
        <w:wordWrap/>
        <w:overflowPunct/>
        <w:topLinePunct w:val="0"/>
        <w:bidi w:val="0"/>
        <w:spacing w:after="0" w:line="360" w:lineRule="auto"/>
        <w:ind w:left="0" w:right="0"/>
        <w:textAlignment w:val="auto"/>
        <w:rPr>
          <w:rFonts w:ascii="宋体" w:hAnsi="宋体" w:cs="宋体"/>
          <w:b/>
          <w:bCs/>
          <w:color w:val="auto"/>
        </w:rPr>
      </w:pPr>
      <w:r>
        <w:rPr>
          <w:rFonts w:hint="eastAsia" w:ascii="宋体" w:hAnsi="宋体" w:cs="宋体"/>
          <w:b/>
          <w:bCs/>
          <w:color w:val="auto"/>
        </w:rPr>
        <w:t>第八条：付款方式</w:t>
      </w:r>
    </w:p>
    <w:p>
      <w:pPr>
        <w:widowControl/>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（1）在政府采购合同签订生效后及具备实施条件7个工作日内支付预付款，预付款金额为项目合同</w:t>
      </w:r>
      <w:r>
        <w:rPr>
          <w:rFonts w:hint="eastAsia" w:ascii="仿宋" w:hAnsi="仿宋" w:eastAsia="仿宋" w:cs="仿宋"/>
          <w:kern w:val="0"/>
          <w:sz w:val="24"/>
          <w:highlight w:val="none"/>
          <w:lang w:val="en-US" w:eastAsia="zh-CN"/>
        </w:rPr>
        <w:t>金</w:t>
      </w:r>
      <w:r>
        <w:rPr>
          <w:rFonts w:hint="eastAsia" w:ascii="仿宋" w:hAnsi="仿宋" w:eastAsia="仿宋" w:cs="仿宋"/>
          <w:kern w:val="0"/>
          <w:sz w:val="24"/>
          <w:highlight w:val="none"/>
        </w:rPr>
        <w:t>额的40%；预付款支付前</w:t>
      </w:r>
      <w:r>
        <w:rPr>
          <w:rFonts w:hint="eastAsia" w:ascii="仿宋" w:hAnsi="仿宋" w:eastAsia="仿宋" w:cs="仿宋"/>
          <w:kern w:val="0"/>
          <w:sz w:val="24"/>
          <w:highlight w:val="none"/>
          <w:lang w:eastAsia="zh-CN"/>
        </w:rPr>
        <w:t>中标供应商</w:t>
      </w:r>
      <w:r>
        <w:rPr>
          <w:rFonts w:hint="eastAsia" w:ascii="仿宋" w:hAnsi="仿宋" w:eastAsia="仿宋" w:cs="仿宋"/>
          <w:kern w:val="0"/>
          <w:sz w:val="24"/>
          <w:highlight w:val="none"/>
        </w:rPr>
        <w:t>须提交银行、保险公司等金融机构出具的预付款保函或其他担保措施。</w:t>
      </w:r>
    </w:p>
    <w:p>
      <w:pPr>
        <w:widowControl/>
        <w:snapToGrid w:val="0"/>
        <w:spacing w:line="360" w:lineRule="auto"/>
        <w:ind w:firstLine="480" w:firstLineChars="200"/>
        <w:jc w:val="left"/>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（2）整体项目验收合格后，</w:t>
      </w:r>
      <w:r>
        <w:rPr>
          <w:rFonts w:hint="eastAsia" w:ascii="仿宋" w:hAnsi="仿宋" w:eastAsia="仿宋" w:cs="仿宋"/>
          <w:kern w:val="0"/>
          <w:sz w:val="24"/>
          <w:highlight w:val="none"/>
          <w:lang w:val="en-US" w:eastAsia="zh-CN"/>
        </w:rPr>
        <w:t>采购人支付至合同总价的85%，结算经审定后付至结算价的100%。</w:t>
      </w:r>
    </w:p>
    <w:p>
      <w:pPr>
        <w:pageBreakBefore w:val="0"/>
        <w:kinsoku/>
        <w:wordWrap/>
        <w:overflowPunct/>
        <w:topLinePunct w:val="0"/>
        <w:bidi w:val="0"/>
        <w:spacing w:line="360" w:lineRule="auto"/>
        <w:ind w:left="0" w:right="0" w:firstLine="480" w:firstLineChars="200"/>
        <w:textAlignment w:val="auto"/>
        <w:rPr>
          <w:rFonts w:ascii="宋体" w:hAnsi="宋体" w:cs="宋体"/>
          <w:sz w:val="24"/>
          <w:szCs w:val="24"/>
          <w:highlight w:val="none"/>
        </w:rPr>
      </w:pPr>
      <w:r>
        <w:rPr>
          <w:rFonts w:hint="eastAsia" w:ascii="仿宋" w:hAnsi="仿宋" w:eastAsia="仿宋" w:cs="仿宋"/>
          <w:kern w:val="0"/>
          <w:sz w:val="24"/>
          <w:highlight w:val="none"/>
          <w:lang w:val="en-US" w:eastAsia="zh-CN"/>
        </w:rPr>
        <w:t>（3）正式税务发票(增值税专用发票)应随付款进度及时提供。</w:t>
      </w:r>
    </w:p>
    <w:p>
      <w:pPr>
        <w:pStyle w:val="5"/>
        <w:pageBreakBefore w:val="0"/>
        <w:kinsoku/>
        <w:wordWrap/>
        <w:overflowPunct/>
        <w:topLinePunct w:val="0"/>
        <w:bidi w:val="0"/>
        <w:spacing w:before="0" w:after="0" w:line="360" w:lineRule="auto"/>
        <w:ind w:left="0" w:right="0"/>
        <w:textAlignment w:val="auto"/>
        <w:rPr>
          <w:rFonts w:ascii="宋体" w:hAnsi="宋体" w:cs="宋体"/>
          <w:sz w:val="24"/>
          <w:szCs w:val="24"/>
          <w:lang w:val="zh-CN"/>
        </w:rPr>
      </w:pPr>
      <w:r>
        <w:rPr>
          <w:rFonts w:hint="eastAsia" w:ascii="宋体" w:hAnsi="宋体" w:cs="宋体"/>
          <w:sz w:val="24"/>
          <w:szCs w:val="24"/>
        </w:rPr>
        <w:t>第九条：</w:t>
      </w:r>
      <w:r>
        <w:rPr>
          <w:rFonts w:hint="eastAsia" w:ascii="宋体" w:hAnsi="宋体" w:cs="宋体"/>
          <w:sz w:val="24"/>
          <w:szCs w:val="24"/>
          <w:lang w:val="zh-CN"/>
        </w:rPr>
        <w:t>转包或分包</w:t>
      </w:r>
    </w:p>
    <w:p>
      <w:pPr>
        <w:pageBreakBefore w:val="0"/>
        <w:kinsoku/>
        <w:wordWrap/>
        <w:overflowPunct/>
        <w:topLinePunct w:val="0"/>
        <w:bidi w:val="0"/>
        <w:snapToGrid w:val="0"/>
        <w:spacing w:line="360" w:lineRule="auto"/>
        <w:ind w:left="0" w:right="0" w:firstLine="480" w:firstLineChars="200"/>
        <w:textAlignment w:val="auto"/>
        <w:rPr>
          <w:rFonts w:ascii="宋体" w:hAnsi="宋体" w:cs="宋体"/>
          <w:sz w:val="24"/>
        </w:rPr>
      </w:pPr>
      <w:r>
        <w:rPr>
          <w:rFonts w:hint="eastAsia" w:ascii="宋体" w:hAnsi="宋体" w:cs="宋体"/>
          <w:sz w:val="24"/>
        </w:rPr>
        <w:t>1.本合同范围的产品及服务，应由乙方直接供应，不得转让他人供应；</w:t>
      </w:r>
    </w:p>
    <w:p>
      <w:pPr>
        <w:pageBreakBefore w:val="0"/>
        <w:kinsoku/>
        <w:wordWrap/>
        <w:overflowPunct/>
        <w:topLinePunct w:val="0"/>
        <w:bidi w:val="0"/>
        <w:snapToGrid w:val="0"/>
        <w:spacing w:line="360" w:lineRule="auto"/>
        <w:ind w:left="0" w:right="0" w:firstLine="480" w:firstLineChars="200"/>
        <w:textAlignment w:val="auto"/>
        <w:rPr>
          <w:rFonts w:ascii="宋体" w:hAnsi="宋体" w:cs="宋体"/>
          <w:sz w:val="24"/>
        </w:rPr>
      </w:pPr>
      <w:r>
        <w:rPr>
          <w:rFonts w:hint="eastAsia" w:ascii="宋体" w:hAnsi="宋体" w:cs="宋体"/>
          <w:sz w:val="24"/>
        </w:rPr>
        <w:t>2.除非得到甲方的书面同意，乙方不得将本合同范围的产品及服务全部或部分分包给他人供应；</w:t>
      </w:r>
    </w:p>
    <w:p>
      <w:pPr>
        <w:pageBreakBefore w:val="0"/>
        <w:kinsoku/>
        <w:wordWrap/>
        <w:overflowPunct/>
        <w:topLinePunct w:val="0"/>
        <w:bidi w:val="0"/>
        <w:snapToGrid w:val="0"/>
        <w:spacing w:line="360" w:lineRule="auto"/>
        <w:ind w:left="0" w:right="0" w:firstLine="480" w:firstLineChars="200"/>
        <w:textAlignment w:val="auto"/>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pPr>
        <w:pStyle w:val="5"/>
        <w:pageBreakBefore w:val="0"/>
        <w:kinsoku/>
        <w:wordWrap/>
        <w:overflowPunct/>
        <w:topLinePunct w:val="0"/>
        <w:bidi w:val="0"/>
        <w:spacing w:before="0" w:after="0" w:line="360" w:lineRule="auto"/>
        <w:ind w:left="0" w:right="0"/>
        <w:textAlignment w:val="auto"/>
        <w:rPr>
          <w:rFonts w:ascii="宋体" w:hAnsi="宋体" w:cs="宋体"/>
          <w:sz w:val="24"/>
        </w:rPr>
      </w:pPr>
      <w:r>
        <w:rPr>
          <w:rFonts w:hint="eastAsia" w:ascii="宋体" w:hAnsi="宋体" w:cs="宋体"/>
          <w:sz w:val="24"/>
          <w:szCs w:val="24"/>
        </w:rPr>
        <w:t>第十条：</w:t>
      </w:r>
      <w:r>
        <w:rPr>
          <w:rFonts w:hint="eastAsia" w:ascii="宋体" w:hAnsi="宋体" w:cs="宋体"/>
          <w:sz w:val="24"/>
          <w:szCs w:val="24"/>
          <w:lang w:val="zh-CN"/>
        </w:rPr>
        <w:t>调试和验收</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1.甲方对乙方提交的产品依据招标文件上的技术规格要求和国家有关质量标准进行现场初步验收，外观、说明书符合招标文件技术要求的，给予签收，初步验收不合格的不予签收。</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2.乙方交付前应对产品做出全面检查和对验收文件进行整理，并列出清单，作为甲方验收和使用的技术条件依据，检验的结果应随产品交甲方。</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3.甲方对乙方提供的产品在使用前进行调试时，乙方需负责安装并培训甲方的使用操作人员，并协助甲方一起调试，直到符合技术要求，系统进入试运行，试运行期满三个月无问题后，甲方才做最终验收。</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4.对技术复杂的产品，甲方应请国家认可的专业检测机构参与初步验收及最终验收，并由其出具质量检测报告。</w:t>
      </w:r>
    </w:p>
    <w:p>
      <w:pPr>
        <w:pStyle w:val="14"/>
        <w:pageBreakBefore w:val="0"/>
        <w:kinsoku/>
        <w:wordWrap/>
        <w:overflowPunct/>
        <w:topLinePunct w:val="0"/>
        <w:bidi w:val="0"/>
        <w:snapToGrid w:val="0"/>
        <w:spacing w:line="360" w:lineRule="auto"/>
        <w:ind w:left="0" w:right="0" w:firstLine="480" w:firstLineChars="200"/>
        <w:textAlignment w:val="auto"/>
      </w:pPr>
      <w:r>
        <w:rPr>
          <w:rFonts w:hAnsi="宋体"/>
          <w:sz w:val="24"/>
        </w:rPr>
        <w:t>5</w:t>
      </w:r>
      <w:r>
        <w:rPr>
          <w:rFonts w:hint="eastAsia" w:hAnsi="宋体"/>
          <w:sz w:val="24"/>
        </w:rPr>
        <w:t>.</w:t>
      </w:r>
      <w:r>
        <w:rPr>
          <w:rFonts w:hAnsi="宋体"/>
          <w:sz w:val="24"/>
        </w:rPr>
        <w:t>验收时乙方必须在现场，验收完毕后作出验收结果报告。</w:t>
      </w:r>
    </w:p>
    <w:p>
      <w:pPr>
        <w:pageBreakBefore w:val="0"/>
        <w:kinsoku/>
        <w:wordWrap/>
        <w:overflowPunct/>
        <w:topLinePunct w:val="0"/>
        <w:bidi w:val="0"/>
        <w:spacing w:line="360" w:lineRule="auto"/>
        <w:ind w:left="0" w:right="0"/>
        <w:textAlignment w:val="auto"/>
        <w:rPr>
          <w:rFonts w:ascii="宋体" w:hAnsi="宋体" w:cs="宋体"/>
          <w:b/>
          <w:bCs/>
          <w:sz w:val="24"/>
        </w:rPr>
      </w:pPr>
      <w:r>
        <w:rPr>
          <w:rFonts w:hint="eastAsia" w:ascii="宋体" w:hAnsi="宋体" w:cs="宋体"/>
          <w:b/>
          <w:bCs/>
          <w:sz w:val="24"/>
        </w:rPr>
        <w:t>第十一条：违约责任</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Ansi="宋体"/>
          <w:sz w:val="24"/>
        </w:rPr>
        <w:t>1</w:t>
      </w:r>
      <w:r>
        <w:rPr>
          <w:rFonts w:hint="eastAsia" w:hAnsi="宋体"/>
          <w:sz w:val="24"/>
        </w:rPr>
        <w:t>.</w:t>
      </w:r>
      <w:r>
        <w:rPr>
          <w:rFonts w:hAnsi="宋体"/>
          <w:sz w:val="24"/>
        </w:rPr>
        <w:t>甲方无正当理由拒收</w:t>
      </w:r>
      <w:r>
        <w:rPr>
          <w:rFonts w:hint="eastAsia" w:hAnsi="宋体"/>
          <w:sz w:val="24"/>
        </w:rPr>
        <w:t>产品</w:t>
      </w:r>
      <w:r>
        <w:rPr>
          <w:rFonts w:hAnsi="宋体"/>
          <w:sz w:val="24"/>
        </w:rPr>
        <w:t>的，甲方向乙方偿付拒收</w:t>
      </w:r>
      <w:r>
        <w:rPr>
          <w:rFonts w:hint="eastAsia" w:hAnsi="宋体"/>
          <w:sz w:val="24"/>
        </w:rPr>
        <w:t>合同金额</w:t>
      </w:r>
      <w:r>
        <w:rPr>
          <w:rFonts w:hAnsi="宋体"/>
          <w:sz w:val="24"/>
        </w:rPr>
        <w:t>的</w:t>
      </w:r>
      <w:r>
        <w:rPr>
          <w:rFonts w:hint="eastAsia" w:hAnsi="宋体"/>
          <w:sz w:val="24"/>
          <w:u w:val="single"/>
        </w:rPr>
        <w:t>万</w:t>
      </w:r>
      <w:r>
        <w:rPr>
          <w:rFonts w:hAnsi="宋体"/>
          <w:sz w:val="24"/>
          <w:u w:val="single"/>
        </w:rPr>
        <w:t>分之五</w:t>
      </w:r>
      <w:r>
        <w:rPr>
          <w:rFonts w:hAnsi="宋体"/>
          <w:sz w:val="24"/>
        </w:rPr>
        <w:t>违约金。</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Ansi="宋体"/>
          <w:sz w:val="24"/>
        </w:rPr>
        <w:t>2</w:t>
      </w:r>
      <w:r>
        <w:rPr>
          <w:rFonts w:hint="eastAsia" w:hAnsi="宋体"/>
          <w:sz w:val="24"/>
        </w:rPr>
        <w:t>.</w:t>
      </w:r>
      <w:r>
        <w:rPr>
          <w:rFonts w:hAnsi="宋体"/>
          <w:sz w:val="24"/>
        </w:rPr>
        <w:t>甲方无故逾期验收和支付手续的,甲方应按逾期付款总额每日</w:t>
      </w:r>
      <w:r>
        <w:rPr>
          <w:rFonts w:hAnsi="宋体"/>
          <w:sz w:val="24"/>
          <w:u w:val="single"/>
        </w:rPr>
        <w:t>万分之五</w:t>
      </w:r>
      <w:r>
        <w:rPr>
          <w:rFonts w:hAnsi="宋体"/>
          <w:sz w:val="24"/>
        </w:rPr>
        <w:t>向乙方支付违约金。</w:t>
      </w:r>
    </w:p>
    <w:p>
      <w:pPr>
        <w:pageBreakBefore w:val="0"/>
        <w:kinsoku/>
        <w:wordWrap/>
        <w:overflowPunct/>
        <w:topLinePunct w:val="0"/>
        <w:bidi w:val="0"/>
        <w:spacing w:line="360" w:lineRule="auto"/>
        <w:ind w:left="0" w:right="0" w:firstLine="480" w:firstLineChars="200"/>
        <w:textAlignment w:val="auto"/>
        <w:rPr>
          <w:rFonts w:ascii="宋体" w:hAnsi="宋体" w:cs="宋体"/>
          <w:sz w:val="24"/>
          <w:szCs w:val="32"/>
        </w:rPr>
      </w:pPr>
      <w:r>
        <w:rPr>
          <w:rFonts w:hint="eastAsia" w:ascii="宋体" w:hAnsi="宋体" w:cs="宋体"/>
          <w:sz w:val="24"/>
          <w:szCs w:val="32"/>
        </w:rPr>
        <w:t>3.乙方所交的产品或服务不符合合同规定及招标文件规定标准的，甲方有权拒收该产品或服务；若乙方愿意更换产品或服务，但逾期交付产品或服务的，按乙方逾期交付处理，乙方应按逾期付款总额每日千分之六向甲方支付违约金，由甲方从待付合同款中扣除。逾期超过约定日期10个工作日不能交付的，甲方可解除本合同。乙方拒绝更换产品或服务，或者乙方在合同签订后不能交付的，甲方可单方面解除合同，乙方应向甲方偿付产品或服务总值20%的违约金，且合同履约保证金不予退还。如造成甲方损失超过违约金的，超出部分由乙方继续承担赔偿责任。</w:t>
      </w:r>
    </w:p>
    <w:p>
      <w:pPr>
        <w:pageBreakBefore w:val="0"/>
        <w:kinsoku/>
        <w:wordWrap/>
        <w:overflowPunct/>
        <w:topLinePunct w:val="0"/>
        <w:bidi w:val="0"/>
        <w:spacing w:line="360" w:lineRule="auto"/>
        <w:ind w:left="0" w:right="0" w:firstLine="480" w:firstLineChars="200"/>
        <w:textAlignment w:val="auto"/>
        <w:rPr>
          <w:rFonts w:ascii="宋体" w:hAnsi="宋体" w:cs="宋体"/>
          <w:sz w:val="24"/>
          <w:szCs w:val="32"/>
        </w:rPr>
      </w:pPr>
      <w:r>
        <w:rPr>
          <w:rFonts w:hint="eastAsia" w:ascii="宋体" w:hAnsi="宋体" w:cs="宋体"/>
          <w:sz w:val="24"/>
          <w:szCs w:val="32"/>
        </w:rPr>
        <w:t>4.乙方提供的产品质量低于国家标准规定的，由国家相关部门依法处理。若高于国家标准但不符招标文件规定要求的，参照上一条约定情形办理。</w:t>
      </w:r>
    </w:p>
    <w:p>
      <w:pPr>
        <w:pageBreakBefore w:val="0"/>
        <w:kinsoku/>
        <w:wordWrap/>
        <w:overflowPunct/>
        <w:topLinePunct w:val="0"/>
        <w:bidi w:val="0"/>
        <w:spacing w:line="360" w:lineRule="auto"/>
        <w:ind w:left="0" w:right="0" w:firstLine="480" w:firstLineChars="200"/>
        <w:textAlignment w:val="auto"/>
        <w:rPr>
          <w:rFonts w:ascii="宋体" w:hAnsi="宋体" w:cs="宋体"/>
          <w:sz w:val="24"/>
          <w:szCs w:val="32"/>
        </w:rPr>
      </w:pPr>
      <w:r>
        <w:rPr>
          <w:rFonts w:hint="eastAsia" w:ascii="宋体" w:hAnsi="宋体" w:cs="宋体"/>
          <w:sz w:val="24"/>
          <w:szCs w:val="32"/>
        </w:rPr>
        <w:t>5.若发生纠纷，由违约方赔偿守约方因纠纷所支付的费用（包括但不限于律师费、差旅费、诉讼费、保全费、鉴定费、评估费等）。</w:t>
      </w:r>
    </w:p>
    <w:p>
      <w:pPr>
        <w:pageBreakBefore w:val="0"/>
        <w:kinsoku/>
        <w:wordWrap/>
        <w:overflowPunct/>
        <w:topLinePunct w:val="0"/>
        <w:bidi w:val="0"/>
        <w:spacing w:line="360" w:lineRule="auto"/>
        <w:ind w:left="0" w:right="0"/>
        <w:textAlignment w:val="auto"/>
        <w:rPr>
          <w:rFonts w:ascii="宋体" w:hAnsi="宋体" w:cs="宋体"/>
          <w:b/>
          <w:bCs/>
          <w:sz w:val="24"/>
        </w:rPr>
      </w:pPr>
      <w:r>
        <w:rPr>
          <w:rFonts w:hint="eastAsia" w:ascii="宋体" w:hAnsi="宋体" w:cs="宋体"/>
          <w:b/>
          <w:bCs/>
          <w:sz w:val="24"/>
        </w:rPr>
        <w:t>第十二条：质量保证及售后服务</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1.乙方应按招标文件规定的产品性能、技术要求、质量标准向甲方提供未经使用的全新产品。同时提供服务质量保证书、技术性能说明书、有关部门的检测测试报告、质量标准认证证书等相关材料。</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2.乙方提供的产品在免费维保期内因产品本身的质量问题发生故障，乙方应负责免费更换。对达不到技术要求者，根据实际情况，经双方协商，可按以下办法处理：</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⑴更换：由乙方承担所发生的全部费用。</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⑵贬值处理：由甲乙双方合议定价。</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⑶退货处理：乙方应退还甲方支付的合同款，同时应承担该产品的直接费用（运输、保险、检验、利息及银行手续费等）。</w:t>
      </w:r>
    </w:p>
    <w:p>
      <w:pPr>
        <w:pageBreakBefore w:val="0"/>
        <w:kinsoku/>
        <w:wordWrap/>
        <w:overflowPunct/>
        <w:topLinePunct w:val="0"/>
        <w:bidi w:val="0"/>
        <w:snapToGrid w:val="0"/>
        <w:spacing w:line="360" w:lineRule="auto"/>
        <w:ind w:left="0" w:right="0" w:firstLine="480" w:firstLineChars="200"/>
        <w:textAlignment w:val="auto"/>
        <w:rPr>
          <w:rFonts w:ascii="宋体" w:hAnsi="宋体" w:cs="宋体"/>
          <w:sz w:val="24"/>
          <w:szCs w:val="24"/>
        </w:rPr>
      </w:pPr>
      <w:r>
        <w:rPr>
          <w:rFonts w:hint="eastAsia" w:ascii="宋体" w:hAnsi="宋体" w:cs="宋体"/>
          <w:sz w:val="24"/>
          <w:szCs w:val="24"/>
        </w:rPr>
        <w:t>3.质保期内，投标人保证提供工作时间内的服务响应，在接到系统故障通知后，投标人必须在2小时内响应。对于影响平台系统正常运行的严重故障，投标人工程师及其它相关技术人员必须在接到故障通知后6小时内赶到现场，查找原因，提出解决方案，并工作直至故障维修完全恢复正常服务为止，一般要求保证系统在24小时之内修复。</w:t>
      </w:r>
    </w:p>
    <w:p>
      <w:pPr>
        <w:pageBreakBefore w:val="0"/>
        <w:kinsoku/>
        <w:wordWrap/>
        <w:overflowPunct/>
        <w:topLinePunct w:val="0"/>
        <w:bidi w:val="0"/>
        <w:snapToGrid w:val="0"/>
        <w:spacing w:line="360" w:lineRule="auto"/>
        <w:ind w:left="0" w:right="0" w:firstLine="420"/>
        <w:textAlignment w:val="auto"/>
        <w:rPr>
          <w:rFonts w:ascii="宋体" w:hAnsi="宋体" w:cs="宋体"/>
          <w:sz w:val="24"/>
          <w:szCs w:val="24"/>
        </w:rPr>
      </w:pPr>
      <w:r>
        <w:rPr>
          <w:rFonts w:hint="eastAsia" w:ascii="宋体" w:hAnsi="宋体" w:cs="宋体"/>
          <w:sz w:val="24"/>
          <w:szCs w:val="24"/>
        </w:rPr>
        <w:t>4.在质保期内，对用户提出的技术问题进行咨询解答服务，对项目运行过程中发现的技术缺陷予以修改。要求为本项目提供完备的服务体系，多样化的服务手段，包括现场服务、远程服务、应急服务等。</w:t>
      </w:r>
    </w:p>
    <w:p>
      <w:pPr>
        <w:pageBreakBefore w:val="0"/>
        <w:kinsoku/>
        <w:wordWrap/>
        <w:overflowPunct/>
        <w:topLinePunct w:val="0"/>
        <w:bidi w:val="0"/>
        <w:snapToGrid w:val="0"/>
        <w:spacing w:line="360" w:lineRule="auto"/>
        <w:ind w:left="0" w:right="0" w:firstLine="420"/>
        <w:textAlignment w:val="auto"/>
        <w:rPr>
          <w:rFonts w:hAnsi="宋体"/>
          <w:sz w:val="24"/>
        </w:rPr>
      </w:pPr>
      <w:r>
        <w:rPr>
          <w:rFonts w:hint="eastAsia" w:ascii="宋体" w:hAnsi="宋体" w:cs="宋体"/>
          <w:sz w:val="24"/>
          <w:szCs w:val="24"/>
        </w:rPr>
        <w:t>5.</w:t>
      </w:r>
      <w:r>
        <w:rPr>
          <w:rFonts w:hint="eastAsia" w:hAnsi="宋体"/>
          <w:sz w:val="24"/>
        </w:rPr>
        <w:t>在质保期内,乙方应对出现的质量及安全问题负责处理解决并承担一切费用。提供免费的维修及技术咨询服务。</w:t>
      </w:r>
    </w:p>
    <w:p>
      <w:pPr>
        <w:pStyle w:val="14"/>
        <w:pageBreakBefore w:val="0"/>
        <w:kinsoku/>
        <w:wordWrap/>
        <w:overflowPunct/>
        <w:topLinePunct w:val="0"/>
        <w:bidi w:val="0"/>
        <w:snapToGrid w:val="0"/>
        <w:spacing w:line="360" w:lineRule="auto"/>
        <w:ind w:left="0" w:right="0" w:firstLine="480" w:firstLineChars="200"/>
        <w:textAlignment w:val="auto"/>
      </w:pPr>
      <w:r>
        <w:rPr>
          <w:rFonts w:hint="eastAsia" w:hAnsi="宋体"/>
          <w:sz w:val="24"/>
        </w:rPr>
        <w:t>6.培训：为使甲方对本系统能够有效使用和正确操作、维护，乙方有责任对甲方指派的操作、维护人员进行培训，培训内容包括理论培训和实际操作培训。培训内容包括维护、常见故障的排除等。</w:t>
      </w:r>
    </w:p>
    <w:p>
      <w:pPr>
        <w:pStyle w:val="5"/>
        <w:pageBreakBefore w:val="0"/>
        <w:kinsoku/>
        <w:wordWrap/>
        <w:overflowPunct/>
        <w:topLinePunct w:val="0"/>
        <w:bidi w:val="0"/>
        <w:spacing w:before="0" w:after="0" w:line="360" w:lineRule="auto"/>
        <w:ind w:left="0" w:right="0"/>
        <w:textAlignment w:val="auto"/>
        <w:rPr>
          <w:rFonts w:ascii="宋体" w:hAnsi="宋体" w:cs="宋体"/>
          <w:sz w:val="24"/>
        </w:rPr>
      </w:pPr>
      <w:r>
        <w:rPr>
          <w:rFonts w:hint="eastAsia" w:ascii="宋体" w:hAnsi="宋体" w:cs="宋体"/>
          <w:sz w:val="24"/>
        </w:rPr>
        <w:t>第十三条：</w:t>
      </w:r>
      <w:r>
        <w:rPr>
          <w:rFonts w:hint="eastAsia" w:ascii="宋体" w:hAnsi="宋体" w:cs="宋体"/>
          <w:sz w:val="24"/>
          <w:lang w:val="zh-CN"/>
        </w:rPr>
        <w:t>不可抗力事件处理</w:t>
      </w:r>
    </w:p>
    <w:p>
      <w:pPr>
        <w:pStyle w:val="5"/>
        <w:pageBreakBefore w:val="0"/>
        <w:kinsoku/>
        <w:wordWrap/>
        <w:overflowPunct/>
        <w:topLinePunct w:val="0"/>
        <w:bidi w:val="0"/>
        <w:spacing w:before="0" w:after="0" w:line="360" w:lineRule="auto"/>
        <w:ind w:left="0" w:right="0" w:firstLine="480" w:firstLineChars="200"/>
        <w:textAlignment w:val="auto"/>
        <w:rPr>
          <w:rFonts w:ascii="宋体" w:hAnsi="宋体" w:cs="宋体"/>
          <w:b w:val="0"/>
          <w:bCs w:val="0"/>
          <w:sz w:val="24"/>
          <w:szCs w:val="22"/>
        </w:rPr>
      </w:pPr>
      <w:r>
        <w:rPr>
          <w:rFonts w:hint="eastAsia" w:ascii="宋体" w:hAnsi="宋体" w:cs="宋体"/>
          <w:b w:val="0"/>
          <w:bCs w:val="0"/>
          <w:sz w:val="24"/>
          <w:szCs w:val="22"/>
        </w:rPr>
        <w:t>1.在合同有效期内，任何一方因不可抗力事件导致不能履行合同，则合同履行期可延长，其延长期与不可抗力影响期相同。</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2.不可抗力事件发生后，应立即通知对方，并寄送有关权威机构出具的证明。</w:t>
      </w:r>
    </w:p>
    <w:p>
      <w:pPr>
        <w:pStyle w:val="14"/>
        <w:pageBreakBefore w:val="0"/>
        <w:kinsoku/>
        <w:wordWrap/>
        <w:overflowPunct/>
        <w:topLinePunct w:val="0"/>
        <w:bidi w:val="0"/>
        <w:snapToGrid w:val="0"/>
        <w:spacing w:line="360" w:lineRule="auto"/>
        <w:ind w:left="0" w:right="0" w:firstLine="480" w:firstLineChars="200"/>
        <w:textAlignment w:val="auto"/>
        <w:rPr>
          <w:rFonts w:hAnsi="宋体"/>
          <w:sz w:val="24"/>
        </w:rPr>
      </w:pPr>
      <w:r>
        <w:rPr>
          <w:rFonts w:hint="eastAsia" w:hAnsi="宋体"/>
          <w:sz w:val="24"/>
        </w:rPr>
        <w:t>3.不可抗力事件延续120天以上，双方应通过友好协商，确定是否继续履行合同。</w:t>
      </w:r>
    </w:p>
    <w:p>
      <w:pPr>
        <w:pStyle w:val="5"/>
        <w:pageBreakBefore w:val="0"/>
        <w:kinsoku/>
        <w:wordWrap/>
        <w:overflowPunct/>
        <w:topLinePunct w:val="0"/>
        <w:bidi w:val="0"/>
        <w:spacing w:before="0" w:after="0" w:line="360" w:lineRule="auto"/>
        <w:ind w:left="0" w:right="0"/>
        <w:textAlignment w:val="auto"/>
        <w:rPr>
          <w:rFonts w:ascii="宋体" w:hAnsi="宋体" w:cs="宋体"/>
          <w:sz w:val="24"/>
          <w:lang w:val="zh-CN"/>
        </w:rPr>
      </w:pPr>
      <w:r>
        <w:rPr>
          <w:rFonts w:hint="eastAsia" w:ascii="宋体" w:hAnsi="宋体" w:cs="宋体"/>
          <w:sz w:val="24"/>
        </w:rPr>
        <w:t>第十四条：</w:t>
      </w:r>
      <w:r>
        <w:rPr>
          <w:rFonts w:hint="eastAsia" w:ascii="宋体" w:hAnsi="宋体" w:cs="宋体"/>
          <w:sz w:val="24"/>
          <w:lang w:val="zh-CN"/>
        </w:rPr>
        <w:t>解决争议的方法</w:t>
      </w:r>
    </w:p>
    <w:p>
      <w:pPr>
        <w:pageBreakBefore w:val="0"/>
        <w:kinsoku/>
        <w:wordWrap/>
        <w:overflowPunct/>
        <w:topLinePunct w:val="0"/>
        <w:bidi w:val="0"/>
        <w:spacing w:line="360" w:lineRule="auto"/>
        <w:ind w:left="0" w:right="0" w:firstLine="480" w:firstLineChars="200"/>
        <w:textAlignment w:val="auto"/>
        <w:rPr>
          <w:rFonts w:ascii="宋体" w:hAnsi="宋体" w:cs="宋体"/>
          <w:sz w:val="24"/>
        </w:rPr>
      </w:pPr>
      <w:r>
        <w:rPr>
          <w:rFonts w:hint="eastAsia" w:ascii="宋体" w:hAnsi="宋体" w:cs="宋体"/>
          <w:sz w:val="24"/>
        </w:rPr>
        <w:t xml:space="preserve">如双方在履行合同时发生纠纷，应协商解决；协商不成时，可依法向甲方所在地人民法院提起诉讼。 </w:t>
      </w:r>
    </w:p>
    <w:p>
      <w:pPr>
        <w:pStyle w:val="5"/>
        <w:pageBreakBefore w:val="0"/>
        <w:kinsoku/>
        <w:wordWrap/>
        <w:overflowPunct/>
        <w:topLinePunct w:val="0"/>
        <w:bidi w:val="0"/>
        <w:spacing w:before="0" w:after="0" w:line="360" w:lineRule="auto"/>
        <w:ind w:left="0" w:right="0"/>
        <w:textAlignment w:val="auto"/>
        <w:rPr>
          <w:rFonts w:hAnsi="宋体" w:cs="宋体"/>
        </w:rPr>
      </w:pPr>
      <w:r>
        <w:rPr>
          <w:rFonts w:hint="eastAsia" w:ascii="宋体" w:hAnsi="宋体" w:cs="宋体"/>
          <w:sz w:val="24"/>
        </w:rPr>
        <w:t>第十五条：</w:t>
      </w:r>
      <w:r>
        <w:rPr>
          <w:rFonts w:hint="eastAsia" w:ascii="宋体" w:hAnsi="宋体" w:cs="宋体"/>
          <w:sz w:val="24"/>
          <w:lang w:val="zh-CN"/>
        </w:rPr>
        <w:t>合同生效及其它</w:t>
      </w:r>
      <w:r>
        <w:rPr>
          <w:rFonts w:hint="eastAsia" w:hAnsi="宋体" w:cs="宋体"/>
        </w:rPr>
        <w:tab/>
      </w:r>
    </w:p>
    <w:p>
      <w:pPr>
        <w:pStyle w:val="12"/>
        <w:pageBreakBefore w:val="0"/>
        <w:kinsoku/>
        <w:wordWrap/>
        <w:overflowPunct/>
        <w:topLinePunct w:val="0"/>
        <w:bidi w:val="0"/>
        <w:spacing w:line="360" w:lineRule="auto"/>
        <w:ind w:left="0" w:right="0" w:firstLine="480" w:firstLineChars="200"/>
        <w:textAlignment w:val="auto"/>
        <w:rPr>
          <w:rFonts w:ascii="宋体" w:hAnsi="宋体" w:cs="宋体"/>
        </w:rPr>
      </w:pPr>
      <w:r>
        <w:rPr>
          <w:rFonts w:hint="eastAsia" w:ascii="宋体" w:hAnsi="宋体" w:cs="宋体"/>
        </w:rPr>
        <w:t>1.合同经双方法定代表人或授权代表签字并加盖单位公章后生效。</w:t>
      </w:r>
    </w:p>
    <w:p>
      <w:pPr>
        <w:pStyle w:val="12"/>
        <w:pageBreakBefore w:val="0"/>
        <w:kinsoku/>
        <w:wordWrap/>
        <w:overflowPunct/>
        <w:topLinePunct w:val="0"/>
        <w:bidi w:val="0"/>
        <w:spacing w:line="360" w:lineRule="auto"/>
        <w:ind w:left="0" w:right="0" w:firstLine="480" w:firstLineChars="200"/>
        <w:textAlignment w:val="auto"/>
        <w:rPr>
          <w:rFonts w:ascii="宋体" w:hAnsi="宋体" w:cs="宋体"/>
        </w:rPr>
      </w:pPr>
      <w:r>
        <w:rPr>
          <w:rFonts w:hint="eastAsia" w:ascii="宋体" w:hAnsi="宋体" w:cs="宋体"/>
        </w:rPr>
        <w:t>2.本合同未尽事宜，遵照《中华人民共和国民法典》有关条文执行。</w:t>
      </w:r>
    </w:p>
    <w:p>
      <w:pPr>
        <w:pStyle w:val="12"/>
        <w:pageBreakBefore w:val="0"/>
        <w:kinsoku/>
        <w:wordWrap/>
        <w:overflowPunct/>
        <w:topLinePunct w:val="0"/>
        <w:bidi w:val="0"/>
        <w:spacing w:line="360" w:lineRule="auto"/>
        <w:ind w:left="0" w:right="0" w:firstLine="480" w:firstLineChars="200"/>
        <w:textAlignment w:val="auto"/>
        <w:rPr>
          <w:rFonts w:ascii="宋体" w:hAnsi="宋体" w:cs="宋体"/>
        </w:rPr>
      </w:pPr>
      <w:r>
        <w:rPr>
          <w:rFonts w:hint="eastAsia" w:ascii="宋体" w:hAnsi="宋体" w:cs="宋体"/>
        </w:rPr>
        <w:t>3.本合同一式</w:t>
      </w:r>
      <w:r>
        <w:rPr>
          <w:rFonts w:hint="eastAsia" w:ascii="宋体" w:hAnsi="宋体" w:cs="宋体"/>
          <w:u w:val="single"/>
          <w:lang w:val="en-US" w:eastAsia="zh-CN"/>
        </w:rPr>
        <w:t xml:space="preserve">    </w:t>
      </w:r>
      <w:r>
        <w:rPr>
          <w:rFonts w:hint="eastAsia" w:ascii="宋体" w:hAnsi="宋体" w:cs="宋体"/>
        </w:rPr>
        <w:t>份。甲、乙双方及牵头单位各执</w:t>
      </w:r>
      <w:r>
        <w:rPr>
          <w:rFonts w:hint="eastAsia" w:ascii="宋体" w:hAnsi="宋体" w:cs="宋体"/>
          <w:lang w:val="en-US" w:eastAsia="zh-CN"/>
        </w:rPr>
        <w:t xml:space="preserve">   </w:t>
      </w:r>
      <w:r>
        <w:rPr>
          <w:rFonts w:hint="eastAsia" w:ascii="宋体" w:hAnsi="宋体" w:cs="宋体"/>
        </w:rPr>
        <w:t>份。</w:t>
      </w:r>
    </w:p>
    <w:p>
      <w:pPr>
        <w:pStyle w:val="12"/>
        <w:pageBreakBefore w:val="0"/>
        <w:kinsoku/>
        <w:wordWrap/>
        <w:overflowPunct/>
        <w:topLinePunct w:val="0"/>
        <w:bidi w:val="0"/>
        <w:spacing w:line="360" w:lineRule="auto"/>
        <w:ind w:left="0" w:right="0" w:firstLine="480" w:firstLineChars="200"/>
        <w:textAlignment w:val="auto"/>
        <w:rPr>
          <w:rFonts w:ascii="宋体" w:hAnsi="宋体" w:cs="宋体"/>
        </w:rPr>
      </w:pPr>
      <w:r>
        <w:rPr>
          <w:rFonts w:hint="eastAsia" w:ascii="宋体" w:hAnsi="宋体" w:cs="宋体"/>
        </w:rPr>
        <w:t>4.本项目未尽事宜以招标文件、投标文件及澄清文件等为准，本合同中如有未尽事宜，由双方协商另行解决。</w:t>
      </w:r>
    </w:p>
    <w:p>
      <w:pPr>
        <w:spacing w:line="360" w:lineRule="auto"/>
        <w:ind w:firstLine="480" w:firstLineChars="200"/>
        <w:rPr>
          <w:rFonts w:ascii="宋体" w:hAnsi="宋体" w:cs="宋体"/>
          <w:sz w:val="24"/>
        </w:rPr>
      </w:pPr>
    </w:p>
    <w:p>
      <w:pPr>
        <w:spacing w:line="360" w:lineRule="auto"/>
        <w:jc w:val="left"/>
        <w:rPr>
          <w:rFonts w:ascii="宋体" w:hAnsi="宋体" w:cs="宋体"/>
          <w:sz w:val="24"/>
          <w:szCs w:val="32"/>
        </w:rPr>
      </w:pPr>
      <w:r>
        <w:rPr>
          <w:rFonts w:hint="eastAsia" w:ascii="宋体" w:hAnsi="宋体" w:cs="宋体"/>
          <w:sz w:val="24"/>
          <w:szCs w:val="32"/>
        </w:rPr>
        <w:t>甲     方（公章）：　　                乙     方（公章）：</w:t>
      </w:r>
    </w:p>
    <w:p>
      <w:pPr>
        <w:spacing w:line="360" w:lineRule="auto"/>
        <w:jc w:val="left"/>
        <w:rPr>
          <w:rFonts w:ascii="宋体" w:hAnsi="宋体" w:cs="宋体"/>
          <w:sz w:val="24"/>
          <w:szCs w:val="32"/>
        </w:rPr>
      </w:pPr>
      <w:r>
        <w:rPr>
          <w:rFonts w:hint="eastAsia" w:ascii="宋体" w:hAnsi="宋体" w:cs="宋体"/>
          <w:sz w:val="24"/>
          <w:szCs w:val="32"/>
        </w:rPr>
        <w:t>法定代表人（签章）：　                 法定代表人（签章）：</w:t>
      </w:r>
    </w:p>
    <w:p>
      <w:pPr>
        <w:spacing w:line="360" w:lineRule="auto"/>
        <w:jc w:val="left"/>
        <w:rPr>
          <w:rFonts w:ascii="宋体" w:hAnsi="宋体" w:cs="宋体"/>
          <w:sz w:val="24"/>
          <w:szCs w:val="32"/>
        </w:rPr>
      </w:pPr>
      <w:r>
        <w:rPr>
          <w:rFonts w:hint="eastAsia" w:ascii="宋体" w:hAnsi="宋体" w:cs="宋体"/>
          <w:sz w:val="24"/>
          <w:szCs w:val="32"/>
        </w:rPr>
        <w:t>委托代理人（签章）：　　               委托代理人（签章）：</w:t>
      </w:r>
    </w:p>
    <w:p>
      <w:pPr>
        <w:spacing w:line="360" w:lineRule="auto"/>
        <w:jc w:val="left"/>
        <w:rPr>
          <w:rFonts w:ascii="宋体" w:hAnsi="宋体" w:cs="宋体"/>
          <w:sz w:val="24"/>
          <w:szCs w:val="32"/>
        </w:rPr>
      </w:pPr>
      <w:r>
        <w:rPr>
          <w:rFonts w:hint="eastAsia" w:ascii="宋体" w:hAnsi="宋体" w:cs="宋体"/>
          <w:sz w:val="24"/>
          <w:szCs w:val="32"/>
        </w:rPr>
        <w:t>经办人（签章）：                       经办人（签章）：</w:t>
      </w:r>
    </w:p>
    <w:p>
      <w:pPr>
        <w:spacing w:line="360" w:lineRule="auto"/>
        <w:jc w:val="left"/>
        <w:rPr>
          <w:rFonts w:ascii="宋体" w:hAnsi="宋体" w:cs="宋体"/>
          <w:sz w:val="24"/>
          <w:szCs w:val="32"/>
        </w:rPr>
      </w:pPr>
      <w:r>
        <w:rPr>
          <w:rFonts w:hint="eastAsia" w:ascii="宋体" w:hAnsi="宋体" w:cs="宋体"/>
          <w:sz w:val="24"/>
          <w:szCs w:val="32"/>
        </w:rPr>
        <w:t>电     话：                            电     话：</w:t>
      </w:r>
    </w:p>
    <w:p>
      <w:pPr>
        <w:spacing w:line="360" w:lineRule="auto"/>
        <w:jc w:val="left"/>
        <w:rPr>
          <w:rFonts w:ascii="宋体" w:hAnsi="宋体" w:cs="宋体"/>
          <w:sz w:val="24"/>
          <w:szCs w:val="32"/>
        </w:rPr>
      </w:pPr>
      <w:r>
        <w:rPr>
          <w:rFonts w:hint="eastAsia" w:ascii="宋体" w:hAnsi="宋体" w:cs="宋体"/>
          <w:sz w:val="24"/>
          <w:szCs w:val="32"/>
        </w:rPr>
        <w:t>传     真：                            传     真：</w:t>
      </w:r>
    </w:p>
    <w:p>
      <w:pPr>
        <w:spacing w:line="360" w:lineRule="auto"/>
        <w:jc w:val="left"/>
        <w:rPr>
          <w:rFonts w:ascii="宋体" w:hAnsi="宋体" w:cs="宋体"/>
          <w:sz w:val="24"/>
          <w:szCs w:val="32"/>
        </w:rPr>
      </w:pPr>
      <w:r>
        <w:rPr>
          <w:rFonts w:hint="eastAsia" w:ascii="宋体" w:hAnsi="宋体" w:cs="宋体"/>
          <w:sz w:val="24"/>
          <w:szCs w:val="32"/>
        </w:rPr>
        <w:t xml:space="preserve">开户 银行：                            开户 银行（必填）： </w:t>
      </w:r>
    </w:p>
    <w:p>
      <w:pPr>
        <w:spacing w:line="360" w:lineRule="auto"/>
        <w:jc w:val="left"/>
        <w:rPr>
          <w:rFonts w:ascii="宋体" w:hAnsi="宋体" w:cs="宋体"/>
          <w:sz w:val="24"/>
          <w:szCs w:val="32"/>
        </w:rPr>
      </w:pPr>
      <w:r>
        <w:rPr>
          <w:rFonts w:hint="eastAsia" w:ascii="宋体" w:hAnsi="宋体" w:cs="宋体"/>
          <w:sz w:val="24"/>
          <w:szCs w:val="32"/>
        </w:rPr>
        <w:t>账     号：                            账     号（必填）：</w:t>
      </w:r>
    </w:p>
    <w:p>
      <w:pPr>
        <w:spacing w:line="360" w:lineRule="auto"/>
        <w:jc w:val="left"/>
        <w:rPr>
          <w:rFonts w:ascii="宋体" w:hAnsi="宋体" w:cs="宋体"/>
          <w:sz w:val="24"/>
          <w:szCs w:val="32"/>
        </w:rPr>
      </w:pPr>
      <w:r>
        <w:rPr>
          <w:rFonts w:hint="eastAsia" w:ascii="宋体" w:hAnsi="宋体" w:cs="宋体"/>
          <w:sz w:val="24"/>
          <w:szCs w:val="32"/>
        </w:rPr>
        <w:t>日     期：                            日     期：</w:t>
      </w:r>
    </w:p>
    <w:p>
      <w:pPr>
        <w:spacing w:line="360" w:lineRule="auto"/>
        <w:jc w:val="left"/>
        <w:rPr>
          <w:rFonts w:ascii="宋体" w:hAnsi="宋体" w:cs="宋体"/>
          <w:sz w:val="24"/>
          <w:szCs w:val="32"/>
        </w:rPr>
      </w:pPr>
    </w:p>
    <w:p>
      <w:pPr>
        <w:spacing w:line="360" w:lineRule="auto"/>
        <w:jc w:val="left"/>
        <w:rPr>
          <w:rFonts w:ascii="宋体" w:hAnsi="宋体" w:cs="宋体"/>
          <w:sz w:val="24"/>
          <w:szCs w:val="32"/>
        </w:rPr>
      </w:pPr>
    </w:p>
    <w:p>
      <w:pPr>
        <w:spacing w:line="360" w:lineRule="auto"/>
        <w:jc w:val="left"/>
        <w:rPr>
          <w:rFonts w:ascii="宋体" w:hAnsi="宋体" w:cs="宋体"/>
          <w:b/>
          <w:bCs/>
          <w:sz w:val="32"/>
          <w:szCs w:val="32"/>
        </w:rPr>
      </w:pPr>
    </w:p>
    <w:p>
      <w:pPr>
        <w:pStyle w:val="4"/>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4"/>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4"/>
        <w:rPr>
          <w:rFonts w:ascii="宋体" w:hAnsi="宋体" w:cs="宋体"/>
          <w:b/>
          <w:bCs/>
          <w:sz w:val="32"/>
          <w:szCs w:val="32"/>
        </w:rPr>
      </w:pPr>
    </w:p>
    <w:p>
      <w:pPr>
        <w:pStyle w:val="35"/>
        <w:rPr>
          <w:rFonts w:ascii="宋体" w:hAnsi="宋体" w:cs="宋体"/>
          <w:b/>
          <w:bCs/>
          <w:sz w:val="32"/>
          <w:szCs w:val="32"/>
        </w:rPr>
      </w:pPr>
    </w:p>
    <w:p>
      <w:pPr>
        <w:pStyle w:val="35"/>
        <w:rPr>
          <w:rFonts w:ascii="宋体" w:hAnsi="宋体" w:cs="宋体"/>
          <w:b/>
          <w:bCs/>
          <w:sz w:val="32"/>
          <w:szCs w:val="32"/>
        </w:rPr>
      </w:pPr>
    </w:p>
    <w:p>
      <w:pPr>
        <w:pStyle w:val="35"/>
        <w:rPr>
          <w:rFonts w:ascii="宋体" w:hAnsi="宋体" w:cs="宋体"/>
          <w:b/>
          <w:bCs/>
          <w:sz w:val="32"/>
          <w:szCs w:val="32"/>
        </w:rPr>
      </w:pPr>
    </w:p>
    <w:p>
      <w:pPr>
        <w:pStyle w:val="35"/>
        <w:rPr>
          <w:rFonts w:ascii="宋体" w:hAnsi="宋体" w:cs="宋体"/>
          <w:b/>
          <w:bCs/>
          <w:sz w:val="32"/>
          <w:szCs w:val="32"/>
        </w:rPr>
      </w:pPr>
    </w:p>
    <w:p>
      <w:pPr>
        <w:pStyle w:val="35"/>
        <w:rPr>
          <w:rFonts w:ascii="宋体" w:hAnsi="宋体" w:cs="宋体"/>
          <w:b/>
          <w:bCs/>
          <w:sz w:val="32"/>
          <w:szCs w:val="32"/>
        </w:rPr>
      </w:pPr>
    </w:p>
    <w:p>
      <w:pPr>
        <w:spacing w:line="360" w:lineRule="auto"/>
        <w:jc w:val="center"/>
        <w:rPr>
          <w:rFonts w:ascii="宋体"/>
          <w:b/>
          <w:bCs/>
          <w:sz w:val="36"/>
          <w:szCs w:val="36"/>
        </w:rPr>
      </w:pPr>
      <w:r>
        <w:rPr>
          <w:rFonts w:hint="eastAsia" w:ascii="宋体" w:hAnsi="宋体" w:cs="宋体"/>
          <w:b/>
          <w:bCs/>
          <w:sz w:val="36"/>
          <w:szCs w:val="36"/>
        </w:rPr>
        <w:t>第六章  投标文件格式附件</w:t>
      </w:r>
    </w:p>
    <w:p>
      <w:pPr>
        <w:rPr>
          <w:rFonts w:ascii="宋体"/>
          <w:b/>
          <w:bCs/>
          <w:kern w:val="0"/>
          <w:sz w:val="28"/>
          <w:szCs w:val="28"/>
        </w:rPr>
      </w:pPr>
    </w:p>
    <w:p>
      <w:pPr>
        <w:spacing w:line="360" w:lineRule="auto"/>
        <w:rPr>
          <w:rFonts w:ascii="宋体"/>
          <w:b/>
          <w:bCs/>
          <w:sz w:val="30"/>
          <w:szCs w:val="30"/>
        </w:rPr>
      </w:pPr>
    </w:p>
    <w:p>
      <w:pPr>
        <w:spacing w:line="360" w:lineRule="auto"/>
        <w:jc w:val="center"/>
        <w:rPr>
          <w:rFonts w:ascii="宋体"/>
          <w:spacing w:val="40"/>
          <w:sz w:val="52"/>
          <w:szCs w:val="52"/>
        </w:rPr>
      </w:pPr>
      <w:r>
        <w:rPr>
          <w:rFonts w:hint="eastAsia" w:ascii="宋体" w:hAnsi="宋体" w:cs="宋体"/>
          <w:spacing w:val="40"/>
          <w:sz w:val="52"/>
          <w:szCs w:val="52"/>
        </w:rPr>
        <w:t>项目名称</w:t>
      </w:r>
    </w:p>
    <w:p>
      <w:pPr>
        <w:spacing w:line="360" w:lineRule="auto"/>
        <w:jc w:val="center"/>
        <w:rPr>
          <w:rFonts w:ascii="宋体"/>
          <w:sz w:val="36"/>
          <w:szCs w:val="36"/>
        </w:rPr>
      </w:pPr>
      <w:r>
        <w:rPr>
          <w:rFonts w:hint="eastAsia" w:ascii="宋体" w:hAnsi="宋体" w:cs="宋体"/>
          <w:sz w:val="36"/>
          <w:szCs w:val="36"/>
        </w:rPr>
        <w:t>项目编号：临[2024]8号</w:t>
      </w:r>
    </w:p>
    <w:p>
      <w:pPr>
        <w:autoSpaceDE w:val="0"/>
        <w:autoSpaceDN w:val="0"/>
        <w:adjustRightInd w:val="0"/>
        <w:spacing w:line="360" w:lineRule="auto"/>
        <w:jc w:val="center"/>
        <w:rPr>
          <w:rFonts w:ascii="宋体"/>
          <w:sz w:val="84"/>
          <w:szCs w:val="84"/>
          <w:lang w:val="zh-CN"/>
        </w:rPr>
      </w:pP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hAnsi="宋体" w:cs="宋体"/>
          <w:sz w:val="84"/>
          <w:szCs w:val="84"/>
          <w:lang w:val="zh-CN"/>
        </w:rPr>
        <w:t>文</w:t>
      </w: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件</w:t>
      </w:r>
    </w:p>
    <w:p>
      <w:pPr>
        <w:autoSpaceDE w:val="0"/>
        <w:autoSpaceDN w:val="0"/>
        <w:adjustRightInd w:val="0"/>
        <w:spacing w:line="360" w:lineRule="auto"/>
        <w:rPr>
          <w:rFonts w:ascii="宋体"/>
          <w:sz w:val="36"/>
          <w:szCs w:val="36"/>
        </w:rPr>
      </w:pPr>
    </w:p>
    <w:p>
      <w:pPr>
        <w:autoSpaceDE w:val="0"/>
        <w:autoSpaceDN w:val="0"/>
        <w:adjustRightInd w:val="0"/>
        <w:spacing w:line="360" w:lineRule="auto"/>
        <w:jc w:val="center"/>
        <w:rPr>
          <w:rFonts w:ascii="宋体"/>
          <w:b/>
          <w:bCs/>
          <w:spacing w:val="40"/>
          <w:sz w:val="36"/>
          <w:szCs w:val="36"/>
        </w:rPr>
      </w:pPr>
      <w:r>
        <w:rPr>
          <w:rFonts w:hint="eastAsia" w:ascii="宋体" w:hAnsi="宋体" w:cs="宋体"/>
          <w:sz w:val="36"/>
          <w:szCs w:val="36"/>
          <w:lang w:val="zh-CN"/>
        </w:rPr>
        <w:t>（资格证明文件</w:t>
      </w:r>
      <w:r>
        <w:rPr>
          <w:rFonts w:hint="eastAsia" w:ascii="宋体" w:hAnsi="宋体" w:cs="宋体"/>
          <w:spacing w:val="40"/>
          <w:sz w:val="36"/>
          <w:szCs w:val="36"/>
        </w:rPr>
        <w:t>）</w:t>
      </w:r>
    </w:p>
    <w:p>
      <w:pPr>
        <w:autoSpaceDE w:val="0"/>
        <w:autoSpaceDN w:val="0"/>
        <w:adjustRightInd w:val="0"/>
        <w:spacing w:line="360" w:lineRule="auto"/>
        <w:rPr>
          <w:rFonts w:ascii="宋体"/>
          <w:sz w:val="36"/>
          <w:szCs w:val="36"/>
        </w:rPr>
      </w:pPr>
    </w:p>
    <w:p>
      <w:pPr>
        <w:autoSpaceDE w:val="0"/>
        <w:autoSpaceDN w:val="0"/>
        <w:adjustRightInd w:val="0"/>
        <w:spacing w:line="360" w:lineRule="auto"/>
        <w:rPr>
          <w:rFonts w:ascii="宋体"/>
          <w:sz w:val="36"/>
          <w:szCs w:val="36"/>
        </w:rPr>
      </w:pPr>
      <w:r>
        <w:rPr>
          <w:rFonts w:hint="eastAsia" w:ascii="宋体" w:hAnsi="宋体" w:cs="宋体"/>
          <w:sz w:val="36"/>
          <w:szCs w:val="36"/>
        </w:rPr>
        <w:t>投标人全称（公章）：</w:t>
      </w:r>
    </w:p>
    <w:p>
      <w:pPr>
        <w:autoSpaceDE w:val="0"/>
        <w:autoSpaceDN w:val="0"/>
        <w:adjustRightInd w:val="0"/>
        <w:spacing w:line="360" w:lineRule="auto"/>
        <w:rPr>
          <w:rFonts w:ascii="宋体"/>
          <w:sz w:val="36"/>
          <w:szCs w:val="36"/>
        </w:rPr>
      </w:pPr>
      <w:r>
        <w:rPr>
          <w:rFonts w:hint="eastAsia" w:ascii="宋体" w:hAnsi="宋体" w:cs="宋体"/>
          <w:sz w:val="36"/>
          <w:szCs w:val="36"/>
        </w:rPr>
        <w:t>地址：</w:t>
      </w:r>
    </w:p>
    <w:p>
      <w:pPr>
        <w:autoSpaceDE w:val="0"/>
        <w:autoSpaceDN w:val="0"/>
        <w:adjustRightInd w:val="0"/>
        <w:spacing w:line="360" w:lineRule="auto"/>
        <w:rPr>
          <w:rFonts w:ascii="宋体"/>
          <w:sz w:val="36"/>
          <w:szCs w:val="36"/>
        </w:rPr>
      </w:pPr>
      <w:r>
        <w:rPr>
          <w:rFonts w:hint="eastAsia" w:ascii="宋体" w:hAnsi="宋体" w:cs="宋体"/>
          <w:sz w:val="36"/>
          <w:szCs w:val="36"/>
        </w:rPr>
        <w:t>时间：</w:t>
      </w:r>
    </w:p>
    <w:p>
      <w:pPr>
        <w:spacing w:line="360" w:lineRule="auto"/>
        <w:jc w:val="center"/>
        <w:rPr>
          <w:b/>
          <w:bCs/>
          <w:sz w:val="36"/>
          <w:szCs w:val="44"/>
        </w:rPr>
      </w:pPr>
      <w:r>
        <w:rPr>
          <w:rFonts w:hint="eastAsia"/>
          <w:b/>
          <w:bCs/>
          <w:sz w:val="36"/>
          <w:szCs w:val="44"/>
        </w:rPr>
        <w:t>资格证明文件目录</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投标声明书（附件</w:t>
      </w:r>
      <w:r>
        <w:rPr>
          <w:rFonts w:hint="eastAsia" w:ascii="宋体" w:hAnsi="宋体" w:cs="宋体"/>
          <w:sz w:val="24"/>
          <w:szCs w:val="24"/>
          <w:lang w:val="en-US" w:eastAsia="zh-CN"/>
        </w:rPr>
        <w:t>1</w:t>
      </w:r>
      <w:r>
        <w:rPr>
          <w:rFonts w:hint="eastAsia" w:ascii="宋体" w:hAnsi="宋体" w:cs="宋体"/>
          <w:sz w:val="24"/>
          <w:szCs w:val="24"/>
          <w:lang w:val="zh-CN"/>
        </w:rPr>
        <w:t>）；</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授权委托书（附件</w:t>
      </w:r>
      <w:r>
        <w:rPr>
          <w:rFonts w:hint="eastAsia" w:ascii="宋体" w:hAnsi="宋体" w:cs="宋体"/>
          <w:sz w:val="24"/>
          <w:szCs w:val="24"/>
          <w:lang w:val="en-US" w:eastAsia="zh-CN"/>
        </w:rPr>
        <w:t>2</w:t>
      </w:r>
      <w:r>
        <w:rPr>
          <w:rFonts w:hint="eastAsia" w:ascii="宋体" w:hAnsi="宋体" w:cs="宋体"/>
          <w:sz w:val="24"/>
          <w:szCs w:val="24"/>
          <w:lang w:val="zh-CN"/>
        </w:rPr>
        <w:t>）；（法定代表人亲自办理投标事宜的，则无需提交）；</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法人或者其他组织的营业执照等证明文件，自然人的身份证明；如事业单位参加投标的，则提供有效的《事业单位法人证书》；</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4、提供采购公告中符合供应商特定条件的有效资质证书复印件（投标供应商特定条件中有要求的必须提供），以及需要说明的其他资料</w:t>
      </w:r>
      <w:r>
        <w:rPr>
          <w:rFonts w:hint="eastAsia" w:ascii="宋体" w:hAnsi="宋体" w:cs="宋体"/>
          <w:sz w:val="24"/>
          <w:szCs w:val="24"/>
          <w:lang w:val="zh-CN"/>
        </w:rPr>
        <w:t>。</w:t>
      </w:r>
    </w:p>
    <w:p>
      <w:pPr>
        <w:spacing w:line="360" w:lineRule="auto"/>
        <w:ind w:firstLine="480" w:firstLineChars="200"/>
        <w:rPr>
          <w:rFonts w:hint="eastAsia" w:ascii="宋体" w:hAnsi="宋体" w:cs="宋体"/>
          <w:sz w:val="24"/>
          <w:szCs w:val="24"/>
          <w:lang w:val="en-GB"/>
        </w:rPr>
      </w:pPr>
      <w:r>
        <w:rPr>
          <w:rFonts w:hint="eastAsia" w:ascii="宋体" w:hAnsi="宋体" w:cs="宋体"/>
          <w:sz w:val="24"/>
          <w:szCs w:val="24"/>
          <w:lang w:val="en-US" w:eastAsia="zh-CN"/>
        </w:rPr>
        <w:t>5、</w:t>
      </w:r>
      <w:r>
        <w:rPr>
          <w:rFonts w:hint="eastAsia" w:ascii="宋体" w:hAnsi="宋体" w:cs="宋体"/>
          <w:sz w:val="24"/>
          <w:szCs w:val="24"/>
          <w:lang w:val="en-GB"/>
        </w:rPr>
        <w:t>联合体</w:t>
      </w:r>
      <w:r>
        <w:rPr>
          <w:rFonts w:hint="eastAsia" w:ascii="宋体" w:hAnsi="宋体" w:cs="宋体"/>
          <w:sz w:val="24"/>
          <w:szCs w:val="24"/>
          <w:lang w:val="en-GB" w:eastAsia="zh-CN"/>
        </w:rPr>
        <w:t>协议</w:t>
      </w:r>
      <w:r>
        <w:rPr>
          <w:rFonts w:hint="eastAsia" w:ascii="宋体" w:hAnsi="宋体" w:cs="宋体"/>
          <w:sz w:val="24"/>
          <w:szCs w:val="24"/>
          <w:lang w:val="en-GB"/>
        </w:rPr>
        <w:t>(联合体投标的</w:t>
      </w:r>
      <w:r>
        <w:rPr>
          <w:rFonts w:hint="eastAsia" w:ascii="宋体" w:hAnsi="宋体" w:cs="宋体"/>
          <w:sz w:val="24"/>
          <w:szCs w:val="24"/>
          <w:lang w:val="en-GB" w:eastAsia="zh-CN"/>
        </w:rPr>
        <w:t>提供</w:t>
      </w:r>
      <w:r>
        <w:rPr>
          <w:rFonts w:hint="eastAsia" w:ascii="宋体" w:hAnsi="宋体" w:cs="宋体"/>
          <w:sz w:val="24"/>
          <w:szCs w:val="24"/>
          <w:lang w:val="en-GB"/>
        </w:rPr>
        <w:t>，</w:t>
      </w:r>
      <w:r>
        <w:rPr>
          <w:rFonts w:hint="eastAsia" w:ascii="宋体" w:hAnsi="宋体" w:cs="宋体"/>
          <w:sz w:val="24"/>
          <w:szCs w:val="24"/>
          <w:lang w:val="en-GB" w:eastAsia="zh-CN"/>
        </w:rPr>
        <w:t>须载明联合体各方（联合体牵头单位、联合体成员）承担的工作和义务</w:t>
      </w:r>
      <w:r>
        <w:rPr>
          <w:rFonts w:hint="eastAsia" w:ascii="宋体" w:hAnsi="宋体" w:cs="宋体"/>
          <w:sz w:val="24"/>
          <w:szCs w:val="24"/>
          <w:lang w:val="en-US" w:eastAsia="zh-CN"/>
        </w:rPr>
        <w:t>。格式自拟。</w:t>
      </w:r>
      <w:r>
        <w:rPr>
          <w:rFonts w:hint="eastAsia" w:ascii="宋体" w:hAnsi="宋体" w:cs="宋体"/>
          <w:sz w:val="24"/>
          <w:szCs w:val="24"/>
          <w:lang w:val="en-GB"/>
        </w:rPr>
        <w:t>)</w:t>
      </w:r>
    </w:p>
    <w:p>
      <w:pPr>
        <w:spacing w:line="360" w:lineRule="auto"/>
        <w:ind w:firstLine="480" w:firstLineChars="200"/>
        <w:rPr>
          <w:rFonts w:hint="eastAsia" w:ascii="宋体" w:hAnsi="宋体" w:cs="宋体"/>
          <w:sz w:val="24"/>
          <w:szCs w:val="24"/>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spacing w:line="360" w:lineRule="auto"/>
        <w:rPr>
          <w:rFonts w:ascii="宋体" w:hAnsi="宋体" w:cs="宋体"/>
          <w:sz w:val="24"/>
          <w:szCs w:val="32"/>
          <w:lang w:val="zh-CN"/>
        </w:rPr>
      </w:pPr>
    </w:p>
    <w:p>
      <w:pPr>
        <w:pStyle w:val="12"/>
        <w:rPr>
          <w:rFonts w:ascii="宋体" w:hAnsi="宋体" w:cs="宋体"/>
          <w:szCs w:val="32"/>
          <w:lang w:val="zh-CN"/>
        </w:rPr>
      </w:pPr>
    </w:p>
    <w:p>
      <w:pPr>
        <w:pStyle w:val="26"/>
        <w:rPr>
          <w:rFonts w:ascii="宋体" w:hAnsi="宋体" w:cs="宋体"/>
          <w:sz w:val="24"/>
          <w:szCs w:val="32"/>
          <w:lang w:val="zh-CN"/>
        </w:rPr>
      </w:pPr>
    </w:p>
    <w:p>
      <w:pPr>
        <w:pStyle w:val="21"/>
        <w:rPr>
          <w:lang w:val="zh-CN"/>
        </w:rPr>
      </w:pPr>
    </w:p>
    <w:p>
      <w:pPr>
        <w:rPr>
          <w:lang w:val="zh-CN"/>
        </w:rPr>
      </w:pPr>
    </w:p>
    <w:p>
      <w:pPr>
        <w:spacing w:line="360" w:lineRule="auto"/>
        <w:rPr>
          <w:rFonts w:ascii="宋体" w:hAnsi="宋体" w:cs="宋体"/>
          <w:sz w:val="24"/>
          <w:szCs w:val="32"/>
          <w:lang w:val="zh-CN"/>
        </w:rPr>
      </w:pPr>
    </w:p>
    <w:p>
      <w:pPr>
        <w:pStyle w:val="2"/>
        <w:rPr>
          <w:lang w:val="zh-CN"/>
        </w:rPr>
      </w:pPr>
    </w:p>
    <w:p>
      <w:pPr>
        <w:pStyle w:val="2"/>
        <w:rPr>
          <w:lang w:val="zh-CN"/>
        </w:rPr>
      </w:pPr>
    </w:p>
    <w:p>
      <w:pPr>
        <w:rPr>
          <w:lang w:val="zh-CN"/>
        </w:rPr>
      </w:pPr>
    </w:p>
    <w:p>
      <w:pPr>
        <w:spacing w:line="360" w:lineRule="auto"/>
        <w:rPr>
          <w:rFonts w:hint="eastAsia" w:ascii="宋体" w:hAnsi="宋体" w:cs="宋体"/>
          <w:b/>
          <w:bCs/>
          <w:sz w:val="28"/>
          <w:szCs w:val="28"/>
          <w:lang w:val="en-US" w:eastAsia="zh-CN"/>
        </w:rPr>
      </w:pPr>
      <w:r>
        <w:rPr>
          <w:rFonts w:hint="eastAsia" w:ascii="宋体" w:hAnsi="宋体" w:cs="宋体"/>
          <w:b/>
          <w:bCs/>
          <w:sz w:val="28"/>
          <w:szCs w:val="28"/>
        </w:rPr>
        <w:t>附件</w:t>
      </w:r>
      <w:r>
        <w:rPr>
          <w:rFonts w:hint="eastAsia" w:ascii="宋体" w:hAnsi="宋体" w:cs="宋体"/>
          <w:b/>
          <w:bCs/>
          <w:sz w:val="28"/>
          <w:szCs w:val="28"/>
          <w:lang w:val="en-US" w:eastAsia="zh-CN"/>
        </w:rPr>
        <w:t>1</w:t>
      </w:r>
    </w:p>
    <w:p>
      <w:pPr>
        <w:spacing w:line="360" w:lineRule="auto"/>
        <w:jc w:val="center"/>
        <w:rPr>
          <w:rFonts w:ascii="宋体"/>
          <w:b/>
          <w:bCs/>
          <w:kern w:val="0"/>
          <w:sz w:val="32"/>
          <w:szCs w:val="32"/>
          <w:lang w:val="zh-CN"/>
        </w:rPr>
      </w:pPr>
      <w:r>
        <w:rPr>
          <w:rFonts w:hint="eastAsia" w:ascii="宋体" w:hAnsi="宋体" w:cs="宋体"/>
          <w:b/>
          <w:bCs/>
          <w:kern w:val="0"/>
          <w:sz w:val="32"/>
          <w:szCs w:val="32"/>
          <w:lang w:val="zh-CN"/>
        </w:rPr>
        <w:t>投标声明书</w:t>
      </w:r>
    </w:p>
    <w:p>
      <w:pPr>
        <w:spacing w:line="440" w:lineRule="exact"/>
        <w:rPr>
          <w:rFonts w:ascii="宋体"/>
          <w:sz w:val="24"/>
          <w:szCs w:val="24"/>
        </w:rPr>
      </w:pPr>
      <w:r>
        <w:rPr>
          <w:rFonts w:hint="eastAsia" w:ascii="宋体" w:hAnsi="宋体" w:cs="宋体"/>
          <w:sz w:val="24"/>
          <w:szCs w:val="24"/>
          <w:lang w:eastAsia="zh-CN"/>
        </w:rPr>
        <w:t>浙江中衡信工程咨询有限公司</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u w:val="single"/>
        </w:rPr>
        <w:t>（投标人名称）</w:t>
      </w:r>
      <w:r>
        <w:rPr>
          <w:rFonts w:hint="eastAsia" w:ascii="宋体" w:hAnsi="宋体" w:cs="宋体"/>
          <w:sz w:val="24"/>
          <w:szCs w:val="24"/>
        </w:rPr>
        <w:t>系中华人民共和国合法企业，经营地址</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）的法定代表人，我公司自愿参加贵方组织的（</w:t>
      </w:r>
      <w:r>
        <w:rPr>
          <w:rFonts w:hint="eastAsia" w:ascii="宋体" w:hAnsi="宋体" w:cs="宋体"/>
          <w:sz w:val="24"/>
          <w:szCs w:val="24"/>
          <w:u w:val="single"/>
          <w:lang w:eastAsia="zh-CN"/>
        </w:rPr>
        <w:t>东魁杨梅集成创新-东魁杨梅博览馆布展多媒体采购项目</w:t>
      </w:r>
      <w:r>
        <w:rPr>
          <w:rFonts w:hint="eastAsia" w:ascii="宋体" w:hAnsi="宋体" w:cs="宋体"/>
          <w:sz w:val="24"/>
          <w:szCs w:val="24"/>
        </w:rPr>
        <w:t>）（编号为：</w:t>
      </w:r>
      <w:r>
        <w:rPr>
          <w:rFonts w:hint="eastAsia" w:ascii="宋体" w:hAnsi="宋体" w:cs="宋体"/>
          <w:sz w:val="24"/>
          <w:szCs w:val="24"/>
          <w:u w:val="single"/>
        </w:rPr>
        <w:t>临[2024]8号</w:t>
      </w:r>
      <w:r>
        <w:rPr>
          <w:rFonts w:hint="eastAsia" w:ascii="宋体" w:hAnsi="宋体" w:cs="宋体"/>
          <w:sz w:val="24"/>
          <w:szCs w:val="24"/>
        </w:rPr>
        <w:t>）的投标，为此，我公司就本次投标有关事项郑重声明如下：</w:t>
      </w:r>
    </w:p>
    <w:p>
      <w:pPr>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我公司在参与投标前已详细审查了招标文件和所有相关资料，我方完全知悉并认为此招标文件没有倾向性，也没有存在排斥潜在投标人的内容，我方对招标文件的所有内容没有任何异议，不申请澄清和质疑。</w:t>
      </w:r>
    </w:p>
    <w:p>
      <w:pPr>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我</w:t>
      </w:r>
      <w:r>
        <w:rPr>
          <w:rFonts w:hint="eastAsia" w:ascii="宋体" w:hAnsi="宋体" w:cs="宋体"/>
          <w:sz w:val="24"/>
          <w:szCs w:val="24"/>
          <w:lang w:val="zh-CN"/>
        </w:rPr>
        <w:t>公司</w:t>
      </w:r>
      <w:r>
        <w:rPr>
          <w:rFonts w:hint="eastAsia" w:ascii="宋体" w:hAnsi="宋体" w:cs="宋体"/>
          <w:sz w:val="24"/>
          <w:szCs w:val="24"/>
        </w:rPr>
        <w:t>不是采购人的附属机构；在获知本项目采购信息后，与采购人聘请的为此项目提供咨询服务的公司及其附属机构没有任何联系。</w:t>
      </w:r>
    </w:p>
    <w:p>
      <w:pPr>
        <w:spacing w:line="440" w:lineRule="exact"/>
        <w:ind w:firstLine="480" w:firstLineChars="200"/>
        <w:rPr>
          <w:rFonts w:hint="eastAsia" w:ascii="宋体" w:hAnsi="宋体" w:cs="宋体"/>
          <w:sz w:val="24"/>
          <w:szCs w:val="24"/>
          <w:lang w:val="af-ZA"/>
        </w:rPr>
      </w:pPr>
      <w:r>
        <w:rPr>
          <w:rFonts w:hint="eastAsia" w:ascii="宋体" w:hAnsi="宋体" w:cs="宋体"/>
          <w:sz w:val="24"/>
          <w:szCs w:val="24"/>
          <w:lang w:val="en-US" w:eastAsia="zh-CN"/>
        </w:rPr>
        <w:t>4.</w:t>
      </w:r>
      <w:r>
        <w:rPr>
          <w:rFonts w:hint="eastAsia" w:ascii="宋体" w:hAnsi="宋体" w:cs="宋体"/>
          <w:sz w:val="24"/>
          <w:szCs w:val="24"/>
        </w:rPr>
        <w:t>我</w:t>
      </w:r>
      <w:r>
        <w:rPr>
          <w:rFonts w:hint="eastAsia" w:ascii="宋体" w:hAnsi="宋体" w:cs="宋体"/>
          <w:sz w:val="24"/>
          <w:szCs w:val="24"/>
          <w:lang w:val="zh-CN"/>
        </w:rPr>
        <w:t>公司</w:t>
      </w:r>
      <w:r>
        <w:rPr>
          <w:rFonts w:hint="eastAsia" w:ascii="宋体" w:hAnsi="宋体" w:cs="宋体"/>
          <w:sz w:val="24"/>
          <w:szCs w:val="24"/>
        </w:rPr>
        <w:t>保证，</w:t>
      </w:r>
      <w:r>
        <w:rPr>
          <w:rFonts w:hint="eastAsia" w:ascii="宋体" w:hAnsi="宋体" w:cs="宋体"/>
          <w:sz w:val="24"/>
          <w:szCs w:val="24"/>
          <w:lang w:val="af-ZA"/>
        </w:rPr>
        <w:t>采购人在中华人民共和国境内使用</w:t>
      </w:r>
      <w:r>
        <w:rPr>
          <w:rFonts w:hint="eastAsia" w:ascii="宋体" w:hAnsi="宋体" w:cs="宋体"/>
          <w:sz w:val="24"/>
          <w:szCs w:val="24"/>
        </w:rPr>
        <w:t>我</w:t>
      </w:r>
      <w:r>
        <w:rPr>
          <w:rFonts w:hint="eastAsia" w:ascii="宋体" w:hAnsi="宋体" w:cs="宋体"/>
          <w:sz w:val="24"/>
          <w:szCs w:val="24"/>
          <w:lang w:val="zh-CN"/>
        </w:rPr>
        <w:t>公司</w:t>
      </w:r>
      <w:r>
        <w:rPr>
          <w:rFonts w:hint="eastAsia" w:ascii="宋体" w:hAnsi="宋体" w:cs="宋体"/>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lang w:val="af-ZA"/>
        </w:rPr>
        <w:t>我</w:t>
      </w:r>
      <w:r>
        <w:rPr>
          <w:rFonts w:hint="eastAsia" w:ascii="宋体" w:hAnsi="宋体" w:cs="宋体"/>
          <w:sz w:val="24"/>
          <w:szCs w:val="24"/>
          <w:lang w:val="zh-CN"/>
        </w:rPr>
        <w:t>公司</w:t>
      </w:r>
      <w:r>
        <w:rPr>
          <w:rFonts w:hint="eastAsia" w:ascii="宋体" w:hAnsi="宋体" w:cs="宋体"/>
          <w:sz w:val="24"/>
          <w:szCs w:val="24"/>
          <w:lang w:val="af-ZA"/>
        </w:rPr>
        <w:t>严格履行政府采购合同，不降低合同约定的产品质量和服务，不擅自变更、中止、终止合同，或拒绝履行合同义务。</w:t>
      </w:r>
    </w:p>
    <w:p>
      <w:pPr>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以上事项如有虚假或隐瞒，我</w:t>
      </w:r>
      <w:r>
        <w:rPr>
          <w:rFonts w:hint="eastAsia" w:ascii="宋体" w:hAnsi="宋体" w:cs="宋体"/>
          <w:sz w:val="24"/>
          <w:szCs w:val="24"/>
          <w:lang w:val="zh-CN"/>
        </w:rPr>
        <w:t>公司</w:t>
      </w:r>
      <w:r>
        <w:rPr>
          <w:rFonts w:hint="eastAsia" w:ascii="宋体" w:hAnsi="宋体" w:cs="宋体"/>
          <w:sz w:val="24"/>
          <w:szCs w:val="24"/>
        </w:rPr>
        <w:t>愿意承担一切后果，并不再寻求任何旨在减轻或免除法律责任的辩解。</w:t>
      </w:r>
    </w:p>
    <w:p>
      <w:pPr>
        <w:spacing w:line="440" w:lineRule="exact"/>
        <w:ind w:firstLine="4800" w:firstLineChars="2000"/>
        <w:rPr>
          <w:rFonts w:ascii="宋体"/>
          <w:sz w:val="24"/>
          <w:szCs w:val="24"/>
          <w:lang w:val="zh-CN"/>
        </w:rPr>
      </w:pPr>
      <w:r>
        <w:rPr>
          <w:rFonts w:hint="eastAsia" w:ascii="宋体" w:hAnsi="宋体" w:cs="宋体"/>
          <w:sz w:val="24"/>
          <w:szCs w:val="24"/>
          <w:lang w:val="zh-CN"/>
        </w:rPr>
        <w:t>投标人名称</w:t>
      </w:r>
      <w:r>
        <w:rPr>
          <w:rFonts w:ascii="宋体" w:hAnsi="宋体" w:cs="宋体"/>
          <w:sz w:val="24"/>
          <w:szCs w:val="24"/>
          <w:lang w:val="zh-CN"/>
        </w:rPr>
        <w:t>(</w:t>
      </w:r>
      <w:r>
        <w:rPr>
          <w:rFonts w:hint="eastAsia" w:ascii="宋体" w:hAnsi="宋体" w:cs="宋体"/>
          <w:sz w:val="24"/>
          <w:szCs w:val="24"/>
          <w:lang w:val="zh-CN"/>
        </w:rPr>
        <w:t>公章</w:t>
      </w:r>
      <w:r>
        <w:rPr>
          <w:rFonts w:ascii="宋体" w:hAnsi="宋体" w:cs="宋体"/>
          <w:sz w:val="24"/>
          <w:szCs w:val="24"/>
          <w:lang w:val="zh-CN"/>
        </w:rPr>
        <w:t>)</w:t>
      </w:r>
      <w:r>
        <w:rPr>
          <w:rFonts w:hint="eastAsia" w:ascii="宋体" w:hAnsi="宋体" w:cs="宋体"/>
          <w:sz w:val="24"/>
          <w:szCs w:val="24"/>
          <w:lang w:val="zh-CN"/>
        </w:rPr>
        <w:t>：</w:t>
      </w:r>
    </w:p>
    <w:p>
      <w:pPr>
        <w:spacing w:line="440" w:lineRule="exact"/>
        <w:ind w:firstLine="4800" w:firstLineChars="2000"/>
        <w:rPr>
          <w:rFonts w:ascii="宋体"/>
          <w:sz w:val="24"/>
          <w:szCs w:val="24"/>
          <w:lang w:val="zh-CN"/>
        </w:rPr>
      </w:pPr>
      <w:r>
        <w:rPr>
          <w:rFonts w:hint="eastAsia" w:ascii="宋体" w:hAnsi="宋体" w:cs="宋体"/>
          <w:sz w:val="24"/>
          <w:szCs w:val="24"/>
          <w:lang w:val="zh-CN"/>
        </w:rPr>
        <w:t>法定代表人或授权委托人</w:t>
      </w:r>
      <w:r>
        <w:rPr>
          <w:rFonts w:ascii="宋体" w:hAnsi="宋体" w:cs="宋体"/>
          <w:sz w:val="24"/>
          <w:szCs w:val="24"/>
          <w:lang w:val="zh-CN"/>
        </w:rPr>
        <w:t>(</w:t>
      </w:r>
      <w:r>
        <w:rPr>
          <w:rFonts w:hint="eastAsia" w:ascii="宋体" w:hAnsi="宋体" w:cs="宋体"/>
          <w:sz w:val="24"/>
          <w:szCs w:val="24"/>
          <w:lang w:val="zh-CN"/>
        </w:rPr>
        <w:t>签字</w:t>
      </w:r>
      <w:r>
        <w:rPr>
          <w:rFonts w:ascii="宋体" w:hAnsi="宋体" w:cs="宋体"/>
          <w:sz w:val="24"/>
          <w:szCs w:val="24"/>
          <w:lang w:val="zh-CN"/>
        </w:rPr>
        <w:t>)</w:t>
      </w:r>
      <w:r>
        <w:rPr>
          <w:rFonts w:hint="eastAsia" w:ascii="宋体" w:hAnsi="宋体" w:cs="宋体"/>
          <w:sz w:val="24"/>
          <w:szCs w:val="24"/>
          <w:lang w:val="zh-CN"/>
        </w:rPr>
        <w:t>：</w:t>
      </w:r>
    </w:p>
    <w:p>
      <w:pPr>
        <w:spacing w:line="440" w:lineRule="exact"/>
        <w:ind w:firstLine="4800" w:firstLineChars="2000"/>
        <w:rPr>
          <w:rFonts w:ascii="宋体"/>
          <w:sz w:val="24"/>
          <w:szCs w:val="24"/>
        </w:rPr>
      </w:pPr>
      <w:r>
        <w:rPr>
          <w:rFonts w:hint="eastAsia" w:ascii="宋体" w:hAnsi="宋体" w:cs="宋体"/>
          <w:sz w:val="24"/>
          <w:szCs w:val="24"/>
          <w:lang w:val="zh-CN"/>
        </w:rPr>
        <w:t>日期：年月日</w:t>
      </w:r>
    </w:p>
    <w:p>
      <w:pPr>
        <w:spacing w:line="360" w:lineRule="auto"/>
        <w:rPr>
          <w:rFonts w:ascii="宋体" w:hAnsi="宋体" w:cs="宋体"/>
          <w:b/>
          <w:bCs/>
          <w:sz w:val="28"/>
          <w:szCs w:val="28"/>
        </w:rPr>
      </w:pPr>
    </w:p>
    <w:p>
      <w:pPr>
        <w:spacing w:line="360" w:lineRule="auto"/>
        <w:rPr>
          <w:rFonts w:hint="eastAsia" w:ascii="宋体" w:hAnsi="宋体" w:cs="宋体"/>
          <w:b/>
          <w:bCs/>
          <w:sz w:val="28"/>
          <w:szCs w:val="28"/>
        </w:rPr>
      </w:pPr>
    </w:p>
    <w:p>
      <w:pPr>
        <w:spacing w:line="360" w:lineRule="auto"/>
        <w:rPr>
          <w:rFonts w:hint="eastAsia" w:ascii="宋体" w:hAnsi="宋体" w:cs="宋体"/>
          <w:b/>
          <w:bCs/>
          <w:sz w:val="28"/>
          <w:szCs w:val="28"/>
          <w:lang w:val="en-US" w:eastAsia="zh-CN"/>
        </w:rPr>
      </w:pPr>
      <w:r>
        <w:rPr>
          <w:rFonts w:hint="eastAsia" w:ascii="宋体" w:hAnsi="宋体" w:cs="宋体"/>
          <w:b/>
          <w:bCs/>
          <w:sz w:val="28"/>
          <w:szCs w:val="28"/>
        </w:rPr>
        <w:t>附件</w:t>
      </w:r>
      <w:r>
        <w:rPr>
          <w:rFonts w:hint="eastAsia" w:ascii="宋体" w:hAnsi="宋体" w:cs="宋体"/>
          <w:b/>
          <w:bCs/>
          <w:sz w:val="28"/>
          <w:szCs w:val="28"/>
          <w:lang w:val="en-US" w:eastAsia="zh-CN"/>
        </w:rPr>
        <w:t>2</w:t>
      </w:r>
    </w:p>
    <w:p>
      <w:pPr>
        <w:spacing w:line="360" w:lineRule="auto"/>
        <w:jc w:val="center"/>
        <w:rPr>
          <w:rFonts w:ascii="宋体"/>
          <w:b/>
          <w:bCs/>
          <w:sz w:val="28"/>
          <w:szCs w:val="28"/>
        </w:rPr>
      </w:pPr>
      <w:r>
        <w:rPr>
          <w:rFonts w:hint="eastAsia" w:ascii="宋体" w:hAnsi="宋体" w:cs="宋体"/>
          <w:b/>
          <w:bCs/>
          <w:sz w:val="28"/>
          <w:szCs w:val="28"/>
        </w:rPr>
        <w:t>授权委托书</w:t>
      </w:r>
    </w:p>
    <w:p>
      <w:pPr>
        <w:spacing w:line="360" w:lineRule="auto"/>
        <w:jc w:val="left"/>
        <w:rPr>
          <w:rFonts w:ascii="宋体"/>
          <w:sz w:val="24"/>
          <w:szCs w:val="24"/>
        </w:rPr>
      </w:pPr>
      <w:r>
        <w:rPr>
          <w:rFonts w:hint="eastAsia" w:ascii="宋体" w:hAnsi="宋体" w:cs="宋体"/>
          <w:sz w:val="24"/>
          <w:szCs w:val="24"/>
          <w:lang w:eastAsia="zh-CN"/>
        </w:rPr>
        <w:t>浙江中衡信工程咨询有限公司</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ascii="宋体" w:hAnsi="宋体" w:cs="宋体"/>
          <w:sz w:val="24"/>
          <w:szCs w:val="24"/>
          <w:u w:val="single"/>
        </w:rPr>
        <w:t>（投标人全称）</w:t>
      </w:r>
      <w:r>
        <w:rPr>
          <w:rFonts w:hint="eastAsia" w:ascii="宋体" w:hAnsi="宋体" w:cs="宋体"/>
          <w:sz w:val="24"/>
          <w:szCs w:val="24"/>
        </w:rPr>
        <w:t>法定代表人（或营业执照中单位负责人）</w:t>
      </w:r>
      <w:r>
        <w:rPr>
          <w:rFonts w:ascii="宋体"/>
          <w:sz w:val="24"/>
          <w:szCs w:val="24"/>
          <w:u w:val="single"/>
        </w:rPr>
        <w:tab/>
      </w:r>
      <w:r>
        <w:rPr>
          <w:rFonts w:hint="eastAsia" w:ascii="宋体" w:hAnsi="宋体" w:cs="宋体"/>
          <w:sz w:val="24"/>
          <w:szCs w:val="24"/>
          <w:u w:val="single"/>
        </w:rPr>
        <w:t>（法定代表人或营业执照中单位负责人姓名）</w:t>
      </w:r>
      <w:r>
        <w:rPr>
          <w:rFonts w:hint="eastAsia" w:ascii="宋体" w:hAnsi="宋体" w:cs="宋体"/>
          <w:sz w:val="24"/>
          <w:szCs w:val="24"/>
        </w:rPr>
        <w:t>授权</w:t>
      </w:r>
      <w:r>
        <w:rPr>
          <w:rFonts w:hint="eastAsia" w:ascii="宋体" w:hAnsi="宋体" w:cs="宋体"/>
          <w:sz w:val="24"/>
          <w:szCs w:val="24"/>
          <w:u w:val="single"/>
        </w:rPr>
        <w:t>（授权委托代理人姓名）</w:t>
      </w:r>
      <w:r>
        <w:rPr>
          <w:rFonts w:hint="eastAsia" w:ascii="宋体" w:hAnsi="宋体" w:cs="宋体"/>
          <w:sz w:val="24"/>
          <w:szCs w:val="24"/>
        </w:rPr>
        <w:t>为授权委托代理人，参加贵单位组织的</w:t>
      </w:r>
      <w:r>
        <w:rPr>
          <w:rFonts w:hint="eastAsia" w:ascii="宋体" w:hAnsi="宋体" w:cs="宋体"/>
          <w:sz w:val="24"/>
          <w:szCs w:val="24"/>
          <w:u w:val="single"/>
          <w:lang w:eastAsia="zh-CN"/>
        </w:rPr>
        <w:t>东魁杨梅集成创新-东魁杨梅博览馆布展多媒体采购项目</w:t>
      </w:r>
      <w:r>
        <w:rPr>
          <w:rFonts w:hint="eastAsia" w:ascii="宋体" w:hAnsi="宋体" w:cs="宋体"/>
          <w:sz w:val="24"/>
          <w:szCs w:val="24"/>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sz w:val="24"/>
          <w:szCs w:val="24"/>
        </w:rPr>
      </w:pPr>
      <w:r>
        <w:rPr>
          <w:rFonts w:hint="eastAsia" w:ascii="宋体" w:hAnsi="宋体" w:cs="宋体"/>
          <w:sz w:val="24"/>
          <w:szCs w:val="24"/>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sz w:val="24"/>
          <w:szCs w:val="24"/>
        </w:rPr>
      </w:pPr>
      <w:r>
        <w:rPr>
          <w:rFonts w:hint="eastAsia" w:ascii="宋体" w:hAnsi="宋体" w:cs="宋体"/>
          <w:sz w:val="24"/>
          <w:szCs w:val="24"/>
        </w:rPr>
        <w:t>授权委托代理人无转委托权，特此委托。</w:t>
      </w:r>
    </w:p>
    <w:p>
      <w:pPr>
        <w:spacing w:line="360" w:lineRule="auto"/>
        <w:rPr>
          <w:rFonts w:ascii="宋体"/>
          <w:sz w:val="24"/>
          <w:szCs w:val="24"/>
        </w:rPr>
      </w:pPr>
      <w:r>
        <w:rPr>
          <w:rFonts w:hint="eastAsia" w:ascii="宋体" w:hAnsi="宋体" w:cs="宋体"/>
          <w:sz w:val="24"/>
          <w:szCs w:val="24"/>
        </w:rPr>
        <w:t>法定代表人签字或盖章：</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投标人全称（公章）：</w:t>
      </w:r>
      <w:r>
        <w:rPr>
          <w:rFonts w:hint="eastAsia" w:ascii="宋体" w:hAnsi="宋体" w:cs="宋体"/>
          <w:sz w:val="24"/>
          <w:szCs w:val="24"/>
          <w:lang w:val="en-US" w:eastAsia="zh-CN"/>
        </w:rPr>
        <w:t xml:space="preserve">                              </w:t>
      </w:r>
      <w:r>
        <w:rPr>
          <w:rFonts w:hint="eastAsia" w:ascii="宋体" w:hAnsi="宋体" w:cs="宋体"/>
          <w:sz w:val="24"/>
          <w:szCs w:val="24"/>
        </w:rPr>
        <w:t>日期：</w:t>
      </w:r>
    </w:p>
    <w:p>
      <w:pPr>
        <w:spacing w:line="360" w:lineRule="auto"/>
        <w:ind w:firstLine="480" w:firstLineChars="200"/>
        <w:rPr>
          <w:rFonts w:ascii="宋体"/>
          <w:sz w:val="24"/>
          <w:szCs w:val="24"/>
        </w:rPr>
      </w:pPr>
    </w:p>
    <w:p>
      <w:pPr>
        <w:spacing w:line="360" w:lineRule="auto"/>
        <w:rPr>
          <w:rFonts w:ascii="宋体"/>
          <w:b/>
          <w:bCs/>
          <w:sz w:val="24"/>
          <w:szCs w:val="24"/>
        </w:rPr>
      </w:pPr>
      <w:r>
        <w:rPr>
          <w:rFonts w:hint="eastAsia" w:ascii="宋体" w:hAnsi="宋体" w:cs="宋体"/>
          <w:b/>
          <w:bCs/>
          <w:sz w:val="24"/>
          <w:szCs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bCs/>
                <w:sz w:val="24"/>
                <w:szCs w:val="24"/>
              </w:rPr>
            </w:pPr>
            <w:r>
              <w:rPr>
                <w:rFonts w:hint="eastAsia" w:ascii="宋体" w:hAnsi="宋体" w:cs="宋体"/>
                <w:b/>
                <w:bCs/>
                <w:sz w:val="24"/>
                <w:szCs w:val="24"/>
              </w:rPr>
              <w:t>法定代表身份证复印件粘帖处</w:t>
            </w:r>
          </w:p>
        </w:tc>
      </w:tr>
    </w:tbl>
    <w:p>
      <w:pPr>
        <w:spacing w:line="360" w:lineRule="auto"/>
        <w:rPr>
          <w:rFonts w:ascii="宋体"/>
          <w:sz w:val="24"/>
          <w:szCs w:val="24"/>
        </w:rPr>
      </w:pPr>
      <w:r>
        <w:rPr>
          <w:rFonts w:hint="eastAsia" w:ascii="宋体" w:hAnsi="宋体" w:cs="宋体"/>
          <w:sz w:val="24"/>
          <w:szCs w:val="24"/>
        </w:rPr>
        <w:t>法定代表人姓名：</w:t>
      </w:r>
    </w:p>
    <w:p>
      <w:pPr>
        <w:spacing w:line="360" w:lineRule="auto"/>
        <w:rPr>
          <w:rFonts w:ascii="宋体"/>
          <w:sz w:val="24"/>
          <w:szCs w:val="24"/>
        </w:rPr>
      </w:pPr>
      <w:r>
        <w:rPr>
          <w:rFonts w:hint="eastAsia" w:ascii="宋体" w:hAnsi="宋体" w:cs="宋体"/>
          <w:sz w:val="24"/>
          <w:szCs w:val="24"/>
        </w:rPr>
        <w:t>传真：</w:t>
      </w:r>
    </w:p>
    <w:p>
      <w:pPr>
        <w:spacing w:line="360" w:lineRule="auto"/>
        <w:rPr>
          <w:rFonts w:ascii="宋体"/>
          <w:sz w:val="24"/>
          <w:szCs w:val="24"/>
        </w:rPr>
      </w:pPr>
      <w:r>
        <w:rPr>
          <w:rFonts w:hint="eastAsia" w:ascii="宋体" w:hAnsi="宋体" w:cs="宋体"/>
          <w:sz w:val="24"/>
          <w:szCs w:val="24"/>
        </w:rPr>
        <w:t>手机：</w:t>
      </w:r>
    </w:p>
    <w:p>
      <w:pPr>
        <w:spacing w:line="360" w:lineRule="auto"/>
        <w:rPr>
          <w:rFonts w:ascii="宋体"/>
          <w:sz w:val="24"/>
          <w:szCs w:val="24"/>
        </w:rPr>
      </w:pPr>
      <w:r>
        <w:rPr>
          <w:rFonts w:hint="eastAsia" w:ascii="宋体" w:hAnsi="宋体" w:cs="宋体"/>
          <w:sz w:val="24"/>
          <w:szCs w:val="24"/>
        </w:rPr>
        <w:t>详细通讯地址：</w:t>
      </w:r>
    </w:p>
    <w:p>
      <w:pPr>
        <w:spacing w:line="360" w:lineRule="auto"/>
        <w:rPr>
          <w:rFonts w:ascii="宋体"/>
          <w:sz w:val="24"/>
          <w:szCs w:val="24"/>
        </w:rPr>
      </w:pPr>
      <w:r>
        <w:rPr>
          <w:rFonts w:hint="eastAsia" w:ascii="宋体" w:hAnsi="宋体" w:cs="宋体"/>
          <w:sz w:val="24"/>
          <w:szCs w:val="24"/>
        </w:rPr>
        <w:t>邮政编码：</w:t>
      </w:r>
    </w:p>
    <w:p>
      <w:pPr>
        <w:spacing w:line="360" w:lineRule="auto"/>
        <w:rPr>
          <w:rFonts w:ascii="宋体"/>
          <w:b/>
          <w:bCs/>
          <w:sz w:val="24"/>
          <w:szCs w:val="24"/>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bCs/>
                <w:sz w:val="24"/>
                <w:szCs w:val="24"/>
              </w:rPr>
            </w:pPr>
            <w:r>
              <w:rPr>
                <w:rFonts w:hint="eastAsia" w:ascii="宋体" w:hAnsi="宋体" w:cs="宋体"/>
                <w:b/>
                <w:bCs/>
                <w:sz w:val="24"/>
                <w:szCs w:val="24"/>
              </w:rPr>
              <w:t>授权委托代理人身份证复印件粘帖处</w:t>
            </w:r>
          </w:p>
        </w:tc>
      </w:tr>
    </w:tbl>
    <w:p>
      <w:pPr>
        <w:spacing w:line="360" w:lineRule="auto"/>
        <w:rPr>
          <w:rFonts w:ascii="宋体"/>
          <w:sz w:val="24"/>
          <w:szCs w:val="24"/>
        </w:rPr>
      </w:pPr>
      <w:r>
        <w:rPr>
          <w:rFonts w:hint="eastAsia" w:ascii="宋体" w:hAnsi="宋体" w:cs="宋体"/>
          <w:sz w:val="24"/>
          <w:szCs w:val="24"/>
        </w:rPr>
        <w:t>授权委托代理人姓名：</w:t>
      </w:r>
    </w:p>
    <w:p>
      <w:pPr>
        <w:spacing w:line="360" w:lineRule="auto"/>
        <w:rPr>
          <w:rFonts w:ascii="宋体"/>
          <w:sz w:val="24"/>
          <w:szCs w:val="24"/>
        </w:rPr>
      </w:pPr>
      <w:r>
        <w:rPr>
          <w:rFonts w:hint="eastAsia" w:ascii="宋体" w:hAnsi="宋体" w:cs="宋体"/>
          <w:sz w:val="24"/>
          <w:szCs w:val="24"/>
        </w:rPr>
        <w:t>职务：</w:t>
      </w:r>
    </w:p>
    <w:p>
      <w:pPr>
        <w:spacing w:line="360" w:lineRule="auto"/>
        <w:rPr>
          <w:rFonts w:ascii="宋体"/>
          <w:sz w:val="24"/>
          <w:szCs w:val="24"/>
        </w:rPr>
      </w:pPr>
      <w:r>
        <w:rPr>
          <w:rFonts w:hint="eastAsia" w:ascii="宋体" w:hAnsi="宋体" w:cs="宋体"/>
          <w:sz w:val="24"/>
          <w:szCs w:val="24"/>
        </w:rPr>
        <w:t>传真：</w:t>
      </w:r>
    </w:p>
    <w:p>
      <w:pPr>
        <w:spacing w:line="360" w:lineRule="auto"/>
        <w:rPr>
          <w:rFonts w:ascii="宋体"/>
          <w:sz w:val="24"/>
          <w:szCs w:val="24"/>
        </w:rPr>
      </w:pPr>
      <w:r>
        <w:rPr>
          <w:rFonts w:hint="eastAsia" w:ascii="宋体" w:hAnsi="宋体" w:cs="宋体"/>
          <w:sz w:val="24"/>
          <w:szCs w:val="24"/>
        </w:rPr>
        <w:t>手机：</w:t>
      </w:r>
    </w:p>
    <w:p>
      <w:pPr>
        <w:spacing w:line="360" w:lineRule="auto"/>
        <w:rPr>
          <w:rFonts w:ascii="宋体"/>
          <w:sz w:val="24"/>
          <w:szCs w:val="24"/>
        </w:rPr>
      </w:pPr>
      <w:r>
        <w:rPr>
          <w:rFonts w:hint="eastAsia" w:ascii="宋体" w:hAnsi="宋体" w:cs="宋体"/>
          <w:sz w:val="24"/>
          <w:szCs w:val="24"/>
        </w:rPr>
        <w:t>详细通讯地址：</w:t>
      </w:r>
    </w:p>
    <w:p>
      <w:pPr>
        <w:spacing w:line="360" w:lineRule="auto"/>
        <w:rPr>
          <w:rFonts w:ascii="宋体"/>
          <w:sz w:val="24"/>
          <w:szCs w:val="24"/>
        </w:rPr>
      </w:pPr>
      <w:r>
        <w:rPr>
          <w:rFonts w:hint="eastAsia" w:ascii="宋体" w:hAnsi="宋体" w:cs="宋体"/>
          <w:sz w:val="24"/>
          <w:szCs w:val="24"/>
        </w:rPr>
        <w:t>邮政编码：</w:t>
      </w:r>
    </w:p>
    <w:p>
      <w:pPr>
        <w:jc w:val="center"/>
        <w:rPr>
          <w:rFonts w:hint="eastAsia"/>
          <w:sz w:val="52"/>
          <w:szCs w:val="52"/>
        </w:rPr>
      </w:pPr>
      <w:bookmarkStart w:id="1" w:name="_Toc26389_WPSOffice_Level1"/>
      <w:bookmarkStart w:id="2" w:name="_Toc16825_WPSOffice_Level1"/>
      <w:bookmarkStart w:id="3" w:name="_Toc12331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1"/>
      <w:bookmarkEnd w:id="2"/>
      <w:bookmarkEnd w:id="3"/>
    </w:p>
    <w:p>
      <w:pPr>
        <w:spacing w:beforeLines="100" w:line="360" w:lineRule="auto"/>
        <w:ind w:right="-108"/>
        <w:jc w:val="center"/>
        <w:rPr>
          <w:rFonts w:ascii="宋体" w:hAnsi="宋体"/>
          <w:sz w:val="36"/>
          <w:szCs w:val="36"/>
        </w:rPr>
      </w:pPr>
      <w:r>
        <w:rPr>
          <w:rFonts w:hint="eastAsia" w:ascii="宋体" w:hAnsi="宋体"/>
          <w:sz w:val="36"/>
          <w:szCs w:val="36"/>
        </w:rPr>
        <w:t>项目编号：临[2024]8号</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
      </w:pPr>
    </w:p>
    <w:p>
      <w:pPr>
        <w:pStyle w:val="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firstLine="480" w:firstLineChars="200"/>
        <w:rPr>
          <w:rFonts w:ascii="宋体" w:hAnsi="宋体" w:cs="宋体"/>
          <w:sz w:val="24"/>
          <w:szCs w:val="32"/>
          <w:lang w:val="zh-CN"/>
        </w:rPr>
      </w:pPr>
    </w:p>
    <w:p>
      <w:pPr>
        <w:spacing w:line="360" w:lineRule="auto"/>
        <w:jc w:val="center"/>
        <w:rPr>
          <w:rFonts w:ascii="宋体" w:hAnsi="宋体" w:cs="宋体"/>
          <w:b/>
          <w:bCs/>
          <w:sz w:val="32"/>
          <w:szCs w:val="32"/>
          <w:lang w:val="zh-CN"/>
        </w:rPr>
      </w:pPr>
      <w:r>
        <w:rPr>
          <w:rFonts w:hint="eastAsia" w:ascii="宋体" w:hAnsi="宋体" w:cs="宋体"/>
          <w:b/>
          <w:bCs/>
          <w:sz w:val="32"/>
          <w:szCs w:val="32"/>
          <w:lang w:val="zh-CN"/>
        </w:rPr>
        <w:t>商务与技术文件目录</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1、投标人情况介绍（附件</w:t>
      </w:r>
      <w:r>
        <w:rPr>
          <w:rFonts w:hint="eastAsia" w:ascii="宋体" w:hAnsi="宋体" w:cs="宋体"/>
          <w:sz w:val="24"/>
          <w:szCs w:val="24"/>
          <w:lang w:val="en-US" w:eastAsia="zh-CN"/>
        </w:rPr>
        <w:t>3</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spacing w:line="360" w:lineRule="auto"/>
        <w:ind w:firstLine="480" w:firstLineChars="200"/>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项目实施人员一览表（附件</w:t>
      </w:r>
      <w:r>
        <w:rPr>
          <w:rFonts w:hint="eastAsia" w:ascii="宋体" w:hAnsi="宋体" w:cs="宋体"/>
          <w:sz w:val="24"/>
          <w:szCs w:val="24"/>
          <w:lang w:val="en-US" w:eastAsia="zh-CN"/>
        </w:rPr>
        <w:t>4</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项目负责人资格情况表(附件</w:t>
      </w:r>
      <w:r>
        <w:rPr>
          <w:rFonts w:hint="eastAsia" w:ascii="宋体" w:hAnsi="宋体" w:cs="宋体"/>
          <w:sz w:val="24"/>
          <w:szCs w:val="24"/>
          <w:lang w:val="en-US" w:eastAsia="zh-CN"/>
        </w:rPr>
        <w:t>5</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C.安装、调试及验收方案（包括项目验收标准和验收方法等）和措施。</w:t>
      </w:r>
    </w:p>
    <w:p>
      <w:pPr>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spacing w:line="360" w:lineRule="auto"/>
        <w:ind w:firstLine="480" w:firstLineChars="200"/>
        <w:rPr>
          <w:rFonts w:ascii="宋体" w:hAnsi="宋体" w:cs="宋体"/>
          <w:sz w:val="24"/>
          <w:szCs w:val="24"/>
        </w:rPr>
      </w:pPr>
      <w:r>
        <w:rPr>
          <w:rFonts w:hint="eastAsia" w:ascii="宋体" w:hAnsi="宋体" w:cs="宋体"/>
          <w:sz w:val="24"/>
          <w:szCs w:val="24"/>
        </w:rPr>
        <w:t>A.产品清单(附件</w:t>
      </w:r>
      <w:r>
        <w:rPr>
          <w:rFonts w:hint="eastAsia" w:ascii="宋体" w:hAnsi="宋体" w:cs="宋体"/>
          <w:sz w:val="24"/>
          <w:szCs w:val="24"/>
          <w:lang w:val="en-US" w:eastAsia="zh-CN"/>
        </w:rPr>
        <w:t>6</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B.投标产品技术参数、性能特点以及所遵循的技术规范等内容。</w:t>
      </w:r>
    </w:p>
    <w:p>
      <w:pPr>
        <w:spacing w:line="360" w:lineRule="auto"/>
        <w:ind w:firstLine="480" w:firstLineChars="200"/>
        <w:rPr>
          <w:rFonts w:ascii="宋体" w:hAnsi="宋体" w:cs="宋体"/>
          <w:sz w:val="24"/>
          <w:szCs w:val="24"/>
        </w:rPr>
      </w:pPr>
      <w:r>
        <w:rPr>
          <w:rFonts w:hint="eastAsia" w:ascii="宋体" w:hAnsi="宋体" w:cs="宋体"/>
          <w:sz w:val="24"/>
          <w:szCs w:val="24"/>
        </w:rPr>
        <w:t>4、投标产品相应检测报告；</w:t>
      </w:r>
    </w:p>
    <w:p>
      <w:pPr>
        <w:spacing w:line="360" w:lineRule="auto"/>
        <w:ind w:firstLine="480" w:firstLineChars="200"/>
        <w:rPr>
          <w:rFonts w:ascii="宋体" w:hAnsi="宋体" w:cs="宋体"/>
          <w:sz w:val="24"/>
          <w:szCs w:val="24"/>
        </w:rPr>
      </w:pPr>
      <w:r>
        <w:rPr>
          <w:rFonts w:hint="eastAsia" w:ascii="宋体" w:hAnsi="宋体" w:cs="宋体"/>
          <w:sz w:val="24"/>
          <w:szCs w:val="24"/>
        </w:rPr>
        <w:t>5、投标产品主体列入节能产品证明资料、投标产品主体列入环境标志产品证明资料（如有）；</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6、技术需求响应表（附件</w:t>
      </w:r>
      <w:r>
        <w:rPr>
          <w:rFonts w:hint="eastAsia" w:ascii="宋体" w:hAnsi="宋体" w:cs="宋体"/>
          <w:sz w:val="24"/>
          <w:szCs w:val="24"/>
          <w:lang w:val="en-US" w:eastAsia="zh-CN"/>
        </w:rPr>
        <w:t>7</w:t>
      </w:r>
      <w:r>
        <w:rPr>
          <w:rFonts w:hint="eastAsia" w:ascii="宋体" w:hAnsi="宋体" w:cs="宋体"/>
          <w:sz w:val="24"/>
          <w:szCs w:val="24"/>
        </w:rPr>
        <w:t>）；</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7、证书一览表（附件</w:t>
      </w:r>
      <w:r>
        <w:rPr>
          <w:rFonts w:hint="eastAsia" w:ascii="宋体" w:hAnsi="宋体" w:cs="宋体"/>
          <w:sz w:val="24"/>
          <w:szCs w:val="24"/>
          <w:lang w:val="en-US" w:eastAsia="zh-CN"/>
        </w:rPr>
        <w:t>8</w:t>
      </w:r>
      <w:r>
        <w:rPr>
          <w:rFonts w:hint="eastAsia" w:ascii="宋体" w:hAnsi="宋体" w:cs="宋体"/>
          <w:sz w:val="24"/>
          <w:szCs w:val="24"/>
        </w:rPr>
        <w:t>）；</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8、投标人类似项目实施情况一览表（附件</w:t>
      </w:r>
      <w:r>
        <w:rPr>
          <w:rFonts w:hint="eastAsia" w:ascii="宋体" w:hAnsi="宋体" w:cs="宋体"/>
          <w:sz w:val="24"/>
          <w:szCs w:val="24"/>
          <w:lang w:val="en-US" w:eastAsia="zh-CN"/>
        </w:rPr>
        <w:t>9</w:t>
      </w:r>
      <w:r>
        <w:rPr>
          <w:rFonts w:hint="eastAsia" w:ascii="宋体" w:hAnsi="宋体" w:cs="宋体"/>
          <w:sz w:val="24"/>
          <w:szCs w:val="24"/>
        </w:rPr>
        <w:t>）；</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9、商务需求响应表 （附件</w:t>
      </w:r>
      <w:r>
        <w:rPr>
          <w:rFonts w:hint="eastAsia" w:ascii="宋体" w:hAnsi="宋体" w:cs="宋体"/>
          <w:sz w:val="24"/>
          <w:szCs w:val="24"/>
          <w:lang w:val="en-US" w:eastAsia="zh-CN"/>
        </w:rPr>
        <w:t>10</w:t>
      </w:r>
      <w:r>
        <w:rPr>
          <w:rFonts w:hint="eastAsia" w:ascii="宋体" w:hAnsi="宋体" w:cs="宋体"/>
          <w:sz w:val="24"/>
          <w:szCs w:val="24"/>
        </w:rPr>
        <w:t>）；</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10、售后服务情况表（附件</w:t>
      </w:r>
      <w:r>
        <w:rPr>
          <w:rFonts w:hint="eastAsia" w:ascii="宋体" w:hAnsi="宋体" w:cs="宋体"/>
          <w:sz w:val="24"/>
          <w:szCs w:val="24"/>
          <w:lang w:val="en-US" w:eastAsia="zh-CN"/>
        </w:rPr>
        <w:t>11</w:t>
      </w:r>
      <w:r>
        <w:rPr>
          <w:rFonts w:hint="eastAsia" w:ascii="宋体" w:hAnsi="宋体" w:cs="宋体"/>
          <w:sz w:val="24"/>
          <w:szCs w:val="24"/>
        </w:rPr>
        <w:t>）；</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11、投标人需要说明的其他内容。（包括可能影响投标人商务与技术文件评分的各类证明材料）</w:t>
      </w:r>
    </w:p>
    <w:p>
      <w:pPr>
        <w:rPr>
          <w:rFonts w:ascii="宋体" w:hAnsi="宋体" w:cs="宋体"/>
          <w:b/>
          <w:bCs/>
          <w:sz w:val="28"/>
          <w:szCs w:val="28"/>
        </w:rPr>
      </w:pPr>
    </w:p>
    <w:p>
      <w:pPr>
        <w:pStyle w:val="10"/>
        <w:rPr>
          <w:rFonts w:ascii="宋体" w:hAnsi="宋体" w:cs="宋体"/>
          <w:b/>
          <w:bCs/>
          <w:sz w:val="28"/>
          <w:szCs w:val="28"/>
        </w:rPr>
      </w:pPr>
    </w:p>
    <w:p/>
    <w:p>
      <w:pPr>
        <w:rPr>
          <w:rFonts w:hint="eastAsia" w:ascii="宋体" w:eastAsia="宋体"/>
          <w:b/>
          <w:bCs/>
          <w:sz w:val="28"/>
          <w:szCs w:val="28"/>
          <w:lang w:eastAsia="zh-CN"/>
        </w:rPr>
      </w:pPr>
      <w:r>
        <w:rPr>
          <w:rFonts w:hint="eastAsia" w:ascii="宋体" w:hAnsi="宋体" w:cs="宋体"/>
          <w:b/>
          <w:bCs/>
          <w:sz w:val="28"/>
          <w:szCs w:val="28"/>
        </w:rPr>
        <w:t>附件</w:t>
      </w:r>
      <w:r>
        <w:rPr>
          <w:rFonts w:hint="eastAsia" w:ascii="宋体" w:hAnsi="宋体" w:cs="宋体"/>
          <w:b/>
          <w:bCs/>
          <w:sz w:val="28"/>
          <w:szCs w:val="28"/>
          <w:lang w:val="en-US" w:eastAsia="zh-CN"/>
        </w:rPr>
        <w:t>3</w:t>
      </w:r>
    </w:p>
    <w:p>
      <w:pPr>
        <w:spacing w:line="360" w:lineRule="auto"/>
        <w:jc w:val="center"/>
        <w:rPr>
          <w:rFonts w:ascii="宋体"/>
          <w:b/>
          <w:bCs/>
          <w:sz w:val="32"/>
          <w:szCs w:val="32"/>
          <w:lang w:val="zh-CN"/>
        </w:rPr>
      </w:pPr>
      <w:r>
        <w:rPr>
          <w:rFonts w:hint="eastAsia" w:ascii="宋体" w:hAnsi="宋体" w:cs="宋体"/>
          <w:b/>
          <w:bCs/>
          <w:sz w:val="32"/>
          <w:szCs w:val="32"/>
          <w:lang w:val="zh-CN"/>
        </w:rPr>
        <w:t>投标人基本情况表</w:t>
      </w:r>
    </w:p>
    <w:p>
      <w:pPr>
        <w:spacing w:line="360" w:lineRule="auto"/>
        <w:rPr>
          <w:rFonts w:ascii="宋体"/>
          <w:sz w:val="24"/>
          <w:szCs w:val="24"/>
        </w:rPr>
      </w:pP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spacing w:line="360" w:lineRule="auto"/>
              <w:jc w:val="center"/>
              <w:rPr>
                <w:rFonts w:ascii="宋体"/>
                <w:sz w:val="24"/>
                <w:szCs w:val="24"/>
              </w:rPr>
            </w:pPr>
            <w:r>
              <w:rPr>
                <w:rFonts w:hint="eastAsia" w:ascii="宋体" w:hAnsi="宋体" w:cs="宋体"/>
                <w:sz w:val="24"/>
                <w:szCs w:val="24"/>
              </w:rPr>
              <w:t>企业名称</w:t>
            </w:r>
          </w:p>
        </w:tc>
        <w:tc>
          <w:tcPr>
            <w:tcW w:w="3979" w:type="dxa"/>
            <w:gridSpan w:val="6"/>
            <w:vAlign w:val="center"/>
          </w:tcPr>
          <w:p>
            <w:pPr>
              <w:spacing w:line="360" w:lineRule="auto"/>
              <w:jc w:val="center"/>
              <w:rPr>
                <w:rFonts w:ascii="宋体"/>
                <w:sz w:val="24"/>
                <w:szCs w:val="24"/>
              </w:rPr>
            </w:pPr>
          </w:p>
        </w:tc>
        <w:tc>
          <w:tcPr>
            <w:tcW w:w="2001" w:type="dxa"/>
            <w:gridSpan w:val="3"/>
            <w:vAlign w:val="center"/>
          </w:tcPr>
          <w:p>
            <w:pPr>
              <w:spacing w:line="360" w:lineRule="auto"/>
              <w:jc w:val="center"/>
              <w:rPr>
                <w:rFonts w:ascii="宋体"/>
                <w:sz w:val="24"/>
                <w:szCs w:val="24"/>
              </w:rPr>
            </w:pPr>
            <w:r>
              <w:rPr>
                <w:rFonts w:hint="eastAsia" w:ascii="宋体" w:hAnsi="宋体" w:cs="宋体"/>
                <w:sz w:val="24"/>
                <w:szCs w:val="24"/>
              </w:rPr>
              <w:t>法人代表</w:t>
            </w:r>
          </w:p>
        </w:tc>
        <w:tc>
          <w:tcPr>
            <w:tcW w:w="2151" w:type="dxa"/>
            <w:gridSpan w:val="2"/>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spacing w:line="360" w:lineRule="auto"/>
              <w:jc w:val="center"/>
              <w:rPr>
                <w:rFonts w:ascii="宋体"/>
                <w:sz w:val="24"/>
                <w:szCs w:val="24"/>
              </w:rPr>
            </w:pPr>
            <w:r>
              <w:rPr>
                <w:rFonts w:hint="eastAsia" w:ascii="宋体" w:hAnsi="宋体" w:cs="宋体"/>
                <w:sz w:val="24"/>
                <w:szCs w:val="24"/>
              </w:rPr>
              <w:t>地址</w:t>
            </w:r>
          </w:p>
        </w:tc>
        <w:tc>
          <w:tcPr>
            <w:tcW w:w="3979" w:type="dxa"/>
            <w:gridSpan w:val="6"/>
            <w:vAlign w:val="center"/>
          </w:tcPr>
          <w:p>
            <w:pPr>
              <w:spacing w:line="360" w:lineRule="auto"/>
              <w:jc w:val="center"/>
              <w:rPr>
                <w:rFonts w:ascii="宋体"/>
                <w:sz w:val="24"/>
                <w:szCs w:val="24"/>
              </w:rPr>
            </w:pPr>
          </w:p>
        </w:tc>
        <w:tc>
          <w:tcPr>
            <w:tcW w:w="2001" w:type="dxa"/>
            <w:gridSpan w:val="3"/>
            <w:vAlign w:val="center"/>
          </w:tcPr>
          <w:p>
            <w:pPr>
              <w:spacing w:line="360" w:lineRule="auto"/>
              <w:jc w:val="center"/>
              <w:rPr>
                <w:rFonts w:ascii="宋体"/>
                <w:sz w:val="24"/>
                <w:szCs w:val="24"/>
              </w:rPr>
            </w:pPr>
            <w:r>
              <w:rPr>
                <w:rFonts w:hint="eastAsia" w:ascii="宋体" w:hAnsi="宋体" w:cs="宋体"/>
                <w:sz w:val="24"/>
                <w:szCs w:val="24"/>
              </w:rPr>
              <w:t>企业性质</w:t>
            </w:r>
          </w:p>
        </w:tc>
        <w:tc>
          <w:tcPr>
            <w:tcW w:w="2151" w:type="dxa"/>
            <w:gridSpan w:val="2"/>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spacing w:line="360" w:lineRule="auto"/>
              <w:jc w:val="center"/>
              <w:rPr>
                <w:rFonts w:ascii="宋体"/>
                <w:sz w:val="24"/>
                <w:szCs w:val="24"/>
              </w:rPr>
            </w:pPr>
            <w:r>
              <w:rPr>
                <w:rFonts w:hint="eastAsia" w:ascii="宋体" w:hAnsi="宋体" w:cs="宋体"/>
                <w:sz w:val="24"/>
                <w:szCs w:val="24"/>
              </w:rPr>
              <w:t>股东姓名</w:t>
            </w:r>
          </w:p>
        </w:tc>
        <w:tc>
          <w:tcPr>
            <w:tcW w:w="701" w:type="dxa"/>
            <w:vAlign w:val="center"/>
          </w:tcPr>
          <w:p>
            <w:pPr>
              <w:spacing w:line="360" w:lineRule="auto"/>
              <w:jc w:val="center"/>
              <w:rPr>
                <w:rFonts w:ascii="宋体"/>
                <w:sz w:val="24"/>
                <w:szCs w:val="24"/>
              </w:rPr>
            </w:pPr>
          </w:p>
        </w:tc>
        <w:tc>
          <w:tcPr>
            <w:tcW w:w="910" w:type="dxa"/>
            <w:gridSpan w:val="2"/>
            <w:vAlign w:val="center"/>
          </w:tcPr>
          <w:p>
            <w:pPr>
              <w:spacing w:line="360" w:lineRule="auto"/>
              <w:jc w:val="center"/>
              <w:rPr>
                <w:rFonts w:ascii="宋体"/>
                <w:sz w:val="24"/>
                <w:szCs w:val="24"/>
              </w:rPr>
            </w:pPr>
            <w:r>
              <w:rPr>
                <w:rFonts w:hint="eastAsia" w:ascii="宋体" w:hAnsi="宋体" w:cs="宋体"/>
                <w:sz w:val="24"/>
                <w:szCs w:val="24"/>
              </w:rPr>
              <w:t>股权结构（</w:t>
            </w:r>
            <w:r>
              <w:rPr>
                <w:rFonts w:ascii="宋体" w:hAnsi="宋体" w:cs="宋体"/>
                <w:sz w:val="24"/>
                <w:szCs w:val="24"/>
              </w:rPr>
              <w:t>%</w:t>
            </w:r>
            <w:r>
              <w:rPr>
                <w:rFonts w:hint="eastAsia" w:ascii="宋体" w:hAnsi="宋体" w:cs="宋体"/>
                <w:sz w:val="24"/>
                <w:szCs w:val="24"/>
              </w:rPr>
              <w:t>）</w:t>
            </w:r>
          </w:p>
        </w:tc>
        <w:tc>
          <w:tcPr>
            <w:tcW w:w="2368" w:type="dxa"/>
            <w:gridSpan w:val="3"/>
            <w:vAlign w:val="center"/>
          </w:tcPr>
          <w:p>
            <w:pPr>
              <w:spacing w:line="360" w:lineRule="auto"/>
              <w:jc w:val="center"/>
              <w:rPr>
                <w:rFonts w:ascii="宋体"/>
                <w:sz w:val="24"/>
                <w:szCs w:val="24"/>
              </w:rPr>
            </w:pPr>
          </w:p>
          <w:p>
            <w:pPr>
              <w:spacing w:line="360" w:lineRule="auto"/>
              <w:jc w:val="center"/>
              <w:rPr>
                <w:rFonts w:ascii="宋体"/>
                <w:sz w:val="24"/>
                <w:szCs w:val="24"/>
              </w:rPr>
            </w:pPr>
          </w:p>
        </w:tc>
        <w:tc>
          <w:tcPr>
            <w:tcW w:w="2001" w:type="dxa"/>
            <w:gridSpan w:val="3"/>
            <w:vAlign w:val="center"/>
          </w:tcPr>
          <w:p>
            <w:pPr>
              <w:spacing w:line="360" w:lineRule="auto"/>
              <w:jc w:val="center"/>
              <w:rPr>
                <w:rFonts w:ascii="宋体"/>
                <w:sz w:val="24"/>
                <w:szCs w:val="24"/>
              </w:rPr>
            </w:pPr>
            <w:r>
              <w:rPr>
                <w:rFonts w:hint="eastAsia" w:ascii="宋体" w:hAnsi="宋体" w:cs="宋体"/>
                <w:sz w:val="24"/>
                <w:szCs w:val="24"/>
              </w:rPr>
              <w:t>股东关系</w:t>
            </w:r>
          </w:p>
        </w:tc>
        <w:tc>
          <w:tcPr>
            <w:tcW w:w="2151" w:type="dxa"/>
            <w:gridSpan w:val="2"/>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restart"/>
            <w:vAlign w:val="center"/>
          </w:tcPr>
          <w:p>
            <w:pPr>
              <w:spacing w:line="360" w:lineRule="auto"/>
              <w:jc w:val="center"/>
              <w:rPr>
                <w:rFonts w:ascii="宋体"/>
                <w:sz w:val="24"/>
                <w:szCs w:val="24"/>
              </w:rPr>
            </w:pPr>
            <w:r>
              <w:rPr>
                <w:rFonts w:hint="eastAsia" w:ascii="宋体" w:hAnsi="宋体" w:cs="宋体"/>
                <w:sz w:val="24"/>
                <w:szCs w:val="24"/>
              </w:rPr>
              <w:t>联系人姓名</w:t>
            </w:r>
          </w:p>
        </w:tc>
        <w:tc>
          <w:tcPr>
            <w:tcW w:w="701" w:type="dxa"/>
            <w:vMerge w:val="restart"/>
            <w:tcBorders>
              <w:top w:val="nil"/>
            </w:tcBorders>
            <w:vAlign w:val="center"/>
          </w:tcPr>
          <w:p>
            <w:pPr>
              <w:spacing w:line="360" w:lineRule="auto"/>
              <w:jc w:val="center"/>
              <w:rPr>
                <w:rFonts w:ascii="宋体"/>
                <w:sz w:val="24"/>
                <w:szCs w:val="24"/>
              </w:rPr>
            </w:pPr>
          </w:p>
        </w:tc>
        <w:tc>
          <w:tcPr>
            <w:tcW w:w="910" w:type="dxa"/>
            <w:gridSpan w:val="2"/>
            <w:tcBorders>
              <w:top w:val="nil"/>
            </w:tcBorders>
            <w:vAlign w:val="center"/>
          </w:tcPr>
          <w:p>
            <w:pPr>
              <w:spacing w:line="360" w:lineRule="auto"/>
              <w:jc w:val="center"/>
              <w:rPr>
                <w:rFonts w:ascii="宋体"/>
                <w:sz w:val="24"/>
                <w:szCs w:val="24"/>
              </w:rPr>
            </w:pPr>
            <w:r>
              <w:rPr>
                <w:rFonts w:hint="eastAsia" w:ascii="宋体" w:hAnsi="宋体" w:cs="宋体"/>
                <w:sz w:val="24"/>
                <w:szCs w:val="24"/>
              </w:rPr>
              <w:t>固定电话</w:t>
            </w:r>
          </w:p>
        </w:tc>
        <w:tc>
          <w:tcPr>
            <w:tcW w:w="2368" w:type="dxa"/>
            <w:gridSpan w:val="3"/>
            <w:tcBorders>
              <w:top w:val="nil"/>
            </w:tcBorders>
            <w:vAlign w:val="center"/>
          </w:tcPr>
          <w:p>
            <w:pPr>
              <w:spacing w:line="360" w:lineRule="auto"/>
              <w:jc w:val="center"/>
              <w:rPr>
                <w:rFonts w:ascii="宋体"/>
                <w:sz w:val="24"/>
                <w:szCs w:val="24"/>
              </w:rPr>
            </w:pPr>
          </w:p>
          <w:p>
            <w:pPr>
              <w:spacing w:line="360" w:lineRule="auto"/>
              <w:jc w:val="center"/>
              <w:rPr>
                <w:rFonts w:ascii="宋体"/>
                <w:sz w:val="24"/>
                <w:szCs w:val="24"/>
              </w:rPr>
            </w:pPr>
          </w:p>
        </w:tc>
        <w:tc>
          <w:tcPr>
            <w:tcW w:w="2001" w:type="dxa"/>
            <w:gridSpan w:val="3"/>
            <w:vMerge w:val="restart"/>
            <w:vAlign w:val="center"/>
          </w:tcPr>
          <w:p>
            <w:pPr>
              <w:spacing w:line="360" w:lineRule="auto"/>
              <w:jc w:val="center"/>
              <w:rPr>
                <w:rFonts w:ascii="宋体"/>
                <w:sz w:val="24"/>
                <w:szCs w:val="24"/>
              </w:rPr>
            </w:pPr>
            <w:r>
              <w:rPr>
                <w:rFonts w:hint="eastAsia" w:ascii="宋体" w:hAnsi="宋体" w:cs="宋体"/>
                <w:sz w:val="24"/>
                <w:szCs w:val="24"/>
              </w:rPr>
              <w:t>传真</w:t>
            </w:r>
          </w:p>
        </w:tc>
        <w:tc>
          <w:tcPr>
            <w:tcW w:w="2151" w:type="dxa"/>
            <w:gridSpan w:val="2"/>
            <w:vMerge w:val="restart"/>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701" w:type="dxa"/>
            <w:vMerge w:val="continue"/>
            <w:vAlign w:val="center"/>
          </w:tcPr>
          <w:p>
            <w:pPr>
              <w:spacing w:line="360" w:lineRule="auto"/>
              <w:jc w:val="center"/>
              <w:rPr>
                <w:rFonts w:ascii="宋体"/>
                <w:sz w:val="24"/>
                <w:szCs w:val="24"/>
              </w:rPr>
            </w:pPr>
          </w:p>
        </w:tc>
        <w:tc>
          <w:tcPr>
            <w:tcW w:w="910" w:type="dxa"/>
            <w:gridSpan w:val="2"/>
            <w:vAlign w:val="center"/>
          </w:tcPr>
          <w:p>
            <w:pPr>
              <w:spacing w:line="360" w:lineRule="auto"/>
              <w:jc w:val="center"/>
              <w:rPr>
                <w:rFonts w:ascii="宋体"/>
                <w:sz w:val="24"/>
                <w:szCs w:val="24"/>
              </w:rPr>
            </w:pPr>
            <w:r>
              <w:rPr>
                <w:rFonts w:hint="eastAsia" w:ascii="宋体" w:hAnsi="宋体" w:cs="宋体"/>
                <w:sz w:val="24"/>
                <w:szCs w:val="24"/>
              </w:rPr>
              <w:t>手机</w:t>
            </w:r>
          </w:p>
        </w:tc>
        <w:tc>
          <w:tcPr>
            <w:tcW w:w="2368" w:type="dxa"/>
            <w:gridSpan w:val="3"/>
            <w:vAlign w:val="center"/>
          </w:tcPr>
          <w:p>
            <w:pPr>
              <w:spacing w:line="360" w:lineRule="auto"/>
              <w:jc w:val="center"/>
              <w:rPr>
                <w:rFonts w:ascii="宋体"/>
                <w:sz w:val="24"/>
                <w:szCs w:val="24"/>
              </w:rPr>
            </w:pPr>
          </w:p>
        </w:tc>
        <w:tc>
          <w:tcPr>
            <w:tcW w:w="2001" w:type="dxa"/>
            <w:gridSpan w:val="3"/>
            <w:vMerge w:val="continue"/>
            <w:vAlign w:val="center"/>
          </w:tcPr>
          <w:p>
            <w:pPr>
              <w:spacing w:line="360" w:lineRule="auto"/>
              <w:jc w:val="center"/>
              <w:rPr>
                <w:rFonts w:ascii="宋体"/>
                <w:sz w:val="24"/>
                <w:szCs w:val="24"/>
              </w:rPr>
            </w:pPr>
          </w:p>
        </w:tc>
        <w:tc>
          <w:tcPr>
            <w:tcW w:w="2151" w:type="dxa"/>
            <w:gridSpan w:val="2"/>
            <w:vMerge w:val="continue"/>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restart"/>
            <w:vAlign w:val="center"/>
          </w:tcPr>
          <w:p>
            <w:pPr>
              <w:spacing w:line="360" w:lineRule="auto"/>
              <w:jc w:val="center"/>
              <w:rPr>
                <w:rFonts w:ascii="宋体"/>
                <w:sz w:val="24"/>
                <w:szCs w:val="24"/>
              </w:rPr>
            </w:pPr>
            <w:r>
              <w:rPr>
                <w:rFonts w:ascii="宋体" w:hAnsi="宋体" w:cs="宋体"/>
                <w:sz w:val="24"/>
                <w:szCs w:val="24"/>
              </w:rPr>
              <w:t>1.</w:t>
            </w:r>
          </w:p>
          <w:p>
            <w:pPr>
              <w:spacing w:line="360" w:lineRule="auto"/>
              <w:jc w:val="center"/>
              <w:rPr>
                <w:rFonts w:ascii="宋体"/>
                <w:sz w:val="24"/>
                <w:szCs w:val="24"/>
              </w:rPr>
            </w:pPr>
            <w:r>
              <w:rPr>
                <w:rFonts w:hint="eastAsia" w:ascii="宋体" w:hAnsi="宋体" w:cs="宋体"/>
                <w:sz w:val="24"/>
                <w:szCs w:val="24"/>
              </w:rPr>
              <w:t>企</w:t>
            </w:r>
          </w:p>
          <w:p>
            <w:pPr>
              <w:spacing w:line="360" w:lineRule="auto"/>
              <w:jc w:val="center"/>
              <w:rPr>
                <w:rFonts w:ascii="宋体"/>
                <w:sz w:val="24"/>
                <w:szCs w:val="24"/>
              </w:rPr>
            </w:pPr>
            <w:r>
              <w:rPr>
                <w:rFonts w:hint="eastAsia" w:ascii="宋体" w:hAnsi="宋体" w:cs="宋体"/>
                <w:sz w:val="24"/>
                <w:szCs w:val="24"/>
              </w:rPr>
              <w:t>业</w:t>
            </w:r>
          </w:p>
          <w:p>
            <w:pPr>
              <w:spacing w:line="360" w:lineRule="auto"/>
              <w:jc w:val="center"/>
              <w:rPr>
                <w:rFonts w:ascii="宋体"/>
                <w:sz w:val="24"/>
                <w:szCs w:val="24"/>
              </w:rPr>
            </w:pPr>
            <w:r>
              <w:rPr>
                <w:rFonts w:hint="eastAsia" w:ascii="宋体" w:hAnsi="宋体" w:cs="宋体"/>
                <w:sz w:val="24"/>
                <w:szCs w:val="24"/>
              </w:rPr>
              <w:t>概</w:t>
            </w:r>
          </w:p>
          <w:p>
            <w:pPr>
              <w:spacing w:line="360" w:lineRule="auto"/>
              <w:jc w:val="center"/>
              <w:rPr>
                <w:rFonts w:ascii="宋体"/>
                <w:sz w:val="24"/>
                <w:szCs w:val="24"/>
              </w:rPr>
            </w:pPr>
            <w:r>
              <w:rPr>
                <w:rFonts w:hint="eastAsia" w:ascii="宋体" w:hAnsi="宋体" w:cs="宋体"/>
                <w:sz w:val="24"/>
                <w:szCs w:val="24"/>
              </w:rPr>
              <w:t>况</w:t>
            </w:r>
          </w:p>
        </w:tc>
        <w:tc>
          <w:tcPr>
            <w:tcW w:w="701" w:type="dxa"/>
            <w:tcBorders>
              <w:top w:val="nil"/>
            </w:tcBorders>
            <w:vAlign w:val="center"/>
          </w:tcPr>
          <w:p>
            <w:pPr>
              <w:spacing w:line="360" w:lineRule="auto"/>
              <w:jc w:val="center"/>
              <w:rPr>
                <w:rFonts w:ascii="宋体"/>
                <w:sz w:val="24"/>
                <w:szCs w:val="24"/>
              </w:rPr>
            </w:pPr>
            <w:r>
              <w:rPr>
                <w:rFonts w:hint="eastAsia" w:ascii="宋体" w:hAnsi="宋体" w:cs="宋体"/>
                <w:sz w:val="24"/>
                <w:szCs w:val="24"/>
              </w:rPr>
              <w:t>职工人数</w:t>
            </w:r>
          </w:p>
        </w:tc>
        <w:tc>
          <w:tcPr>
            <w:tcW w:w="910" w:type="dxa"/>
            <w:gridSpan w:val="2"/>
            <w:tcBorders>
              <w:top w:val="nil"/>
            </w:tcBorders>
            <w:vAlign w:val="center"/>
          </w:tcPr>
          <w:p>
            <w:pPr>
              <w:spacing w:line="360" w:lineRule="auto"/>
              <w:jc w:val="center"/>
              <w:rPr>
                <w:rFonts w:ascii="宋体"/>
                <w:sz w:val="24"/>
                <w:szCs w:val="24"/>
              </w:rPr>
            </w:pPr>
          </w:p>
        </w:tc>
        <w:tc>
          <w:tcPr>
            <w:tcW w:w="1163" w:type="dxa"/>
            <w:tcBorders>
              <w:top w:val="nil"/>
            </w:tcBorders>
            <w:vAlign w:val="center"/>
          </w:tcPr>
          <w:p>
            <w:pPr>
              <w:spacing w:line="360" w:lineRule="auto"/>
              <w:jc w:val="center"/>
              <w:rPr>
                <w:rFonts w:ascii="宋体"/>
                <w:sz w:val="24"/>
                <w:szCs w:val="24"/>
              </w:rPr>
            </w:pPr>
            <w:r>
              <w:rPr>
                <w:rFonts w:hint="eastAsia" w:ascii="宋体" w:hAnsi="宋体" w:cs="宋体"/>
                <w:sz w:val="24"/>
                <w:szCs w:val="24"/>
              </w:rPr>
              <w:t>具备大专以上学历人数</w:t>
            </w:r>
          </w:p>
        </w:tc>
        <w:tc>
          <w:tcPr>
            <w:tcW w:w="1205" w:type="dxa"/>
            <w:gridSpan w:val="2"/>
            <w:tcBorders>
              <w:top w:val="nil"/>
            </w:tcBorders>
            <w:vAlign w:val="center"/>
          </w:tcPr>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tc>
        <w:tc>
          <w:tcPr>
            <w:tcW w:w="2001" w:type="dxa"/>
            <w:gridSpan w:val="3"/>
            <w:vAlign w:val="center"/>
          </w:tcPr>
          <w:p>
            <w:pPr>
              <w:spacing w:line="360" w:lineRule="auto"/>
              <w:jc w:val="center"/>
              <w:rPr>
                <w:rFonts w:ascii="宋体"/>
                <w:sz w:val="24"/>
                <w:szCs w:val="24"/>
              </w:rPr>
            </w:pPr>
            <w:r>
              <w:rPr>
                <w:rFonts w:hint="eastAsia" w:ascii="宋体" w:hAnsi="宋体" w:cs="宋体"/>
                <w:sz w:val="24"/>
                <w:szCs w:val="24"/>
              </w:rPr>
              <w:t>国家授予技术职称人数</w:t>
            </w:r>
          </w:p>
        </w:tc>
        <w:tc>
          <w:tcPr>
            <w:tcW w:w="2151" w:type="dxa"/>
            <w:gridSpan w:val="2"/>
            <w:vAlign w:val="center"/>
          </w:tcPr>
          <w:p>
            <w:pPr>
              <w:spacing w:line="360" w:lineRule="auto"/>
              <w:jc w:val="center"/>
              <w:rPr>
                <w:rFonts w:ascii="宋体"/>
                <w:sz w:val="24"/>
                <w:szCs w:val="24"/>
              </w:rPr>
            </w:pPr>
          </w:p>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701" w:type="dxa"/>
            <w:vAlign w:val="center"/>
          </w:tcPr>
          <w:p>
            <w:pPr>
              <w:spacing w:line="360" w:lineRule="auto"/>
              <w:jc w:val="center"/>
              <w:rPr>
                <w:rFonts w:ascii="宋体"/>
                <w:sz w:val="24"/>
                <w:szCs w:val="24"/>
              </w:rPr>
            </w:pPr>
            <w:r>
              <w:rPr>
                <w:rFonts w:hint="eastAsia" w:ascii="宋体" w:hAnsi="宋体" w:cs="宋体"/>
                <w:sz w:val="24"/>
                <w:szCs w:val="24"/>
              </w:rPr>
              <w:t>占地面积</w:t>
            </w:r>
          </w:p>
        </w:tc>
        <w:tc>
          <w:tcPr>
            <w:tcW w:w="910" w:type="dxa"/>
            <w:gridSpan w:val="2"/>
            <w:vAlign w:val="center"/>
          </w:tcPr>
          <w:p>
            <w:pPr>
              <w:spacing w:line="360" w:lineRule="auto"/>
              <w:jc w:val="center"/>
              <w:rPr>
                <w:rFonts w:ascii="宋体"/>
                <w:sz w:val="24"/>
                <w:szCs w:val="24"/>
              </w:rPr>
            </w:pPr>
          </w:p>
        </w:tc>
        <w:tc>
          <w:tcPr>
            <w:tcW w:w="1163" w:type="dxa"/>
            <w:vAlign w:val="center"/>
          </w:tcPr>
          <w:p>
            <w:pPr>
              <w:spacing w:line="360" w:lineRule="auto"/>
              <w:jc w:val="center"/>
              <w:rPr>
                <w:rFonts w:ascii="宋体"/>
                <w:sz w:val="24"/>
                <w:szCs w:val="24"/>
              </w:rPr>
            </w:pPr>
            <w:r>
              <w:rPr>
                <w:rFonts w:hint="eastAsia" w:ascii="宋体" w:hAnsi="宋体" w:cs="宋体"/>
                <w:sz w:val="24"/>
                <w:szCs w:val="24"/>
              </w:rPr>
              <w:t>建筑面积</w:t>
            </w:r>
          </w:p>
        </w:tc>
        <w:tc>
          <w:tcPr>
            <w:tcW w:w="1205" w:type="dxa"/>
            <w:gridSpan w:val="2"/>
            <w:vAlign w:val="center"/>
          </w:tcPr>
          <w:p>
            <w:pPr>
              <w:spacing w:line="360" w:lineRule="auto"/>
              <w:jc w:val="center"/>
              <w:rPr>
                <w:rFonts w:ascii="宋体"/>
                <w:sz w:val="24"/>
                <w:szCs w:val="24"/>
              </w:rPr>
            </w:pPr>
            <w:r>
              <w:rPr>
                <w:rFonts w:hint="eastAsia" w:ascii="宋体" w:hAnsi="宋体" w:cs="宋体"/>
                <w:sz w:val="24"/>
                <w:szCs w:val="24"/>
              </w:rPr>
              <w:t>平方米</w:t>
            </w:r>
          </w:p>
          <w:p>
            <w:pPr>
              <w:spacing w:line="360" w:lineRule="auto"/>
              <w:jc w:val="center"/>
              <w:rPr>
                <w:rFonts w:ascii="宋体"/>
                <w:sz w:val="24"/>
                <w:szCs w:val="24"/>
              </w:rPr>
            </w:pPr>
            <w:r>
              <w:rPr>
                <w:rFonts w:hint="eastAsia" w:ascii="宋体" w:hAnsi="宋体" w:cs="宋体"/>
                <w:sz w:val="24"/>
                <w:szCs w:val="24"/>
              </w:rPr>
              <w:t>□自有</w:t>
            </w:r>
          </w:p>
          <w:p>
            <w:pPr>
              <w:spacing w:line="360" w:lineRule="auto"/>
              <w:jc w:val="center"/>
              <w:rPr>
                <w:rFonts w:ascii="宋体"/>
                <w:sz w:val="24"/>
                <w:szCs w:val="24"/>
              </w:rPr>
            </w:pPr>
            <w:r>
              <w:rPr>
                <w:rFonts w:hint="eastAsia" w:ascii="宋体" w:hAnsi="宋体" w:cs="宋体"/>
                <w:sz w:val="24"/>
                <w:szCs w:val="24"/>
              </w:rPr>
              <w:t>□租赁</w:t>
            </w:r>
          </w:p>
        </w:tc>
        <w:tc>
          <w:tcPr>
            <w:tcW w:w="2001" w:type="dxa"/>
            <w:gridSpan w:val="3"/>
            <w:vAlign w:val="center"/>
          </w:tcPr>
          <w:p>
            <w:pPr>
              <w:spacing w:line="360" w:lineRule="auto"/>
              <w:jc w:val="center"/>
              <w:rPr>
                <w:rFonts w:ascii="宋体"/>
                <w:sz w:val="24"/>
                <w:szCs w:val="24"/>
              </w:rPr>
            </w:pPr>
            <w:r>
              <w:rPr>
                <w:rFonts w:hint="eastAsia" w:ascii="宋体" w:hAnsi="宋体" w:cs="宋体"/>
                <w:sz w:val="24"/>
                <w:szCs w:val="24"/>
              </w:rPr>
              <w:t>生产经营场所及场所的设施与设备</w:t>
            </w:r>
          </w:p>
        </w:tc>
        <w:tc>
          <w:tcPr>
            <w:tcW w:w="2151" w:type="dxa"/>
            <w:gridSpan w:val="2"/>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701" w:type="dxa"/>
            <w:vAlign w:val="center"/>
          </w:tcPr>
          <w:p>
            <w:pPr>
              <w:spacing w:line="360" w:lineRule="auto"/>
              <w:jc w:val="center"/>
              <w:rPr>
                <w:rFonts w:ascii="宋体"/>
                <w:sz w:val="24"/>
                <w:szCs w:val="24"/>
              </w:rPr>
            </w:pPr>
            <w:r>
              <w:rPr>
                <w:rFonts w:hint="eastAsia" w:ascii="宋体" w:hAnsi="宋体" w:cs="宋体"/>
                <w:sz w:val="24"/>
                <w:szCs w:val="24"/>
              </w:rPr>
              <w:t>注册资金</w:t>
            </w:r>
          </w:p>
        </w:tc>
        <w:tc>
          <w:tcPr>
            <w:tcW w:w="910" w:type="dxa"/>
            <w:gridSpan w:val="2"/>
            <w:vAlign w:val="center"/>
          </w:tcPr>
          <w:p>
            <w:pPr>
              <w:spacing w:line="360" w:lineRule="auto"/>
              <w:jc w:val="center"/>
              <w:rPr>
                <w:rFonts w:ascii="宋体"/>
                <w:sz w:val="24"/>
                <w:szCs w:val="24"/>
              </w:rPr>
            </w:pPr>
          </w:p>
        </w:tc>
        <w:tc>
          <w:tcPr>
            <w:tcW w:w="1163" w:type="dxa"/>
            <w:vAlign w:val="center"/>
          </w:tcPr>
          <w:p>
            <w:pPr>
              <w:spacing w:line="360" w:lineRule="auto"/>
              <w:jc w:val="center"/>
              <w:rPr>
                <w:rFonts w:ascii="宋体"/>
                <w:sz w:val="24"/>
                <w:szCs w:val="24"/>
              </w:rPr>
            </w:pPr>
            <w:r>
              <w:rPr>
                <w:rFonts w:hint="eastAsia" w:ascii="宋体" w:hAnsi="宋体" w:cs="宋体"/>
                <w:sz w:val="24"/>
                <w:szCs w:val="24"/>
              </w:rPr>
              <w:t>注册发证机关</w:t>
            </w:r>
          </w:p>
        </w:tc>
        <w:tc>
          <w:tcPr>
            <w:tcW w:w="3206" w:type="dxa"/>
            <w:gridSpan w:val="5"/>
            <w:vAlign w:val="center"/>
          </w:tcPr>
          <w:p>
            <w:pPr>
              <w:spacing w:line="360" w:lineRule="auto"/>
              <w:jc w:val="center"/>
              <w:rPr>
                <w:rFonts w:ascii="宋体"/>
                <w:sz w:val="24"/>
                <w:szCs w:val="24"/>
              </w:rPr>
            </w:pPr>
          </w:p>
          <w:p>
            <w:pPr>
              <w:spacing w:line="360" w:lineRule="auto"/>
              <w:jc w:val="center"/>
              <w:rPr>
                <w:rFonts w:ascii="宋体"/>
                <w:sz w:val="24"/>
                <w:szCs w:val="24"/>
              </w:rPr>
            </w:pPr>
          </w:p>
        </w:tc>
        <w:tc>
          <w:tcPr>
            <w:tcW w:w="1218" w:type="dxa"/>
            <w:vAlign w:val="center"/>
          </w:tcPr>
          <w:p>
            <w:pPr>
              <w:spacing w:line="360" w:lineRule="auto"/>
              <w:jc w:val="center"/>
              <w:rPr>
                <w:rFonts w:ascii="宋体"/>
                <w:sz w:val="24"/>
                <w:szCs w:val="24"/>
              </w:rPr>
            </w:pPr>
            <w:r>
              <w:rPr>
                <w:rFonts w:hint="eastAsia" w:ascii="宋体" w:hAnsi="宋体" w:cs="宋体"/>
                <w:sz w:val="24"/>
                <w:szCs w:val="24"/>
              </w:rPr>
              <w:t>公司成立时间</w:t>
            </w:r>
          </w:p>
        </w:tc>
        <w:tc>
          <w:tcPr>
            <w:tcW w:w="933" w:type="dxa"/>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701" w:type="dxa"/>
            <w:vAlign w:val="center"/>
          </w:tcPr>
          <w:p>
            <w:pPr>
              <w:spacing w:line="360" w:lineRule="auto"/>
              <w:jc w:val="center"/>
              <w:rPr>
                <w:rFonts w:ascii="宋体"/>
                <w:sz w:val="24"/>
                <w:szCs w:val="24"/>
              </w:rPr>
            </w:pPr>
            <w:r>
              <w:rPr>
                <w:rFonts w:hint="eastAsia" w:ascii="宋体" w:hAnsi="宋体" w:cs="宋体"/>
                <w:sz w:val="24"/>
                <w:szCs w:val="24"/>
              </w:rPr>
              <w:t>核准经营范围</w:t>
            </w:r>
          </w:p>
        </w:tc>
        <w:tc>
          <w:tcPr>
            <w:tcW w:w="7430" w:type="dxa"/>
            <w:gridSpan w:val="10"/>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8131" w:type="dxa"/>
            <w:gridSpan w:val="11"/>
            <w:vAlign w:val="center"/>
          </w:tcPr>
          <w:p>
            <w:pPr>
              <w:spacing w:line="360" w:lineRule="auto"/>
              <w:rPr>
                <w:rFonts w:ascii="宋体"/>
                <w:sz w:val="24"/>
                <w:szCs w:val="24"/>
              </w:rPr>
            </w:pPr>
            <w:r>
              <w:rPr>
                <w:rFonts w:hint="eastAsia" w:ascii="宋体" w:hAnsi="宋体" w:cs="宋体"/>
                <w:sz w:val="24"/>
                <w:szCs w:val="24"/>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restart"/>
            <w:vAlign w:val="center"/>
          </w:tcPr>
          <w:p>
            <w:pPr>
              <w:spacing w:line="360" w:lineRule="auto"/>
              <w:jc w:val="center"/>
              <w:rPr>
                <w:rFonts w:ascii="宋体"/>
                <w:sz w:val="24"/>
                <w:szCs w:val="24"/>
              </w:rPr>
            </w:pPr>
            <w:r>
              <w:rPr>
                <w:rFonts w:ascii="宋体" w:hAnsi="宋体" w:cs="宋体"/>
                <w:sz w:val="24"/>
                <w:szCs w:val="24"/>
              </w:rPr>
              <w:t>2</w:t>
            </w:r>
            <w:r>
              <w:rPr>
                <w:rFonts w:hint="eastAsia" w:ascii="宋体" w:hAnsi="宋体" w:cs="宋体"/>
                <w:sz w:val="24"/>
                <w:szCs w:val="24"/>
              </w:rPr>
              <w:t>．</w:t>
            </w:r>
          </w:p>
          <w:p>
            <w:pPr>
              <w:spacing w:line="360" w:lineRule="auto"/>
              <w:jc w:val="center"/>
              <w:rPr>
                <w:rFonts w:ascii="宋体"/>
                <w:sz w:val="24"/>
                <w:szCs w:val="24"/>
              </w:rPr>
            </w:pPr>
            <w:r>
              <w:rPr>
                <w:rFonts w:hint="eastAsia" w:ascii="宋体" w:hAnsi="宋体" w:cs="宋体"/>
                <w:sz w:val="24"/>
                <w:szCs w:val="24"/>
              </w:rPr>
              <w:t>企业有关资质获证情况</w:t>
            </w:r>
          </w:p>
        </w:tc>
        <w:tc>
          <w:tcPr>
            <w:tcW w:w="1553" w:type="dxa"/>
            <w:gridSpan w:val="2"/>
            <w:vMerge w:val="restart"/>
            <w:vAlign w:val="center"/>
          </w:tcPr>
          <w:p>
            <w:pPr>
              <w:spacing w:line="360" w:lineRule="auto"/>
              <w:jc w:val="center"/>
              <w:rPr>
                <w:rFonts w:ascii="宋体"/>
                <w:sz w:val="24"/>
                <w:szCs w:val="24"/>
              </w:rPr>
            </w:pPr>
            <w:r>
              <w:rPr>
                <w:rFonts w:hint="eastAsia" w:ascii="宋体" w:hAnsi="宋体" w:cs="宋体"/>
                <w:sz w:val="24"/>
                <w:szCs w:val="24"/>
              </w:rPr>
              <w:t>产品生产许可证情况（对需获得生产许可证的产品要填写此栏）</w:t>
            </w:r>
          </w:p>
        </w:tc>
        <w:tc>
          <w:tcPr>
            <w:tcW w:w="1333" w:type="dxa"/>
            <w:gridSpan w:val="3"/>
            <w:vAlign w:val="center"/>
          </w:tcPr>
          <w:p>
            <w:pPr>
              <w:spacing w:line="360" w:lineRule="auto"/>
              <w:jc w:val="center"/>
              <w:rPr>
                <w:rFonts w:ascii="宋体"/>
                <w:sz w:val="24"/>
                <w:szCs w:val="24"/>
              </w:rPr>
            </w:pPr>
            <w:r>
              <w:rPr>
                <w:rFonts w:hint="eastAsia" w:ascii="宋体" w:hAnsi="宋体" w:cs="宋体"/>
                <w:sz w:val="24"/>
                <w:szCs w:val="24"/>
              </w:rPr>
              <w:t>产品名称</w:t>
            </w:r>
          </w:p>
        </w:tc>
        <w:tc>
          <w:tcPr>
            <w:tcW w:w="1418" w:type="dxa"/>
            <w:gridSpan w:val="2"/>
            <w:vAlign w:val="center"/>
          </w:tcPr>
          <w:p>
            <w:pPr>
              <w:spacing w:line="360" w:lineRule="auto"/>
              <w:jc w:val="center"/>
              <w:rPr>
                <w:rFonts w:ascii="宋体"/>
                <w:sz w:val="24"/>
                <w:szCs w:val="24"/>
              </w:rPr>
            </w:pPr>
            <w:r>
              <w:rPr>
                <w:rFonts w:hint="eastAsia" w:ascii="宋体" w:hAnsi="宋体" w:cs="宋体"/>
                <w:sz w:val="24"/>
                <w:szCs w:val="24"/>
              </w:rPr>
              <w:t>发证机关</w:t>
            </w:r>
          </w:p>
        </w:tc>
        <w:tc>
          <w:tcPr>
            <w:tcW w:w="1276" w:type="dxa"/>
            <w:vAlign w:val="center"/>
          </w:tcPr>
          <w:p>
            <w:pPr>
              <w:spacing w:line="360" w:lineRule="auto"/>
              <w:jc w:val="center"/>
              <w:rPr>
                <w:rFonts w:ascii="宋体"/>
                <w:sz w:val="24"/>
                <w:szCs w:val="24"/>
              </w:rPr>
            </w:pPr>
            <w:r>
              <w:rPr>
                <w:rFonts w:hint="eastAsia" w:ascii="宋体" w:hAnsi="宋体" w:cs="宋体"/>
                <w:sz w:val="24"/>
                <w:szCs w:val="24"/>
              </w:rPr>
              <w:t>编号</w:t>
            </w:r>
          </w:p>
        </w:tc>
        <w:tc>
          <w:tcPr>
            <w:tcW w:w="1618" w:type="dxa"/>
            <w:gridSpan w:val="2"/>
            <w:vAlign w:val="center"/>
          </w:tcPr>
          <w:p>
            <w:pPr>
              <w:spacing w:line="360" w:lineRule="auto"/>
              <w:jc w:val="center"/>
              <w:rPr>
                <w:rFonts w:ascii="宋体"/>
                <w:sz w:val="24"/>
                <w:szCs w:val="24"/>
              </w:rPr>
            </w:pPr>
            <w:r>
              <w:rPr>
                <w:rFonts w:hint="eastAsia" w:ascii="宋体" w:hAnsi="宋体" w:cs="宋体"/>
                <w:sz w:val="24"/>
                <w:szCs w:val="24"/>
              </w:rPr>
              <w:t>发证时间</w:t>
            </w:r>
          </w:p>
        </w:tc>
        <w:tc>
          <w:tcPr>
            <w:tcW w:w="933" w:type="dxa"/>
            <w:vAlign w:val="center"/>
          </w:tcPr>
          <w:p>
            <w:pPr>
              <w:spacing w:line="360" w:lineRule="auto"/>
              <w:jc w:val="center"/>
              <w:rPr>
                <w:rFonts w:ascii="宋体"/>
                <w:sz w:val="24"/>
                <w:szCs w:val="24"/>
              </w:rPr>
            </w:pPr>
            <w:r>
              <w:rPr>
                <w:rFonts w:hint="eastAsia" w:ascii="宋体" w:hAnsi="宋体" w:cs="宋体"/>
                <w:sz w:val="24"/>
                <w:szCs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1553" w:type="dxa"/>
            <w:gridSpan w:val="2"/>
            <w:vMerge w:val="continue"/>
            <w:vAlign w:val="center"/>
          </w:tcPr>
          <w:p>
            <w:pPr>
              <w:spacing w:line="360" w:lineRule="auto"/>
              <w:jc w:val="center"/>
              <w:rPr>
                <w:rFonts w:ascii="宋体"/>
                <w:sz w:val="24"/>
                <w:szCs w:val="24"/>
              </w:rPr>
            </w:pPr>
          </w:p>
        </w:tc>
        <w:tc>
          <w:tcPr>
            <w:tcW w:w="1333" w:type="dxa"/>
            <w:gridSpan w:val="3"/>
            <w:vAlign w:val="center"/>
          </w:tcPr>
          <w:p>
            <w:pPr>
              <w:spacing w:line="360" w:lineRule="auto"/>
              <w:jc w:val="center"/>
              <w:rPr>
                <w:rFonts w:ascii="宋体"/>
                <w:sz w:val="24"/>
                <w:szCs w:val="24"/>
              </w:rPr>
            </w:pPr>
          </w:p>
        </w:tc>
        <w:tc>
          <w:tcPr>
            <w:tcW w:w="1418" w:type="dxa"/>
            <w:gridSpan w:val="2"/>
            <w:vAlign w:val="center"/>
          </w:tcPr>
          <w:p>
            <w:pPr>
              <w:spacing w:line="360" w:lineRule="auto"/>
              <w:jc w:val="center"/>
              <w:rPr>
                <w:rFonts w:ascii="宋体"/>
                <w:sz w:val="24"/>
                <w:szCs w:val="24"/>
              </w:rPr>
            </w:pPr>
          </w:p>
        </w:tc>
        <w:tc>
          <w:tcPr>
            <w:tcW w:w="1276" w:type="dxa"/>
            <w:vAlign w:val="center"/>
          </w:tcPr>
          <w:p>
            <w:pPr>
              <w:spacing w:line="360" w:lineRule="auto"/>
              <w:jc w:val="center"/>
              <w:rPr>
                <w:rFonts w:ascii="宋体"/>
                <w:sz w:val="24"/>
                <w:szCs w:val="24"/>
              </w:rPr>
            </w:pPr>
          </w:p>
        </w:tc>
        <w:tc>
          <w:tcPr>
            <w:tcW w:w="2551" w:type="dxa"/>
            <w:gridSpan w:val="3"/>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1553" w:type="dxa"/>
            <w:gridSpan w:val="2"/>
            <w:vAlign w:val="center"/>
          </w:tcPr>
          <w:p>
            <w:pPr>
              <w:spacing w:line="360" w:lineRule="auto"/>
              <w:jc w:val="center"/>
              <w:rPr>
                <w:rFonts w:ascii="宋体"/>
                <w:sz w:val="24"/>
                <w:szCs w:val="24"/>
              </w:rPr>
            </w:pPr>
            <w:r>
              <w:rPr>
                <w:rFonts w:hint="eastAsia" w:ascii="宋体" w:hAnsi="宋体" w:cs="宋体"/>
                <w:sz w:val="24"/>
                <w:szCs w:val="24"/>
              </w:rPr>
              <w:t>企业通过质量体系、环保体系、计量等认证情况</w:t>
            </w:r>
          </w:p>
        </w:tc>
        <w:tc>
          <w:tcPr>
            <w:tcW w:w="6578" w:type="dxa"/>
            <w:gridSpan w:val="9"/>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vAlign w:val="center"/>
          </w:tcPr>
          <w:p>
            <w:pPr>
              <w:spacing w:line="360" w:lineRule="auto"/>
              <w:jc w:val="center"/>
              <w:rPr>
                <w:rFonts w:ascii="宋体"/>
                <w:sz w:val="24"/>
                <w:szCs w:val="24"/>
              </w:rPr>
            </w:pPr>
          </w:p>
        </w:tc>
        <w:tc>
          <w:tcPr>
            <w:tcW w:w="1553" w:type="dxa"/>
            <w:gridSpan w:val="2"/>
            <w:vAlign w:val="center"/>
          </w:tcPr>
          <w:p>
            <w:pPr>
              <w:spacing w:line="360" w:lineRule="auto"/>
              <w:jc w:val="center"/>
              <w:rPr>
                <w:rFonts w:ascii="宋体"/>
                <w:sz w:val="24"/>
                <w:szCs w:val="24"/>
              </w:rPr>
            </w:pPr>
            <w:r>
              <w:rPr>
                <w:rFonts w:hint="eastAsia" w:ascii="宋体" w:hAnsi="宋体" w:cs="宋体"/>
                <w:sz w:val="24"/>
                <w:szCs w:val="24"/>
              </w:rPr>
              <w:t>企业获得专利情况</w:t>
            </w:r>
          </w:p>
        </w:tc>
        <w:tc>
          <w:tcPr>
            <w:tcW w:w="6578" w:type="dxa"/>
            <w:gridSpan w:val="9"/>
            <w:vAlign w:val="center"/>
          </w:tcPr>
          <w:p>
            <w:pPr>
              <w:spacing w:line="360" w:lineRule="auto"/>
              <w:jc w:val="center"/>
              <w:rPr>
                <w:rFonts w:ascii="宋体"/>
                <w:sz w:val="24"/>
                <w:szCs w:val="24"/>
              </w:rPr>
            </w:pPr>
          </w:p>
        </w:tc>
      </w:tr>
    </w:tbl>
    <w:p>
      <w:pPr>
        <w:spacing w:line="360" w:lineRule="auto"/>
        <w:rPr>
          <w:rFonts w:ascii="宋体"/>
          <w:sz w:val="24"/>
          <w:szCs w:val="24"/>
        </w:rPr>
      </w:pPr>
    </w:p>
    <w:p>
      <w:pPr>
        <w:spacing w:line="360" w:lineRule="auto"/>
        <w:rPr>
          <w:rFonts w:ascii="宋体"/>
          <w:b/>
          <w:bCs/>
          <w:sz w:val="24"/>
          <w:szCs w:val="24"/>
        </w:rPr>
      </w:pPr>
      <w:r>
        <w:rPr>
          <w:rFonts w:hint="eastAsia" w:ascii="宋体" w:hAnsi="宋体" w:cs="宋体"/>
          <w:b/>
          <w:bCs/>
          <w:sz w:val="24"/>
          <w:szCs w:val="24"/>
        </w:rPr>
        <w:t>要求：</w:t>
      </w: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姓名栏必须将所有股东都统计在内，若非股份公司此行（第三行）无需填写；</w:t>
      </w:r>
    </w:p>
    <w:p>
      <w:pPr>
        <w:spacing w:line="360" w:lineRule="auto"/>
        <w:rPr>
          <w:rFonts w:ascii="宋体"/>
          <w:sz w:val="24"/>
          <w:szCs w:val="24"/>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sz w:val="24"/>
          <w:szCs w:val="24"/>
        </w:rPr>
      </w:pPr>
      <w:r>
        <w:rPr>
          <w:rFonts w:hint="eastAsia" w:ascii="宋体" w:hAnsi="宋体" w:cs="宋体"/>
          <w:sz w:val="24"/>
          <w:szCs w:val="24"/>
        </w:rPr>
        <w:t>日期：</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hint="eastAsia" w:ascii="宋体" w:eastAsia="宋体"/>
          <w:sz w:val="24"/>
          <w:szCs w:val="24"/>
          <w:lang w:eastAsia="zh-CN"/>
        </w:rPr>
      </w:pPr>
      <w:r>
        <w:rPr>
          <w:rFonts w:hint="eastAsia" w:ascii="宋体" w:hAnsi="宋体" w:cs="宋体"/>
          <w:b/>
          <w:bCs/>
          <w:sz w:val="28"/>
          <w:szCs w:val="28"/>
        </w:rPr>
        <w:t>附件</w:t>
      </w:r>
      <w:r>
        <w:rPr>
          <w:rFonts w:hint="eastAsia" w:ascii="宋体" w:hAnsi="宋体" w:cs="宋体"/>
          <w:b/>
          <w:bCs/>
          <w:sz w:val="28"/>
          <w:szCs w:val="28"/>
          <w:lang w:val="en-US" w:eastAsia="zh-CN"/>
        </w:rPr>
        <w:t>4</w:t>
      </w:r>
    </w:p>
    <w:p>
      <w:pPr>
        <w:spacing w:line="360" w:lineRule="auto"/>
        <w:jc w:val="center"/>
        <w:rPr>
          <w:rFonts w:ascii="宋体"/>
          <w:b/>
          <w:bCs/>
          <w:sz w:val="32"/>
          <w:szCs w:val="32"/>
          <w:lang w:val="zh-CN"/>
        </w:rPr>
      </w:pPr>
      <w:r>
        <w:rPr>
          <w:rFonts w:hint="eastAsia" w:ascii="宋体" w:hAnsi="宋体" w:cs="宋体"/>
          <w:b/>
          <w:bCs/>
          <w:sz w:val="32"/>
          <w:szCs w:val="32"/>
          <w:lang w:val="zh-CN"/>
        </w:rPr>
        <w:t>项目实施人员一览表</w:t>
      </w:r>
    </w:p>
    <w:p>
      <w:pPr>
        <w:spacing w:line="360" w:lineRule="auto"/>
        <w:jc w:val="center"/>
        <w:rPr>
          <w:rFonts w:ascii="宋体"/>
          <w:sz w:val="24"/>
          <w:szCs w:val="24"/>
        </w:rPr>
      </w:pPr>
      <w:r>
        <w:rPr>
          <w:rFonts w:hint="eastAsia" w:ascii="宋体" w:hAnsi="宋体" w:cs="宋体"/>
          <w:sz w:val="24"/>
          <w:szCs w:val="24"/>
        </w:rPr>
        <w:t>（主要从业人员及其技术资格）</w:t>
      </w:r>
    </w:p>
    <w:tbl>
      <w:tblPr>
        <w:tblStyle w:val="27"/>
        <w:tblW w:w="88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159" w:beforeLines="50" w:after="50" w:line="360" w:lineRule="auto"/>
              <w:jc w:val="center"/>
              <w:rPr>
                <w:rFonts w:ascii="宋体"/>
                <w:b/>
                <w:bCs/>
                <w:sz w:val="24"/>
                <w:szCs w:val="24"/>
              </w:rPr>
            </w:pPr>
            <w:r>
              <w:rPr>
                <w:rFonts w:hint="eastAsia" w:ascii="宋体" w:hAnsi="宋体" w:cs="宋体"/>
                <w:b/>
                <w:bCs/>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9" w:beforeLines="50" w:after="50" w:line="360" w:lineRule="auto"/>
              <w:ind w:left="5250"/>
              <w:rPr>
                <w:rFonts w:ascii="宋体" w:hAnsi="宋体" w:eastAsia="宋体" w:cs="Times New Roman"/>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9" w:beforeLines="50" w:after="50" w:line="360" w:lineRule="auto"/>
              <w:ind w:left="5250"/>
              <w:rPr>
                <w:rFonts w:ascii="宋体" w:hAnsi="宋体" w:eastAsia="宋体" w:cs="Times New Roman"/>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9" w:beforeLines="50" w:after="50" w:line="360" w:lineRule="auto"/>
              <w:rPr>
                <w:rFonts w:ascii="宋体"/>
                <w:sz w:val="24"/>
                <w:szCs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9" w:beforeLines="50" w:after="50" w:line="360" w:lineRule="auto"/>
              <w:rPr>
                <w:rFonts w:ascii="宋体"/>
                <w:b/>
                <w:bCs/>
                <w:kern w:val="44"/>
                <w:sz w:val="24"/>
                <w:szCs w:val="24"/>
              </w:rPr>
            </w:pPr>
          </w:p>
        </w:tc>
        <w:tc>
          <w:tcPr>
            <w:tcW w:w="2126" w:type="dxa"/>
            <w:tcBorders>
              <w:top w:val="single" w:color="auto" w:sz="4" w:space="0"/>
              <w:left w:val="single" w:color="auto" w:sz="4" w:space="0"/>
              <w:bottom w:val="single" w:color="auto" w:sz="4" w:space="0"/>
            </w:tcBorders>
          </w:tcPr>
          <w:p>
            <w:pPr>
              <w:snapToGrid w:val="0"/>
              <w:spacing w:before="159" w:beforeLines="50" w:after="50" w:line="360" w:lineRule="auto"/>
              <w:rPr>
                <w:rFonts w:ascii="宋体"/>
                <w:b/>
                <w:bCs/>
                <w:kern w:val="44"/>
                <w:sz w:val="24"/>
                <w:szCs w:val="24"/>
              </w:rPr>
            </w:pPr>
          </w:p>
        </w:tc>
      </w:tr>
    </w:tbl>
    <w:p>
      <w:pPr>
        <w:spacing w:line="360" w:lineRule="auto"/>
        <w:jc w:val="left"/>
        <w:rPr>
          <w:rFonts w:ascii="宋体"/>
          <w:b/>
          <w:bCs/>
          <w:sz w:val="24"/>
          <w:szCs w:val="24"/>
        </w:rPr>
      </w:pPr>
      <w:r>
        <w:rPr>
          <w:rFonts w:hint="eastAsia" w:ascii="宋体" w:hAnsi="宋体" w:cs="宋体"/>
          <w:b/>
          <w:bCs/>
          <w:sz w:val="24"/>
          <w:szCs w:val="24"/>
        </w:rPr>
        <w:t>要求：</w:t>
      </w:r>
    </w:p>
    <w:p>
      <w:pPr>
        <w:spacing w:line="360" w:lineRule="auto"/>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在填写时，如本表格不适合投标单位的实际情况，可根据本表格式自行划表填写。</w:t>
      </w:r>
    </w:p>
    <w:p>
      <w:pPr>
        <w:spacing w:line="360" w:lineRule="auto"/>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附人员证书复印件；</w:t>
      </w:r>
    </w:p>
    <w:p>
      <w:pPr>
        <w:spacing w:line="360" w:lineRule="auto"/>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出具上述人员在本单位服务的外部证明，如：投标截止日之前</w:t>
      </w:r>
      <w:r>
        <w:rPr>
          <w:rFonts w:hint="eastAsia" w:ascii="宋体" w:hAnsi="宋体" w:cs="宋体"/>
          <w:sz w:val="24"/>
          <w:szCs w:val="24"/>
          <w:lang w:eastAsia="zh-CN"/>
        </w:rPr>
        <w:t>近期</w:t>
      </w:r>
      <w:r>
        <w:rPr>
          <w:rFonts w:hint="eastAsia" w:ascii="宋体" w:hAnsi="宋体" w:cs="宋体"/>
          <w:sz w:val="24"/>
          <w:szCs w:val="24"/>
        </w:rPr>
        <w:t>的代缴个税税单、参加社会保险的《投保单》或《社会保险参保人员证明》等。</w:t>
      </w:r>
    </w:p>
    <w:p>
      <w:pPr>
        <w:spacing w:line="360" w:lineRule="auto"/>
        <w:rPr>
          <w:rFonts w:ascii="宋体"/>
          <w:sz w:val="24"/>
          <w:szCs w:val="24"/>
        </w:rPr>
      </w:pPr>
      <w:r>
        <w:rPr>
          <w:rFonts w:hint="eastAsia" w:ascii="宋体" w:hAnsi="宋体" w:cs="宋体"/>
          <w:sz w:val="24"/>
          <w:szCs w:val="24"/>
        </w:rPr>
        <w:t>投标人名称（盖章）：</w:t>
      </w:r>
    </w:p>
    <w:p>
      <w:pPr>
        <w:spacing w:line="360" w:lineRule="auto"/>
        <w:rPr>
          <w:rFonts w:ascii="宋体"/>
          <w:sz w:val="24"/>
          <w:szCs w:val="24"/>
        </w:rPr>
      </w:pPr>
      <w:r>
        <w:rPr>
          <w:rFonts w:hint="eastAsia" w:ascii="宋体" w:hAnsi="宋体" w:cs="宋体"/>
          <w:sz w:val="24"/>
          <w:szCs w:val="24"/>
        </w:rPr>
        <w:t>授权委托代理人签字或盖章：</w:t>
      </w:r>
    </w:p>
    <w:p>
      <w:pPr>
        <w:spacing w:line="360" w:lineRule="auto"/>
        <w:rPr>
          <w:rFonts w:ascii="宋体"/>
          <w:sz w:val="24"/>
          <w:szCs w:val="24"/>
        </w:rPr>
      </w:pPr>
      <w:r>
        <w:rPr>
          <w:rFonts w:hint="eastAsia" w:ascii="宋体" w:hAnsi="宋体" w:cs="宋体"/>
          <w:sz w:val="24"/>
          <w:szCs w:val="24"/>
        </w:rPr>
        <w:t>日期：</w:t>
      </w:r>
    </w:p>
    <w:p>
      <w:pPr>
        <w:spacing w:line="360" w:lineRule="auto"/>
        <w:rPr>
          <w:rFonts w:hint="eastAsia" w:ascii="宋体" w:hAnsi="宋体" w:cs="宋体"/>
          <w:b/>
          <w:bCs/>
          <w:sz w:val="28"/>
          <w:szCs w:val="28"/>
        </w:rPr>
      </w:pPr>
    </w:p>
    <w:p>
      <w:pPr>
        <w:spacing w:line="360" w:lineRule="auto"/>
        <w:rPr>
          <w:rFonts w:hint="eastAsia" w:ascii="宋体" w:hAnsi="宋体" w:cs="宋体"/>
          <w:b/>
          <w:bCs/>
          <w:sz w:val="28"/>
          <w:szCs w:val="28"/>
        </w:rPr>
      </w:pPr>
    </w:p>
    <w:p>
      <w:pPr>
        <w:spacing w:line="360" w:lineRule="auto"/>
        <w:rPr>
          <w:rFonts w:hint="eastAsia" w:ascii="宋体" w:eastAsia="宋体"/>
          <w:b/>
          <w:bCs/>
          <w:sz w:val="28"/>
          <w:szCs w:val="28"/>
          <w:lang w:eastAsia="zh-CN"/>
        </w:rPr>
      </w:pPr>
      <w:r>
        <w:rPr>
          <w:rFonts w:hint="eastAsia" w:ascii="宋体" w:hAnsi="宋体" w:cs="宋体"/>
          <w:b/>
          <w:bCs/>
          <w:sz w:val="28"/>
          <w:szCs w:val="28"/>
        </w:rPr>
        <w:t>附件</w:t>
      </w:r>
      <w:r>
        <w:rPr>
          <w:rFonts w:hint="eastAsia" w:ascii="宋体" w:hAnsi="宋体" w:cs="宋体"/>
          <w:b/>
          <w:bCs/>
          <w:sz w:val="28"/>
          <w:szCs w:val="28"/>
          <w:lang w:val="en-US" w:eastAsia="zh-CN"/>
        </w:rPr>
        <w:t>5</w:t>
      </w:r>
    </w:p>
    <w:p>
      <w:pPr>
        <w:spacing w:line="360" w:lineRule="auto"/>
        <w:jc w:val="center"/>
        <w:rPr>
          <w:rFonts w:ascii="宋体"/>
          <w:b/>
          <w:bCs/>
          <w:sz w:val="32"/>
          <w:szCs w:val="32"/>
          <w:lang w:val="zh-CN"/>
        </w:rPr>
      </w:pPr>
      <w:r>
        <w:rPr>
          <w:rFonts w:hint="eastAsia" w:ascii="宋体" w:hAnsi="宋体" w:cs="宋体"/>
          <w:b/>
          <w:bCs/>
          <w:sz w:val="32"/>
          <w:szCs w:val="32"/>
          <w:lang w:val="zh-CN"/>
        </w:rPr>
        <w:t>项目负责人资格情况表</w:t>
      </w:r>
    </w:p>
    <w:p>
      <w:pPr>
        <w:spacing w:line="360" w:lineRule="auto"/>
        <w:rPr>
          <w:rFonts w:hint="eastAsia" w:ascii="宋体" w:hAnsi="宋体" w:cs="宋体"/>
          <w:sz w:val="24"/>
          <w:szCs w:val="24"/>
          <w:lang w:val="en-US" w:eastAsia="zh-CN"/>
        </w:rPr>
      </w:pPr>
      <w:r>
        <w:rPr>
          <w:rFonts w:hint="eastAsia" w:ascii="宋体" w:hAnsi="宋体" w:cs="宋体"/>
          <w:sz w:val="24"/>
          <w:szCs w:val="24"/>
        </w:rPr>
        <w:t>采购项目：东魁杨梅集成创新-东魁杨梅博览馆布展多媒体采购项目</w:t>
      </w:r>
      <w:r>
        <w:rPr>
          <w:rFonts w:hint="eastAsia" w:ascii="宋体" w:hAnsi="宋体" w:cs="宋体"/>
          <w:sz w:val="24"/>
          <w:szCs w:val="24"/>
          <w:lang w:val="en-US" w:eastAsia="zh-CN"/>
        </w:rPr>
        <w:t xml:space="preserve">                           </w:t>
      </w:r>
    </w:p>
    <w:p>
      <w:pPr>
        <w:spacing w:line="360" w:lineRule="auto"/>
        <w:rPr>
          <w:rFonts w:ascii="宋体"/>
          <w:sz w:val="24"/>
          <w:szCs w:val="24"/>
        </w:rPr>
      </w:pPr>
      <w:r>
        <w:rPr>
          <w:rFonts w:hint="eastAsia" w:ascii="宋体" w:hAnsi="宋体" w:cs="宋体"/>
          <w:sz w:val="24"/>
          <w:szCs w:val="24"/>
          <w:lang w:eastAsia="zh-CN"/>
        </w:rPr>
        <w:t>项目</w:t>
      </w:r>
      <w:r>
        <w:rPr>
          <w:rFonts w:hint="eastAsia" w:ascii="宋体" w:hAnsi="宋体" w:cs="宋体"/>
          <w:sz w:val="24"/>
          <w:szCs w:val="24"/>
        </w:rPr>
        <w:t>编号：临[2024]8号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姓名</w:t>
            </w:r>
          </w:p>
        </w:tc>
        <w:tc>
          <w:tcPr>
            <w:tcW w:w="2967" w:type="dxa"/>
            <w:tcBorders>
              <w:top w:val="single" w:color="auto" w:sz="12" w:space="0"/>
            </w:tcBorders>
            <w:vAlign w:val="center"/>
          </w:tcPr>
          <w:p>
            <w:pPr>
              <w:jc w:val="center"/>
              <w:rPr>
                <w:rFonts w:ascii="宋体"/>
                <w:sz w:val="24"/>
                <w:szCs w:val="24"/>
                <w:lang w:val="zh-CN"/>
              </w:rPr>
            </w:pPr>
          </w:p>
        </w:tc>
        <w:tc>
          <w:tcPr>
            <w:tcW w:w="3685" w:type="dxa"/>
            <w:tcBorders>
              <w:top w:val="single" w:color="auto" w:sz="12" w:space="0"/>
              <w:right w:val="single" w:color="auto" w:sz="12" w:space="0"/>
            </w:tcBorders>
            <w:vAlign w:val="center"/>
          </w:tcPr>
          <w:p>
            <w:pPr>
              <w:jc w:val="center"/>
              <w:rPr>
                <w:rFonts w:ascii="宋体"/>
                <w:sz w:val="24"/>
                <w:szCs w:val="24"/>
                <w:lang w:val="zh-CN"/>
              </w:rPr>
            </w:pPr>
            <w:r>
              <w:rPr>
                <w:rFonts w:hint="eastAsia" w:ascii="宋体" w:hAnsi="宋体" w:cs="宋体"/>
                <w:b/>
                <w:bCs/>
                <w:sz w:val="24"/>
                <w:szCs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性别</w:t>
            </w:r>
          </w:p>
        </w:tc>
        <w:tc>
          <w:tcPr>
            <w:tcW w:w="2967" w:type="dxa"/>
            <w:vAlign w:val="center"/>
          </w:tcPr>
          <w:p>
            <w:pPr>
              <w:jc w:val="center"/>
              <w:rPr>
                <w:rFonts w:ascii="宋体"/>
                <w:sz w:val="24"/>
                <w:szCs w:val="24"/>
                <w:lang w:val="zh-CN"/>
              </w:rPr>
            </w:pPr>
          </w:p>
        </w:tc>
        <w:tc>
          <w:tcPr>
            <w:tcW w:w="3685" w:type="dxa"/>
            <w:vMerge w:val="restart"/>
            <w:tcBorders>
              <w:right w:val="single" w:color="auto" w:sz="12" w:space="0"/>
            </w:tcBorders>
            <w:vAlign w:val="center"/>
          </w:tcPr>
          <w:p>
            <w:pPr>
              <w:jc w:val="center"/>
              <w:rPr>
                <w:rFonts w:ascii="宋体"/>
                <w:sz w:val="24"/>
                <w:szCs w:val="24"/>
              </w:rPr>
            </w:pPr>
            <w:r>
              <w:rPr>
                <w:rFonts w:hint="eastAsia" w:ascii="宋体" w:hAnsi="宋体" w:cs="宋体"/>
                <w:sz w:val="24"/>
                <w:szCs w:val="24"/>
              </w:rPr>
              <w:t>注：业绩证明应提供旁证材料</w:t>
            </w:r>
          </w:p>
          <w:p>
            <w:pPr>
              <w:jc w:val="center"/>
              <w:rPr>
                <w:rFonts w:ascii="宋体"/>
                <w:sz w:val="24"/>
                <w:szCs w:val="24"/>
                <w:lang w:val="zh-CN"/>
              </w:rPr>
            </w:pPr>
            <w:r>
              <w:rPr>
                <w:rFonts w:hint="eastAsia" w:ascii="宋体" w:hAnsi="宋体" w:cs="宋体"/>
                <w:sz w:val="24"/>
                <w:szCs w:val="24"/>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年龄</w:t>
            </w:r>
          </w:p>
        </w:tc>
        <w:tc>
          <w:tcPr>
            <w:tcW w:w="2967" w:type="dxa"/>
            <w:vAlign w:val="center"/>
          </w:tcPr>
          <w:p>
            <w:pPr>
              <w:jc w:val="center"/>
              <w:rPr>
                <w:rFonts w:ascii="宋体"/>
                <w:sz w:val="24"/>
                <w:szCs w:val="24"/>
                <w:lang w:val="zh-CN"/>
              </w:rPr>
            </w:pPr>
          </w:p>
        </w:tc>
        <w:tc>
          <w:tcPr>
            <w:tcW w:w="3685" w:type="dxa"/>
            <w:vMerge w:val="continue"/>
            <w:tcBorders>
              <w:right w:val="single" w:color="auto" w:sz="12" w:space="0"/>
            </w:tcBorders>
            <w:vAlign w:val="center"/>
          </w:tcPr>
          <w:p>
            <w:pPr>
              <w:jc w:val="center"/>
              <w:rPr>
                <w:rFonts w:ascii="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职称</w:t>
            </w:r>
          </w:p>
        </w:tc>
        <w:tc>
          <w:tcPr>
            <w:tcW w:w="2967" w:type="dxa"/>
            <w:vAlign w:val="center"/>
          </w:tcPr>
          <w:p>
            <w:pPr>
              <w:jc w:val="center"/>
              <w:rPr>
                <w:rFonts w:ascii="宋体"/>
                <w:sz w:val="24"/>
                <w:szCs w:val="24"/>
                <w:lang w:val="zh-CN"/>
              </w:rPr>
            </w:pPr>
          </w:p>
        </w:tc>
        <w:tc>
          <w:tcPr>
            <w:tcW w:w="3685" w:type="dxa"/>
            <w:vMerge w:val="continue"/>
            <w:tcBorders>
              <w:right w:val="single" w:color="auto" w:sz="12" w:space="0"/>
            </w:tcBorders>
            <w:vAlign w:val="center"/>
          </w:tcPr>
          <w:p>
            <w:pPr>
              <w:jc w:val="center"/>
              <w:rPr>
                <w:rFonts w:ascii="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毕业时间</w:t>
            </w:r>
          </w:p>
        </w:tc>
        <w:tc>
          <w:tcPr>
            <w:tcW w:w="2967" w:type="dxa"/>
            <w:vAlign w:val="center"/>
          </w:tcPr>
          <w:p>
            <w:pPr>
              <w:jc w:val="center"/>
              <w:rPr>
                <w:rFonts w:ascii="宋体"/>
                <w:sz w:val="24"/>
                <w:szCs w:val="24"/>
                <w:lang w:val="zh-CN"/>
              </w:rPr>
            </w:pPr>
          </w:p>
        </w:tc>
        <w:tc>
          <w:tcPr>
            <w:tcW w:w="3685" w:type="dxa"/>
            <w:vMerge w:val="continue"/>
            <w:tcBorders>
              <w:right w:val="single" w:color="auto" w:sz="12" w:space="0"/>
            </w:tcBorders>
            <w:vAlign w:val="center"/>
          </w:tcPr>
          <w:p>
            <w:pPr>
              <w:jc w:val="center"/>
              <w:rPr>
                <w:rFonts w:ascii="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学校专业</w:t>
            </w:r>
          </w:p>
        </w:tc>
        <w:tc>
          <w:tcPr>
            <w:tcW w:w="2967" w:type="dxa"/>
            <w:vAlign w:val="center"/>
          </w:tcPr>
          <w:p>
            <w:pPr>
              <w:jc w:val="center"/>
              <w:rPr>
                <w:rFonts w:ascii="宋体"/>
                <w:sz w:val="24"/>
                <w:szCs w:val="24"/>
                <w:lang w:val="zh-CN"/>
              </w:rPr>
            </w:pPr>
          </w:p>
        </w:tc>
        <w:tc>
          <w:tcPr>
            <w:tcW w:w="3685" w:type="dxa"/>
            <w:vMerge w:val="continue"/>
            <w:tcBorders>
              <w:right w:val="single" w:color="auto" w:sz="12" w:space="0"/>
            </w:tcBorders>
            <w:vAlign w:val="center"/>
          </w:tcPr>
          <w:p>
            <w:pPr>
              <w:jc w:val="center"/>
              <w:rPr>
                <w:rFonts w:ascii="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联系电话</w:t>
            </w:r>
          </w:p>
        </w:tc>
        <w:tc>
          <w:tcPr>
            <w:tcW w:w="2967" w:type="dxa"/>
            <w:vAlign w:val="center"/>
          </w:tcPr>
          <w:p>
            <w:pPr>
              <w:jc w:val="center"/>
              <w:rPr>
                <w:rFonts w:ascii="宋体"/>
                <w:sz w:val="24"/>
                <w:szCs w:val="24"/>
                <w:lang w:val="zh-CN"/>
              </w:rPr>
            </w:pPr>
          </w:p>
        </w:tc>
        <w:tc>
          <w:tcPr>
            <w:tcW w:w="3685" w:type="dxa"/>
            <w:vMerge w:val="continue"/>
            <w:tcBorders>
              <w:right w:val="single" w:color="auto" w:sz="12" w:space="0"/>
            </w:tcBorders>
            <w:vAlign w:val="center"/>
          </w:tcPr>
          <w:p>
            <w:pPr>
              <w:jc w:val="center"/>
              <w:rPr>
                <w:rFonts w:ascii="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sz w:val="24"/>
                <w:szCs w:val="24"/>
                <w:lang w:val="zh-CN"/>
              </w:rPr>
            </w:pPr>
            <w:r>
              <w:rPr>
                <w:rFonts w:hint="eastAsia" w:ascii="宋体" w:hAnsi="宋体" w:cs="宋体"/>
                <w:b/>
                <w:bCs/>
                <w:sz w:val="24"/>
                <w:szCs w:val="24"/>
              </w:rPr>
              <w:t>最近一年工作状况</w:t>
            </w:r>
          </w:p>
        </w:tc>
        <w:tc>
          <w:tcPr>
            <w:tcW w:w="2967" w:type="dxa"/>
            <w:vAlign w:val="center"/>
          </w:tcPr>
          <w:p>
            <w:pPr>
              <w:jc w:val="center"/>
              <w:rPr>
                <w:rFonts w:ascii="宋体"/>
                <w:sz w:val="24"/>
                <w:szCs w:val="24"/>
                <w:lang w:val="zh-CN"/>
              </w:rPr>
            </w:pPr>
          </w:p>
        </w:tc>
        <w:tc>
          <w:tcPr>
            <w:tcW w:w="3685" w:type="dxa"/>
            <w:vMerge w:val="continue"/>
            <w:tcBorders>
              <w:right w:val="single" w:color="auto" w:sz="12" w:space="0"/>
            </w:tcBorders>
            <w:vAlign w:val="center"/>
          </w:tcPr>
          <w:p>
            <w:pPr>
              <w:jc w:val="center"/>
              <w:rPr>
                <w:rFonts w:ascii="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jc w:val="center"/>
              <w:rPr>
                <w:rFonts w:ascii="宋体"/>
                <w:b/>
                <w:bCs/>
                <w:sz w:val="24"/>
                <w:szCs w:val="24"/>
                <w:lang w:val="zh-CN"/>
              </w:rPr>
            </w:pPr>
            <w:r>
              <w:rPr>
                <w:rFonts w:hint="eastAsia" w:ascii="宋体" w:hAnsi="宋体" w:cs="宋体"/>
                <w:b/>
                <w:bCs/>
                <w:sz w:val="24"/>
                <w:szCs w:val="24"/>
                <w:lang w:val="zh-CN"/>
              </w:rPr>
              <w:t>拟在本项目中担任主要工作</w:t>
            </w:r>
          </w:p>
        </w:tc>
        <w:tc>
          <w:tcPr>
            <w:tcW w:w="6652" w:type="dxa"/>
            <w:gridSpan w:val="2"/>
            <w:tcBorders>
              <w:bottom w:val="single" w:color="auto" w:sz="12" w:space="0"/>
              <w:right w:val="single" w:color="auto" w:sz="12" w:space="0"/>
            </w:tcBorders>
            <w:vAlign w:val="center"/>
          </w:tcPr>
          <w:p>
            <w:pPr>
              <w:jc w:val="center"/>
              <w:rPr>
                <w:rFonts w:ascii="宋体"/>
                <w:sz w:val="24"/>
                <w:szCs w:val="24"/>
                <w:lang w:val="zh-CN"/>
              </w:rPr>
            </w:pPr>
          </w:p>
        </w:tc>
      </w:tr>
    </w:tbl>
    <w:p>
      <w:pPr>
        <w:spacing w:line="360" w:lineRule="auto"/>
        <w:rPr>
          <w:rFonts w:ascii="宋体"/>
          <w:sz w:val="24"/>
          <w:szCs w:val="24"/>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sz w:val="24"/>
          <w:szCs w:val="24"/>
        </w:rPr>
      </w:pPr>
      <w:r>
        <w:rPr>
          <w:rFonts w:hint="eastAsia" w:ascii="宋体" w:hAnsi="宋体" w:cs="宋体"/>
          <w:sz w:val="24"/>
          <w:szCs w:val="24"/>
        </w:rPr>
        <w:t>日期：</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jc w:val="left"/>
        <w:rPr>
          <w:rFonts w:hint="eastAsia" w:ascii="宋体" w:eastAsia="宋体"/>
          <w:b/>
          <w:bCs/>
          <w:sz w:val="28"/>
          <w:szCs w:val="28"/>
          <w:lang w:eastAsia="zh-CN"/>
        </w:rPr>
      </w:pPr>
      <w:r>
        <w:rPr>
          <w:rFonts w:hint="eastAsia" w:ascii="宋体" w:hAnsi="宋体" w:cs="宋体"/>
          <w:b/>
          <w:bCs/>
          <w:sz w:val="28"/>
          <w:szCs w:val="28"/>
          <w:lang w:val="zh-CN"/>
        </w:rPr>
        <w:t>附件</w:t>
      </w:r>
      <w:r>
        <w:rPr>
          <w:rFonts w:hint="eastAsia" w:ascii="宋体" w:hAnsi="宋体" w:cs="宋体"/>
          <w:b/>
          <w:bCs/>
          <w:sz w:val="28"/>
          <w:szCs w:val="28"/>
          <w:lang w:val="en-US" w:eastAsia="zh-CN"/>
        </w:rPr>
        <w:t>6</w:t>
      </w:r>
    </w:p>
    <w:p>
      <w:pPr>
        <w:spacing w:line="360" w:lineRule="auto"/>
        <w:jc w:val="center"/>
        <w:rPr>
          <w:rFonts w:ascii="宋体" w:hAnsi="宋体" w:cs="宋体"/>
          <w:b/>
          <w:bCs/>
          <w:sz w:val="32"/>
          <w:szCs w:val="32"/>
          <w:lang w:val="zh-CN"/>
        </w:rPr>
      </w:pPr>
      <w:r>
        <w:rPr>
          <w:rFonts w:hint="eastAsia" w:ascii="宋体" w:hAnsi="宋体" w:cs="宋体"/>
          <w:b/>
          <w:bCs/>
          <w:sz w:val="32"/>
          <w:szCs w:val="32"/>
          <w:lang w:val="zh-CN"/>
        </w:rPr>
        <w:t>产品清单</w:t>
      </w:r>
    </w:p>
    <w:p>
      <w:pPr>
        <w:spacing w:line="360" w:lineRule="auto"/>
        <w:rPr>
          <w:rFonts w:ascii="宋体"/>
          <w:sz w:val="24"/>
          <w:szCs w:val="24"/>
        </w:rPr>
      </w:pPr>
      <w:r>
        <w:rPr>
          <w:rFonts w:hint="eastAsia" w:ascii="宋体" w:hAnsi="宋体" w:cs="宋体"/>
          <w:sz w:val="24"/>
          <w:szCs w:val="24"/>
        </w:rPr>
        <w:t>采购项目：东魁杨梅集成创新-东魁杨梅博览馆布展多媒体采购项目</w:t>
      </w:r>
    </w:p>
    <w:p>
      <w:pPr>
        <w:spacing w:line="360" w:lineRule="auto"/>
        <w:rPr>
          <w:rFonts w:hint="eastAsia" w:ascii="宋体" w:hAnsi="宋体" w:cs="宋体"/>
          <w:sz w:val="24"/>
          <w:szCs w:val="24"/>
        </w:rPr>
      </w:pPr>
      <w:r>
        <w:rPr>
          <w:rFonts w:hint="eastAsia" w:ascii="宋体" w:hAnsi="宋体" w:cs="宋体"/>
          <w:sz w:val="24"/>
          <w:szCs w:val="24"/>
        </w:rPr>
        <w:t>项目编号：临[2024]8号</w:t>
      </w:r>
    </w:p>
    <w:p>
      <w:pPr>
        <w:pStyle w:val="2"/>
      </w:pPr>
    </w:p>
    <w:tbl>
      <w:tblPr>
        <w:tblStyle w:val="27"/>
        <w:tblW w:w="8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108"/>
        <w:gridCol w:w="1577"/>
        <w:gridCol w:w="1183"/>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b/>
                <w:bCs/>
                <w:sz w:val="24"/>
                <w:szCs w:val="24"/>
              </w:rPr>
            </w:pPr>
            <w:r>
              <w:rPr>
                <w:rFonts w:hint="eastAsia" w:ascii="宋体" w:hAnsi="宋体" w:cs="宋体"/>
                <w:b/>
                <w:bCs/>
                <w:sz w:val="24"/>
                <w:szCs w:val="24"/>
              </w:rPr>
              <w:t>序号</w:t>
            </w:r>
          </w:p>
        </w:tc>
        <w:tc>
          <w:tcPr>
            <w:tcW w:w="3108" w:type="dxa"/>
            <w:vAlign w:val="center"/>
          </w:tcPr>
          <w:p>
            <w:pPr>
              <w:jc w:val="center"/>
              <w:rPr>
                <w:rFonts w:ascii="宋体"/>
                <w:b/>
                <w:bCs/>
                <w:sz w:val="24"/>
                <w:szCs w:val="24"/>
              </w:rPr>
            </w:pPr>
            <w:r>
              <w:rPr>
                <w:rFonts w:hint="eastAsia" w:ascii="宋体" w:hAnsi="宋体" w:cs="宋体"/>
                <w:b/>
                <w:bCs/>
                <w:sz w:val="24"/>
                <w:szCs w:val="24"/>
              </w:rPr>
              <w:t>名称</w:t>
            </w:r>
          </w:p>
        </w:tc>
        <w:tc>
          <w:tcPr>
            <w:tcW w:w="1577" w:type="dxa"/>
            <w:vAlign w:val="center"/>
          </w:tcPr>
          <w:p>
            <w:pPr>
              <w:jc w:val="center"/>
              <w:rPr>
                <w:rFonts w:ascii="宋体"/>
                <w:b/>
                <w:bCs/>
                <w:sz w:val="24"/>
                <w:szCs w:val="24"/>
              </w:rPr>
            </w:pPr>
            <w:r>
              <w:rPr>
                <w:rFonts w:hint="eastAsia" w:ascii="宋体" w:hAnsi="宋体" w:cs="宋体"/>
                <w:b/>
                <w:bCs/>
                <w:sz w:val="24"/>
                <w:szCs w:val="24"/>
              </w:rPr>
              <w:t>品牌</w:t>
            </w:r>
          </w:p>
        </w:tc>
        <w:tc>
          <w:tcPr>
            <w:tcW w:w="1183" w:type="dxa"/>
            <w:vAlign w:val="center"/>
          </w:tcPr>
          <w:p>
            <w:pPr>
              <w:jc w:val="center"/>
              <w:rPr>
                <w:rFonts w:ascii="宋体"/>
                <w:b/>
                <w:bCs/>
                <w:sz w:val="24"/>
                <w:szCs w:val="24"/>
              </w:rPr>
            </w:pPr>
            <w:r>
              <w:rPr>
                <w:rFonts w:hint="eastAsia" w:ascii="宋体" w:hAnsi="宋体" w:cs="宋体"/>
                <w:b/>
                <w:bCs/>
                <w:sz w:val="24"/>
                <w:szCs w:val="24"/>
              </w:rPr>
              <w:t>数量</w:t>
            </w:r>
          </w:p>
        </w:tc>
        <w:tc>
          <w:tcPr>
            <w:tcW w:w="1369" w:type="dxa"/>
            <w:vAlign w:val="center"/>
          </w:tcPr>
          <w:p>
            <w:pPr>
              <w:jc w:val="center"/>
              <w:rPr>
                <w:rFonts w:ascii="宋体"/>
                <w:b/>
                <w:bCs/>
                <w:sz w:val="24"/>
                <w:szCs w:val="24"/>
              </w:rPr>
            </w:pPr>
            <w:r>
              <w:rPr>
                <w:rFonts w:hint="eastAsia" w:asci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64" w:type="dxa"/>
            <w:vAlign w:val="center"/>
          </w:tcPr>
          <w:p>
            <w:pPr>
              <w:jc w:val="center"/>
              <w:rPr>
                <w:rFonts w:ascii="宋体"/>
                <w:sz w:val="24"/>
                <w:szCs w:val="24"/>
              </w:rPr>
            </w:pPr>
          </w:p>
        </w:tc>
        <w:tc>
          <w:tcPr>
            <w:tcW w:w="3108" w:type="dxa"/>
            <w:vAlign w:val="center"/>
          </w:tcPr>
          <w:p>
            <w:pPr>
              <w:jc w:val="center"/>
              <w:rPr>
                <w:rFonts w:ascii="宋体"/>
                <w:sz w:val="24"/>
                <w:szCs w:val="24"/>
              </w:rPr>
            </w:pPr>
          </w:p>
        </w:tc>
        <w:tc>
          <w:tcPr>
            <w:tcW w:w="1577" w:type="dxa"/>
            <w:vAlign w:val="center"/>
          </w:tcPr>
          <w:p>
            <w:pPr>
              <w:jc w:val="center"/>
              <w:rPr>
                <w:rFonts w:ascii="宋体"/>
                <w:sz w:val="24"/>
                <w:szCs w:val="24"/>
              </w:rPr>
            </w:pPr>
          </w:p>
        </w:tc>
        <w:tc>
          <w:tcPr>
            <w:tcW w:w="1183" w:type="dxa"/>
            <w:vAlign w:val="center"/>
          </w:tcPr>
          <w:p>
            <w:pPr>
              <w:jc w:val="center"/>
              <w:rPr>
                <w:rFonts w:ascii="宋体"/>
                <w:sz w:val="24"/>
                <w:szCs w:val="24"/>
              </w:rPr>
            </w:pPr>
          </w:p>
        </w:tc>
        <w:tc>
          <w:tcPr>
            <w:tcW w:w="1369" w:type="dxa"/>
            <w:vAlign w:val="center"/>
          </w:tcPr>
          <w:p>
            <w:pPr>
              <w:jc w:val="center"/>
              <w:rPr>
                <w:rFonts w:ascii="宋体"/>
                <w:sz w:val="24"/>
                <w:szCs w:val="24"/>
              </w:rPr>
            </w:pPr>
          </w:p>
        </w:tc>
      </w:tr>
    </w:tbl>
    <w:p>
      <w:pPr>
        <w:spacing w:line="360" w:lineRule="auto"/>
        <w:rPr>
          <w:rFonts w:ascii="宋体"/>
          <w:sz w:val="24"/>
          <w:szCs w:val="24"/>
        </w:rPr>
      </w:pPr>
    </w:p>
    <w:p>
      <w:pPr>
        <w:spacing w:line="360" w:lineRule="auto"/>
        <w:rPr>
          <w:rFonts w:ascii="宋体"/>
          <w:b/>
          <w:bCs/>
          <w:sz w:val="24"/>
        </w:rPr>
      </w:pPr>
      <w:r>
        <w:rPr>
          <w:rFonts w:hint="eastAsia" w:ascii="宋体" w:hAnsi="宋体"/>
          <w:b/>
          <w:bCs/>
          <w:sz w:val="24"/>
        </w:rPr>
        <w:t>要求：</w:t>
      </w:r>
    </w:p>
    <w:p>
      <w:pPr>
        <w:spacing w:line="360" w:lineRule="auto"/>
        <w:ind w:firstLine="480" w:firstLineChars="200"/>
        <w:rPr>
          <w:rFonts w:ascii="宋体"/>
          <w:sz w:val="24"/>
        </w:rPr>
      </w:pPr>
      <w:r>
        <w:rPr>
          <w:rFonts w:ascii="宋体" w:hAnsi="宋体"/>
          <w:sz w:val="24"/>
        </w:rPr>
        <w:t>1.</w:t>
      </w:r>
      <w:r>
        <w:rPr>
          <w:rFonts w:hint="eastAsia" w:ascii="宋体" w:hAnsi="宋体"/>
          <w:sz w:val="24"/>
        </w:rPr>
        <w:t>本表中的名称、数量应与报价明细表中相对应的报价名称、数量一致。</w:t>
      </w:r>
    </w:p>
    <w:p>
      <w:pPr>
        <w:spacing w:line="360" w:lineRule="auto"/>
        <w:rPr>
          <w:rFonts w:ascii="宋体"/>
          <w:sz w:val="24"/>
          <w:szCs w:val="24"/>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sz w:val="24"/>
          <w:szCs w:val="24"/>
        </w:rPr>
      </w:pPr>
      <w:r>
        <w:rPr>
          <w:rFonts w:hint="eastAsia" w:ascii="宋体" w:hAnsi="宋体" w:cs="宋体"/>
          <w:sz w:val="24"/>
          <w:szCs w:val="24"/>
        </w:rPr>
        <w:t>日期：</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pStyle w:val="12"/>
        <w:rPr>
          <w:rFonts w:ascii="宋体"/>
        </w:rPr>
      </w:pPr>
    </w:p>
    <w:p>
      <w:pPr>
        <w:pStyle w:val="12"/>
        <w:rPr>
          <w:rFonts w:ascii="宋体"/>
        </w:rPr>
      </w:pPr>
    </w:p>
    <w:p>
      <w:pPr>
        <w:spacing w:line="360" w:lineRule="auto"/>
        <w:rPr>
          <w:rFonts w:ascii="宋体"/>
          <w:sz w:val="24"/>
          <w:szCs w:val="24"/>
        </w:rPr>
      </w:pPr>
    </w:p>
    <w:p>
      <w:pPr>
        <w:spacing w:line="360" w:lineRule="auto"/>
        <w:rPr>
          <w:rFonts w:ascii="宋体"/>
          <w:sz w:val="24"/>
          <w:szCs w:val="24"/>
        </w:rPr>
      </w:pPr>
    </w:p>
    <w:p>
      <w:pPr>
        <w:spacing w:line="360" w:lineRule="auto"/>
        <w:jc w:val="left"/>
        <w:rPr>
          <w:rFonts w:hint="eastAsia" w:ascii="宋体" w:eastAsia="宋体" w:cs="宋体"/>
          <w:b/>
          <w:bCs/>
          <w:sz w:val="28"/>
          <w:szCs w:val="36"/>
          <w:lang w:eastAsia="zh-CN"/>
        </w:rPr>
      </w:pPr>
      <w:r>
        <w:rPr>
          <w:rFonts w:hint="eastAsia" w:ascii="宋体" w:hAnsi="宋体" w:cs="宋体"/>
          <w:b/>
          <w:bCs/>
          <w:sz w:val="28"/>
          <w:szCs w:val="36"/>
          <w:lang w:val="zh-CN"/>
        </w:rPr>
        <w:t>附件</w:t>
      </w:r>
      <w:r>
        <w:rPr>
          <w:rFonts w:hint="eastAsia" w:ascii="宋体" w:hAnsi="宋体" w:cs="宋体"/>
          <w:b/>
          <w:bCs/>
          <w:sz w:val="28"/>
          <w:szCs w:val="36"/>
          <w:lang w:val="en-US" w:eastAsia="zh-CN"/>
        </w:rPr>
        <w:t>7</w:t>
      </w:r>
    </w:p>
    <w:p>
      <w:pPr>
        <w:spacing w:line="360" w:lineRule="auto"/>
        <w:jc w:val="center"/>
        <w:rPr>
          <w:rFonts w:ascii="宋体"/>
          <w:b/>
          <w:bCs/>
          <w:sz w:val="32"/>
          <w:szCs w:val="32"/>
        </w:rPr>
      </w:pPr>
      <w:r>
        <w:rPr>
          <w:rFonts w:hint="eastAsia" w:ascii="宋体" w:hAnsi="宋体"/>
          <w:b/>
          <w:bCs/>
          <w:kern w:val="0"/>
          <w:sz w:val="32"/>
          <w:szCs w:val="32"/>
        </w:rPr>
        <w:t>技术需求响应表</w:t>
      </w:r>
    </w:p>
    <w:p>
      <w:pPr>
        <w:spacing w:line="360" w:lineRule="auto"/>
        <w:rPr>
          <w:rFonts w:ascii="宋体"/>
          <w:sz w:val="24"/>
        </w:rPr>
      </w:pPr>
    </w:p>
    <w:tbl>
      <w:tblPr>
        <w:tblStyle w:val="27"/>
        <w:tblW w:w="82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560"/>
        <w:gridCol w:w="1401"/>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b/>
                <w:sz w:val="24"/>
              </w:rPr>
            </w:pPr>
            <w:r>
              <w:rPr>
                <w:rFonts w:hint="eastAsia" w:ascii="宋体" w:hAnsi="宋体"/>
                <w:b/>
                <w:sz w:val="24"/>
              </w:rPr>
              <w:t>名称</w:t>
            </w:r>
          </w:p>
        </w:tc>
        <w:tc>
          <w:tcPr>
            <w:tcW w:w="1560" w:type="dxa"/>
            <w:vAlign w:val="center"/>
          </w:tcPr>
          <w:p>
            <w:pPr>
              <w:spacing w:line="360" w:lineRule="auto"/>
              <w:ind w:left="152"/>
              <w:rPr>
                <w:rFonts w:ascii="宋体"/>
                <w:b/>
                <w:sz w:val="24"/>
              </w:rPr>
            </w:pPr>
            <w:r>
              <w:rPr>
                <w:rFonts w:hint="eastAsia" w:ascii="宋体" w:hAnsi="宋体"/>
                <w:b/>
                <w:sz w:val="24"/>
              </w:rPr>
              <w:t>招标参数</w:t>
            </w:r>
          </w:p>
        </w:tc>
        <w:tc>
          <w:tcPr>
            <w:tcW w:w="1401" w:type="dxa"/>
            <w:vAlign w:val="center"/>
          </w:tcPr>
          <w:p>
            <w:pPr>
              <w:spacing w:line="360" w:lineRule="auto"/>
              <w:rPr>
                <w:rFonts w:ascii="宋体"/>
                <w:b/>
                <w:sz w:val="24"/>
              </w:rPr>
            </w:pPr>
            <w:r>
              <w:rPr>
                <w:rFonts w:hint="eastAsia" w:ascii="宋体" w:hAnsi="宋体"/>
                <w:b/>
                <w:sz w:val="24"/>
              </w:rPr>
              <w:t>投标参数</w:t>
            </w:r>
          </w:p>
        </w:tc>
        <w:tc>
          <w:tcPr>
            <w:tcW w:w="1365" w:type="dxa"/>
            <w:vAlign w:val="center"/>
          </w:tcPr>
          <w:p>
            <w:pPr>
              <w:spacing w:line="360" w:lineRule="auto"/>
              <w:rPr>
                <w:rFonts w:ascii="宋体"/>
                <w:b/>
                <w:sz w:val="24"/>
              </w:rPr>
            </w:pPr>
            <w:r>
              <w:rPr>
                <w:rFonts w:hint="eastAsia" w:ascii="宋体" w:hAnsi="宋体"/>
                <w:b/>
                <w:sz w:val="24"/>
              </w:rPr>
              <w:t>偏离说明</w:t>
            </w:r>
          </w:p>
        </w:tc>
        <w:tc>
          <w:tcPr>
            <w:tcW w:w="1365"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sz w:val="24"/>
              </w:rPr>
            </w:pPr>
          </w:p>
        </w:tc>
        <w:tc>
          <w:tcPr>
            <w:tcW w:w="1785" w:type="dxa"/>
            <w:vAlign w:val="center"/>
          </w:tcPr>
          <w:p>
            <w:pPr>
              <w:spacing w:line="360" w:lineRule="auto"/>
              <w:rPr>
                <w:rFonts w:ascii="宋体"/>
                <w:sz w:val="24"/>
              </w:rPr>
            </w:pPr>
          </w:p>
        </w:tc>
        <w:tc>
          <w:tcPr>
            <w:tcW w:w="1560" w:type="dxa"/>
            <w:vAlign w:val="center"/>
          </w:tcPr>
          <w:p>
            <w:pPr>
              <w:spacing w:line="360" w:lineRule="auto"/>
              <w:rPr>
                <w:rFonts w:ascii="宋体"/>
                <w:sz w:val="24"/>
              </w:rPr>
            </w:pPr>
          </w:p>
        </w:tc>
        <w:tc>
          <w:tcPr>
            <w:tcW w:w="1401"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c>
          <w:tcPr>
            <w:tcW w:w="1365" w:type="dxa"/>
            <w:vAlign w:val="center"/>
          </w:tcPr>
          <w:p>
            <w:pPr>
              <w:spacing w:line="360" w:lineRule="auto"/>
              <w:rPr>
                <w:rFonts w:ascii="宋体"/>
                <w:sz w:val="24"/>
              </w:rPr>
            </w:pPr>
          </w:p>
        </w:tc>
      </w:tr>
    </w:tbl>
    <w:p>
      <w:pPr>
        <w:spacing w:line="360" w:lineRule="auto"/>
        <w:rPr>
          <w:rFonts w:ascii="宋体"/>
          <w:b/>
          <w:bCs/>
          <w:sz w:val="24"/>
        </w:rPr>
      </w:pPr>
      <w:r>
        <w:rPr>
          <w:rFonts w:hint="eastAsia" w:ascii="宋体" w:hAnsi="宋体"/>
          <w:b/>
          <w:bCs/>
          <w:sz w:val="24"/>
        </w:rPr>
        <w:t>要求：</w:t>
      </w:r>
    </w:p>
    <w:p>
      <w:pPr>
        <w:spacing w:line="360" w:lineRule="auto"/>
        <w:ind w:firstLine="480" w:firstLineChars="200"/>
        <w:rPr>
          <w:rFonts w:ascii="宋体"/>
          <w:sz w:val="24"/>
        </w:rPr>
      </w:pPr>
      <w:r>
        <w:rPr>
          <w:rFonts w:ascii="宋体" w:hAnsi="宋体"/>
          <w:sz w:val="24"/>
        </w:rPr>
        <w:t>1.</w:t>
      </w:r>
      <w:r>
        <w:rPr>
          <w:rFonts w:hint="eastAsia" w:ascii="宋体" w:hAnsi="宋体"/>
          <w:sz w:val="24"/>
        </w:rPr>
        <w:t>本表参照本招标文件第四章“公开招标需求”内容填制，投标人应根据投标货物的性能指标、服务指标，对照招标文件要求在“偏离情况”栏注明“正偏离”、“负偏离”或“无偏离”。</w:t>
      </w:r>
    </w:p>
    <w:p>
      <w:pPr>
        <w:spacing w:line="360" w:lineRule="auto"/>
        <w:ind w:firstLine="480" w:firstLineChars="200"/>
        <w:rPr>
          <w:rFonts w:ascii="宋体"/>
          <w:sz w:val="24"/>
        </w:rPr>
      </w:pPr>
      <w:r>
        <w:rPr>
          <w:rFonts w:hint="eastAsia" w:ascii="宋体" w:hAnsi="宋体"/>
          <w:sz w:val="24"/>
        </w:rPr>
        <w:t>2</w:t>
      </w:r>
      <w:r>
        <w:rPr>
          <w:rFonts w:ascii="宋体" w:hAnsi="宋体"/>
          <w:sz w:val="24"/>
        </w:rPr>
        <w:t>.</w:t>
      </w:r>
      <w:r>
        <w:rPr>
          <w:rFonts w:hint="eastAsia" w:ascii="宋体" w:hAnsi="宋体"/>
          <w:sz w:val="24"/>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sz w:val="24"/>
        </w:rPr>
      </w:pPr>
    </w:p>
    <w:p>
      <w:pPr>
        <w:spacing w:line="480" w:lineRule="auto"/>
        <w:rPr>
          <w:rFonts w:ascii="宋体"/>
          <w:sz w:val="24"/>
        </w:rPr>
      </w:pPr>
      <w:r>
        <w:rPr>
          <w:rFonts w:hint="eastAsia" w:ascii="宋体" w:hAnsi="宋体"/>
          <w:sz w:val="24"/>
        </w:rPr>
        <w:t>投标人名称（盖章）：</w:t>
      </w:r>
    </w:p>
    <w:p>
      <w:pPr>
        <w:spacing w:line="480" w:lineRule="auto"/>
        <w:rPr>
          <w:rFonts w:ascii="宋体"/>
          <w:sz w:val="24"/>
        </w:rPr>
      </w:pPr>
      <w:r>
        <w:rPr>
          <w:rFonts w:hint="eastAsia" w:ascii="宋体" w:hAnsi="宋体"/>
          <w:sz w:val="24"/>
        </w:rPr>
        <w:t>授权委托代理人签字或盖章：</w:t>
      </w:r>
    </w:p>
    <w:p>
      <w:pPr>
        <w:spacing w:line="480" w:lineRule="auto"/>
        <w:rPr>
          <w:rFonts w:ascii="宋体"/>
          <w:sz w:val="24"/>
        </w:rPr>
      </w:pPr>
      <w:r>
        <w:rPr>
          <w:rFonts w:hint="eastAsia" w:ascii="宋体" w:hAnsi="宋体"/>
          <w:sz w:val="24"/>
        </w:rPr>
        <w:t>日期：</w:t>
      </w:r>
    </w:p>
    <w:p>
      <w:pPr>
        <w:spacing w:line="360" w:lineRule="auto"/>
        <w:rPr>
          <w:rFonts w:ascii="宋体"/>
          <w:sz w:val="24"/>
        </w:rPr>
      </w:pPr>
    </w:p>
    <w:p>
      <w:pPr>
        <w:pStyle w:val="10"/>
      </w:pPr>
    </w:p>
    <w:p>
      <w:pPr>
        <w:spacing w:line="360" w:lineRule="auto"/>
        <w:rPr>
          <w:rFonts w:ascii="宋体"/>
          <w:sz w:val="24"/>
        </w:rPr>
      </w:pPr>
    </w:p>
    <w:p>
      <w:pPr>
        <w:spacing w:line="360" w:lineRule="auto"/>
        <w:jc w:val="left"/>
        <w:rPr>
          <w:rFonts w:hint="eastAsia" w:ascii="宋体" w:eastAsia="宋体"/>
          <w:b/>
          <w:bCs/>
          <w:sz w:val="28"/>
          <w:szCs w:val="28"/>
          <w:lang w:eastAsia="zh-CN"/>
        </w:rPr>
      </w:pPr>
      <w:r>
        <w:rPr>
          <w:rFonts w:hint="eastAsia" w:ascii="宋体" w:hAnsi="宋体" w:cs="宋体"/>
          <w:b/>
          <w:bCs/>
          <w:sz w:val="28"/>
          <w:szCs w:val="28"/>
          <w:lang w:val="zh-CN"/>
        </w:rPr>
        <w:t>附件</w:t>
      </w:r>
      <w:r>
        <w:rPr>
          <w:rFonts w:hint="eastAsia" w:ascii="宋体" w:hAnsi="宋体" w:cs="宋体"/>
          <w:b/>
          <w:bCs/>
          <w:sz w:val="28"/>
          <w:szCs w:val="28"/>
          <w:lang w:val="en-US" w:eastAsia="zh-CN"/>
        </w:rPr>
        <w:t>8</w:t>
      </w:r>
    </w:p>
    <w:p>
      <w:pPr>
        <w:spacing w:line="360" w:lineRule="auto"/>
        <w:jc w:val="center"/>
        <w:rPr>
          <w:rFonts w:ascii="宋体"/>
          <w:b/>
          <w:bCs/>
          <w:sz w:val="32"/>
          <w:szCs w:val="32"/>
          <w:lang w:val="zh-CN"/>
        </w:rPr>
      </w:pPr>
      <w:r>
        <w:rPr>
          <w:rFonts w:hint="eastAsia" w:ascii="宋体" w:hAnsi="宋体" w:cs="宋体"/>
          <w:b/>
          <w:bCs/>
          <w:sz w:val="32"/>
          <w:szCs w:val="32"/>
          <w:lang w:val="zh-CN"/>
        </w:rPr>
        <w:t>证书一览表</w:t>
      </w:r>
    </w:p>
    <w:p>
      <w:pPr>
        <w:spacing w:line="360" w:lineRule="auto"/>
        <w:rPr>
          <w:rFonts w:ascii="宋体"/>
          <w:sz w:val="24"/>
          <w:szCs w:val="24"/>
        </w:rPr>
      </w:pPr>
    </w:p>
    <w:tbl>
      <w:tblPr>
        <w:tblStyle w:val="27"/>
        <w:tblW w:w="843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top w:val="double" w:color="auto" w:sz="4" w:space="0"/>
              <w:left w:val="single" w:color="auto" w:sz="4" w:space="0"/>
            </w:tcBorders>
            <w:vAlign w:val="center"/>
          </w:tcPr>
          <w:p>
            <w:pPr>
              <w:spacing w:line="360" w:lineRule="auto"/>
              <w:jc w:val="center"/>
              <w:rPr>
                <w:rFonts w:ascii="宋体"/>
                <w:b/>
                <w:bCs/>
                <w:sz w:val="24"/>
                <w:szCs w:val="24"/>
              </w:rPr>
            </w:pPr>
            <w:r>
              <w:rPr>
                <w:rFonts w:hint="eastAsia" w:ascii="宋体" w:hAnsi="宋体" w:cs="宋体"/>
                <w:b/>
                <w:bCs/>
                <w:sz w:val="24"/>
                <w:szCs w:val="24"/>
              </w:rPr>
              <w:t>证书名称</w:t>
            </w:r>
          </w:p>
        </w:tc>
        <w:tc>
          <w:tcPr>
            <w:tcW w:w="2258" w:type="dxa"/>
            <w:tcBorders>
              <w:top w:val="double" w:color="auto" w:sz="4" w:space="0"/>
            </w:tcBorders>
            <w:vAlign w:val="center"/>
          </w:tcPr>
          <w:p>
            <w:pPr>
              <w:spacing w:line="360" w:lineRule="auto"/>
              <w:jc w:val="center"/>
              <w:rPr>
                <w:rFonts w:ascii="宋体"/>
                <w:b/>
                <w:bCs/>
                <w:sz w:val="24"/>
                <w:szCs w:val="24"/>
              </w:rPr>
            </w:pPr>
            <w:r>
              <w:rPr>
                <w:rFonts w:hint="eastAsia" w:ascii="宋体" w:hAnsi="宋体" w:cs="宋体"/>
                <w:b/>
                <w:bCs/>
                <w:sz w:val="24"/>
                <w:szCs w:val="24"/>
              </w:rPr>
              <w:t>发证单位</w:t>
            </w:r>
          </w:p>
        </w:tc>
        <w:tc>
          <w:tcPr>
            <w:tcW w:w="2260" w:type="dxa"/>
            <w:tcBorders>
              <w:top w:val="double" w:color="auto" w:sz="4" w:space="0"/>
            </w:tcBorders>
            <w:vAlign w:val="center"/>
          </w:tcPr>
          <w:p>
            <w:pPr>
              <w:spacing w:line="360" w:lineRule="auto"/>
              <w:jc w:val="center"/>
              <w:rPr>
                <w:rFonts w:ascii="宋体"/>
                <w:b/>
                <w:bCs/>
                <w:sz w:val="24"/>
                <w:szCs w:val="24"/>
              </w:rPr>
            </w:pPr>
            <w:r>
              <w:rPr>
                <w:rFonts w:hint="eastAsia" w:ascii="宋体" w:hAnsi="宋体" w:cs="宋体"/>
                <w:b/>
                <w:bCs/>
                <w:sz w:val="24"/>
                <w:szCs w:val="24"/>
              </w:rPr>
              <w:t>证书等级</w:t>
            </w:r>
          </w:p>
        </w:tc>
        <w:tc>
          <w:tcPr>
            <w:tcW w:w="2047" w:type="dxa"/>
            <w:tcBorders>
              <w:top w:val="double" w:color="auto" w:sz="4" w:space="0"/>
              <w:right w:val="single" w:color="auto" w:sz="4" w:space="0"/>
            </w:tcBorders>
            <w:vAlign w:val="center"/>
          </w:tcPr>
          <w:p>
            <w:pPr>
              <w:spacing w:line="360" w:lineRule="auto"/>
              <w:jc w:val="center"/>
              <w:rPr>
                <w:rFonts w:ascii="宋体"/>
                <w:b/>
                <w:bCs/>
                <w:sz w:val="24"/>
                <w:szCs w:val="24"/>
              </w:rPr>
            </w:pPr>
            <w:r>
              <w:rPr>
                <w:rFonts w:hint="eastAsia" w:ascii="宋体" w:hAnsi="宋体" w:cs="宋体"/>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tcBorders>
            <w:vAlign w:val="center"/>
          </w:tcPr>
          <w:p>
            <w:pPr>
              <w:spacing w:line="360" w:lineRule="auto"/>
              <w:jc w:val="center"/>
              <w:rPr>
                <w:rFonts w:ascii="宋体"/>
                <w:sz w:val="24"/>
                <w:szCs w:val="24"/>
              </w:rPr>
            </w:pPr>
          </w:p>
        </w:tc>
        <w:tc>
          <w:tcPr>
            <w:tcW w:w="2258" w:type="dxa"/>
            <w:vAlign w:val="center"/>
          </w:tcPr>
          <w:p>
            <w:pPr>
              <w:spacing w:line="360" w:lineRule="auto"/>
              <w:jc w:val="center"/>
              <w:rPr>
                <w:rFonts w:ascii="宋体"/>
                <w:sz w:val="24"/>
                <w:szCs w:val="24"/>
              </w:rPr>
            </w:pPr>
          </w:p>
        </w:tc>
        <w:tc>
          <w:tcPr>
            <w:tcW w:w="2260" w:type="dxa"/>
            <w:vAlign w:val="center"/>
          </w:tcPr>
          <w:p>
            <w:pPr>
              <w:spacing w:line="360" w:lineRule="auto"/>
              <w:jc w:val="center"/>
              <w:rPr>
                <w:rFonts w:ascii="宋体"/>
                <w:sz w:val="24"/>
                <w:szCs w:val="24"/>
              </w:rPr>
            </w:pPr>
          </w:p>
        </w:tc>
        <w:tc>
          <w:tcPr>
            <w:tcW w:w="2047" w:type="dxa"/>
            <w:tcBorders>
              <w:right w:val="single" w:color="auto" w:sz="4" w:space="0"/>
            </w:tcBorders>
            <w:vAlign w:val="center"/>
          </w:tcPr>
          <w:p>
            <w:pPr>
              <w:spacing w:line="360" w:lineRule="auto"/>
              <w:jc w:val="center"/>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tcBorders>
            <w:vAlign w:val="center"/>
          </w:tcPr>
          <w:p>
            <w:pPr>
              <w:spacing w:line="360" w:lineRule="auto"/>
              <w:jc w:val="center"/>
              <w:rPr>
                <w:rFonts w:ascii="宋体"/>
                <w:sz w:val="24"/>
                <w:szCs w:val="24"/>
              </w:rPr>
            </w:pPr>
          </w:p>
        </w:tc>
        <w:tc>
          <w:tcPr>
            <w:tcW w:w="2258" w:type="dxa"/>
            <w:vAlign w:val="center"/>
          </w:tcPr>
          <w:p>
            <w:pPr>
              <w:spacing w:line="360" w:lineRule="auto"/>
              <w:jc w:val="center"/>
              <w:rPr>
                <w:rFonts w:ascii="宋体"/>
                <w:sz w:val="24"/>
                <w:szCs w:val="24"/>
              </w:rPr>
            </w:pPr>
          </w:p>
        </w:tc>
        <w:tc>
          <w:tcPr>
            <w:tcW w:w="2260" w:type="dxa"/>
            <w:vAlign w:val="center"/>
          </w:tcPr>
          <w:p>
            <w:pPr>
              <w:spacing w:line="360" w:lineRule="auto"/>
              <w:jc w:val="center"/>
              <w:rPr>
                <w:rFonts w:ascii="宋体"/>
                <w:sz w:val="24"/>
                <w:szCs w:val="24"/>
              </w:rPr>
            </w:pPr>
          </w:p>
        </w:tc>
        <w:tc>
          <w:tcPr>
            <w:tcW w:w="2047" w:type="dxa"/>
            <w:tcBorders>
              <w:right w:val="single" w:color="auto" w:sz="4" w:space="0"/>
            </w:tcBorders>
            <w:vAlign w:val="center"/>
          </w:tcPr>
          <w:p>
            <w:pPr>
              <w:spacing w:line="360" w:lineRule="auto"/>
              <w:jc w:val="center"/>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tcBorders>
            <w:vAlign w:val="center"/>
          </w:tcPr>
          <w:p>
            <w:pPr>
              <w:spacing w:line="360" w:lineRule="auto"/>
              <w:jc w:val="center"/>
              <w:rPr>
                <w:rFonts w:ascii="宋体"/>
                <w:sz w:val="24"/>
                <w:szCs w:val="24"/>
              </w:rPr>
            </w:pPr>
          </w:p>
        </w:tc>
        <w:tc>
          <w:tcPr>
            <w:tcW w:w="2258" w:type="dxa"/>
            <w:vAlign w:val="center"/>
          </w:tcPr>
          <w:p>
            <w:pPr>
              <w:spacing w:line="360" w:lineRule="auto"/>
              <w:jc w:val="center"/>
              <w:rPr>
                <w:rFonts w:ascii="宋体"/>
                <w:sz w:val="24"/>
                <w:szCs w:val="24"/>
              </w:rPr>
            </w:pPr>
          </w:p>
        </w:tc>
        <w:tc>
          <w:tcPr>
            <w:tcW w:w="2260" w:type="dxa"/>
            <w:vAlign w:val="center"/>
          </w:tcPr>
          <w:p>
            <w:pPr>
              <w:spacing w:line="360" w:lineRule="auto"/>
              <w:jc w:val="center"/>
              <w:rPr>
                <w:rFonts w:ascii="宋体"/>
                <w:sz w:val="24"/>
                <w:szCs w:val="24"/>
              </w:rPr>
            </w:pPr>
          </w:p>
        </w:tc>
        <w:tc>
          <w:tcPr>
            <w:tcW w:w="2047" w:type="dxa"/>
            <w:tcBorders>
              <w:right w:val="single" w:color="auto" w:sz="4" w:space="0"/>
            </w:tcBorders>
            <w:vAlign w:val="center"/>
          </w:tcPr>
          <w:p>
            <w:pPr>
              <w:spacing w:line="360" w:lineRule="auto"/>
              <w:jc w:val="center"/>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tcBorders>
            <w:vAlign w:val="center"/>
          </w:tcPr>
          <w:p>
            <w:pPr>
              <w:spacing w:line="360" w:lineRule="auto"/>
              <w:jc w:val="center"/>
              <w:rPr>
                <w:rFonts w:ascii="宋体"/>
                <w:sz w:val="24"/>
                <w:szCs w:val="24"/>
              </w:rPr>
            </w:pPr>
          </w:p>
        </w:tc>
        <w:tc>
          <w:tcPr>
            <w:tcW w:w="2258" w:type="dxa"/>
            <w:vAlign w:val="center"/>
          </w:tcPr>
          <w:p>
            <w:pPr>
              <w:spacing w:line="360" w:lineRule="auto"/>
              <w:jc w:val="center"/>
              <w:rPr>
                <w:rFonts w:ascii="宋体"/>
                <w:sz w:val="24"/>
                <w:szCs w:val="24"/>
              </w:rPr>
            </w:pPr>
          </w:p>
        </w:tc>
        <w:tc>
          <w:tcPr>
            <w:tcW w:w="2260" w:type="dxa"/>
            <w:vAlign w:val="center"/>
          </w:tcPr>
          <w:p>
            <w:pPr>
              <w:spacing w:line="360" w:lineRule="auto"/>
              <w:jc w:val="center"/>
              <w:rPr>
                <w:rFonts w:ascii="宋体"/>
                <w:sz w:val="24"/>
                <w:szCs w:val="24"/>
              </w:rPr>
            </w:pPr>
          </w:p>
        </w:tc>
        <w:tc>
          <w:tcPr>
            <w:tcW w:w="2047" w:type="dxa"/>
            <w:tcBorders>
              <w:right w:val="single" w:color="auto" w:sz="4" w:space="0"/>
            </w:tcBorders>
            <w:vAlign w:val="center"/>
          </w:tcPr>
          <w:p>
            <w:pPr>
              <w:spacing w:line="360" w:lineRule="auto"/>
              <w:jc w:val="center"/>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tcBorders>
            <w:vAlign w:val="center"/>
          </w:tcPr>
          <w:p>
            <w:pPr>
              <w:spacing w:line="360" w:lineRule="auto"/>
              <w:jc w:val="center"/>
              <w:rPr>
                <w:rFonts w:ascii="宋体"/>
                <w:sz w:val="24"/>
                <w:szCs w:val="24"/>
              </w:rPr>
            </w:pPr>
          </w:p>
        </w:tc>
        <w:tc>
          <w:tcPr>
            <w:tcW w:w="2258" w:type="dxa"/>
            <w:vAlign w:val="center"/>
          </w:tcPr>
          <w:p>
            <w:pPr>
              <w:spacing w:line="360" w:lineRule="auto"/>
              <w:jc w:val="center"/>
              <w:rPr>
                <w:rFonts w:ascii="宋体"/>
                <w:sz w:val="24"/>
                <w:szCs w:val="24"/>
              </w:rPr>
            </w:pPr>
          </w:p>
        </w:tc>
        <w:tc>
          <w:tcPr>
            <w:tcW w:w="2260" w:type="dxa"/>
            <w:vAlign w:val="center"/>
          </w:tcPr>
          <w:p>
            <w:pPr>
              <w:spacing w:line="360" w:lineRule="auto"/>
              <w:jc w:val="center"/>
              <w:rPr>
                <w:rFonts w:ascii="宋体"/>
                <w:sz w:val="24"/>
                <w:szCs w:val="24"/>
              </w:rPr>
            </w:pPr>
          </w:p>
        </w:tc>
        <w:tc>
          <w:tcPr>
            <w:tcW w:w="2047" w:type="dxa"/>
            <w:tcBorders>
              <w:right w:val="single" w:color="auto" w:sz="4" w:space="0"/>
            </w:tcBorders>
            <w:vAlign w:val="center"/>
          </w:tcPr>
          <w:p>
            <w:pPr>
              <w:spacing w:line="360" w:lineRule="auto"/>
              <w:jc w:val="center"/>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tcBorders>
            <w:vAlign w:val="center"/>
          </w:tcPr>
          <w:p>
            <w:pPr>
              <w:spacing w:line="360" w:lineRule="auto"/>
              <w:jc w:val="center"/>
              <w:rPr>
                <w:rFonts w:ascii="宋体"/>
                <w:sz w:val="24"/>
                <w:szCs w:val="24"/>
              </w:rPr>
            </w:pPr>
          </w:p>
        </w:tc>
        <w:tc>
          <w:tcPr>
            <w:tcW w:w="2258" w:type="dxa"/>
            <w:vAlign w:val="center"/>
          </w:tcPr>
          <w:p>
            <w:pPr>
              <w:spacing w:line="360" w:lineRule="auto"/>
              <w:jc w:val="center"/>
              <w:rPr>
                <w:rFonts w:ascii="宋体"/>
                <w:sz w:val="24"/>
                <w:szCs w:val="24"/>
              </w:rPr>
            </w:pPr>
          </w:p>
        </w:tc>
        <w:tc>
          <w:tcPr>
            <w:tcW w:w="2260" w:type="dxa"/>
            <w:vAlign w:val="center"/>
          </w:tcPr>
          <w:p>
            <w:pPr>
              <w:spacing w:line="360" w:lineRule="auto"/>
              <w:jc w:val="center"/>
              <w:rPr>
                <w:rFonts w:ascii="宋体"/>
                <w:sz w:val="24"/>
                <w:szCs w:val="24"/>
              </w:rPr>
            </w:pPr>
          </w:p>
        </w:tc>
        <w:tc>
          <w:tcPr>
            <w:tcW w:w="2047" w:type="dxa"/>
            <w:tcBorders>
              <w:right w:val="single" w:color="auto" w:sz="4" w:space="0"/>
            </w:tcBorders>
            <w:vAlign w:val="center"/>
          </w:tcPr>
          <w:p>
            <w:pPr>
              <w:spacing w:line="360" w:lineRule="auto"/>
              <w:jc w:val="center"/>
              <w:rPr>
                <w:rFonts w:asci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67" w:type="dxa"/>
            <w:tcBorders>
              <w:left w:val="single" w:color="auto" w:sz="4" w:space="0"/>
              <w:bottom w:val="double" w:color="auto" w:sz="4" w:space="0"/>
            </w:tcBorders>
            <w:vAlign w:val="center"/>
          </w:tcPr>
          <w:p>
            <w:pPr>
              <w:spacing w:line="360" w:lineRule="auto"/>
              <w:jc w:val="center"/>
              <w:rPr>
                <w:rFonts w:ascii="宋体"/>
                <w:sz w:val="24"/>
                <w:szCs w:val="24"/>
              </w:rPr>
            </w:pPr>
          </w:p>
        </w:tc>
        <w:tc>
          <w:tcPr>
            <w:tcW w:w="2258" w:type="dxa"/>
            <w:tcBorders>
              <w:bottom w:val="double" w:color="auto" w:sz="4" w:space="0"/>
            </w:tcBorders>
            <w:vAlign w:val="center"/>
          </w:tcPr>
          <w:p>
            <w:pPr>
              <w:spacing w:line="360" w:lineRule="auto"/>
              <w:jc w:val="center"/>
              <w:rPr>
                <w:rFonts w:ascii="宋体"/>
                <w:sz w:val="24"/>
                <w:szCs w:val="24"/>
              </w:rPr>
            </w:pPr>
          </w:p>
        </w:tc>
        <w:tc>
          <w:tcPr>
            <w:tcW w:w="2260" w:type="dxa"/>
            <w:tcBorders>
              <w:bottom w:val="double" w:color="auto" w:sz="4" w:space="0"/>
            </w:tcBorders>
            <w:vAlign w:val="center"/>
          </w:tcPr>
          <w:p>
            <w:pPr>
              <w:spacing w:line="360" w:lineRule="auto"/>
              <w:jc w:val="center"/>
              <w:rPr>
                <w:rFonts w:ascii="宋体"/>
                <w:sz w:val="24"/>
                <w:szCs w:val="24"/>
              </w:rPr>
            </w:pPr>
          </w:p>
        </w:tc>
        <w:tc>
          <w:tcPr>
            <w:tcW w:w="2047" w:type="dxa"/>
            <w:tcBorders>
              <w:bottom w:val="double" w:color="auto" w:sz="4" w:space="0"/>
              <w:right w:val="single" w:color="auto" w:sz="4" w:space="0"/>
            </w:tcBorders>
            <w:vAlign w:val="center"/>
          </w:tcPr>
          <w:p>
            <w:pPr>
              <w:spacing w:line="360" w:lineRule="auto"/>
              <w:jc w:val="center"/>
              <w:rPr>
                <w:rFonts w:ascii="宋体"/>
                <w:sz w:val="24"/>
                <w:szCs w:val="24"/>
              </w:rPr>
            </w:pPr>
          </w:p>
        </w:tc>
      </w:tr>
    </w:tbl>
    <w:p>
      <w:pPr>
        <w:spacing w:line="360" w:lineRule="auto"/>
        <w:rPr>
          <w:rFonts w:ascii="宋体"/>
          <w:sz w:val="24"/>
          <w:szCs w:val="24"/>
        </w:rPr>
      </w:pPr>
    </w:p>
    <w:p>
      <w:pPr>
        <w:spacing w:line="360" w:lineRule="auto"/>
        <w:rPr>
          <w:rFonts w:ascii="宋体"/>
          <w:b/>
          <w:bCs/>
          <w:sz w:val="24"/>
          <w:szCs w:val="24"/>
        </w:rPr>
      </w:pPr>
      <w:r>
        <w:rPr>
          <w:rFonts w:hint="eastAsia" w:ascii="宋体" w:hAnsi="宋体" w:cs="宋体"/>
          <w:b/>
          <w:bCs/>
          <w:sz w:val="24"/>
          <w:szCs w:val="24"/>
        </w:rPr>
        <w:t>要求：</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填写投标人获得资质、认证或企业信誉证书；</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附所列证书复印件或其他证明材料。</w:t>
      </w: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sz w:val="24"/>
          <w:szCs w:val="24"/>
        </w:rPr>
      </w:pPr>
      <w:r>
        <w:rPr>
          <w:rFonts w:hint="eastAsia" w:ascii="宋体" w:hAnsi="宋体" w:cs="宋体"/>
          <w:sz w:val="24"/>
          <w:szCs w:val="24"/>
        </w:rPr>
        <w:t>日期：</w:t>
      </w: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360" w:lineRule="auto"/>
        <w:jc w:val="left"/>
        <w:rPr>
          <w:rFonts w:ascii="宋体"/>
          <w:b/>
          <w:bCs/>
          <w:sz w:val="24"/>
          <w:szCs w:val="24"/>
          <w:lang w:val="zh-CN"/>
        </w:rPr>
      </w:pPr>
    </w:p>
    <w:p>
      <w:pPr>
        <w:spacing w:line="360" w:lineRule="auto"/>
        <w:jc w:val="left"/>
        <w:rPr>
          <w:rFonts w:hint="default" w:ascii="宋体" w:eastAsia="宋体"/>
          <w:b/>
          <w:bCs/>
          <w:sz w:val="28"/>
          <w:szCs w:val="28"/>
          <w:lang w:val="en-US" w:eastAsia="zh-CN"/>
        </w:rPr>
      </w:pPr>
      <w:r>
        <w:rPr>
          <w:rFonts w:hint="eastAsia" w:ascii="宋体" w:hAnsi="宋体" w:cs="宋体"/>
          <w:b/>
          <w:bCs/>
          <w:sz w:val="28"/>
          <w:szCs w:val="28"/>
          <w:lang w:val="zh-CN"/>
        </w:rPr>
        <w:t>附件</w:t>
      </w:r>
      <w:r>
        <w:rPr>
          <w:rFonts w:hint="eastAsia" w:ascii="宋体" w:hAnsi="宋体" w:cs="宋体"/>
          <w:b/>
          <w:bCs/>
          <w:sz w:val="28"/>
          <w:szCs w:val="28"/>
          <w:lang w:val="en-US" w:eastAsia="zh-CN"/>
        </w:rPr>
        <w:t>9</w:t>
      </w:r>
    </w:p>
    <w:p>
      <w:pPr>
        <w:spacing w:line="360" w:lineRule="auto"/>
        <w:jc w:val="center"/>
        <w:rPr>
          <w:rFonts w:ascii="宋体"/>
          <w:b/>
          <w:bCs/>
          <w:sz w:val="32"/>
          <w:szCs w:val="32"/>
          <w:lang w:val="zh-CN"/>
        </w:rPr>
      </w:pPr>
      <w:r>
        <w:rPr>
          <w:rFonts w:hint="eastAsia" w:ascii="宋体" w:hAnsi="宋体" w:cs="宋体"/>
          <w:b/>
          <w:bCs/>
          <w:sz w:val="32"/>
          <w:szCs w:val="32"/>
          <w:lang w:val="zh-CN"/>
        </w:rPr>
        <w:t>投标人类似项目实施情况一览表</w:t>
      </w:r>
    </w:p>
    <w:p>
      <w:pPr>
        <w:spacing w:line="360" w:lineRule="auto"/>
        <w:jc w:val="left"/>
        <w:rPr>
          <w:rFonts w:ascii="宋体"/>
          <w:b/>
          <w:bCs/>
          <w:sz w:val="24"/>
          <w:szCs w:val="24"/>
          <w:lang w:val="zh-CN"/>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sz w:val="24"/>
                <w:szCs w:val="24"/>
              </w:rPr>
            </w:pPr>
            <w:r>
              <w:rPr>
                <w:rFonts w:hint="eastAsia" w:ascii="宋体" w:hAnsi="宋体" w:cs="宋体"/>
                <w:b/>
                <w:bCs/>
                <w:sz w:val="24"/>
                <w:szCs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r>
              <w:rPr>
                <w:rFonts w:ascii="宋体" w:hAnsi="宋体" w:cs="宋体"/>
                <w:sz w:val="24"/>
                <w:szCs w:val="24"/>
              </w:rPr>
              <w:t>1</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r>
              <w:rPr>
                <w:rFonts w:ascii="宋体" w:hAnsi="宋体" w:cs="宋体"/>
                <w:sz w:val="24"/>
                <w:szCs w:val="24"/>
              </w:rPr>
              <w:t>2</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r>
              <w:rPr>
                <w:rFonts w:ascii="宋体" w:hAnsi="宋体" w:cs="宋体"/>
                <w:sz w:val="24"/>
                <w:szCs w:val="24"/>
              </w:rPr>
              <w:t>3</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r>
              <w:rPr>
                <w:rFonts w:hint="eastAsia" w:ascii="宋体" w:hAnsi="宋体" w:cs="宋体"/>
                <w:sz w:val="24"/>
                <w:szCs w:val="24"/>
              </w:rPr>
              <w:t>…</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rPr>
            </w:pPr>
          </w:p>
        </w:tc>
      </w:tr>
    </w:tbl>
    <w:p>
      <w:pPr>
        <w:spacing w:line="360" w:lineRule="auto"/>
        <w:rPr>
          <w:rFonts w:ascii="宋体"/>
          <w:b/>
          <w:bCs/>
          <w:sz w:val="24"/>
          <w:szCs w:val="24"/>
        </w:rPr>
      </w:pPr>
      <w:r>
        <w:rPr>
          <w:rFonts w:hint="eastAsia" w:ascii="宋体" w:hAnsi="宋体" w:cs="宋体"/>
          <w:b/>
          <w:bCs/>
          <w:sz w:val="24"/>
          <w:szCs w:val="24"/>
        </w:rPr>
        <w:t>要求：</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业绩证明应提供证明材料（合同复印件可只提供首页、含金额页、盖章页并加盖投标人公章）；</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报价供应商可按此表格式复制。</w:t>
      </w:r>
    </w:p>
    <w:p>
      <w:pPr>
        <w:spacing w:line="360" w:lineRule="auto"/>
        <w:rPr>
          <w:rFonts w:ascii="宋体"/>
          <w:sz w:val="24"/>
          <w:szCs w:val="24"/>
        </w:rPr>
      </w:pPr>
    </w:p>
    <w:p>
      <w:pPr>
        <w:spacing w:line="360" w:lineRule="auto"/>
        <w:rPr>
          <w:rFonts w:ascii="宋体"/>
          <w:sz w:val="24"/>
          <w:szCs w:val="24"/>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sz w:val="24"/>
          <w:szCs w:val="24"/>
        </w:rPr>
      </w:pPr>
      <w:r>
        <w:rPr>
          <w:rFonts w:hint="eastAsia" w:ascii="宋体" w:hAnsi="宋体" w:cs="宋体"/>
          <w:sz w:val="24"/>
          <w:szCs w:val="24"/>
        </w:rPr>
        <w:t>日期：</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jc w:val="left"/>
        <w:rPr>
          <w:rFonts w:ascii="宋体"/>
          <w:sz w:val="24"/>
          <w:szCs w:val="24"/>
        </w:rPr>
      </w:pPr>
    </w:p>
    <w:p>
      <w:pPr>
        <w:spacing w:line="360" w:lineRule="auto"/>
        <w:jc w:val="left"/>
        <w:rPr>
          <w:rFonts w:hint="default" w:ascii="宋体" w:eastAsia="宋体" w:cs="宋体"/>
          <w:b/>
          <w:bCs/>
          <w:sz w:val="28"/>
          <w:szCs w:val="36"/>
          <w:lang w:val="en-US" w:eastAsia="zh-CN"/>
        </w:rPr>
      </w:pPr>
      <w:r>
        <w:rPr>
          <w:rFonts w:hint="eastAsia" w:ascii="宋体" w:hAnsi="宋体" w:cs="宋体"/>
          <w:b/>
          <w:bCs/>
          <w:sz w:val="28"/>
          <w:szCs w:val="36"/>
          <w:lang w:val="zh-CN"/>
        </w:rPr>
        <w:t>附件</w:t>
      </w:r>
      <w:r>
        <w:rPr>
          <w:rFonts w:hint="eastAsia" w:ascii="宋体" w:hAnsi="宋体" w:cs="宋体"/>
          <w:b/>
          <w:bCs/>
          <w:sz w:val="28"/>
          <w:szCs w:val="36"/>
          <w:lang w:val="en-US" w:eastAsia="zh-CN"/>
        </w:rPr>
        <w:t>10</w:t>
      </w:r>
    </w:p>
    <w:p>
      <w:pPr>
        <w:spacing w:line="360" w:lineRule="auto"/>
        <w:jc w:val="center"/>
        <w:rPr>
          <w:rFonts w:ascii="宋体" w:cs="宋体"/>
          <w:b/>
          <w:bCs/>
          <w:sz w:val="32"/>
          <w:szCs w:val="40"/>
          <w:lang w:val="zh-CN"/>
        </w:rPr>
      </w:pPr>
      <w:r>
        <w:rPr>
          <w:rFonts w:hint="eastAsia" w:ascii="宋体" w:hAnsi="宋体" w:cs="宋体"/>
          <w:b/>
          <w:bCs/>
          <w:sz w:val="32"/>
          <w:szCs w:val="40"/>
          <w:lang w:val="zh-CN"/>
        </w:rPr>
        <w:t>商务需求响应表</w:t>
      </w:r>
    </w:p>
    <w:p>
      <w:pPr>
        <w:spacing w:line="360" w:lineRule="auto"/>
        <w:rPr>
          <w:rFonts w:ascii="宋体"/>
          <w:b/>
          <w:sz w:val="24"/>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sz w:val="24"/>
              </w:rPr>
            </w:pPr>
            <w:r>
              <w:rPr>
                <w:rFonts w:hint="eastAsia" w:ascii="宋体" w:hAnsi="宋体"/>
                <w:b/>
                <w:sz w:val="24"/>
              </w:rPr>
              <w:t>序号</w:t>
            </w:r>
          </w:p>
        </w:tc>
        <w:tc>
          <w:tcPr>
            <w:tcW w:w="1785" w:type="dxa"/>
            <w:vAlign w:val="center"/>
          </w:tcPr>
          <w:p>
            <w:pPr>
              <w:rPr>
                <w:rFonts w:ascii="宋体"/>
                <w:b/>
                <w:sz w:val="24"/>
              </w:rPr>
            </w:pPr>
            <w:r>
              <w:rPr>
                <w:rFonts w:hint="eastAsia" w:ascii="宋体" w:hAnsi="宋体"/>
                <w:b/>
                <w:sz w:val="24"/>
              </w:rPr>
              <w:t>内容</w:t>
            </w:r>
          </w:p>
        </w:tc>
        <w:tc>
          <w:tcPr>
            <w:tcW w:w="1785" w:type="dxa"/>
            <w:vAlign w:val="center"/>
          </w:tcPr>
          <w:p>
            <w:pPr>
              <w:ind w:left="53" w:leftChars="25" w:firstLine="241" w:firstLineChars="100"/>
              <w:rPr>
                <w:rFonts w:ascii="宋体"/>
                <w:b/>
                <w:sz w:val="24"/>
              </w:rPr>
            </w:pPr>
            <w:r>
              <w:rPr>
                <w:rFonts w:hint="eastAsia" w:ascii="宋体" w:hAnsi="宋体"/>
                <w:b/>
                <w:sz w:val="24"/>
              </w:rPr>
              <w:t>招标需求</w:t>
            </w:r>
          </w:p>
        </w:tc>
        <w:tc>
          <w:tcPr>
            <w:tcW w:w="1365" w:type="dxa"/>
            <w:vAlign w:val="center"/>
          </w:tcPr>
          <w:p>
            <w:pPr>
              <w:ind w:left="152"/>
              <w:rPr>
                <w:rFonts w:ascii="宋体"/>
                <w:b/>
                <w:sz w:val="24"/>
              </w:rPr>
            </w:pPr>
            <w:r>
              <w:rPr>
                <w:rFonts w:hint="eastAsia" w:ascii="宋体" w:hAnsi="宋体"/>
                <w:b/>
                <w:sz w:val="24"/>
              </w:rPr>
              <w:t>是否响应</w:t>
            </w:r>
          </w:p>
        </w:tc>
        <w:tc>
          <w:tcPr>
            <w:tcW w:w="2625" w:type="dxa"/>
            <w:vAlign w:val="center"/>
          </w:tcPr>
          <w:p>
            <w:pPr>
              <w:jc w:val="center"/>
              <w:rPr>
                <w:rFonts w:asci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售后服务保障要求</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免费维保期</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项目工期</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付款条件</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sz w:val="24"/>
              </w:rPr>
            </w:pPr>
          </w:p>
        </w:tc>
        <w:tc>
          <w:tcPr>
            <w:tcW w:w="1785" w:type="dxa"/>
          </w:tcPr>
          <w:p>
            <w:pPr>
              <w:snapToGrid w:val="0"/>
              <w:rPr>
                <w:rFonts w:ascii="宋体"/>
                <w:sz w:val="24"/>
              </w:rPr>
            </w:pP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sz w:val="24"/>
              </w:rPr>
            </w:pPr>
          </w:p>
        </w:tc>
        <w:tc>
          <w:tcPr>
            <w:tcW w:w="1785" w:type="dxa"/>
          </w:tcPr>
          <w:p>
            <w:pPr>
              <w:snapToGrid w:val="0"/>
              <w:rPr>
                <w:rFonts w:ascii="宋体"/>
                <w:sz w:val="24"/>
              </w:rPr>
            </w:pP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bl>
    <w:p>
      <w:pPr>
        <w:spacing w:line="360" w:lineRule="auto"/>
        <w:rPr>
          <w:rFonts w:ascii="宋体"/>
          <w:b/>
          <w:sz w:val="24"/>
        </w:rPr>
      </w:pPr>
    </w:p>
    <w:p>
      <w:pPr>
        <w:spacing w:line="480" w:lineRule="auto"/>
        <w:rPr>
          <w:rFonts w:ascii="宋体"/>
          <w:sz w:val="24"/>
        </w:rPr>
      </w:pPr>
      <w:r>
        <w:rPr>
          <w:rFonts w:hint="eastAsia" w:ascii="宋体" w:hAnsi="宋体"/>
          <w:sz w:val="24"/>
        </w:rPr>
        <w:t>投标人名称（盖章）：</w:t>
      </w:r>
    </w:p>
    <w:p>
      <w:pPr>
        <w:spacing w:line="480" w:lineRule="auto"/>
        <w:rPr>
          <w:rFonts w:ascii="宋体"/>
          <w:sz w:val="24"/>
        </w:rPr>
      </w:pPr>
      <w:r>
        <w:rPr>
          <w:rFonts w:hint="eastAsia" w:ascii="宋体" w:hAnsi="宋体"/>
          <w:sz w:val="24"/>
        </w:rPr>
        <w:t>授权委托代理人签字或盖章：</w:t>
      </w:r>
    </w:p>
    <w:p>
      <w:pPr>
        <w:spacing w:line="480" w:lineRule="auto"/>
        <w:rPr>
          <w:rFonts w:ascii="宋体"/>
          <w:sz w:val="24"/>
        </w:rPr>
      </w:pPr>
      <w:r>
        <w:rPr>
          <w:rFonts w:hint="eastAsia" w:ascii="宋体" w:hAnsi="宋体"/>
          <w:sz w:val="24"/>
        </w:rPr>
        <w:t>日期：</w:t>
      </w: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pStyle w:val="4"/>
      </w:pPr>
    </w:p>
    <w:p>
      <w:pPr>
        <w:tabs>
          <w:tab w:val="left" w:pos="2460"/>
        </w:tabs>
        <w:spacing w:line="360" w:lineRule="auto"/>
        <w:rPr>
          <w:rFonts w:hint="eastAsia" w:ascii="宋体" w:hAnsi="宋体"/>
          <w:b/>
          <w:sz w:val="28"/>
        </w:rPr>
      </w:pPr>
    </w:p>
    <w:p>
      <w:pPr>
        <w:tabs>
          <w:tab w:val="left" w:pos="2460"/>
        </w:tabs>
        <w:spacing w:line="360" w:lineRule="auto"/>
        <w:rPr>
          <w:rFonts w:hint="eastAsia" w:ascii="宋体" w:eastAsia="宋体"/>
          <w:b/>
          <w:sz w:val="28"/>
          <w:lang w:eastAsia="zh-CN"/>
        </w:rPr>
      </w:pPr>
      <w:r>
        <w:rPr>
          <w:rFonts w:hint="eastAsia" w:ascii="宋体" w:hAnsi="宋体"/>
          <w:b/>
          <w:sz w:val="28"/>
        </w:rPr>
        <w:t>附件</w:t>
      </w:r>
      <w:r>
        <w:rPr>
          <w:rFonts w:ascii="宋体" w:hAnsi="宋体"/>
          <w:b/>
          <w:sz w:val="28"/>
        </w:rPr>
        <w:t>1</w:t>
      </w:r>
      <w:r>
        <w:rPr>
          <w:rFonts w:hint="eastAsia" w:ascii="宋体" w:hAnsi="宋体"/>
          <w:b/>
          <w:sz w:val="28"/>
          <w:lang w:val="en-US" w:eastAsia="zh-CN"/>
        </w:rPr>
        <w:t>1</w:t>
      </w:r>
    </w:p>
    <w:p>
      <w:pPr>
        <w:spacing w:line="480" w:lineRule="exact"/>
        <w:jc w:val="center"/>
        <w:rPr>
          <w:rFonts w:ascii="宋体"/>
          <w:b/>
          <w:sz w:val="32"/>
          <w:szCs w:val="32"/>
        </w:rPr>
      </w:pPr>
      <w:r>
        <w:rPr>
          <w:rFonts w:hint="eastAsia" w:ascii="宋体" w:hAnsi="宋体"/>
          <w:b/>
          <w:sz w:val="32"/>
          <w:szCs w:val="32"/>
        </w:rPr>
        <w:t>售后服务情况表</w:t>
      </w:r>
    </w:p>
    <w:p>
      <w:pPr>
        <w:spacing w:line="360" w:lineRule="auto"/>
        <w:rPr>
          <w:rFonts w:ascii="宋体"/>
          <w:b/>
          <w:sz w:val="24"/>
        </w:rPr>
      </w:pPr>
    </w:p>
    <w:tbl>
      <w:tblPr>
        <w:tblStyle w:val="27"/>
        <w:tblW w:w="852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trPr>
        <w:tc>
          <w:tcPr>
            <w:tcW w:w="739" w:type="dxa"/>
            <w:tcBorders>
              <w:top w:val="single" w:color="auto" w:sz="4" w:space="0"/>
            </w:tcBorders>
            <w:vAlign w:val="center"/>
          </w:tcPr>
          <w:p>
            <w:pPr>
              <w:pStyle w:val="62"/>
              <w:spacing w:line="360" w:lineRule="auto"/>
              <w:jc w:val="center"/>
              <w:rPr>
                <w:rFonts w:ascii="宋体" w:cs="Arial"/>
                <w:b/>
                <w:sz w:val="24"/>
              </w:rPr>
            </w:pPr>
            <w:r>
              <w:rPr>
                <w:rFonts w:hint="eastAsia" w:ascii="宋体" w:hAnsi="宋体" w:cs="Arial"/>
                <w:b/>
                <w:sz w:val="24"/>
              </w:rPr>
              <w:t>序号</w:t>
            </w:r>
          </w:p>
        </w:tc>
        <w:tc>
          <w:tcPr>
            <w:tcW w:w="2355" w:type="dxa"/>
            <w:tcBorders>
              <w:top w:val="single" w:color="auto" w:sz="4" w:space="0"/>
            </w:tcBorders>
            <w:vAlign w:val="center"/>
          </w:tcPr>
          <w:p>
            <w:pPr>
              <w:pStyle w:val="62"/>
              <w:spacing w:line="360" w:lineRule="auto"/>
              <w:jc w:val="center"/>
              <w:rPr>
                <w:rFonts w:ascii="宋体" w:cs="Arial"/>
                <w:b/>
                <w:sz w:val="24"/>
              </w:rPr>
            </w:pPr>
            <w:r>
              <w:rPr>
                <w:rFonts w:hint="eastAsia" w:ascii="宋体" w:hAnsi="宋体" w:cs="Arial"/>
                <w:b/>
                <w:sz w:val="24"/>
              </w:rPr>
              <w:t>项目</w:t>
            </w:r>
          </w:p>
        </w:tc>
        <w:tc>
          <w:tcPr>
            <w:tcW w:w="4061" w:type="dxa"/>
            <w:tcBorders>
              <w:top w:val="single" w:color="auto" w:sz="4" w:space="0"/>
            </w:tcBorders>
            <w:vAlign w:val="center"/>
          </w:tcPr>
          <w:p>
            <w:pPr>
              <w:pStyle w:val="62"/>
              <w:spacing w:line="360" w:lineRule="auto"/>
              <w:jc w:val="center"/>
              <w:rPr>
                <w:rFonts w:ascii="宋体" w:cs="Arial"/>
                <w:b/>
                <w:sz w:val="24"/>
              </w:rPr>
            </w:pPr>
            <w:r>
              <w:rPr>
                <w:rFonts w:hint="eastAsia" w:ascii="宋体" w:hAnsi="宋体" w:cs="Arial"/>
                <w:b/>
                <w:sz w:val="24"/>
              </w:rPr>
              <w:t>投标人情况</w:t>
            </w:r>
          </w:p>
        </w:tc>
        <w:tc>
          <w:tcPr>
            <w:tcW w:w="1373" w:type="dxa"/>
            <w:tcBorders>
              <w:top w:val="single" w:color="auto" w:sz="4" w:space="0"/>
            </w:tcBorders>
            <w:vAlign w:val="center"/>
          </w:tcPr>
          <w:p>
            <w:pPr>
              <w:pStyle w:val="62"/>
              <w:spacing w:line="360" w:lineRule="auto"/>
              <w:jc w:val="center"/>
              <w:rPr>
                <w:rFonts w:asci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47" w:hRule="atLeast"/>
        </w:trPr>
        <w:tc>
          <w:tcPr>
            <w:tcW w:w="739" w:type="dxa"/>
            <w:vAlign w:val="center"/>
          </w:tcPr>
          <w:p>
            <w:pPr>
              <w:pStyle w:val="62"/>
              <w:spacing w:line="360" w:lineRule="auto"/>
              <w:jc w:val="center"/>
              <w:rPr>
                <w:rFonts w:ascii="宋体" w:cs="Arial"/>
                <w:bCs/>
                <w:sz w:val="24"/>
              </w:rPr>
            </w:pPr>
            <w:r>
              <w:rPr>
                <w:rFonts w:ascii="宋体" w:hAnsi="宋体" w:cs="Arial"/>
                <w:bCs/>
                <w:sz w:val="24"/>
              </w:rPr>
              <w:t>1</w:t>
            </w:r>
          </w:p>
        </w:tc>
        <w:tc>
          <w:tcPr>
            <w:tcW w:w="2355" w:type="dxa"/>
            <w:vAlign w:val="center"/>
          </w:tcPr>
          <w:p>
            <w:pPr>
              <w:pStyle w:val="62"/>
              <w:widowControl/>
              <w:spacing w:line="360" w:lineRule="auto"/>
              <w:jc w:val="left"/>
              <w:rPr>
                <w:rFonts w:ascii="宋体" w:cs="Arial"/>
                <w:bCs/>
                <w:sz w:val="24"/>
              </w:rPr>
            </w:pPr>
            <w:r>
              <w:rPr>
                <w:rFonts w:hint="eastAsia" w:ascii="宋体" w:hAnsi="宋体" w:cs="Arial"/>
                <w:bCs/>
                <w:sz w:val="24"/>
              </w:rPr>
              <w:t>维保期内售后服务情况</w:t>
            </w:r>
            <w:r>
              <w:rPr>
                <w:rFonts w:ascii="宋体" w:hAnsi="宋体" w:cs="Arial"/>
                <w:bCs/>
                <w:sz w:val="24"/>
              </w:rPr>
              <w:t>(</w:t>
            </w:r>
            <w:r>
              <w:rPr>
                <w:rFonts w:hint="eastAsia" w:ascii="宋体" w:hAnsi="宋体" w:cs="Arial"/>
                <w:bCs/>
                <w:sz w:val="24"/>
              </w:rPr>
              <w:t>服务方式、服务网点、售后服务的内容和措施等等，可用附页和宣传材料</w:t>
            </w:r>
            <w:r>
              <w:rPr>
                <w:rFonts w:ascii="宋体" w:hAnsi="宋体" w:cs="Arial"/>
                <w:bCs/>
                <w:sz w:val="24"/>
              </w:rPr>
              <w:t>)</w:t>
            </w:r>
          </w:p>
        </w:tc>
        <w:tc>
          <w:tcPr>
            <w:tcW w:w="4061" w:type="dxa"/>
          </w:tcPr>
          <w:p>
            <w:pPr>
              <w:pStyle w:val="62"/>
              <w:spacing w:line="360" w:lineRule="auto"/>
              <w:rPr>
                <w:rFonts w:ascii="宋体" w:cs="Arial"/>
                <w:bCs/>
                <w:sz w:val="24"/>
              </w:rPr>
            </w:pPr>
          </w:p>
        </w:tc>
        <w:tc>
          <w:tcPr>
            <w:tcW w:w="1373" w:type="dxa"/>
          </w:tcPr>
          <w:p>
            <w:pPr>
              <w:pStyle w:val="62"/>
              <w:spacing w:line="360" w:lineRule="auto"/>
              <w:rPr>
                <w:rFonts w:asci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739" w:type="dxa"/>
            <w:vAlign w:val="center"/>
          </w:tcPr>
          <w:p>
            <w:pPr>
              <w:pStyle w:val="62"/>
              <w:spacing w:line="360" w:lineRule="auto"/>
              <w:jc w:val="center"/>
              <w:rPr>
                <w:rFonts w:ascii="宋体" w:cs="Arial"/>
                <w:bCs/>
                <w:sz w:val="24"/>
              </w:rPr>
            </w:pPr>
            <w:r>
              <w:rPr>
                <w:rFonts w:ascii="宋体" w:hAnsi="宋体" w:cs="Arial"/>
                <w:bCs/>
                <w:sz w:val="24"/>
              </w:rPr>
              <w:t>2</w:t>
            </w:r>
          </w:p>
        </w:tc>
        <w:tc>
          <w:tcPr>
            <w:tcW w:w="2355" w:type="dxa"/>
            <w:vAlign w:val="center"/>
          </w:tcPr>
          <w:p>
            <w:pPr>
              <w:pStyle w:val="62"/>
              <w:spacing w:line="360" w:lineRule="auto"/>
              <w:rPr>
                <w:rFonts w:ascii="宋体" w:cs="Arial"/>
                <w:bCs/>
                <w:sz w:val="24"/>
              </w:rPr>
            </w:pPr>
            <w:r>
              <w:rPr>
                <w:rFonts w:hint="eastAsia" w:ascii="宋体" w:hAnsi="宋体" w:cs="Arial"/>
                <w:bCs/>
                <w:sz w:val="24"/>
              </w:rPr>
              <w:t>维保期后售后服务</w:t>
            </w:r>
          </w:p>
        </w:tc>
        <w:tc>
          <w:tcPr>
            <w:tcW w:w="4061" w:type="dxa"/>
          </w:tcPr>
          <w:p>
            <w:pPr>
              <w:pStyle w:val="62"/>
              <w:widowControl/>
              <w:spacing w:line="360" w:lineRule="auto"/>
              <w:jc w:val="left"/>
              <w:rPr>
                <w:rFonts w:ascii="宋体" w:cs="Arial"/>
                <w:bCs/>
                <w:sz w:val="24"/>
              </w:rPr>
            </w:pPr>
          </w:p>
          <w:p>
            <w:pPr>
              <w:pStyle w:val="62"/>
              <w:widowControl/>
              <w:spacing w:line="360" w:lineRule="auto"/>
              <w:jc w:val="left"/>
              <w:rPr>
                <w:rFonts w:ascii="宋体" w:cs="Arial"/>
                <w:bCs/>
                <w:sz w:val="24"/>
              </w:rPr>
            </w:pPr>
          </w:p>
          <w:p>
            <w:pPr>
              <w:pStyle w:val="62"/>
              <w:spacing w:line="360" w:lineRule="auto"/>
              <w:rPr>
                <w:rFonts w:ascii="宋体" w:cs="Arial"/>
                <w:bCs/>
                <w:sz w:val="24"/>
              </w:rPr>
            </w:pPr>
          </w:p>
        </w:tc>
        <w:tc>
          <w:tcPr>
            <w:tcW w:w="1373" w:type="dxa"/>
          </w:tcPr>
          <w:p>
            <w:pPr>
              <w:pStyle w:val="62"/>
              <w:widowControl/>
              <w:spacing w:line="360" w:lineRule="auto"/>
              <w:jc w:val="left"/>
              <w:rPr>
                <w:rFonts w:ascii="宋体" w:cs="Arial"/>
                <w:bCs/>
                <w:sz w:val="24"/>
              </w:rPr>
            </w:pPr>
          </w:p>
          <w:p>
            <w:pPr>
              <w:pStyle w:val="62"/>
              <w:widowControl/>
              <w:spacing w:line="360" w:lineRule="auto"/>
              <w:jc w:val="left"/>
              <w:rPr>
                <w:rFonts w:ascii="宋体" w:cs="Arial"/>
                <w:bCs/>
                <w:sz w:val="24"/>
              </w:rPr>
            </w:pPr>
          </w:p>
          <w:p>
            <w:pPr>
              <w:pStyle w:val="62"/>
              <w:spacing w:line="360" w:lineRule="auto"/>
              <w:rPr>
                <w:rFonts w:asci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trPr>
        <w:tc>
          <w:tcPr>
            <w:tcW w:w="739" w:type="dxa"/>
            <w:vAlign w:val="center"/>
          </w:tcPr>
          <w:p>
            <w:pPr>
              <w:pStyle w:val="62"/>
              <w:widowControl/>
              <w:spacing w:line="360" w:lineRule="auto"/>
              <w:jc w:val="left"/>
              <w:rPr>
                <w:rFonts w:ascii="宋体" w:cs="Arial"/>
                <w:bCs/>
                <w:sz w:val="24"/>
              </w:rPr>
            </w:pPr>
            <w:r>
              <w:rPr>
                <w:rFonts w:ascii="宋体" w:hAnsi="宋体" w:cs="Arial"/>
                <w:bCs/>
                <w:sz w:val="24"/>
              </w:rPr>
              <w:t xml:space="preserve"> 3</w:t>
            </w:r>
          </w:p>
        </w:tc>
        <w:tc>
          <w:tcPr>
            <w:tcW w:w="2355" w:type="dxa"/>
            <w:vAlign w:val="center"/>
          </w:tcPr>
          <w:p>
            <w:pPr>
              <w:pStyle w:val="62"/>
              <w:widowControl/>
              <w:spacing w:line="360" w:lineRule="auto"/>
              <w:jc w:val="left"/>
              <w:rPr>
                <w:rFonts w:ascii="宋体" w:cs="Arial"/>
                <w:bCs/>
                <w:sz w:val="24"/>
              </w:rPr>
            </w:pPr>
            <w:r>
              <w:rPr>
                <w:rFonts w:hint="eastAsia" w:ascii="宋体" w:hAnsi="宋体" w:cs="Arial"/>
                <w:bCs/>
                <w:sz w:val="24"/>
              </w:rPr>
              <w:t>培训方案（可用附页）</w:t>
            </w:r>
          </w:p>
        </w:tc>
        <w:tc>
          <w:tcPr>
            <w:tcW w:w="4061" w:type="dxa"/>
          </w:tcPr>
          <w:p>
            <w:pPr>
              <w:pStyle w:val="62"/>
              <w:widowControl/>
              <w:spacing w:line="360" w:lineRule="auto"/>
              <w:jc w:val="left"/>
              <w:rPr>
                <w:rFonts w:ascii="宋体" w:cs="Arial"/>
                <w:bCs/>
                <w:i/>
                <w:sz w:val="24"/>
              </w:rPr>
            </w:pPr>
          </w:p>
          <w:p>
            <w:pPr>
              <w:pStyle w:val="62"/>
              <w:widowControl/>
              <w:spacing w:line="360" w:lineRule="auto"/>
              <w:jc w:val="left"/>
              <w:rPr>
                <w:rFonts w:ascii="宋体" w:cs="Arial"/>
                <w:bCs/>
                <w:i/>
                <w:sz w:val="24"/>
              </w:rPr>
            </w:pPr>
          </w:p>
        </w:tc>
        <w:tc>
          <w:tcPr>
            <w:tcW w:w="1373" w:type="dxa"/>
          </w:tcPr>
          <w:p>
            <w:pPr>
              <w:pStyle w:val="62"/>
              <w:widowControl/>
              <w:spacing w:line="360" w:lineRule="auto"/>
              <w:jc w:val="left"/>
              <w:rPr>
                <w:rFonts w:ascii="宋体" w:cs="Arial"/>
                <w:bCs/>
                <w:i/>
                <w:sz w:val="24"/>
              </w:rPr>
            </w:pPr>
          </w:p>
          <w:p>
            <w:pPr>
              <w:pStyle w:val="62"/>
              <w:widowControl/>
              <w:spacing w:line="360" w:lineRule="auto"/>
              <w:jc w:val="left"/>
              <w:rPr>
                <w:rFonts w:ascii="宋体" w:cs="Arial"/>
                <w:bCs/>
                <w:i/>
                <w:sz w:val="24"/>
              </w:rPr>
            </w:pPr>
          </w:p>
          <w:p>
            <w:pPr>
              <w:pStyle w:val="62"/>
              <w:widowControl/>
              <w:spacing w:line="360" w:lineRule="auto"/>
              <w:jc w:val="left"/>
              <w:rPr>
                <w:rFonts w:asci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trPr>
        <w:tc>
          <w:tcPr>
            <w:tcW w:w="739" w:type="dxa"/>
            <w:tcBorders>
              <w:bottom w:val="single" w:color="auto" w:sz="4" w:space="0"/>
            </w:tcBorders>
            <w:vAlign w:val="center"/>
          </w:tcPr>
          <w:p>
            <w:pPr>
              <w:pStyle w:val="62"/>
              <w:widowControl/>
              <w:spacing w:line="360" w:lineRule="auto"/>
              <w:jc w:val="left"/>
              <w:rPr>
                <w:rFonts w:ascii="宋体" w:cs="Arial"/>
                <w:bCs/>
                <w:sz w:val="24"/>
              </w:rPr>
            </w:pPr>
            <w:r>
              <w:rPr>
                <w:rFonts w:hint="eastAsia" w:ascii="宋体" w:cs="Arial"/>
                <w:bCs/>
                <w:sz w:val="24"/>
              </w:rPr>
              <w:t>……</w:t>
            </w:r>
          </w:p>
        </w:tc>
        <w:tc>
          <w:tcPr>
            <w:tcW w:w="2355" w:type="dxa"/>
            <w:tcBorders>
              <w:bottom w:val="single" w:color="auto" w:sz="4" w:space="0"/>
            </w:tcBorders>
            <w:vAlign w:val="center"/>
          </w:tcPr>
          <w:p>
            <w:pPr>
              <w:pStyle w:val="62"/>
              <w:widowControl/>
              <w:spacing w:line="360" w:lineRule="auto"/>
              <w:jc w:val="left"/>
              <w:rPr>
                <w:rFonts w:ascii="宋体" w:cs="Arial"/>
                <w:bCs/>
                <w:sz w:val="24"/>
              </w:rPr>
            </w:pPr>
            <w:r>
              <w:rPr>
                <w:rFonts w:hint="eastAsia" w:ascii="宋体" w:cs="Arial"/>
                <w:bCs/>
                <w:sz w:val="24"/>
              </w:rPr>
              <w:t>……</w:t>
            </w:r>
          </w:p>
        </w:tc>
        <w:tc>
          <w:tcPr>
            <w:tcW w:w="4061" w:type="dxa"/>
            <w:tcBorders>
              <w:bottom w:val="single" w:color="auto" w:sz="4" w:space="0"/>
            </w:tcBorders>
          </w:tcPr>
          <w:p>
            <w:pPr>
              <w:pStyle w:val="62"/>
              <w:widowControl/>
              <w:spacing w:line="360" w:lineRule="auto"/>
              <w:jc w:val="left"/>
              <w:rPr>
                <w:rFonts w:ascii="宋体" w:cs="Arial"/>
                <w:bCs/>
                <w:sz w:val="24"/>
              </w:rPr>
            </w:pPr>
          </w:p>
        </w:tc>
        <w:tc>
          <w:tcPr>
            <w:tcW w:w="1373" w:type="dxa"/>
            <w:tcBorders>
              <w:bottom w:val="single" w:color="auto" w:sz="4" w:space="0"/>
            </w:tcBorders>
          </w:tcPr>
          <w:p>
            <w:pPr>
              <w:pStyle w:val="62"/>
              <w:widowControl/>
              <w:spacing w:line="360" w:lineRule="auto"/>
              <w:jc w:val="left"/>
              <w:rPr>
                <w:rFonts w:ascii="宋体" w:cs="Arial"/>
                <w:bCs/>
                <w:sz w:val="24"/>
              </w:rPr>
            </w:pPr>
          </w:p>
        </w:tc>
      </w:tr>
    </w:tbl>
    <w:p>
      <w:pPr>
        <w:spacing w:line="360" w:lineRule="auto"/>
        <w:ind w:left="549" w:hanging="549" w:hangingChars="171"/>
        <w:jc w:val="center"/>
        <w:rPr>
          <w:rFonts w:ascii="宋体"/>
          <w:b/>
          <w:sz w:val="32"/>
          <w:szCs w:val="32"/>
        </w:rPr>
      </w:pPr>
    </w:p>
    <w:p>
      <w:pPr>
        <w:spacing w:line="360" w:lineRule="auto"/>
        <w:rPr>
          <w:rFonts w:ascii="宋体"/>
          <w:sz w:val="24"/>
        </w:rPr>
      </w:pPr>
    </w:p>
    <w:p>
      <w:pPr>
        <w:spacing w:line="480" w:lineRule="auto"/>
        <w:rPr>
          <w:rFonts w:ascii="宋体"/>
          <w:sz w:val="24"/>
        </w:rPr>
      </w:pPr>
      <w:r>
        <w:rPr>
          <w:rFonts w:hint="eastAsia" w:ascii="宋体" w:hAnsi="宋体"/>
          <w:sz w:val="24"/>
        </w:rPr>
        <w:t>投标人名称（盖章）：</w:t>
      </w:r>
    </w:p>
    <w:p>
      <w:pPr>
        <w:spacing w:line="480" w:lineRule="auto"/>
        <w:rPr>
          <w:rFonts w:ascii="宋体"/>
          <w:sz w:val="24"/>
        </w:rPr>
      </w:pPr>
      <w:r>
        <w:rPr>
          <w:rFonts w:hint="eastAsia" w:ascii="宋体" w:hAnsi="宋体"/>
          <w:sz w:val="24"/>
        </w:rPr>
        <w:t>授权委托代理人签字或盖章：</w:t>
      </w:r>
    </w:p>
    <w:p>
      <w:pPr>
        <w:spacing w:line="480" w:lineRule="auto"/>
        <w:rPr>
          <w:rFonts w:ascii="宋体"/>
          <w:sz w:val="24"/>
        </w:rPr>
      </w:pPr>
      <w:r>
        <w:rPr>
          <w:rFonts w:hint="eastAsia" w:ascii="宋体" w:hAnsi="宋体"/>
          <w:sz w:val="24"/>
        </w:rPr>
        <w:t>日期：</w:t>
      </w:r>
    </w:p>
    <w:p>
      <w:pPr>
        <w:spacing w:line="360" w:lineRule="auto"/>
        <w:rPr>
          <w:rFonts w:ascii="宋体" w:cs="宋体"/>
          <w:sz w:val="24"/>
          <w:szCs w:val="32"/>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pStyle w:val="2"/>
      </w:pPr>
    </w:p>
    <w:p>
      <w:pPr>
        <w:pStyle w:val="2"/>
      </w:pPr>
    </w:p>
    <w:p>
      <w:pPr>
        <w:jc w:val="center"/>
        <w:rPr>
          <w:rFonts w:ascii="宋体"/>
          <w:spacing w:val="40"/>
          <w:sz w:val="52"/>
          <w:szCs w:val="52"/>
        </w:rPr>
      </w:pPr>
      <w:r>
        <w:rPr>
          <w:rFonts w:hint="eastAsia" w:ascii="宋体" w:hAnsi="宋体" w:cs="宋体"/>
          <w:spacing w:val="40"/>
          <w:sz w:val="52"/>
          <w:szCs w:val="52"/>
        </w:rPr>
        <w:t>项目名称</w:t>
      </w:r>
    </w:p>
    <w:p>
      <w:pPr>
        <w:jc w:val="center"/>
        <w:rPr>
          <w:rFonts w:ascii="宋体"/>
          <w:sz w:val="36"/>
          <w:szCs w:val="36"/>
        </w:rPr>
      </w:pPr>
      <w:r>
        <w:rPr>
          <w:rFonts w:hint="eastAsia" w:ascii="宋体" w:hAnsi="宋体" w:cs="宋体"/>
          <w:sz w:val="36"/>
          <w:szCs w:val="36"/>
        </w:rPr>
        <w:t>项目编号：临[2024]8号</w:t>
      </w:r>
    </w:p>
    <w:p>
      <w:pPr>
        <w:jc w:val="center"/>
        <w:rPr>
          <w:rFonts w:ascii="宋体"/>
          <w:b/>
          <w:bCs/>
          <w:spacing w:val="40"/>
          <w:sz w:val="84"/>
          <w:szCs w:val="84"/>
        </w:rPr>
      </w:pPr>
    </w:p>
    <w:p>
      <w:pPr>
        <w:jc w:val="center"/>
        <w:rPr>
          <w:rFonts w:ascii="宋体"/>
          <w:b/>
          <w:bCs/>
          <w:spacing w:val="40"/>
          <w:sz w:val="84"/>
          <w:szCs w:val="84"/>
        </w:rPr>
      </w:pPr>
      <w:r>
        <w:rPr>
          <w:rFonts w:hint="eastAsia" w:ascii="宋体" w:hAnsi="宋体" w:cs="宋体"/>
          <w:b/>
          <w:bCs/>
          <w:spacing w:val="40"/>
          <w:sz w:val="84"/>
          <w:szCs w:val="84"/>
        </w:rPr>
        <w:t>报</w:t>
      </w:r>
    </w:p>
    <w:p>
      <w:pPr>
        <w:jc w:val="center"/>
        <w:rPr>
          <w:rFonts w:ascii="宋体"/>
          <w:b/>
          <w:bCs/>
          <w:spacing w:val="40"/>
          <w:sz w:val="84"/>
          <w:szCs w:val="84"/>
        </w:rPr>
      </w:pPr>
      <w:r>
        <w:rPr>
          <w:rFonts w:hint="eastAsia" w:ascii="宋体" w:hAnsi="宋体" w:cs="宋体"/>
          <w:b/>
          <w:bCs/>
          <w:spacing w:val="40"/>
          <w:sz w:val="84"/>
          <w:szCs w:val="84"/>
        </w:rPr>
        <w:t>价</w:t>
      </w:r>
    </w:p>
    <w:p>
      <w:pPr>
        <w:jc w:val="center"/>
        <w:rPr>
          <w:rFonts w:ascii="宋体"/>
          <w:b/>
          <w:bCs/>
          <w:spacing w:val="40"/>
          <w:sz w:val="84"/>
          <w:szCs w:val="84"/>
        </w:rPr>
      </w:pPr>
      <w:r>
        <w:rPr>
          <w:rFonts w:hint="eastAsia" w:ascii="宋体" w:hAnsi="宋体" w:cs="宋体"/>
          <w:b/>
          <w:bCs/>
          <w:spacing w:val="40"/>
          <w:sz w:val="84"/>
          <w:szCs w:val="84"/>
        </w:rPr>
        <w:t>文</w:t>
      </w:r>
    </w:p>
    <w:p>
      <w:pPr>
        <w:jc w:val="center"/>
        <w:rPr>
          <w:rFonts w:ascii="宋体"/>
          <w:b/>
          <w:bCs/>
          <w:spacing w:val="40"/>
          <w:sz w:val="84"/>
          <w:szCs w:val="84"/>
        </w:rPr>
      </w:pPr>
      <w:r>
        <w:rPr>
          <w:rFonts w:hint="eastAsia" w:ascii="宋体" w:hAnsi="宋体" w:cs="宋体"/>
          <w:b/>
          <w:bCs/>
          <w:spacing w:val="40"/>
          <w:sz w:val="84"/>
          <w:szCs w:val="84"/>
        </w:rPr>
        <w:t>件</w:t>
      </w:r>
    </w:p>
    <w:p>
      <w:pPr>
        <w:jc w:val="center"/>
        <w:rPr>
          <w:rFonts w:ascii="宋体"/>
          <w:sz w:val="36"/>
          <w:szCs w:val="36"/>
        </w:rPr>
      </w:pPr>
    </w:p>
    <w:p>
      <w:pPr>
        <w:jc w:val="center"/>
        <w:rPr>
          <w:rFonts w:ascii="宋体"/>
          <w:sz w:val="36"/>
          <w:szCs w:val="36"/>
        </w:rPr>
      </w:pPr>
    </w:p>
    <w:p>
      <w:pPr>
        <w:spacing w:line="360" w:lineRule="auto"/>
        <w:ind w:right="532"/>
        <w:jc w:val="center"/>
        <w:rPr>
          <w:rFonts w:ascii="宋体"/>
          <w:sz w:val="36"/>
          <w:szCs w:val="36"/>
        </w:rPr>
      </w:pPr>
    </w:p>
    <w:p>
      <w:pPr>
        <w:rPr>
          <w:rFonts w:ascii="宋体"/>
          <w:sz w:val="36"/>
          <w:szCs w:val="36"/>
        </w:rPr>
      </w:pPr>
      <w:r>
        <w:rPr>
          <w:rFonts w:hint="eastAsia" w:ascii="宋体" w:hAnsi="宋体" w:cs="宋体"/>
          <w:sz w:val="36"/>
          <w:szCs w:val="36"/>
        </w:rPr>
        <w:t>供应商全称（公章）：</w:t>
      </w:r>
    </w:p>
    <w:p>
      <w:pPr>
        <w:rPr>
          <w:rFonts w:ascii="宋体"/>
          <w:sz w:val="36"/>
          <w:szCs w:val="36"/>
        </w:rPr>
      </w:pPr>
      <w:r>
        <w:rPr>
          <w:rFonts w:hint="eastAsia" w:ascii="宋体" w:hAnsi="宋体" w:cs="宋体"/>
          <w:sz w:val="36"/>
          <w:szCs w:val="36"/>
        </w:rPr>
        <w:t>地址：</w:t>
      </w:r>
    </w:p>
    <w:p>
      <w:pPr>
        <w:rPr>
          <w:rFonts w:ascii="宋体"/>
          <w:sz w:val="36"/>
          <w:szCs w:val="36"/>
        </w:rPr>
      </w:pPr>
      <w:r>
        <w:rPr>
          <w:rFonts w:hint="eastAsia" w:ascii="宋体" w:hAnsi="宋体" w:cs="宋体"/>
          <w:sz w:val="36"/>
          <w:szCs w:val="36"/>
        </w:rPr>
        <w:t>时间：</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jc w:val="center"/>
        <w:rPr>
          <w:rFonts w:ascii="宋体"/>
          <w:b/>
          <w:bCs/>
          <w:sz w:val="32"/>
          <w:szCs w:val="32"/>
          <w:lang w:val="zh-CN"/>
        </w:rPr>
      </w:pPr>
      <w:r>
        <w:rPr>
          <w:rFonts w:hint="eastAsia" w:ascii="宋体" w:hAnsi="宋体" w:cs="宋体"/>
          <w:b/>
          <w:bCs/>
          <w:sz w:val="32"/>
          <w:szCs w:val="32"/>
          <w:lang w:val="zh-CN"/>
        </w:rPr>
        <w:t>报价文件目录</w:t>
      </w:r>
    </w:p>
    <w:p>
      <w:pPr>
        <w:spacing w:line="360" w:lineRule="auto"/>
        <w:rPr>
          <w:rFonts w:ascii="宋体"/>
          <w:sz w:val="24"/>
          <w:szCs w:val="24"/>
        </w:rPr>
      </w:pPr>
    </w:p>
    <w:p>
      <w:pPr>
        <w:spacing w:line="360" w:lineRule="auto"/>
        <w:rPr>
          <w:rFonts w:ascii="宋体"/>
          <w:sz w:val="24"/>
          <w:szCs w:val="24"/>
        </w:rPr>
      </w:pPr>
    </w:p>
    <w:p>
      <w:pPr>
        <w:spacing w:line="360" w:lineRule="auto"/>
        <w:ind w:firstLine="560" w:firstLineChars="200"/>
        <w:rPr>
          <w:rFonts w:ascii="宋体"/>
          <w:sz w:val="28"/>
          <w:szCs w:val="28"/>
        </w:rPr>
      </w:pPr>
      <w:r>
        <w:rPr>
          <w:rFonts w:ascii="宋体" w:hAnsi="宋体" w:cs="宋体"/>
          <w:sz w:val="28"/>
          <w:szCs w:val="28"/>
        </w:rPr>
        <w:t>1</w:t>
      </w:r>
      <w:r>
        <w:rPr>
          <w:rFonts w:hint="eastAsia" w:ascii="宋体" w:hAnsi="宋体" w:cs="宋体"/>
          <w:sz w:val="28"/>
          <w:szCs w:val="28"/>
        </w:rPr>
        <w:t>、开标一览表（附件</w:t>
      </w:r>
      <w:r>
        <w:rPr>
          <w:rFonts w:hint="eastAsia" w:ascii="宋体" w:hAnsi="宋体" w:cs="宋体"/>
          <w:sz w:val="28"/>
          <w:szCs w:val="28"/>
          <w:lang w:val="en-US" w:eastAsia="zh-CN"/>
        </w:rPr>
        <w:t>12</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2、报价明细表（附件</w:t>
      </w:r>
      <w:r>
        <w:rPr>
          <w:rFonts w:hint="eastAsia" w:ascii="宋体" w:hAnsi="宋体" w:cs="宋体"/>
          <w:sz w:val="28"/>
          <w:szCs w:val="28"/>
          <w:lang w:val="en-US" w:eastAsia="zh-CN"/>
        </w:rPr>
        <w:t>13</w:t>
      </w:r>
      <w:r>
        <w:rPr>
          <w:rFonts w:hint="eastAsia" w:ascii="宋体" w:hAnsi="宋体" w:cs="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3、中小企业等声明函（附件</w:t>
      </w:r>
      <w:r>
        <w:rPr>
          <w:rFonts w:hint="eastAsia" w:ascii="宋体" w:hAnsi="宋体" w:cs="宋体"/>
          <w:sz w:val="28"/>
          <w:szCs w:val="28"/>
          <w:lang w:val="en-US" w:eastAsia="zh-CN"/>
        </w:rPr>
        <w:t>14</w:t>
      </w:r>
      <w:r>
        <w:rPr>
          <w:rFonts w:hint="eastAsia" w:ascii="宋体" w:hAnsi="宋体" w:cs="宋体"/>
          <w:sz w:val="28"/>
          <w:szCs w:val="28"/>
        </w:rPr>
        <w:t>）。（如有需提供）</w:t>
      </w:r>
    </w:p>
    <w:p>
      <w:pPr>
        <w:spacing w:line="360" w:lineRule="auto"/>
        <w:ind w:firstLine="560" w:firstLineChars="200"/>
        <w:rPr>
          <w:rFonts w:ascii="宋体"/>
          <w:sz w:val="28"/>
          <w:szCs w:val="28"/>
        </w:rPr>
      </w:pPr>
      <w:r>
        <w:rPr>
          <w:rFonts w:hint="eastAsia" w:ascii="宋体" w:hAnsi="宋体" w:cs="宋体"/>
          <w:sz w:val="28"/>
          <w:szCs w:val="28"/>
        </w:rPr>
        <w:t>4、针对报价投标人认为其他需要说明的；</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pStyle w:val="2"/>
        <w:rPr>
          <w:rFonts w:ascii="宋体"/>
          <w:sz w:val="24"/>
          <w:szCs w:val="24"/>
        </w:rPr>
      </w:pPr>
    </w:p>
    <w:p>
      <w:pPr>
        <w:rPr>
          <w:rFonts w:ascii="宋体"/>
          <w:sz w:val="24"/>
          <w:szCs w:val="24"/>
        </w:rPr>
      </w:pPr>
    </w:p>
    <w:p>
      <w:pPr>
        <w:pStyle w:val="2"/>
      </w:pPr>
    </w:p>
    <w:p>
      <w:pPr>
        <w:spacing w:line="360" w:lineRule="auto"/>
        <w:rPr>
          <w:rFonts w:ascii="宋体"/>
          <w:sz w:val="24"/>
          <w:szCs w:val="24"/>
        </w:rPr>
      </w:pPr>
    </w:p>
    <w:p>
      <w:pPr>
        <w:spacing w:line="360" w:lineRule="auto"/>
        <w:rPr>
          <w:rFonts w:ascii="宋体"/>
          <w:sz w:val="24"/>
          <w:szCs w:val="24"/>
        </w:rPr>
      </w:pPr>
    </w:p>
    <w:p>
      <w:pPr>
        <w:spacing w:line="360" w:lineRule="auto"/>
        <w:jc w:val="left"/>
        <w:rPr>
          <w:rFonts w:hint="eastAsia" w:ascii="宋体" w:eastAsia="宋体"/>
          <w:b/>
          <w:bCs/>
          <w:sz w:val="28"/>
          <w:szCs w:val="28"/>
          <w:lang w:val="zh-CN" w:eastAsia="zh-CN"/>
        </w:rPr>
      </w:pPr>
      <w:r>
        <w:rPr>
          <w:rFonts w:hint="eastAsia" w:ascii="宋体" w:hAnsi="宋体" w:cs="宋体"/>
          <w:b/>
          <w:bCs/>
          <w:sz w:val="28"/>
          <w:szCs w:val="28"/>
          <w:lang w:val="zh-CN"/>
        </w:rPr>
        <w:t>附件</w:t>
      </w:r>
      <w:r>
        <w:rPr>
          <w:rFonts w:ascii="宋体" w:hAnsi="宋体" w:cs="宋体"/>
          <w:b/>
          <w:bCs/>
          <w:sz w:val="28"/>
          <w:szCs w:val="28"/>
          <w:lang w:val="zh-CN"/>
        </w:rPr>
        <w:t>1</w:t>
      </w:r>
      <w:r>
        <w:rPr>
          <w:rFonts w:hint="eastAsia" w:ascii="宋体" w:hAnsi="宋体" w:cs="宋体"/>
          <w:b/>
          <w:bCs/>
          <w:sz w:val="28"/>
          <w:szCs w:val="28"/>
          <w:lang w:val="en-US" w:eastAsia="zh-CN"/>
        </w:rPr>
        <w:t>2</w:t>
      </w:r>
    </w:p>
    <w:p>
      <w:pPr>
        <w:spacing w:line="360" w:lineRule="auto"/>
        <w:ind w:left="-2" w:hanging="2"/>
        <w:jc w:val="center"/>
        <w:rPr>
          <w:rFonts w:ascii="宋体"/>
          <w:b/>
          <w:bCs/>
          <w:sz w:val="32"/>
          <w:szCs w:val="32"/>
        </w:rPr>
      </w:pPr>
      <w:r>
        <w:rPr>
          <w:rFonts w:hint="eastAsia" w:ascii="宋体" w:hAnsi="宋体" w:cs="宋体"/>
          <w:b/>
          <w:bCs/>
          <w:sz w:val="32"/>
          <w:szCs w:val="32"/>
        </w:rPr>
        <w:t>开标一览表</w:t>
      </w:r>
    </w:p>
    <w:p>
      <w:pPr>
        <w:spacing w:line="360" w:lineRule="auto"/>
        <w:rPr>
          <w:rFonts w:ascii="宋体"/>
          <w:sz w:val="24"/>
          <w:szCs w:val="24"/>
        </w:rPr>
      </w:pPr>
    </w:p>
    <w:p>
      <w:pPr>
        <w:spacing w:line="360" w:lineRule="auto"/>
        <w:rPr>
          <w:rFonts w:ascii="宋体"/>
          <w:b/>
          <w:bCs/>
          <w:sz w:val="24"/>
          <w:szCs w:val="24"/>
        </w:rPr>
      </w:pPr>
      <w:r>
        <w:rPr>
          <w:rFonts w:hint="eastAsia" w:ascii="宋体" w:hAnsi="宋体" w:cs="宋体"/>
          <w:b/>
          <w:bCs/>
          <w:sz w:val="24"/>
          <w:szCs w:val="24"/>
        </w:rPr>
        <w:t>项目编号：临[2024]8号</w:t>
      </w:r>
    </w:p>
    <w:p>
      <w:pPr>
        <w:spacing w:line="360" w:lineRule="auto"/>
        <w:rPr>
          <w:rFonts w:hint="eastAsia" w:ascii="宋体" w:hAnsi="宋体" w:cs="宋体"/>
          <w:sz w:val="24"/>
          <w:szCs w:val="24"/>
        </w:rPr>
      </w:pPr>
      <w:r>
        <w:rPr>
          <w:rFonts w:hint="eastAsia" w:ascii="宋体" w:hAnsi="宋体" w:cs="宋体"/>
          <w:b/>
          <w:bCs/>
          <w:sz w:val="24"/>
          <w:szCs w:val="24"/>
        </w:rPr>
        <w:t>项目名称：</w:t>
      </w:r>
      <w:r>
        <w:rPr>
          <w:rFonts w:hint="eastAsia" w:ascii="宋体" w:hAnsi="宋体" w:cs="宋体"/>
          <w:sz w:val="24"/>
          <w:szCs w:val="24"/>
        </w:rPr>
        <w:t xml:space="preserve">东魁杨梅集成创新-东魁杨梅博览馆布展多媒体采购项目 </w:t>
      </w:r>
    </w:p>
    <w:p>
      <w:pPr>
        <w:spacing w:line="360" w:lineRule="auto"/>
        <w:jc w:val="right"/>
        <w:rPr>
          <w:rFonts w:ascii="宋体"/>
          <w:sz w:val="24"/>
          <w:szCs w:val="24"/>
        </w:rPr>
      </w:pPr>
      <w:r>
        <w:rPr>
          <w:rFonts w:hint="eastAsia" w:ascii="宋体" w:hAnsi="宋体" w:cs="宋体"/>
          <w:sz w:val="24"/>
          <w:szCs w:val="24"/>
        </w:rPr>
        <w:t>[货币单位：人民币元]</w:t>
      </w:r>
    </w:p>
    <w:tbl>
      <w:tblPr>
        <w:tblStyle w:val="27"/>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trPr>
        <w:tc>
          <w:tcPr>
            <w:tcW w:w="2694" w:type="dxa"/>
            <w:vMerge w:val="restart"/>
            <w:vAlign w:val="center"/>
          </w:tcPr>
          <w:p>
            <w:pPr>
              <w:autoSpaceDE w:val="0"/>
              <w:autoSpaceDN w:val="0"/>
              <w:spacing w:line="450" w:lineRule="exact"/>
              <w:jc w:val="center"/>
              <w:textAlignment w:val="bottom"/>
              <w:rPr>
                <w:rFonts w:ascii="宋体"/>
                <w:sz w:val="24"/>
                <w:szCs w:val="24"/>
              </w:rPr>
            </w:pPr>
            <w:r>
              <w:rPr>
                <w:rFonts w:hint="eastAsia" w:ascii="宋体" w:hAnsi="宋体" w:cs="宋体"/>
                <w:sz w:val="24"/>
                <w:szCs w:val="24"/>
              </w:rPr>
              <w:t>投标总报价</w:t>
            </w:r>
            <w:r>
              <w:rPr>
                <w:rFonts w:ascii="宋体" w:hAnsi="宋体" w:cs="宋体"/>
                <w:sz w:val="24"/>
                <w:szCs w:val="24"/>
              </w:rPr>
              <w:t>(</w:t>
            </w:r>
            <w:r>
              <w:rPr>
                <w:rFonts w:hint="eastAsia" w:ascii="宋体" w:hAnsi="宋体" w:cs="宋体"/>
                <w:sz w:val="24"/>
                <w:szCs w:val="24"/>
              </w:rPr>
              <w:t>元</w:t>
            </w:r>
            <w:r>
              <w:rPr>
                <w:rFonts w:ascii="宋体" w:hAnsi="宋体" w:cs="宋体"/>
                <w:sz w:val="24"/>
                <w:szCs w:val="24"/>
              </w:rPr>
              <w:t>)</w:t>
            </w:r>
          </w:p>
        </w:tc>
        <w:tc>
          <w:tcPr>
            <w:tcW w:w="1349" w:type="dxa"/>
            <w:vAlign w:val="center"/>
          </w:tcPr>
          <w:p>
            <w:pPr>
              <w:autoSpaceDE w:val="0"/>
              <w:autoSpaceDN w:val="0"/>
              <w:spacing w:line="450" w:lineRule="exact"/>
              <w:jc w:val="center"/>
              <w:textAlignment w:val="bottom"/>
              <w:rPr>
                <w:rFonts w:ascii="宋体"/>
                <w:sz w:val="24"/>
                <w:szCs w:val="24"/>
              </w:rPr>
            </w:pPr>
            <w:r>
              <w:rPr>
                <w:rFonts w:hint="eastAsia" w:ascii="宋体" w:hAnsi="宋体" w:cs="宋体"/>
                <w:sz w:val="24"/>
                <w:szCs w:val="24"/>
              </w:rPr>
              <w:t>大写</w:t>
            </w:r>
          </w:p>
        </w:tc>
        <w:tc>
          <w:tcPr>
            <w:tcW w:w="4629" w:type="dxa"/>
            <w:vAlign w:val="center"/>
          </w:tcPr>
          <w:p>
            <w:pPr>
              <w:autoSpaceDE w:val="0"/>
              <w:autoSpaceDN w:val="0"/>
              <w:spacing w:line="450" w:lineRule="exact"/>
              <w:jc w:val="center"/>
              <w:textAlignment w:val="bottom"/>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trPr>
        <w:tc>
          <w:tcPr>
            <w:tcW w:w="2694" w:type="dxa"/>
            <w:vMerge w:val="continue"/>
            <w:vAlign w:val="center"/>
          </w:tcPr>
          <w:p>
            <w:pPr>
              <w:rPr>
                <w:rFonts w:ascii="宋体"/>
                <w:sz w:val="24"/>
                <w:szCs w:val="24"/>
              </w:rPr>
            </w:pPr>
          </w:p>
        </w:tc>
        <w:tc>
          <w:tcPr>
            <w:tcW w:w="1349" w:type="dxa"/>
            <w:vAlign w:val="center"/>
          </w:tcPr>
          <w:p>
            <w:pPr>
              <w:autoSpaceDE w:val="0"/>
              <w:autoSpaceDN w:val="0"/>
              <w:spacing w:line="450" w:lineRule="exact"/>
              <w:jc w:val="center"/>
              <w:textAlignment w:val="bottom"/>
              <w:rPr>
                <w:rFonts w:ascii="宋体"/>
                <w:sz w:val="24"/>
                <w:szCs w:val="24"/>
              </w:rPr>
            </w:pPr>
            <w:r>
              <w:rPr>
                <w:rFonts w:hint="eastAsia" w:ascii="宋体" w:hAnsi="宋体" w:cs="宋体"/>
                <w:sz w:val="24"/>
                <w:szCs w:val="24"/>
              </w:rPr>
              <w:t>小写</w:t>
            </w:r>
          </w:p>
        </w:tc>
        <w:tc>
          <w:tcPr>
            <w:tcW w:w="4629" w:type="dxa"/>
            <w:vAlign w:val="center"/>
          </w:tcPr>
          <w:p>
            <w:pPr>
              <w:autoSpaceDE w:val="0"/>
              <w:autoSpaceDN w:val="0"/>
              <w:spacing w:line="450" w:lineRule="exact"/>
              <w:jc w:val="center"/>
              <w:textAlignment w:val="bottom"/>
              <w:rPr>
                <w:rFonts w:ascii="宋体"/>
                <w:sz w:val="24"/>
                <w:szCs w:val="24"/>
              </w:rPr>
            </w:pPr>
          </w:p>
        </w:tc>
      </w:tr>
    </w:tbl>
    <w:p>
      <w:pPr>
        <w:spacing w:line="360" w:lineRule="auto"/>
        <w:rPr>
          <w:rFonts w:ascii="宋体"/>
          <w:sz w:val="24"/>
          <w:szCs w:val="24"/>
        </w:rPr>
      </w:pPr>
    </w:p>
    <w:p>
      <w:pPr>
        <w:spacing w:line="360" w:lineRule="auto"/>
        <w:jc w:val="left"/>
        <w:rPr>
          <w:rFonts w:hint="eastAsia" w:ascii="宋体" w:hAnsi="宋体" w:cs="宋体"/>
          <w:b/>
          <w:bCs/>
          <w:sz w:val="24"/>
          <w:szCs w:val="24"/>
        </w:rPr>
      </w:pPr>
      <w:r>
        <w:rPr>
          <w:rFonts w:hint="eastAsia" w:ascii="宋体" w:hAnsi="宋体" w:cs="宋体"/>
          <w:b/>
          <w:bCs/>
          <w:sz w:val="24"/>
          <w:szCs w:val="24"/>
        </w:rPr>
        <w:t>填报要求：</w:t>
      </w:r>
    </w:p>
    <w:p>
      <w:pPr>
        <w:spacing w:line="360" w:lineRule="auto"/>
        <w:ind w:firstLine="482" w:firstLineChars="200"/>
        <w:jc w:val="left"/>
        <w:rPr>
          <w:rFonts w:ascii="仿宋" w:hAnsi="仿宋" w:eastAsia="仿宋" w:cs="仿宋"/>
          <w:b/>
          <w:sz w:val="24"/>
        </w:rPr>
      </w:pPr>
      <w:r>
        <w:rPr>
          <w:rFonts w:hint="eastAsia" w:ascii="仿宋" w:hAnsi="仿宋" w:eastAsia="仿宋" w:cs="仿宋"/>
          <w:b/>
          <w:bCs/>
          <w:sz w:val="24"/>
        </w:rPr>
        <w:t>1、以上报价包括货款、包装、运输、装卸、保险、税金、货到就位以及合同包含的所有风险责任等各项费用及不可预见费等所需的全部费用。投标供应商在报价中应充分考虑作业期间成本投入的市场风险、政策性调整及调查期间的不可预见因素。</w:t>
      </w:r>
    </w:p>
    <w:p>
      <w:pPr>
        <w:spacing w:line="400" w:lineRule="exact"/>
        <w:ind w:firstLine="482" w:firstLineChars="200"/>
        <w:rPr>
          <w:rFonts w:ascii="仿宋" w:hAnsi="仿宋" w:eastAsia="仿宋" w:cs="仿宋"/>
          <w:b/>
          <w:sz w:val="24"/>
        </w:rPr>
      </w:pPr>
      <w:r>
        <w:rPr>
          <w:rFonts w:hint="eastAsia" w:ascii="仿宋" w:hAnsi="仿宋" w:eastAsia="仿宋" w:cs="仿宋"/>
          <w:b/>
          <w:sz w:val="24"/>
        </w:rPr>
        <w:t>2、报价超过预算</w:t>
      </w:r>
      <w:r>
        <w:rPr>
          <w:rFonts w:hint="eastAsia" w:ascii="仿宋" w:hAnsi="仿宋" w:eastAsia="仿宋" w:cs="仿宋"/>
          <w:b/>
          <w:sz w:val="24"/>
          <w:lang w:eastAsia="zh-CN"/>
        </w:rPr>
        <w:t>金额</w:t>
      </w:r>
      <w:r>
        <w:rPr>
          <w:rFonts w:hint="eastAsia" w:ascii="仿宋" w:hAnsi="仿宋" w:eastAsia="仿宋" w:cs="仿宋"/>
          <w:b/>
          <w:sz w:val="24"/>
        </w:rPr>
        <w:t>（或最高限价）的，作无效标处理。</w:t>
      </w:r>
    </w:p>
    <w:p>
      <w:pPr>
        <w:spacing w:line="400" w:lineRule="exact"/>
        <w:ind w:firstLine="482" w:firstLineChars="200"/>
        <w:rPr>
          <w:rFonts w:ascii="仿宋" w:hAnsi="仿宋" w:eastAsia="仿宋" w:cs="仿宋"/>
          <w:sz w:val="24"/>
        </w:rPr>
      </w:pPr>
      <w:r>
        <w:rPr>
          <w:rFonts w:hint="eastAsia" w:ascii="仿宋" w:hAnsi="仿宋" w:eastAsia="仿宋" w:cs="仿宋"/>
          <w:b/>
          <w:sz w:val="24"/>
        </w:rPr>
        <w:t>3、此表不得自行增减内容， 否则按无效标处理。</w:t>
      </w:r>
    </w:p>
    <w:p>
      <w:pPr>
        <w:spacing w:line="360" w:lineRule="auto"/>
        <w:rPr>
          <w:rFonts w:ascii="宋体"/>
          <w:sz w:val="24"/>
          <w:szCs w:val="24"/>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sz w:val="24"/>
          <w:szCs w:val="24"/>
        </w:rPr>
      </w:pPr>
      <w:r>
        <w:rPr>
          <w:rFonts w:hint="eastAsia" w:ascii="宋体" w:hAnsi="宋体" w:cs="宋体"/>
          <w:sz w:val="24"/>
          <w:szCs w:val="24"/>
        </w:rPr>
        <w:t>日期：</w:t>
      </w:r>
    </w:p>
    <w:p>
      <w:pPr>
        <w:spacing w:line="360" w:lineRule="auto"/>
        <w:rPr>
          <w:rFonts w:ascii="宋体"/>
          <w:sz w:val="24"/>
          <w:szCs w:val="24"/>
        </w:rPr>
      </w:pPr>
    </w:p>
    <w:p>
      <w:pPr>
        <w:spacing w:line="360" w:lineRule="auto"/>
        <w:rPr>
          <w:rFonts w:ascii="宋体"/>
          <w:sz w:val="24"/>
          <w:szCs w:val="24"/>
        </w:rPr>
      </w:pPr>
    </w:p>
    <w:p>
      <w:pPr>
        <w:rPr>
          <w:rFonts w:ascii="宋体"/>
          <w:b/>
          <w:bCs/>
          <w:sz w:val="28"/>
          <w:szCs w:val="28"/>
        </w:rPr>
      </w:pPr>
    </w:p>
    <w:p>
      <w:pPr>
        <w:pStyle w:val="2"/>
      </w:pPr>
    </w:p>
    <w:p>
      <w:pPr>
        <w:pStyle w:val="26"/>
      </w:pPr>
    </w:p>
    <w:p>
      <w:pPr>
        <w:spacing w:line="360" w:lineRule="auto"/>
        <w:jc w:val="left"/>
        <w:rPr>
          <w:rFonts w:hint="eastAsia" w:ascii="宋体" w:eastAsia="宋体"/>
          <w:b/>
          <w:bCs/>
          <w:sz w:val="28"/>
          <w:szCs w:val="28"/>
          <w:lang w:eastAsia="zh-CN"/>
        </w:rPr>
      </w:pPr>
      <w:r>
        <w:rPr>
          <w:rFonts w:hint="eastAsia" w:ascii="宋体" w:hAnsi="宋体" w:cs="宋体"/>
          <w:b/>
          <w:bCs/>
          <w:sz w:val="28"/>
          <w:szCs w:val="28"/>
          <w:lang w:val="zh-CN"/>
        </w:rPr>
        <w:t>附件</w:t>
      </w:r>
      <w:r>
        <w:rPr>
          <w:rFonts w:ascii="宋体" w:hAnsi="宋体" w:cs="宋体"/>
          <w:b/>
          <w:bCs/>
          <w:sz w:val="28"/>
          <w:szCs w:val="28"/>
          <w:lang w:val="zh-CN"/>
        </w:rPr>
        <w:t>1</w:t>
      </w:r>
      <w:r>
        <w:rPr>
          <w:rFonts w:hint="eastAsia" w:ascii="宋体" w:hAnsi="宋体" w:cs="宋体"/>
          <w:b/>
          <w:bCs/>
          <w:sz w:val="28"/>
          <w:szCs w:val="28"/>
          <w:lang w:val="en-US" w:eastAsia="zh-CN"/>
        </w:rPr>
        <w:t>3</w:t>
      </w:r>
    </w:p>
    <w:p>
      <w:pPr>
        <w:spacing w:line="360" w:lineRule="auto"/>
        <w:ind w:left="-2" w:hanging="2"/>
        <w:jc w:val="center"/>
        <w:rPr>
          <w:rFonts w:ascii="宋体"/>
          <w:b/>
          <w:bCs/>
          <w:sz w:val="32"/>
          <w:szCs w:val="32"/>
        </w:rPr>
      </w:pPr>
      <w:r>
        <w:rPr>
          <w:rFonts w:hint="eastAsia" w:ascii="宋体" w:hAnsi="宋体" w:cs="宋体"/>
          <w:b/>
          <w:bCs/>
          <w:sz w:val="32"/>
          <w:szCs w:val="32"/>
        </w:rPr>
        <w:t>报价明细表</w:t>
      </w:r>
    </w:p>
    <w:p>
      <w:pPr>
        <w:spacing w:line="360" w:lineRule="auto"/>
        <w:jc w:val="left"/>
        <w:rPr>
          <w:rFonts w:ascii="宋体" w:hAnsi="宋体" w:cs="宋体"/>
          <w:sz w:val="24"/>
          <w:szCs w:val="32"/>
        </w:rPr>
      </w:pPr>
      <w:r>
        <w:rPr>
          <w:rFonts w:hint="eastAsia" w:ascii="宋体" w:hAnsi="宋体" w:cs="宋体"/>
          <w:sz w:val="24"/>
          <w:szCs w:val="32"/>
        </w:rPr>
        <w:t>项目名称：东魁杨梅集成创新-东魁杨梅博览馆布展多媒体采购项目</w:t>
      </w:r>
    </w:p>
    <w:p>
      <w:pPr>
        <w:spacing w:line="360" w:lineRule="auto"/>
        <w:rPr>
          <w:rFonts w:hint="eastAsia" w:ascii="宋体" w:hAnsi="宋体"/>
          <w:sz w:val="24"/>
        </w:rPr>
      </w:pPr>
      <w:r>
        <w:rPr>
          <w:rFonts w:hint="eastAsia" w:ascii="宋体" w:hAnsi="宋体"/>
          <w:sz w:val="24"/>
        </w:rPr>
        <w:t>项目编号：临[2024]8号                                    [货币单位：人民币元]</w:t>
      </w:r>
    </w:p>
    <w:tbl>
      <w:tblPr>
        <w:tblStyle w:val="27"/>
        <w:tblW w:w="93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95"/>
        <w:gridCol w:w="1364"/>
        <w:gridCol w:w="1268"/>
        <w:gridCol w:w="1023"/>
        <w:gridCol w:w="1295"/>
        <w:gridCol w:w="778"/>
        <w:gridCol w:w="81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trPr>
        <w:tc>
          <w:tcPr>
            <w:tcW w:w="713" w:type="dxa"/>
            <w:noWrap w:val="0"/>
            <w:vAlign w:val="center"/>
          </w:tcPr>
          <w:p>
            <w:pPr>
              <w:shd w:val="clear" w:color="auto" w:fill="auto"/>
              <w:spacing w:line="360" w:lineRule="auto"/>
              <w:rPr>
                <w:rFonts w:ascii="宋体" w:hAnsi="宋体"/>
                <w:b/>
                <w:color w:val="000000"/>
                <w:sz w:val="24"/>
              </w:rPr>
            </w:pPr>
            <w:r>
              <w:rPr>
                <w:rFonts w:hint="eastAsia" w:ascii="宋体" w:hAnsi="宋体"/>
                <w:b/>
                <w:color w:val="000000"/>
                <w:sz w:val="24"/>
              </w:rPr>
              <w:t>序号</w:t>
            </w:r>
          </w:p>
        </w:tc>
        <w:tc>
          <w:tcPr>
            <w:tcW w:w="1295" w:type="dxa"/>
            <w:noWrap w:val="0"/>
            <w:vAlign w:val="center"/>
          </w:tcPr>
          <w:p>
            <w:pPr>
              <w:shd w:val="clear" w:color="auto" w:fill="auto"/>
              <w:tabs>
                <w:tab w:val="left" w:pos="8280"/>
              </w:tabs>
              <w:autoSpaceDE w:val="0"/>
              <w:autoSpaceDN w:val="0"/>
              <w:adjustRightInd w:val="0"/>
              <w:spacing w:line="360" w:lineRule="auto"/>
              <w:ind w:right="25"/>
              <w:rPr>
                <w:rFonts w:ascii="宋体" w:hAnsi="宋体"/>
                <w:b/>
                <w:color w:val="000000"/>
                <w:sz w:val="24"/>
              </w:rPr>
            </w:pPr>
            <w:r>
              <w:rPr>
                <w:rFonts w:hint="eastAsia" w:ascii="宋体" w:hAnsi="宋体"/>
                <w:b/>
                <w:color w:val="000000"/>
                <w:sz w:val="24"/>
              </w:rPr>
              <w:t>报价项目</w:t>
            </w:r>
          </w:p>
        </w:tc>
        <w:tc>
          <w:tcPr>
            <w:tcW w:w="1364" w:type="dxa"/>
            <w:noWrap w:val="0"/>
            <w:vAlign w:val="center"/>
          </w:tcPr>
          <w:p>
            <w:pPr>
              <w:shd w:val="clear" w:color="auto" w:fill="auto"/>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品牌、产地</w:t>
            </w:r>
          </w:p>
        </w:tc>
        <w:tc>
          <w:tcPr>
            <w:tcW w:w="1268" w:type="dxa"/>
            <w:noWrap w:val="0"/>
            <w:vAlign w:val="center"/>
          </w:tcPr>
          <w:p>
            <w:pPr>
              <w:shd w:val="clear" w:color="auto" w:fill="auto"/>
              <w:spacing w:line="360" w:lineRule="auto"/>
              <w:ind w:left="52"/>
              <w:jc w:val="center"/>
              <w:rPr>
                <w:rFonts w:ascii="宋体" w:hAnsi="宋体"/>
                <w:b/>
                <w:color w:val="000000"/>
                <w:sz w:val="24"/>
              </w:rPr>
            </w:pPr>
            <w:r>
              <w:rPr>
                <w:rFonts w:hint="eastAsia" w:ascii="宋体" w:hAnsi="宋体"/>
                <w:b/>
                <w:color w:val="000000"/>
                <w:sz w:val="24"/>
              </w:rPr>
              <w:t>型号规格</w:t>
            </w:r>
          </w:p>
        </w:tc>
        <w:tc>
          <w:tcPr>
            <w:tcW w:w="1023" w:type="dxa"/>
            <w:noWrap w:val="0"/>
            <w:vAlign w:val="center"/>
          </w:tcPr>
          <w:p>
            <w:pPr>
              <w:shd w:val="clear" w:color="auto" w:fill="auto"/>
              <w:spacing w:line="360" w:lineRule="auto"/>
              <w:ind w:left="52"/>
              <w:jc w:val="center"/>
              <w:rPr>
                <w:rFonts w:ascii="宋体" w:hAnsi="宋体"/>
                <w:b/>
                <w:color w:val="000000"/>
                <w:sz w:val="24"/>
              </w:rPr>
            </w:pPr>
            <w:r>
              <w:rPr>
                <w:rFonts w:hint="eastAsia" w:ascii="宋体" w:hAnsi="宋体"/>
                <w:b/>
                <w:color w:val="000000"/>
                <w:sz w:val="24"/>
              </w:rPr>
              <w:t>制造商名称</w:t>
            </w:r>
          </w:p>
        </w:tc>
        <w:tc>
          <w:tcPr>
            <w:tcW w:w="1295" w:type="dxa"/>
            <w:noWrap w:val="0"/>
            <w:vAlign w:val="center"/>
          </w:tcPr>
          <w:p>
            <w:pPr>
              <w:shd w:val="clear" w:color="auto" w:fill="auto"/>
              <w:spacing w:line="360" w:lineRule="auto"/>
              <w:ind w:left="52"/>
              <w:jc w:val="center"/>
              <w:rPr>
                <w:rFonts w:ascii="宋体" w:hAnsi="宋体"/>
                <w:b/>
                <w:color w:val="000000"/>
                <w:sz w:val="24"/>
              </w:rPr>
            </w:pPr>
            <w:r>
              <w:rPr>
                <w:rFonts w:hint="eastAsia" w:ascii="宋体" w:hAnsi="宋体"/>
                <w:b/>
                <w:color w:val="000000"/>
                <w:sz w:val="24"/>
              </w:rPr>
              <w:t>是否是小微企业</w:t>
            </w:r>
          </w:p>
        </w:tc>
        <w:tc>
          <w:tcPr>
            <w:tcW w:w="778" w:type="dxa"/>
            <w:noWrap w:val="0"/>
            <w:vAlign w:val="center"/>
          </w:tcPr>
          <w:p>
            <w:pPr>
              <w:shd w:val="clear" w:color="auto" w:fill="auto"/>
              <w:spacing w:line="360" w:lineRule="auto"/>
              <w:jc w:val="center"/>
              <w:rPr>
                <w:rFonts w:ascii="宋体" w:hAnsi="宋体"/>
                <w:b/>
                <w:color w:val="000000"/>
                <w:sz w:val="24"/>
              </w:rPr>
            </w:pPr>
            <w:r>
              <w:rPr>
                <w:rFonts w:hint="eastAsia" w:ascii="宋体" w:hAnsi="宋体"/>
                <w:b/>
                <w:color w:val="000000"/>
                <w:sz w:val="24"/>
              </w:rPr>
              <w:t>单价</w:t>
            </w:r>
          </w:p>
        </w:tc>
        <w:tc>
          <w:tcPr>
            <w:tcW w:w="818" w:type="dxa"/>
            <w:noWrap w:val="0"/>
            <w:vAlign w:val="center"/>
          </w:tcPr>
          <w:p>
            <w:pPr>
              <w:shd w:val="clear" w:color="auto" w:fill="auto"/>
              <w:spacing w:line="360" w:lineRule="auto"/>
              <w:jc w:val="center"/>
              <w:rPr>
                <w:rFonts w:ascii="宋体" w:hAnsi="宋体"/>
                <w:b/>
                <w:color w:val="000000"/>
                <w:sz w:val="24"/>
              </w:rPr>
            </w:pPr>
            <w:r>
              <w:rPr>
                <w:rFonts w:hint="eastAsia" w:ascii="宋体" w:hAnsi="宋体"/>
                <w:b/>
                <w:color w:val="000000"/>
                <w:sz w:val="24"/>
              </w:rPr>
              <w:t>小计</w:t>
            </w:r>
          </w:p>
        </w:tc>
        <w:tc>
          <w:tcPr>
            <w:tcW w:w="791" w:type="dxa"/>
            <w:noWrap w:val="0"/>
            <w:vAlign w:val="center"/>
          </w:tcPr>
          <w:p>
            <w:pPr>
              <w:shd w:val="clear" w:color="auto" w:fill="auto"/>
              <w:spacing w:line="360" w:lineRule="auto"/>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1364" w:type="dxa"/>
            <w:noWrap w:val="0"/>
            <w:vAlign w:val="center"/>
          </w:tcPr>
          <w:p>
            <w:pPr>
              <w:shd w:val="clear" w:color="auto" w:fill="auto"/>
              <w:spacing w:line="360" w:lineRule="auto"/>
              <w:rPr>
                <w:rFonts w:ascii="宋体" w:hAnsi="宋体"/>
                <w:color w:val="000000"/>
                <w:sz w:val="24"/>
              </w:rPr>
            </w:pPr>
          </w:p>
        </w:tc>
        <w:tc>
          <w:tcPr>
            <w:tcW w:w="1268" w:type="dxa"/>
            <w:noWrap w:val="0"/>
            <w:vAlign w:val="center"/>
          </w:tcPr>
          <w:p>
            <w:pPr>
              <w:shd w:val="clear" w:color="auto" w:fill="auto"/>
              <w:spacing w:line="360" w:lineRule="auto"/>
              <w:rPr>
                <w:rFonts w:ascii="宋体" w:hAnsi="宋体"/>
                <w:color w:val="000000"/>
                <w:sz w:val="24"/>
              </w:rPr>
            </w:pPr>
          </w:p>
        </w:tc>
        <w:tc>
          <w:tcPr>
            <w:tcW w:w="102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778" w:type="dxa"/>
            <w:noWrap w:val="0"/>
            <w:vAlign w:val="center"/>
          </w:tcPr>
          <w:p>
            <w:pPr>
              <w:shd w:val="clear" w:color="auto" w:fill="auto"/>
              <w:spacing w:line="360" w:lineRule="auto"/>
              <w:rPr>
                <w:rFonts w:ascii="宋体" w:hAnsi="宋体"/>
                <w:color w:val="000000"/>
                <w:sz w:val="24"/>
              </w:rPr>
            </w:pPr>
          </w:p>
        </w:tc>
        <w:tc>
          <w:tcPr>
            <w:tcW w:w="818" w:type="dxa"/>
            <w:noWrap w:val="0"/>
            <w:vAlign w:val="center"/>
          </w:tcPr>
          <w:p>
            <w:pPr>
              <w:shd w:val="clear" w:color="auto" w:fill="auto"/>
              <w:spacing w:line="360" w:lineRule="auto"/>
              <w:rPr>
                <w:rFonts w:ascii="宋体" w:hAnsi="宋体"/>
                <w:color w:val="000000"/>
                <w:sz w:val="24"/>
              </w:rPr>
            </w:pPr>
          </w:p>
        </w:tc>
        <w:tc>
          <w:tcPr>
            <w:tcW w:w="791" w:type="dxa"/>
            <w:noWrap w:val="0"/>
            <w:vAlign w:val="center"/>
          </w:tcPr>
          <w:p>
            <w:pPr>
              <w:shd w:val="clear" w:color="auto" w:fill="auto"/>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1364" w:type="dxa"/>
            <w:noWrap w:val="0"/>
            <w:vAlign w:val="center"/>
          </w:tcPr>
          <w:p>
            <w:pPr>
              <w:shd w:val="clear" w:color="auto" w:fill="auto"/>
              <w:spacing w:line="360" w:lineRule="auto"/>
              <w:rPr>
                <w:rFonts w:ascii="宋体" w:hAnsi="宋体"/>
                <w:color w:val="000000"/>
                <w:sz w:val="24"/>
              </w:rPr>
            </w:pPr>
          </w:p>
        </w:tc>
        <w:tc>
          <w:tcPr>
            <w:tcW w:w="1268" w:type="dxa"/>
            <w:noWrap w:val="0"/>
            <w:vAlign w:val="center"/>
          </w:tcPr>
          <w:p>
            <w:pPr>
              <w:shd w:val="clear" w:color="auto" w:fill="auto"/>
              <w:spacing w:line="360" w:lineRule="auto"/>
              <w:rPr>
                <w:rFonts w:ascii="宋体" w:hAnsi="宋体"/>
                <w:color w:val="000000"/>
                <w:sz w:val="24"/>
              </w:rPr>
            </w:pPr>
          </w:p>
        </w:tc>
        <w:tc>
          <w:tcPr>
            <w:tcW w:w="102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778" w:type="dxa"/>
            <w:noWrap w:val="0"/>
            <w:vAlign w:val="center"/>
          </w:tcPr>
          <w:p>
            <w:pPr>
              <w:shd w:val="clear" w:color="auto" w:fill="auto"/>
              <w:spacing w:line="360" w:lineRule="auto"/>
              <w:rPr>
                <w:rFonts w:ascii="宋体" w:hAnsi="宋体"/>
                <w:color w:val="000000"/>
                <w:sz w:val="24"/>
              </w:rPr>
            </w:pPr>
          </w:p>
        </w:tc>
        <w:tc>
          <w:tcPr>
            <w:tcW w:w="818" w:type="dxa"/>
            <w:noWrap w:val="0"/>
            <w:vAlign w:val="center"/>
          </w:tcPr>
          <w:p>
            <w:pPr>
              <w:shd w:val="clear" w:color="auto" w:fill="auto"/>
              <w:spacing w:line="360" w:lineRule="auto"/>
              <w:rPr>
                <w:rFonts w:ascii="宋体" w:hAnsi="宋体"/>
                <w:color w:val="000000"/>
                <w:sz w:val="24"/>
              </w:rPr>
            </w:pPr>
          </w:p>
        </w:tc>
        <w:tc>
          <w:tcPr>
            <w:tcW w:w="791" w:type="dxa"/>
            <w:noWrap w:val="0"/>
            <w:vAlign w:val="center"/>
          </w:tcPr>
          <w:p>
            <w:pPr>
              <w:shd w:val="clear" w:color="auto" w:fill="auto"/>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1364" w:type="dxa"/>
            <w:noWrap w:val="0"/>
            <w:vAlign w:val="center"/>
          </w:tcPr>
          <w:p>
            <w:pPr>
              <w:shd w:val="clear" w:color="auto" w:fill="auto"/>
              <w:spacing w:line="360" w:lineRule="auto"/>
              <w:rPr>
                <w:rFonts w:ascii="宋体" w:hAnsi="宋体"/>
                <w:color w:val="000000"/>
                <w:sz w:val="24"/>
              </w:rPr>
            </w:pPr>
          </w:p>
        </w:tc>
        <w:tc>
          <w:tcPr>
            <w:tcW w:w="1268" w:type="dxa"/>
            <w:noWrap w:val="0"/>
            <w:vAlign w:val="center"/>
          </w:tcPr>
          <w:p>
            <w:pPr>
              <w:shd w:val="clear" w:color="auto" w:fill="auto"/>
              <w:spacing w:line="360" w:lineRule="auto"/>
              <w:rPr>
                <w:rFonts w:ascii="宋体" w:hAnsi="宋体"/>
                <w:color w:val="000000"/>
                <w:sz w:val="24"/>
              </w:rPr>
            </w:pPr>
          </w:p>
        </w:tc>
        <w:tc>
          <w:tcPr>
            <w:tcW w:w="102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778" w:type="dxa"/>
            <w:noWrap w:val="0"/>
            <w:vAlign w:val="center"/>
          </w:tcPr>
          <w:p>
            <w:pPr>
              <w:shd w:val="clear" w:color="auto" w:fill="auto"/>
              <w:spacing w:line="360" w:lineRule="auto"/>
              <w:rPr>
                <w:rFonts w:ascii="宋体" w:hAnsi="宋体"/>
                <w:color w:val="000000"/>
                <w:sz w:val="24"/>
              </w:rPr>
            </w:pPr>
          </w:p>
        </w:tc>
        <w:tc>
          <w:tcPr>
            <w:tcW w:w="818" w:type="dxa"/>
            <w:noWrap w:val="0"/>
            <w:vAlign w:val="center"/>
          </w:tcPr>
          <w:p>
            <w:pPr>
              <w:shd w:val="clear" w:color="auto" w:fill="auto"/>
              <w:spacing w:line="360" w:lineRule="auto"/>
              <w:rPr>
                <w:rFonts w:ascii="宋体" w:hAnsi="宋体"/>
                <w:color w:val="000000"/>
                <w:sz w:val="24"/>
              </w:rPr>
            </w:pPr>
          </w:p>
        </w:tc>
        <w:tc>
          <w:tcPr>
            <w:tcW w:w="791" w:type="dxa"/>
            <w:noWrap w:val="0"/>
            <w:vAlign w:val="center"/>
          </w:tcPr>
          <w:p>
            <w:pPr>
              <w:shd w:val="clear" w:color="auto" w:fill="auto"/>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1364" w:type="dxa"/>
            <w:noWrap w:val="0"/>
            <w:vAlign w:val="center"/>
          </w:tcPr>
          <w:p>
            <w:pPr>
              <w:shd w:val="clear" w:color="auto" w:fill="auto"/>
              <w:spacing w:line="360" w:lineRule="auto"/>
              <w:rPr>
                <w:rFonts w:ascii="宋体" w:hAnsi="宋体"/>
                <w:color w:val="000000"/>
                <w:sz w:val="24"/>
              </w:rPr>
            </w:pPr>
          </w:p>
        </w:tc>
        <w:tc>
          <w:tcPr>
            <w:tcW w:w="1268" w:type="dxa"/>
            <w:noWrap w:val="0"/>
            <w:vAlign w:val="center"/>
          </w:tcPr>
          <w:p>
            <w:pPr>
              <w:shd w:val="clear" w:color="auto" w:fill="auto"/>
              <w:spacing w:line="360" w:lineRule="auto"/>
              <w:rPr>
                <w:rFonts w:ascii="宋体" w:hAnsi="宋体"/>
                <w:color w:val="000000"/>
                <w:sz w:val="24"/>
              </w:rPr>
            </w:pPr>
          </w:p>
        </w:tc>
        <w:tc>
          <w:tcPr>
            <w:tcW w:w="102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778" w:type="dxa"/>
            <w:noWrap w:val="0"/>
            <w:vAlign w:val="center"/>
          </w:tcPr>
          <w:p>
            <w:pPr>
              <w:shd w:val="clear" w:color="auto" w:fill="auto"/>
              <w:spacing w:line="360" w:lineRule="auto"/>
              <w:rPr>
                <w:rFonts w:ascii="宋体" w:hAnsi="宋体"/>
                <w:color w:val="000000"/>
                <w:sz w:val="24"/>
              </w:rPr>
            </w:pPr>
          </w:p>
        </w:tc>
        <w:tc>
          <w:tcPr>
            <w:tcW w:w="818" w:type="dxa"/>
            <w:noWrap w:val="0"/>
            <w:vAlign w:val="center"/>
          </w:tcPr>
          <w:p>
            <w:pPr>
              <w:shd w:val="clear" w:color="auto" w:fill="auto"/>
              <w:spacing w:line="360" w:lineRule="auto"/>
              <w:rPr>
                <w:rFonts w:ascii="宋体" w:hAnsi="宋体"/>
                <w:color w:val="000000"/>
                <w:sz w:val="24"/>
              </w:rPr>
            </w:pPr>
          </w:p>
        </w:tc>
        <w:tc>
          <w:tcPr>
            <w:tcW w:w="791" w:type="dxa"/>
            <w:noWrap w:val="0"/>
            <w:vAlign w:val="center"/>
          </w:tcPr>
          <w:p>
            <w:pPr>
              <w:shd w:val="clear" w:color="auto" w:fill="auto"/>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1364" w:type="dxa"/>
            <w:noWrap w:val="0"/>
            <w:vAlign w:val="center"/>
          </w:tcPr>
          <w:p>
            <w:pPr>
              <w:shd w:val="clear" w:color="auto" w:fill="auto"/>
              <w:spacing w:line="360" w:lineRule="auto"/>
              <w:rPr>
                <w:rFonts w:ascii="宋体" w:hAnsi="宋体"/>
                <w:color w:val="000000"/>
                <w:sz w:val="24"/>
              </w:rPr>
            </w:pPr>
          </w:p>
        </w:tc>
        <w:tc>
          <w:tcPr>
            <w:tcW w:w="1268" w:type="dxa"/>
            <w:noWrap w:val="0"/>
            <w:vAlign w:val="center"/>
          </w:tcPr>
          <w:p>
            <w:pPr>
              <w:shd w:val="clear" w:color="auto" w:fill="auto"/>
              <w:spacing w:line="360" w:lineRule="auto"/>
              <w:rPr>
                <w:rFonts w:ascii="宋体" w:hAnsi="宋体"/>
                <w:color w:val="000000"/>
                <w:sz w:val="24"/>
              </w:rPr>
            </w:pPr>
          </w:p>
        </w:tc>
        <w:tc>
          <w:tcPr>
            <w:tcW w:w="1023" w:type="dxa"/>
            <w:noWrap w:val="0"/>
            <w:vAlign w:val="center"/>
          </w:tcPr>
          <w:p>
            <w:pPr>
              <w:shd w:val="clear" w:color="auto" w:fill="auto"/>
              <w:spacing w:line="360" w:lineRule="auto"/>
              <w:rPr>
                <w:rFonts w:ascii="宋体" w:hAnsi="宋体"/>
                <w:color w:val="000000"/>
                <w:sz w:val="24"/>
              </w:rPr>
            </w:pPr>
          </w:p>
        </w:tc>
        <w:tc>
          <w:tcPr>
            <w:tcW w:w="1295" w:type="dxa"/>
            <w:noWrap w:val="0"/>
            <w:vAlign w:val="center"/>
          </w:tcPr>
          <w:p>
            <w:pPr>
              <w:shd w:val="clear" w:color="auto" w:fill="auto"/>
              <w:spacing w:line="360" w:lineRule="auto"/>
              <w:rPr>
                <w:rFonts w:ascii="宋体" w:hAnsi="宋体"/>
                <w:color w:val="000000"/>
                <w:sz w:val="24"/>
              </w:rPr>
            </w:pPr>
          </w:p>
        </w:tc>
        <w:tc>
          <w:tcPr>
            <w:tcW w:w="778" w:type="dxa"/>
            <w:noWrap w:val="0"/>
            <w:vAlign w:val="center"/>
          </w:tcPr>
          <w:p>
            <w:pPr>
              <w:shd w:val="clear" w:color="auto" w:fill="auto"/>
              <w:spacing w:line="360" w:lineRule="auto"/>
              <w:rPr>
                <w:rFonts w:ascii="宋体" w:hAnsi="宋体"/>
                <w:color w:val="000000"/>
                <w:sz w:val="24"/>
              </w:rPr>
            </w:pPr>
          </w:p>
        </w:tc>
        <w:tc>
          <w:tcPr>
            <w:tcW w:w="818" w:type="dxa"/>
            <w:noWrap w:val="0"/>
            <w:vAlign w:val="center"/>
          </w:tcPr>
          <w:p>
            <w:pPr>
              <w:shd w:val="clear" w:color="auto" w:fill="auto"/>
              <w:spacing w:line="360" w:lineRule="auto"/>
              <w:rPr>
                <w:rFonts w:ascii="宋体" w:hAnsi="宋体"/>
                <w:color w:val="000000"/>
                <w:sz w:val="24"/>
              </w:rPr>
            </w:pPr>
          </w:p>
        </w:tc>
        <w:tc>
          <w:tcPr>
            <w:tcW w:w="791" w:type="dxa"/>
            <w:noWrap w:val="0"/>
            <w:vAlign w:val="center"/>
          </w:tcPr>
          <w:p>
            <w:pPr>
              <w:shd w:val="clear" w:color="auto" w:fill="auto"/>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9345" w:type="dxa"/>
            <w:gridSpan w:val="9"/>
            <w:noWrap w:val="0"/>
            <w:vAlign w:val="center"/>
          </w:tcPr>
          <w:p>
            <w:pPr>
              <w:shd w:val="clear" w:color="auto" w:fill="auto"/>
              <w:spacing w:line="360" w:lineRule="auto"/>
              <w:rPr>
                <w:rFonts w:ascii="宋体" w:hAnsi="宋体"/>
                <w:b/>
                <w:color w:val="000000"/>
                <w:sz w:val="24"/>
              </w:rPr>
            </w:pPr>
            <w:r>
              <w:rPr>
                <w:rFonts w:hint="eastAsia" w:ascii="宋体" w:hAnsi="宋体"/>
                <w:b/>
                <w:color w:val="000000"/>
                <w:sz w:val="24"/>
              </w:rPr>
              <w:t>人民币：大写                           小写</w:t>
            </w:r>
          </w:p>
        </w:tc>
      </w:tr>
    </w:tbl>
    <w:p>
      <w:pPr>
        <w:spacing w:line="360" w:lineRule="auto"/>
        <w:rPr>
          <w:rFonts w:ascii="宋体"/>
          <w:b/>
          <w:bCs/>
          <w:sz w:val="24"/>
          <w:szCs w:val="24"/>
        </w:rPr>
      </w:pPr>
      <w:r>
        <w:rPr>
          <w:rFonts w:hint="eastAsia" w:ascii="宋体" w:hAnsi="宋体" w:cs="宋体"/>
          <w:b/>
          <w:bCs/>
          <w:sz w:val="24"/>
          <w:szCs w:val="24"/>
        </w:rPr>
        <w:t>要求：</w:t>
      </w:r>
    </w:p>
    <w:p>
      <w:pPr>
        <w:spacing w:line="360" w:lineRule="auto"/>
        <w:ind w:firstLine="480" w:firstLineChars="200"/>
        <w:rPr>
          <w:rFonts w:ascii="宋体" w:hAnsi="宋体" w:cs="宋体"/>
          <w:sz w:val="24"/>
          <w:szCs w:val="24"/>
          <w:lang w:val="zh-CN"/>
        </w:rPr>
      </w:pPr>
      <w:r>
        <w:rPr>
          <w:rFonts w:ascii="宋体" w:hAnsi="宋体" w:cs="宋体"/>
          <w:sz w:val="24"/>
          <w:szCs w:val="24"/>
        </w:rPr>
        <w:t>1.</w:t>
      </w:r>
      <w:r>
        <w:rPr>
          <w:rFonts w:hint="eastAsia" w:ascii="宋体" w:hAnsi="宋体" w:cs="宋体"/>
          <w:sz w:val="24"/>
          <w:szCs w:val="24"/>
        </w:rPr>
        <w:t>本表为《开标一览表》的报价明细表，如有缺项、漏项，视为投标报价</w:t>
      </w:r>
      <w:r>
        <w:rPr>
          <w:rFonts w:hint="eastAsia" w:ascii="宋体" w:hAnsi="宋体" w:cs="宋体"/>
          <w:sz w:val="24"/>
          <w:szCs w:val="24"/>
          <w:lang w:val="zh-CN"/>
        </w:rPr>
        <w:t>中已包含相关费用，采购人无需另外支付任何费用。</w:t>
      </w:r>
    </w:p>
    <w:p>
      <w:pPr>
        <w:spacing w:line="360" w:lineRule="auto"/>
        <w:ind w:firstLine="480" w:firstLineChars="200"/>
        <w:rPr>
          <w:rFonts w:ascii="宋体" w:hAnsi="宋体" w:cs="宋体"/>
          <w:sz w:val="24"/>
          <w:szCs w:val="24"/>
          <w:lang w:val="zh-CN"/>
        </w:rPr>
      </w:pPr>
      <w:r>
        <w:rPr>
          <w:rFonts w:ascii="宋体" w:hAnsi="宋体" w:cs="宋体"/>
          <w:sz w:val="24"/>
          <w:szCs w:val="24"/>
          <w:lang w:val="zh-CN"/>
        </w:rPr>
        <w:t>2.</w:t>
      </w:r>
      <w:r>
        <w:rPr>
          <w:rFonts w:hint="eastAsia" w:ascii="宋体" w:hAnsi="宋体" w:cs="宋体"/>
          <w:sz w:val="24"/>
          <w:szCs w:val="24"/>
          <w:lang w:val="zh-CN"/>
        </w:rPr>
        <w:t>“报价明细表”中的报价合计应与“开标一览表”中的投标总报价相一致，不一致时，以开标一览表为准。</w:t>
      </w:r>
    </w:p>
    <w:p>
      <w:pPr>
        <w:spacing w:line="360" w:lineRule="auto"/>
        <w:ind w:firstLine="480" w:firstLineChars="200"/>
        <w:rPr>
          <w:rFonts w:ascii="宋体" w:hAnsi="宋体" w:cs="宋体"/>
          <w:sz w:val="24"/>
          <w:szCs w:val="24"/>
          <w:lang w:val="zh-CN"/>
        </w:rPr>
      </w:pPr>
      <w:r>
        <w:rPr>
          <w:rFonts w:ascii="宋体" w:hAnsi="宋体" w:cs="宋体"/>
          <w:sz w:val="24"/>
          <w:szCs w:val="24"/>
          <w:lang w:val="zh-CN"/>
        </w:rPr>
        <w:t>3.</w:t>
      </w:r>
      <w:r>
        <w:rPr>
          <w:rFonts w:hint="eastAsia" w:ascii="宋体" w:hAnsi="宋体" w:cs="宋体"/>
          <w:sz w:val="24"/>
          <w:szCs w:val="24"/>
          <w:lang w:val="zh-CN"/>
        </w:rPr>
        <w:t>投标报价明细表所填内容按招标文件采购</w:t>
      </w:r>
      <w:r>
        <w:rPr>
          <w:rFonts w:hint="eastAsia" w:ascii="宋体" w:hAnsi="宋体" w:cs="宋体"/>
          <w:sz w:val="24"/>
          <w:szCs w:val="24"/>
        </w:rPr>
        <w:t>内容</w:t>
      </w:r>
      <w:r>
        <w:rPr>
          <w:rFonts w:hint="eastAsia" w:ascii="宋体" w:hAnsi="宋体" w:cs="宋体"/>
          <w:sz w:val="24"/>
          <w:szCs w:val="24"/>
          <w:lang w:val="zh-CN"/>
        </w:rPr>
        <w:t>要求为准。如有漏报的，视同已包含在投标总价内或已作优惠处理。有重大缺项的将作无效标处理。</w:t>
      </w:r>
    </w:p>
    <w:p>
      <w:pPr>
        <w:spacing w:line="360" w:lineRule="auto"/>
        <w:ind w:firstLine="480" w:firstLineChars="200"/>
        <w:jc w:val="left"/>
        <w:rPr>
          <w:rFonts w:ascii="宋体"/>
          <w:sz w:val="24"/>
          <w:szCs w:val="24"/>
        </w:rPr>
      </w:pPr>
    </w:p>
    <w:p>
      <w:pPr>
        <w:spacing w:line="480" w:lineRule="auto"/>
        <w:rPr>
          <w:rFonts w:ascii="宋体"/>
          <w:sz w:val="24"/>
          <w:szCs w:val="24"/>
        </w:rPr>
      </w:pPr>
      <w:r>
        <w:rPr>
          <w:rFonts w:hint="eastAsia" w:ascii="宋体" w:hAnsi="宋体" w:cs="宋体"/>
          <w:sz w:val="24"/>
          <w:szCs w:val="24"/>
        </w:rPr>
        <w:t>投标人名称（盖章）：</w:t>
      </w:r>
    </w:p>
    <w:p>
      <w:pPr>
        <w:spacing w:line="480" w:lineRule="auto"/>
        <w:rPr>
          <w:rFonts w:ascii="宋体"/>
          <w:sz w:val="24"/>
          <w:szCs w:val="24"/>
        </w:rPr>
      </w:pPr>
      <w:r>
        <w:rPr>
          <w:rFonts w:hint="eastAsia" w:ascii="宋体" w:hAnsi="宋体" w:cs="宋体"/>
          <w:sz w:val="24"/>
          <w:szCs w:val="24"/>
        </w:rPr>
        <w:t>授权委托代理人签字或盖章：</w:t>
      </w:r>
    </w:p>
    <w:p>
      <w:pPr>
        <w:spacing w:line="480" w:lineRule="auto"/>
        <w:rPr>
          <w:rFonts w:ascii="宋体" w:hAnsi="宋体" w:cs="宋体"/>
          <w:sz w:val="24"/>
          <w:szCs w:val="24"/>
        </w:rPr>
      </w:pPr>
      <w:r>
        <w:rPr>
          <w:rFonts w:hint="eastAsia" w:ascii="宋体" w:hAnsi="宋体" w:cs="宋体"/>
          <w:sz w:val="24"/>
          <w:szCs w:val="24"/>
        </w:rPr>
        <w:t>日期：</w:t>
      </w:r>
    </w:p>
    <w:p>
      <w:pPr>
        <w:pStyle w:val="12"/>
        <w:rPr>
          <w:rFonts w:ascii="宋体" w:hAnsi="宋体" w:cs="宋体"/>
        </w:rPr>
      </w:pPr>
    </w:p>
    <w:p>
      <w:pPr>
        <w:spacing w:line="360" w:lineRule="auto"/>
        <w:jc w:val="left"/>
        <w:rPr>
          <w:rFonts w:hint="eastAsia" w:ascii="宋体" w:eastAsia="宋体"/>
          <w:b/>
          <w:bCs/>
          <w:sz w:val="28"/>
          <w:szCs w:val="28"/>
          <w:lang w:eastAsia="zh-CN"/>
        </w:rPr>
      </w:pPr>
      <w:r>
        <w:rPr>
          <w:rFonts w:hint="eastAsia" w:ascii="宋体" w:hAnsi="宋体" w:cs="宋体"/>
          <w:b/>
          <w:bCs/>
          <w:sz w:val="28"/>
          <w:szCs w:val="28"/>
        </w:rPr>
        <w:t>附件</w:t>
      </w:r>
      <w:r>
        <w:rPr>
          <w:rFonts w:ascii="宋体" w:hAnsi="宋体" w:cs="宋体"/>
          <w:b/>
          <w:bCs/>
          <w:sz w:val="28"/>
          <w:szCs w:val="28"/>
        </w:rPr>
        <w:t>1</w:t>
      </w:r>
      <w:r>
        <w:rPr>
          <w:rFonts w:hint="eastAsia" w:ascii="宋体" w:hAnsi="宋体" w:cs="宋体"/>
          <w:b/>
          <w:bCs/>
          <w:sz w:val="28"/>
          <w:szCs w:val="28"/>
          <w:lang w:val="en-US" w:eastAsia="zh-CN"/>
        </w:rPr>
        <w:t>4</w:t>
      </w:r>
    </w:p>
    <w:p>
      <w:pPr>
        <w:shd w:val="clear" w:color="auto" w:fill="auto"/>
        <w:spacing w:line="360" w:lineRule="auto"/>
        <w:jc w:val="center"/>
        <w:rPr>
          <w:rFonts w:ascii="宋体" w:hAnsi="宋体" w:cs="宋体"/>
          <w:b/>
          <w:color w:val="000000"/>
          <w:sz w:val="32"/>
          <w:szCs w:val="32"/>
        </w:rPr>
      </w:pPr>
      <w:r>
        <w:rPr>
          <w:rFonts w:hint="eastAsia" w:ascii="宋体" w:hAnsi="宋体" w:cs="宋体"/>
          <w:b/>
          <w:color w:val="000000"/>
          <w:sz w:val="32"/>
          <w:szCs w:val="32"/>
        </w:rPr>
        <w:t>中小企业声明函（货物）</w:t>
      </w:r>
    </w:p>
    <w:p>
      <w:pPr>
        <w:shd w:val="clear" w:color="auto" w:fill="auto"/>
        <w:spacing w:line="360" w:lineRule="auto"/>
        <w:ind w:firstLine="480" w:firstLineChars="200"/>
        <w:jc w:val="left"/>
        <w:rPr>
          <w:color w:val="000000"/>
        </w:rPr>
      </w:pPr>
      <w:r>
        <w:rPr>
          <w:rFonts w:hint="eastAsia" w:ascii="宋体" w:hAnsi="宋体" w:cs="宋体"/>
          <w:color w:val="000000"/>
          <w:sz w:val="24"/>
          <w:szCs w:val="24"/>
          <w:shd w:val="clear" w:color="auto" w:fill="FFFFFF"/>
        </w:rPr>
        <w:t>本公司（联合体）郑重声明，根据《政府采购促进中小企业发展管理办法》（财库﹝2020﹞46号）的规定，本公司（联合体）参加</w:t>
      </w:r>
      <w:r>
        <w:rPr>
          <w:rFonts w:hint="eastAsia" w:ascii="宋体" w:hAnsi="宋体" w:cs="宋体"/>
          <w:color w:val="000000"/>
          <w:sz w:val="24"/>
          <w:szCs w:val="24"/>
          <w:u w:val="single"/>
          <w:shd w:val="clear" w:color="auto" w:fill="FFFFFF"/>
          <w:lang w:eastAsia="zh-CN"/>
        </w:rPr>
        <w:t>台州市黄岩区人民政府江口街道办事处</w:t>
      </w:r>
      <w:r>
        <w:rPr>
          <w:rFonts w:hint="eastAsia" w:ascii="宋体" w:hAnsi="宋体" w:cs="宋体"/>
          <w:color w:val="000000"/>
          <w:sz w:val="24"/>
          <w:szCs w:val="24"/>
          <w:shd w:val="clear" w:color="auto" w:fill="FFFFFF"/>
        </w:rPr>
        <w:t>的</w:t>
      </w:r>
      <w:r>
        <w:rPr>
          <w:rFonts w:hint="eastAsia" w:ascii="宋体" w:hAnsi="宋体" w:cs="宋体"/>
          <w:color w:val="000000"/>
          <w:sz w:val="24"/>
          <w:szCs w:val="24"/>
          <w:u w:val="single"/>
          <w:shd w:val="clear" w:color="auto" w:fill="FFFFFF"/>
        </w:rPr>
        <w:t>东魁杨梅集成创新-东魁杨梅博览馆布展多媒体采购项目</w:t>
      </w:r>
      <w:r>
        <w:rPr>
          <w:rFonts w:hint="eastAsia" w:ascii="宋体" w:hAnsi="宋体" w:cs="宋体"/>
          <w:color w:val="000000"/>
          <w:sz w:val="24"/>
          <w:szCs w:val="24"/>
          <w:shd w:val="clear" w:color="auto" w:fill="FFFFFF"/>
        </w:rPr>
        <w:t>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1.</w:t>
      </w:r>
      <w:r>
        <w:rPr>
          <w:rFonts w:hint="eastAsia" w:ascii="宋体" w:hAnsi="宋体" w:cs="宋体"/>
          <w:bCs/>
          <w:color w:val="000000"/>
          <w:sz w:val="24"/>
          <w:u w:val="single"/>
        </w:rPr>
        <w:t>（标的名称）</w:t>
      </w:r>
      <w:r>
        <w:rPr>
          <w:rFonts w:hint="eastAsia" w:ascii="宋体" w:hAnsi="宋体" w:cs="宋体"/>
          <w:bCs/>
          <w:color w:val="000000"/>
          <w:sz w:val="24"/>
        </w:rPr>
        <w:t>，属于</w:t>
      </w:r>
      <w:r>
        <w:rPr>
          <w:rFonts w:hint="eastAsia" w:ascii="宋体" w:hAnsi="宋体" w:cs="宋体"/>
          <w:bCs/>
          <w:color w:val="000000"/>
          <w:sz w:val="24"/>
          <w:u w:val="single"/>
        </w:rPr>
        <w:t>（采购文件中明确的所属行业）</w:t>
      </w:r>
      <w:r>
        <w:rPr>
          <w:rFonts w:hint="eastAsia" w:ascii="宋体" w:hAnsi="宋体" w:cs="宋体"/>
          <w:bCs/>
          <w:color w:val="000000"/>
          <w:sz w:val="24"/>
        </w:rPr>
        <w:t>行业；制造商为</w:t>
      </w:r>
      <w:r>
        <w:rPr>
          <w:rFonts w:hint="eastAsia" w:ascii="宋体" w:hAnsi="宋体" w:cs="宋体"/>
          <w:bCs/>
          <w:color w:val="000000"/>
          <w:sz w:val="24"/>
          <w:u w:val="single"/>
        </w:rPr>
        <w:t>（企业名称）</w:t>
      </w:r>
      <w:r>
        <w:rPr>
          <w:rFonts w:hint="eastAsia" w:ascii="宋体" w:hAnsi="宋体" w:cs="宋体"/>
          <w:bCs/>
          <w:color w:val="000000"/>
          <w:sz w:val="24"/>
        </w:rPr>
        <w:t>，从业人员人，营业收入为万元，资产总额为万元</w:t>
      </w:r>
      <w:r>
        <w:rPr>
          <w:rStyle w:val="33"/>
          <w:rFonts w:hint="eastAsia" w:ascii="宋体" w:hAnsi="宋体" w:cs="宋体"/>
          <w:bCs/>
          <w:color w:val="000000"/>
          <w:sz w:val="24"/>
        </w:rPr>
        <w:footnoteReference w:id="0"/>
      </w:r>
      <w:r>
        <w:rPr>
          <w:rFonts w:hint="eastAsia" w:ascii="宋体" w:hAnsi="宋体" w:cs="宋体"/>
          <w:bCs/>
          <w:color w:val="000000"/>
          <w:sz w:val="24"/>
        </w:rPr>
        <w:t>，属于</w:t>
      </w:r>
      <w:r>
        <w:rPr>
          <w:rFonts w:hint="eastAsia" w:ascii="宋体" w:hAnsi="宋体" w:cs="宋体"/>
          <w:bCs/>
          <w:color w:val="000000"/>
          <w:sz w:val="24"/>
          <w:u w:val="single"/>
        </w:rPr>
        <w:t>（中型企业、小型企业、微型企业）</w:t>
      </w:r>
      <w:r>
        <w:rPr>
          <w:rFonts w:hint="eastAsia" w:ascii="宋体" w:hAnsi="宋体" w:cs="宋体"/>
          <w:bCs/>
          <w:color w:val="000000"/>
          <w:sz w:val="24"/>
        </w:rPr>
        <w:t>；</w:t>
      </w:r>
    </w:p>
    <w:p>
      <w:pPr>
        <w:shd w:val="clear" w:color="auto" w:fill="auto"/>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2.</w:t>
      </w:r>
      <w:r>
        <w:rPr>
          <w:rFonts w:hint="eastAsia" w:ascii="宋体" w:hAnsi="宋体" w:cs="宋体"/>
          <w:bCs/>
          <w:color w:val="000000"/>
          <w:sz w:val="24"/>
          <w:u w:val="single"/>
        </w:rPr>
        <w:t>（标的名称）</w:t>
      </w:r>
      <w:r>
        <w:rPr>
          <w:rFonts w:hint="eastAsia" w:ascii="宋体" w:hAnsi="宋体" w:cs="宋体"/>
          <w:bCs/>
          <w:color w:val="000000"/>
          <w:sz w:val="24"/>
        </w:rPr>
        <w:t>，属于</w:t>
      </w:r>
      <w:r>
        <w:rPr>
          <w:rFonts w:hint="eastAsia" w:ascii="宋体" w:hAnsi="宋体" w:cs="宋体"/>
          <w:bCs/>
          <w:color w:val="000000"/>
          <w:sz w:val="24"/>
          <w:u w:val="single"/>
        </w:rPr>
        <w:t>（采购文件中明确的所属行业）</w:t>
      </w:r>
      <w:r>
        <w:rPr>
          <w:rFonts w:hint="eastAsia" w:ascii="宋体" w:hAnsi="宋体" w:cs="宋体"/>
          <w:bCs/>
          <w:color w:val="000000"/>
          <w:sz w:val="24"/>
        </w:rPr>
        <w:t>行业；制造商为</w:t>
      </w:r>
      <w:r>
        <w:rPr>
          <w:rFonts w:hint="eastAsia" w:ascii="宋体" w:hAnsi="宋体" w:cs="宋体"/>
          <w:bCs/>
          <w:color w:val="000000"/>
          <w:sz w:val="24"/>
          <w:u w:val="single"/>
        </w:rPr>
        <w:t>（企业名称）</w:t>
      </w:r>
      <w:r>
        <w:rPr>
          <w:rFonts w:hint="eastAsia" w:ascii="宋体" w:hAnsi="宋体" w:cs="宋体"/>
          <w:bCs/>
          <w:color w:val="000000"/>
          <w:sz w:val="24"/>
        </w:rPr>
        <w:t>，从业人员人，营业收入为万元，资产总额为万元，属于</w:t>
      </w:r>
      <w:r>
        <w:rPr>
          <w:rFonts w:hint="eastAsia" w:ascii="宋体" w:hAnsi="宋体" w:cs="宋体"/>
          <w:bCs/>
          <w:color w:val="000000"/>
          <w:sz w:val="24"/>
          <w:u w:val="single"/>
        </w:rPr>
        <w:t>（中型企业、小型企业、微型企业）</w:t>
      </w:r>
      <w:r>
        <w:rPr>
          <w:rFonts w:hint="eastAsia" w:ascii="宋体" w:hAnsi="宋体" w:cs="宋体"/>
          <w:bCs/>
          <w:color w:val="000000"/>
          <w:sz w:val="24"/>
        </w:rPr>
        <w:t>；</w:t>
      </w:r>
    </w:p>
    <w:p>
      <w:pPr>
        <w:shd w:val="clear" w:color="auto" w:fill="auto"/>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w:t>
      </w:r>
    </w:p>
    <w:p>
      <w:pPr>
        <w:shd w:val="clear" w:color="auto" w:fill="auto"/>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 xml:space="preserve">本企业对上述声明内容的真实性负责。如有虚假，将依法承担相应责任。 </w:t>
      </w:r>
    </w:p>
    <w:p>
      <w:pPr>
        <w:shd w:val="clear" w:color="auto" w:fill="auto"/>
        <w:spacing w:line="360" w:lineRule="auto"/>
        <w:jc w:val="left"/>
        <w:rPr>
          <w:rFonts w:ascii="宋体" w:hAnsi="宋体" w:cs="宋体"/>
          <w:bCs/>
          <w:color w:val="000000"/>
          <w:sz w:val="24"/>
        </w:rPr>
      </w:pPr>
    </w:p>
    <w:p>
      <w:pPr>
        <w:shd w:val="clear" w:color="auto" w:fill="auto"/>
        <w:spacing w:line="360" w:lineRule="auto"/>
        <w:ind w:firstLine="4800" w:firstLineChars="2000"/>
        <w:jc w:val="left"/>
        <w:rPr>
          <w:rFonts w:ascii="宋体" w:hAnsi="宋体" w:cs="宋体"/>
          <w:bCs/>
          <w:color w:val="000000"/>
          <w:sz w:val="24"/>
        </w:rPr>
      </w:pPr>
      <w:r>
        <w:rPr>
          <w:rFonts w:hint="eastAsia" w:ascii="宋体" w:hAnsi="宋体" w:cs="宋体"/>
          <w:bCs/>
          <w:color w:val="000000"/>
          <w:sz w:val="24"/>
        </w:rPr>
        <w:t>企业名称（盖章）：</w:t>
      </w:r>
    </w:p>
    <w:p>
      <w:pPr>
        <w:shd w:val="clear" w:color="auto" w:fill="auto"/>
        <w:spacing w:line="360" w:lineRule="auto"/>
        <w:ind w:firstLine="4800" w:firstLineChars="2000"/>
        <w:jc w:val="left"/>
        <w:rPr>
          <w:rFonts w:ascii="宋体" w:hAnsi="宋体" w:cs="宋体"/>
          <w:bCs/>
          <w:color w:val="000000"/>
          <w:sz w:val="24"/>
        </w:rPr>
      </w:pPr>
      <w:r>
        <w:rPr>
          <w:rFonts w:hint="eastAsia" w:ascii="宋体" w:hAnsi="宋体" w:cs="宋体"/>
          <w:bCs/>
          <w:color w:val="000000"/>
          <w:sz w:val="24"/>
        </w:rPr>
        <w:t>日    期：</w:t>
      </w:r>
    </w:p>
    <w:p>
      <w:pPr>
        <w:spacing w:line="360" w:lineRule="auto"/>
        <w:rPr>
          <w:rFonts w:ascii="宋体" w:hAnsi="宋体" w:cs="宋体"/>
          <w:bCs/>
          <w:sz w:val="24"/>
          <w:szCs w:val="24"/>
        </w:rPr>
      </w:pPr>
    </w:p>
    <w:p>
      <w:pPr>
        <w:spacing w:line="360" w:lineRule="auto"/>
        <w:ind w:left="-2" w:hanging="2"/>
        <w:jc w:val="center"/>
        <w:rPr>
          <w:rFonts w:ascii="宋体" w:hAnsi="宋体" w:cs="宋体"/>
          <w:b/>
          <w:sz w:val="32"/>
          <w:szCs w:val="32"/>
          <w:lang w:val="en-GB"/>
        </w:rPr>
      </w:pPr>
    </w:p>
    <w:p>
      <w:pPr>
        <w:spacing w:line="360" w:lineRule="auto"/>
        <w:ind w:left="-2" w:hanging="2"/>
        <w:jc w:val="center"/>
        <w:rPr>
          <w:rFonts w:ascii="宋体" w:hAnsi="宋体" w:cs="宋体"/>
          <w:b/>
          <w:sz w:val="32"/>
          <w:szCs w:val="32"/>
          <w:lang w:val="en-GB"/>
        </w:rPr>
      </w:pPr>
    </w:p>
    <w:p>
      <w:pPr>
        <w:spacing w:line="360" w:lineRule="auto"/>
        <w:ind w:left="-2" w:hanging="2"/>
        <w:jc w:val="center"/>
        <w:rPr>
          <w:rFonts w:ascii="宋体" w:hAnsi="宋体" w:cs="宋体"/>
          <w:b/>
          <w:sz w:val="32"/>
          <w:szCs w:val="32"/>
          <w:lang w:val="en-GB"/>
        </w:rPr>
      </w:pPr>
    </w:p>
    <w:p>
      <w:pPr>
        <w:spacing w:line="360" w:lineRule="auto"/>
        <w:ind w:left="-2" w:hanging="2"/>
        <w:jc w:val="center"/>
        <w:rPr>
          <w:rFonts w:ascii="宋体" w:hAnsi="宋体" w:cs="宋体"/>
          <w:b/>
          <w:sz w:val="32"/>
          <w:szCs w:val="32"/>
          <w:lang w:val="en-GB"/>
        </w:rPr>
      </w:pPr>
    </w:p>
    <w:p>
      <w:pPr>
        <w:pStyle w:val="2"/>
        <w:rPr>
          <w:lang w:val="en-GB"/>
        </w:rPr>
      </w:pPr>
    </w:p>
    <w:p>
      <w:pPr>
        <w:spacing w:line="360" w:lineRule="auto"/>
        <w:ind w:left="-2" w:hanging="2"/>
        <w:jc w:val="center"/>
        <w:rPr>
          <w:rFonts w:ascii="宋体" w:hAnsi="宋体" w:cs="宋体"/>
          <w:b/>
          <w:sz w:val="32"/>
          <w:szCs w:val="32"/>
          <w:lang w:val="en-GB"/>
        </w:rPr>
      </w:pPr>
      <w:r>
        <w:rPr>
          <w:rFonts w:hint="eastAsia" w:ascii="宋体" w:hAnsi="宋体" w:cs="宋体"/>
          <w:b/>
          <w:sz w:val="32"/>
          <w:szCs w:val="32"/>
          <w:lang w:val="en-GB"/>
        </w:rPr>
        <w:t>残疾人福利性单位声明函</w:t>
      </w:r>
    </w:p>
    <w:p>
      <w:pPr>
        <w:spacing w:line="360" w:lineRule="auto"/>
        <w:ind w:firstLine="480" w:firstLineChars="200"/>
        <w:rPr>
          <w:rFonts w:ascii="宋体" w:hAnsi="宋体" w:cs="宋体"/>
          <w:sz w:val="24"/>
          <w:szCs w:val="24"/>
        </w:rPr>
      </w:pPr>
      <w:r>
        <w:rPr>
          <w:rFonts w:hint="eastAsia" w:ascii="宋体" w:hAnsi="宋体" w:cs="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szCs w:val="24"/>
        </w:rPr>
      </w:pPr>
      <w:r>
        <w:rPr>
          <w:rFonts w:hint="eastAsia" w:ascii="宋体" w:hAnsi="宋体" w:cs="宋体"/>
          <w:sz w:val="24"/>
          <w:szCs w:val="24"/>
        </w:rPr>
        <w:t>本单位对上述声明的真实性负责。如有虚假，将依法承担相应责任。</w:t>
      </w:r>
    </w:p>
    <w:p>
      <w:pPr>
        <w:spacing w:line="360" w:lineRule="auto"/>
        <w:ind w:firstLine="3120" w:firstLineChars="1300"/>
        <w:rPr>
          <w:rFonts w:ascii="宋体" w:hAnsi="宋体" w:cs="宋体"/>
          <w:bCs/>
          <w:sz w:val="24"/>
          <w:szCs w:val="24"/>
        </w:rPr>
      </w:pPr>
      <w:r>
        <w:rPr>
          <w:rFonts w:hint="eastAsia" w:ascii="宋体" w:hAnsi="宋体" w:cs="宋体"/>
          <w:bCs/>
          <w:sz w:val="24"/>
          <w:szCs w:val="24"/>
        </w:rPr>
        <w:t>单位名称（单位公章）：</w:t>
      </w:r>
    </w:p>
    <w:p>
      <w:pPr>
        <w:spacing w:line="360" w:lineRule="auto"/>
        <w:ind w:firstLine="5040" w:firstLineChars="2100"/>
        <w:rPr>
          <w:rFonts w:ascii="宋体" w:hAnsi="宋体" w:cs="宋体"/>
        </w:rPr>
      </w:pPr>
      <w:r>
        <w:rPr>
          <w:rFonts w:hint="eastAsia" w:ascii="宋体" w:hAnsi="宋体" w:cs="宋体"/>
          <w:bCs/>
          <w:sz w:val="24"/>
          <w:szCs w:val="24"/>
        </w:rPr>
        <w:t>日期：</w:t>
      </w: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xml:space="preserve">    </w:t>
      </w:r>
      <w:r>
        <w:rPr>
          <w:rFonts w:hint="eastAsia" w:ascii="宋体" w:hAnsi="宋体" w:cs="宋体"/>
          <w:bCs/>
          <w:sz w:val="24"/>
          <w:szCs w:val="24"/>
        </w:rPr>
        <w:t>月</w:t>
      </w:r>
      <w:r>
        <w:rPr>
          <w:rFonts w:hint="eastAsia" w:ascii="宋体" w:hAnsi="宋体" w:cs="宋体"/>
          <w:bCs/>
          <w:sz w:val="24"/>
          <w:szCs w:val="24"/>
          <w:u w:val="single"/>
        </w:rPr>
        <w:t xml:space="preserve">    </w:t>
      </w:r>
      <w:r>
        <w:rPr>
          <w:rFonts w:hint="eastAsia" w:ascii="宋体" w:hAnsi="宋体" w:cs="宋体"/>
          <w:bCs/>
          <w:sz w:val="24"/>
          <w:szCs w:val="24"/>
        </w:rPr>
        <w:t>日</w:t>
      </w:r>
    </w:p>
    <w:p>
      <w:pPr>
        <w:spacing w:line="360" w:lineRule="auto"/>
        <w:rPr>
          <w:rFonts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填表说明：</w:t>
      </w:r>
    </w:p>
    <w:p>
      <w:pPr>
        <w:shd w:val="clear" w:color="auto" w:fill="auto"/>
        <w:spacing w:line="360" w:lineRule="auto"/>
        <w:rPr>
          <w:rFonts w:ascii="宋体" w:hAnsi="宋体" w:cs="宋体"/>
          <w:b/>
          <w:bCs/>
          <w:color w:val="000000"/>
          <w:sz w:val="24"/>
        </w:rPr>
      </w:pPr>
      <w:r>
        <w:rPr>
          <w:rFonts w:hint="eastAsia" w:ascii="宋体" w:hAnsi="宋体" w:cs="宋体"/>
          <w:b/>
          <w:bCs/>
          <w:color w:val="000000"/>
          <w:sz w:val="24"/>
        </w:rPr>
        <w:t>1、标的设备分别由不同制造商制造的，请按序号填写齐全所有标的货物制造商的信息。</w:t>
      </w:r>
    </w:p>
    <w:p>
      <w:pPr>
        <w:shd w:val="clear" w:color="auto" w:fill="auto"/>
        <w:spacing w:line="360" w:lineRule="auto"/>
        <w:rPr>
          <w:rFonts w:ascii="宋体" w:hAnsi="宋体" w:cs="宋体"/>
          <w:b/>
          <w:bCs/>
          <w:color w:val="000000"/>
          <w:sz w:val="24"/>
        </w:rPr>
      </w:pPr>
      <w:r>
        <w:rPr>
          <w:rFonts w:hint="eastAsia" w:ascii="宋体" w:hAnsi="宋体" w:cs="宋体"/>
          <w:b/>
          <w:bCs/>
          <w:color w:val="000000"/>
          <w:sz w:val="24"/>
        </w:rPr>
        <w:t>2、为了更加准确判定制造商是否为小微企业，请供应商根据工业和信息化部官方网站---中小企业规模类型自测小程序来辨别制造商企业规模类型，中小企业规模类型自测小程序链接网址为</w:t>
      </w:r>
    </w:p>
    <w:p>
      <w:pPr>
        <w:spacing w:line="360" w:lineRule="auto"/>
        <w:rPr>
          <w:rFonts w:hint="eastAsia" w:ascii="宋体" w:hAnsi="宋体" w:eastAsia="宋体" w:cs="宋体"/>
          <w:b/>
          <w:bCs/>
          <w:sz w:val="24"/>
          <w:szCs w:val="24"/>
          <w:lang w:eastAsia="zh-CN"/>
        </w:rPr>
      </w:pPr>
      <w:r>
        <w:rPr>
          <w:rFonts w:hint="eastAsia" w:ascii="宋体" w:hAnsi="宋体" w:cs="宋体"/>
          <w:b/>
          <w:bCs/>
          <w:sz w:val="24"/>
          <w:szCs w:val="24"/>
          <w:lang w:eastAsia="zh-CN"/>
        </w:rPr>
        <w:t>https://baosong.miit.gov.cn/ScaleTest</w:t>
      </w:r>
    </w:p>
    <w:p>
      <w:pPr>
        <w:spacing w:line="360" w:lineRule="auto"/>
        <w:rPr>
          <w:rFonts w:ascii="宋体" w:hAnsi="宋体" w:cs="宋体"/>
          <w:b/>
          <w:bCs/>
          <w:sz w:val="24"/>
          <w:szCs w:val="24"/>
        </w:rPr>
      </w:pPr>
      <w:r>
        <w:rPr>
          <w:rFonts w:hint="eastAsia" w:ascii="宋体" w:hAnsi="宋体" w:cs="宋体"/>
          <w:b/>
          <w:bCs/>
          <w:sz w:val="24"/>
          <w:szCs w:val="24"/>
        </w:rPr>
        <w:t>3、供应商未提供《中小企业声明函》的</w:t>
      </w:r>
      <w:r>
        <w:rPr>
          <w:rFonts w:hint="eastAsia" w:ascii="宋体" w:hAnsi="宋体" w:cs="宋体"/>
          <w:b/>
          <w:bCs/>
          <w:sz w:val="24"/>
          <w:szCs w:val="24"/>
          <w:lang w:eastAsia="zh-CN"/>
        </w:rPr>
        <w:t>、</w:t>
      </w:r>
      <w:r>
        <w:rPr>
          <w:rFonts w:hint="eastAsia" w:ascii="宋体" w:hAnsi="宋体" w:cs="宋体"/>
          <w:b/>
          <w:bCs/>
          <w:sz w:val="24"/>
          <w:szCs w:val="24"/>
        </w:rPr>
        <w:t>《中小企业声明函》中内容应填写而未进行填写或未如实填写的，将不给予供应商小微企业报价优惠扣除。</w:t>
      </w:r>
    </w:p>
    <w:p>
      <w:pPr>
        <w:spacing w:line="360" w:lineRule="auto"/>
        <w:rPr>
          <w:rFonts w:ascii="宋体" w:hAnsi="宋体" w:cs="宋体"/>
          <w:b/>
          <w:bCs/>
          <w:sz w:val="24"/>
          <w:szCs w:val="24"/>
        </w:rPr>
      </w:pPr>
      <w:r>
        <w:rPr>
          <w:rFonts w:hint="eastAsia" w:ascii="宋体" w:hAnsi="宋体" w:cs="宋体"/>
          <w:b/>
          <w:bCs/>
          <w:sz w:val="24"/>
          <w:szCs w:val="24"/>
        </w:rPr>
        <w:t>预成交供应商享受小微企业报价优惠扣除的，将按规定公开预成交供应商的《中小企业声明函》。</w:t>
      </w:r>
    </w:p>
    <w:p>
      <w:pPr>
        <w:numPr>
          <w:ilvl w:val="0"/>
          <w:numId w:val="13"/>
        </w:numPr>
        <w:spacing w:line="360" w:lineRule="auto"/>
        <w:rPr>
          <w:rFonts w:ascii="宋体" w:hAnsi="宋体" w:cs="宋体"/>
          <w:b/>
          <w:bCs/>
          <w:sz w:val="24"/>
          <w:szCs w:val="24"/>
        </w:rPr>
      </w:pPr>
      <w:r>
        <w:rPr>
          <w:rFonts w:hint="eastAsia" w:ascii="宋体" w:hAnsi="宋体" w:cs="宋体"/>
          <w:b/>
          <w:bCs/>
          <w:sz w:val="24"/>
          <w:szCs w:val="24"/>
        </w:rPr>
        <w:t>如国家对中小企业划型标准有新的规定的，从其规定。 </w:t>
      </w: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spacing w:line="360" w:lineRule="auto"/>
        <w:rPr>
          <w:rFonts w:ascii="宋体"/>
        </w:rPr>
      </w:pPr>
    </w:p>
    <w:sectPr>
      <w:headerReference r:id="rId5" w:type="default"/>
      <w:footerReference r:id="rId6" w:type="default"/>
      <w:pgSz w:w="11906" w:h="16838"/>
      <w:pgMar w:top="1440" w:right="1417" w:bottom="1440" w:left="1418"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000020204"/>
    <w:charset w:val="00"/>
    <w:family w:val="swiss"/>
    <w:pitch w:val="default"/>
    <w:sig w:usb0="00000000" w:usb1="00000000" w:usb2="00000009" w:usb3="00000000" w:csb0="000001FF" w:csb1="00000000"/>
  </w:font>
  <w:font w:name="方正书宋简体">
    <w:altName w:val="微软雅黑"/>
    <w:panose1 w:val="00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pPr>
      <w:r>
        <w:rPr>
          <w:rStyle w:val="33"/>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cs="宋体"/>
        <w:b/>
        <w:bCs/>
        <w:i/>
        <w:iCs/>
        <w:color w:val="000000"/>
        <w:kern w:val="0"/>
        <w:sz w:val="18"/>
        <w:szCs w:val="18"/>
        <w:u w:val="single"/>
      </w:rPr>
      <w:t xml:space="preserve">黄岩区政府采购招标文件                             </w:t>
    </w:r>
    <w:r>
      <w:rPr>
        <w:rFonts w:cs="宋体"/>
        <w:b/>
        <w:bCs/>
        <w:i/>
        <w:iCs/>
        <w:color w:val="000000"/>
        <w:kern w:val="0"/>
        <w:sz w:val="18"/>
        <w:szCs w:val="18"/>
        <w:u w:val="single"/>
      </w:rPr>
      <w:t xml:space="preserve">  </w:t>
    </w:r>
    <w:r>
      <w:rPr>
        <w:rFonts w:hint="eastAsia" w:cs="宋体"/>
        <w:b/>
        <w:bCs/>
        <w:i/>
        <w:iCs/>
        <w:color w:val="000000"/>
        <w:kern w:val="0"/>
        <w:sz w:val="18"/>
        <w:szCs w:val="18"/>
        <w:u w:val="single"/>
      </w:rPr>
      <w:t xml:space="preserve">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1</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106</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i/>
        <w:iCs/>
        <w:color w:val="000000"/>
        <w:kern w:val="0"/>
        <w:sz w:val="18"/>
        <w:szCs w:val="18"/>
        <w:u w:val="single"/>
      </w:rPr>
      <w:t xml:space="preserve">黄岩区政府采购招标文件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106</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107</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0EC869"/>
    <w:multiLevelType w:val="singleLevel"/>
    <w:tmpl w:val="EB0EC869"/>
    <w:lvl w:ilvl="0" w:tentative="0">
      <w:start w:val="1"/>
      <w:numFmt w:val="decimal"/>
      <w:suff w:val="nothing"/>
      <w:lvlText w:val="%1、"/>
      <w:lvlJc w:val="left"/>
    </w:lvl>
  </w:abstractNum>
  <w:abstractNum w:abstractNumId="1">
    <w:nsid w:val="EE1A41C7"/>
    <w:multiLevelType w:val="multilevel"/>
    <w:tmpl w:val="EE1A41C7"/>
    <w:lvl w:ilvl="0" w:tentative="0">
      <w:start w:val="1"/>
      <w:numFmt w:val="chineseCounting"/>
      <w:suff w:val="nothing"/>
      <w:lvlText w:val="%1、"/>
      <w:lvlJc w:val="left"/>
      <w:pPr>
        <w:ind w:left="36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000000"/>
    <w:multiLevelType w:val="singleLevel"/>
    <w:tmpl w:val="00000000"/>
    <w:lvl w:ilvl="0" w:tentative="0">
      <w:start w:val="1"/>
      <w:numFmt w:val="decimal"/>
      <w:suff w:val="nothing"/>
      <w:lvlText w:val="%1、"/>
      <w:lvlJc w:val="left"/>
    </w:lvl>
  </w:abstractNum>
  <w:abstractNum w:abstractNumId="3">
    <w:nsid w:val="00000001"/>
    <w:multiLevelType w:val="singleLevel"/>
    <w:tmpl w:val="00000001"/>
    <w:lvl w:ilvl="0" w:tentative="0">
      <w:start w:val="4"/>
      <w:numFmt w:val="chineseCounting"/>
      <w:suff w:val="space"/>
      <w:lvlText w:val="第%1章"/>
      <w:lvlJc w:val="left"/>
      <w:rPr>
        <w:rFonts w:hint="eastAsia"/>
      </w:rPr>
    </w:lvl>
  </w:abstractNum>
  <w:abstractNum w:abstractNumId="4">
    <w:nsid w:val="00000002"/>
    <w:multiLevelType w:val="singleLevel"/>
    <w:tmpl w:val="00000002"/>
    <w:lvl w:ilvl="0" w:tentative="0">
      <w:start w:val="4"/>
      <w:numFmt w:val="chineseCounting"/>
      <w:suff w:val="nothing"/>
      <w:lvlText w:val="%1、"/>
      <w:lvlJc w:val="left"/>
      <w:rPr>
        <w:rFonts w:hint="eastAsia"/>
      </w:rPr>
    </w:lvl>
  </w:abstractNum>
  <w:abstractNum w:abstractNumId="5">
    <w:nsid w:val="00000003"/>
    <w:multiLevelType w:val="singleLevel"/>
    <w:tmpl w:val="00000003"/>
    <w:lvl w:ilvl="0" w:tentative="0">
      <w:start w:val="1"/>
      <w:numFmt w:val="decimal"/>
      <w:pStyle w:val="9"/>
      <w:lvlText w:val="%1."/>
      <w:lvlJc w:val="left"/>
      <w:pPr>
        <w:tabs>
          <w:tab w:val="left" w:pos="360"/>
        </w:tabs>
        <w:ind w:left="360" w:hanging="360"/>
      </w:pPr>
    </w:lvl>
  </w:abstractNum>
  <w:abstractNum w:abstractNumId="6">
    <w:nsid w:val="00000004"/>
    <w:multiLevelType w:val="multilevel"/>
    <w:tmpl w:val="00000004"/>
    <w:lvl w:ilvl="0" w:tentative="0">
      <w:start w:val="1"/>
      <w:numFmt w:val="decimal"/>
      <w:pStyle w:val="96"/>
      <w:suff w:val="nothing"/>
      <w:lvlText w:val="（%1）"/>
      <w:lvlJc w:val="left"/>
      <w:pPr>
        <w:ind w:left="420" w:firstLine="0"/>
      </w:pPr>
      <w:rPr>
        <w:b w:val="0"/>
        <w:bCs w:val="0"/>
        <w:i w:val="0"/>
        <w:iCs w:val="0"/>
        <w:caps w:val="0"/>
        <w:smallCaps w:val="0"/>
        <w:vanish w:val="0"/>
        <w:color w:val="000000"/>
        <w:spacing w:val="0"/>
        <w:position w:val="0"/>
        <w:u w:val="none"/>
        <w:vertAlign w:val="baseline"/>
        <w:lang w:val="en-US"/>
        <w14:shadow w14:blurRad="0" w14:dist="0" w14:dir="0" w14:sx="0" w14:sy="0" w14:kx="0" w14:ky="0" w14:algn="none">
          <w14:srgbClr w14:val="000000"/>
        </w14:shadow>
      </w:rPr>
    </w:lvl>
    <w:lvl w:ilvl="1" w:tentative="0">
      <w:start w:val="1"/>
      <w:numFmt w:val="decimal"/>
      <w:suff w:val="nothing"/>
      <w:lvlText w:val="%2）"/>
      <w:lvlJc w:val="left"/>
      <w:pPr>
        <w:ind w:left="840" w:hanging="1"/>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0000005"/>
    <w:multiLevelType w:val="singleLevel"/>
    <w:tmpl w:val="00000005"/>
    <w:lvl w:ilvl="0" w:tentative="0">
      <w:start w:val="1"/>
      <w:numFmt w:val="decimal"/>
      <w:lvlText w:val="%1."/>
      <w:lvlJc w:val="left"/>
      <w:pPr>
        <w:tabs>
          <w:tab w:val="left" w:pos="312"/>
        </w:tabs>
      </w:pPr>
    </w:lvl>
  </w:abstractNum>
  <w:abstractNum w:abstractNumId="8">
    <w:nsid w:val="00000006"/>
    <w:multiLevelType w:val="multilevel"/>
    <w:tmpl w:val="00000006"/>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9">
    <w:nsid w:val="00000007"/>
    <w:multiLevelType w:val="multilevel"/>
    <w:tmpl w:val="00000007"/>
    <w:lvl w:ilvl="0" w:tentative="0">
      <w:start w:val="1"/>
      <w:numFmt w:val="decimal"/>
      <w:suff w:val="space"/>
      <w:lvlText w:val="第%1章"/>
      <w:lvlJc w:val="left"/>
      <w:pPr>
        <w:ind w:left="432" w:hanging="432"/>
      </w:pPr>
      <w:rPr>
        <w:rFonts w:hint="eastAsia" w:ascii="宋体" w:eastAsia="宋体"/>
        <w:b/>
        <w:i w:val="0"/>
        <w:sz w:val="36"/>
      </w:rPr>
    </w:lvl>
    <w:lvl w:ilvl="1" w:tentative="0">
      <w:start w:val="1"/>
      <w:numFmt w:val="decimal"/>
      <w:suff w:val="space"/>
      <w:lvlText w:val="%1.%2"/>
      <w:lvlJc w:val="left"/>
      <w:pPr>
        <w:ind w:left="576" w:hanging="576"/>
      </w:pPr>
      <w:rPr>
        <w:rFonts w:hint="eastAsia" w:ascii="宋体" w:eastAsia="宋体"/>
        <w:b/>
        <w:i w:val="0"/>
        <w:sz w:val="32"/>
      </w:rPr>
    </w:lvl>
    <w:lvl w:ilvl="2" w:tentative="0">
      <w:start w:val="1"/>
      <w:numFmt w:val="decimal"/>
      <w:suff w:val="space"/>
      <w:lvlText w:val="%1.%2.%3"/>
      <w:lvlJc w:val="left"/>
      <w:pPr>
        <w:ind w:left="6248" w:hanging="720"/>
      </w:pPr>
      <w:rPr>
        <w:rFonts w:hint="eastAsia" w:ascii="宋体" w:eastAsia="宋体"/>
        <w:b/>
        <w:i w:val="0"/>
        <w:sz w:val="30"/>
      </w:rPr>
    </w:lvl>
    <w:lvl w:ilvl="3" w:tentative="0">
      <w:start w:val="1"/>
      <w:numFmt w:val="decimal"/>
      <w:suff w:val="space"/>
      <w:lvlText w:val="%1.%2.%3.%4"/>
      <w:lvlJc w:val="left"/>
      <w:pPr>
        <w:ind w:left="864" w:hanging="864"/>
      </w:pPr>
      <w:rPr>
        <w:rFonts w:hint="eastAsia" w:ascii="宋体" w:eastAsia="宋体"/>
        <w:b/>
        <w:i w:val="0"/>
        <w:sz w:val="28"/>
      </w:rPr>
    </w:lvl>
    <w:lvl w:ilvl="4" w:tentative="0">
      <w:start w:val="1"/>
      <w:numFmt w:val="decimal"/>
      <w:pStyle w:val="8"/>
      <w:suff w:val="space"/>
      <w:lvlText w:val="%1.%2.%3.%4.%5"/>
      <w:lvlJc w:val="left"/>
      <w:pPr>
        <w:ind w:left="1008" w:hanging="1008"/>
      </w:pPr>
      <w:rPr>
        <w:rFonts w:hint="eastAsia" w:ascii="宋体" w:eastAsia="宋体"/>
        <w:b/>
        <w:i w:val="0"/>
        <w:sz w:val="24"/>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0">
    <w:nsid w:val="00000008"/>
    <w:multiLevelType w:val="singleLevel"/>
    <w:tmpl w:val="00000008"/>
    <w:lvl w:ilvl="0" w:tentative="0">
      <w:start w:val="1"/>
      <w:numFmt w:val="chineseCounting"/>
      <w:suff w:val="space"/>
      <w:lvlText w:val="第%1章"/>
      <w:lvlJc w:val="left"/>
      <w:rPr>
        <w:rFonts w:hint="eastAsia"/>
      </w:rPr>
    </w:lvl>
  </w:abstractNum>
  <w:abstractNum w:abstractNumId="11">
    <w:nsid w:val="00000009"/>
    <w:multiLevelType w:val="singleLevel"/>
    <w:tmpl w:val="00000009"/>
    <w:lvl w:ilvl="0" w:tentative="0">
      <w:start w:val="8"/>
      <w:numFmt w:val="chineseCounting"/>
      <w:suff w:val="nothing"/>
      <w:lvlText w:val="%1、"/>
      <w:lvlJc w:val="left"/>
      <w:rPr>
        <w:rFonts w:hint="eastAsia"/>
      </w:rPr>
    </w:lvl>
  </w:abstractNum>
  <w:abstractNum w:abstractNumId="12">
    <w:nsid w:val="0000000A"/>
    <w:multiLevelType w:val="singleLevel"/>
    <w:tmpl w:val="0000000A"/>
    <w:lvl w:ilvl="0" w:tentative="0">
      <w:start w:val="4"/>
      <w:numFmt w:val="decimal"/>
      <w:suff w:val="nothing"/>
      <w:lvlText w:val="%1、"/>
      <w:lvlJc w:val="left"/>
    </w:lvl>
  </w:abstractNum>
  <w:num w:numId="1">
    <w:abstractNumId w:val="8"/>
  </w:num>
  <w:num w:numId="2">
    <w:abstractNumId w:val="9"/>
    <w:lvlOverride w:ilvl="2">
      <w:lvl w:ilvl="2" w:tentative="1">
        <w:start w:val="1"/>
        <w:numFmt w:val="decimal"/>
        <w:suff w:val="space"/>
        <w:lvlText w:val="%1.%2.%3"/>
        <w:lvlJc w:val="left"/>
        <w:pPr>
          <w:ind w:left="6248" w:hanging="720"/>
        </w:pPr>
        <w:rPr>
          <w:rFonts w:hint="eastAsia" w:ascii="宋体" w:eastAsia="宋体"/>
          <w:b/>
          <w:i w:val="0"/>
          <w:sz w:val="30"/>
        </w:rPr>
      </w:lvl>
    </w:lvlOverride>
  </w:num>
  <w:num w:numId="3">
    <w:abstractNumId w:val="5"/>
  </w:num>
  <w:num w:numId="4">
    <w:abstractNumId w:val="6"/>
  </w:num>
  <w:num w:numId="5">
    <w:abstractNumId w:val="10"/>
  </w:num>
  <w:num w:numId="6">
    <w:abstractNumId w:val="4"/>
  </w:num>
  <w:num w:numId="7">
    <w:abstractNumId w:val="11"/>
  </w:num>
  <w:num w:numId="8">
    <w:abstractNumId w:val="2"/>
  </w:num>
  <w:num w:numId="9">
    <w:abstractNumId w:val="0"/>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hZWYzYzI5MmFiMTYzMGJhOGQ0N2MzODM3NTM0MzYifQ=="/>
  </w:docVars>
  <w:rsids>
    <w:rsidRoot w:val="00000000"/>
    <w:rsid w:val="01995B0E"/>
    <w:rsid w:val="03632A58"/>
    <w:rsid w:val="078A28CD"/>
    <w:rsid w:val="08365E65"/>
    <w:rsid w:val="0A7813EF"/>
    <w:rsid w:val="0B97468A"/>
    <w:rsid w:val="11314BBA"/>
    <w:rsid w:val="11465551"/>
    <w:rsid w:val="12DA20EA"/>
    <w:rsid w:val="159B13C1"/>
    <w:rsid w:val="1C901873"/>
    <w:rsid w:val="1D1C7204"/>
    <w:rsid w:val="1D6F2251"/>
    <w:rsid w:val="1DD9457B"/>
    <w:rsid w:val="1E9108FA"/>
    <w:rsid w:val="1EC51EB3"/>
    <w:rsid w:val="20576A23"/>
    <w:rsid w:val="24037389"/>
    <w:rsid w:val="295C17CE"/>
    <w:rsid w:val="2A32523A"/>
    <w:rsid w:val="2AD27817"/>
    <w:rsid w:val="2B614D68"/>
    <w:rsid w:val="2C6E60F5"/>
    <w:rsid w:val="31F314A9"/>
    <w:rsid w:val="32D177A2"/>
    <w:rsid w:val="359660A7"/>
    <w:rsid w:val="38770B47"/>
    <w:rsid w:val="3B33651B"/>
    <w:rsid w:val="3BBF2DB7"/>
    <w:rsid w:val="3D1D7653"/>
    <w:rsid w:val="3D357BED"/>
    <w:rsid w:val="3E0A3FA0"/>
    <w:rsid w:val="3F82737F"/>
    <w:rsid w:val="44B41888"/>
    <w:rsid w:val="45877724"/>
    <w:rsid w:val="468C03A4"/>
    <w:rsid w:val="47405947"/>
    <w:rsid w:val="4F914141"/>
    <w:rsid w:val="50396069"/>
    <w:rsid w:val="50CD6A97"/>
    <w:rsid w:val="51E04D16"/>
    <w:rsid w:val="56D51DDC"/>
    <w:rsid w:val="5A76346C"/>
    <w:rsid w:val="5B112172"/>
    <w:rsid w:val="5FED1A34"/>
    <w:rsid w:val="64EF2206"/>
    <w:rsid w:val="65953340"/>
    <w:rsid w:val="666E588F"/>
    <w:rsid w:val="69DA57C5"/>
    <w:rsid w:val="6E7B56BA"/>
    <w:rsid w:val="71C02E88"/>
    <w:rsid w:val="741A6878"/>
    <w:rsid w:val="74EF53FC"/>
    <w:rsid w:val="75A0602A"/>
    <w:rsid w:val="76325D5D"/>
    <w:rsid w:val="796926C2"/>
    <w:rsid w:val="7D655EBB"/>
    <w:rsid w:val="7ED759E1"/>
    <w:rsid w:val="7FCE28C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qFormat="1" w:unhideWhenUsed="0" w:uiPriority="39"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5"/>
    <w:link w:val="38"/>
    <w:autoRedefine/>
    <w:qFormat/>
    <w:uiPriority w:val="99"/>
    <w:pPr>
      <w:spacing w:before="340" w:after="330" w:line="578" w:lineRule="auto"/>
      <w:outlineLvl w:val="0"/>
    </w:pPr>
    <w:rPr>
      <w:kern w:val="44"/>
      <w:sz w:val="44"/>
      <w:szCs w:val="44"/>
    </w:rPr>
  </w:style>
  <w:style w:type="paragraph" w:styleId="5">
    <w:name w:val="heading 2"/>
    <w:basedOn w:val="1"/>
    <w:next w:val="1"/>
    <w:link w:val="39"/>
    <w:autoRedefine/>
    <w:qFormat/>
    <w:uiPriority w:val="99"/>
    <w:pPr>
      <w:keepNext/>
      <w:keepLines/>
      <w:spacing w:before="260" w:after="260" w:line="416" w:lineRule="auto"/>
      <w:outlineLvl w:val="1"/>
    </w:pPr>
    <w:rPr>
      <w:rFonts w:ascii="Calibri Light" w:hAnsi="Calibri Light" w:cs="Calibri Light"/>
      <w:b/>
      <w:bCs/>
      <w:sz w:val="32"/>
      <w:szCs w:val="32"/>
    </w:rPr>
  </w:style>
  <w:style w:type="paragraph" w:styleId="6">
    <w:name w:val="heading 3"/>
    <w:basedOn w:val="1"/>
    <w:next w:val="1"/>
    <w:link w:val="40"/>
    <w:autoRedefine/>
    <w:qFormat/>
    <w:uiPriority w:val="99"/>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next w:val="1"/>
    <w:autoRedefine/>
    <w:qFormat/>
    <w:uiPriority w:val="0"/>
    <w:pPr>
      <w:keepNext/>
      <w:widowControl w:val="0"/>
      <w:numPr>
        <w:ilvl w:val="4"/>
        <w:numId w:val="2"/>
      </w:numPr>
      <w:spacing w:line="360" w:lineRule="auto"/>
      <w:ind w:left="0" w:firstLine="0"/>
      <w:outlineLvl w:val="4"/>
    </w:pPr>
    <w:rPr>
      <w:rFonts w:ascii="宋体" w:hAnsi="Calibri" w:eastAsia="宋体" w:cs="宋体"/>
      <w:b/>
      <w:bCs/>
      <w:kern w:val="2"/>
      <w:sz w:val="24"/>
      <w:szCs w:val="28"/>
      <w:lang w:val="en-US" w:eastAsia="zh-CN" w:bidi="ar-SA"/>
    </w:rPr>
  </w:style>
  <w:style w:type="character" w:default="1" w:styleId="29">
    <w:name w:val="Default Paragraph Font"/>
    <w:autoRedefine/>
    <w:qFormat/>
    <w:uiPriority w:val="1"/>
  </w:style>
  <w:style w:type="table" w:default="1" w:styleId="27">
    <w:name w:val="Normal Table"/>
    <w:autoRedefine/>
    <w:qFormat/>
    <w:uiPriority w:val="99"/>
    <w:tblPr>
      <w:tblCellMar>
        <w:top w:w="0" w:type="dxa"/>
        <w:left w:w="108" w:type="dxa"/>
        <w:bottom w:w="0" w:type="dxa"/>
        <w:right w:w="108" w:type="dxa"/>
      </w:tblCellMar>
    </w:tblPr>
  </w:style>
  <w:style w:type="paragraph" w:styleId="2">
    <w:name w:val="Body Text First Indent 2"/>
    <w:basedOn w:val="3"/>
    <w:link w:val="53"/>
    <w:autoRedefine/>
    <w:qFormat/>
    <w:uiPriority w:val="99"/>
    <w:pPr>
      <w:ind w:firstLine="420"/>
    </w:pPr>
  </w:style>
  <w:style w:type="paragraph" w:styleId="3">
    <w:name w:val="Body Text Indent"/>
    <w:basedOn w:val="1"/>
    <w:next w:val="1"/>
    <w:link w:val="44"/>
    <w:autoRedefine/>
    <w:qFormat/>
    <w:uiPriority w:val="99"/>
    <w:pPr>
      <w:spacing w:after="120"/>
      <w:ind w:left="420" w:leftChars="200"/>
    </w:pPr>
  </w:style>
  <w:style w:type="paragraph" w:styleId="9">
    <w:name w:val="List Number"/>
    <w:basedOn w:val="1"/>
    <w:autoRedefine/>
    <w:qFormat/>
    <w:uiPriority w:val="99"/>
    <w:pPr>
      <w:numPr>
        <w:ilvl w:val="0"/>
        <w:numId w:val="3"/>
      </w:numPr>
    </w:pPr>
  </w:style>
  <w:style w:type="paragraph" w:styleId="10">
    <w:name w:val="Normal Indent"/>
    <w:basedOn w:val="1"/>
    <w:autoRedefine/>
    <w:qFormat/>
    <w:uiPriority w:val="99"/>
    <w:pPr>
      <w:ind w:firstLine="420"/>
    </w:pPr>
  </w:style>
  <w:style w:type="paragraph" w:styleId="11">
    <w:name w:val="annotation text"/>
    <w:basedOn w:val="1"/>
    <w:link w:val="41"/>
    <w:autoRedefine/>
    <w:qFormat/>
    <w:uiPriority w:val="99"/>
    <w:pPr>
      <w:jc w:val="left"/>
    </w:pPr>
  </w:style>
  <w:style w:type="paragraph" w:styleId="12">
    <w:name w:val="Body Text"/>
    <w:basedOn w:val="1"/>
    <w:link w:val="42"/>
    <w:autoRedefine/>
    <w:qFormat/>
    <w:uiPriority w:val="99"/>
    <w:pPr>
      <w:spacing w:line="360" w:lineRule="exact"/>
    </w:pPr>
    <w:rPr>
      <w:sz w:val="24"/>
      <w:szCs w:val="24"/>
    </w:rPr>
  </w:style>
  <w:style w:type="paragraph" w:styleId="13">
    <w:name w:val="Block Text"/>
    <w:basedOn w:val="1"/>
    <w:autoRedefine/>
    <w:qFormat/>
    <w:uiPriority w:val="99"/>
    <w:pPr>
      <w:adjustRightInd w:val="0"/>
      <w:spacing w:line="300" w:lineRule="auto"/>
      <w:ind w:left="958" w:right="-120" w:rightChars="-120"/>
      <w:jc w:val="left"/>
    </w:pPr>
    <w:rPr>
      <w:rFonts w:ascii="宋体" w:hAnsi="宋体" w:cs="宋体"/>
      <w:sz w:val="28"/>
      <w:szCs w:val="28"/>
    </w:rPr>
  </w:style>
  <w:style w:type="paragraph" w:styleId="14">
    <w:name w:val="Plain Text"/>
    <w:basedOn w:val="1"/>
    <w:next w:val="15"/>
    <w:link w:val="45"/>
    <w:autoRedefine/>
    <w:qFormat/>
    <w:uiPriority w:val="99"/>
    <w:rPr>
      <w:rFonts w:ascii="宋体" w:hAnsi="Courier New" w:cs="宋体"/>
    </w:rPr>
  </w:style>
  <w:style w:type="paragraph" w:styleId="15">
    <w:name w:val="Date"/>
    <w:basedOn w:val="1"/>
    <w:next w:val="1"/>
    <w:link w:val="46"/>
    <w:autoRedefine/>
    <w:qFormat/>
    <w:uiPriority w:val="99"/>
    <w:pPr>
      <w:ind w:left="2500" w:leftChars="2500"/>
    </w:pPr>
    <w:rPr>
      <w:rFonts w:ascii="Calibri" w:hAnsi="Calibri" w:eastAsia="楷体_GB2312" w:cs="Calibri"/>
      <w:sz w:val="32"/>
      <w:szCs w:val="32"/>
    </w:rPr>
  </w:style>
  <w:style w:type="paragraph" w:styleId="16">
    <w:name w:val="Balloon Text"/>
    <w:basedOn w:val="1"/>
    <w:link w:val="47"/>
    <w:autoRedefine/>
    <w:qFormat/>
    <w:uiPriority w:val="99"/>
    <w:rPr>
      <w:sz w:val="18"/>
      <w:szCs w:val="18"/>
    </w:rPr>
  </w:style>
  <w:style w:type="paragraph" w:styleId="17">
    <w:name w:val="footer"/>
    <w:basedOn w:val="1"/>
    <w:link w:val="48"/>
    <w:autoRedefine/>
    <w:qFormat/>
    <w:uiPriority w:val="99"/>
    <w:pPr>
      <w:tabs>
        <w:tab w:val="center" w:pos="4153"/>
        <w:tab w:val="right" w:pos="8306"/>
      </w:tabs>
      <w:snapToGrid w:val="0"/>
      <w:jc w:val="left"/>
    </w:pPr>
    <w:rPr>
      <w:sz w:val="18"/>
      <w:szCs w:val="18"/>
    </w:rPr>
  </w:style>
  <w:style w:type="paragraph" w:styleId="18">
    <w:name w:val="header"/>
    <w:basedOn w:val="1"/>
    <w:link w:val="4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9">
    <w:name w:val="toc 4"/>
    <w:basedOn w:val="1"/>
    <w:next w:val="1"/>
    <w:autoRedefine/>
    <w:qFormat/>
    <w:uiPriority w:val="39"/>
    <w:pPr>
      <w:widowControl/>
      <w:ind w:left="600"/>
      <w:jc w:val="left"/>
    </w:pPr>
    <w:rPr>
      <w:kern w:val="0"/>
      <w:sz w:val="18"/>
      <w:szCs w:val="20"/>
    </w:rPr>
  </w:style>
  <w:style w:type="paragraph" w:styleId="20">
    <w:name w:val="footnote text"/>
    <w:basedOn w:val="1"/>
    <w:link w:val="50"/>
    <w:autoRedefine/>
    <w:qFormat/>
    <w:uiPriority w:val="99"/>
    <w:pPr>
      <w:snapToGrid w:val="0"/>
      <w:jc w:val="left"/>
    </w:pPr>
    <w:rPr>
      <w:sz w:val="18"/>
      <w:szCs w:val="18"/>
    </w:rPr>
  </w:style>
  <w:style w:type="paragraph" w:styleId="21">
    <w:name w:val="toc 6"/>
    <w:basedOn w:val="1"/>
    <w:next w:val="1"/>
    <w:autoRedefine/>
    <w:qFormat/>
    <w:uiPriority w:val="99"/>
    <w:pPr>
      <w:widowControl/>
      <w:ind w:left="1000"/>
      <w:jc w:val="left"/>
    </w:pPr>
    <w:rPr>
      <w:kern w:val="0"/>
      <w:sz w:val="18"/>
      <w:szCs w:val="18"/>
    </w:rPr>
  </w:style>
  <w:style w:type="paragraph" w:styleId="22">
    <w:name w:val="toc 2"/>
    <w:basedOn w:val="1"/>
    <w:next w:val="1"/>
    <w:autoRedefine/>
    <w:qFormat/>
    <w:uiPriority w:val="99"/>
    <w:pPr>
      <w:ind w:left="420" w:leftChars="200"/>
    </w:pPr>
  </w:style>
  <w:style w:type="paragraph" w:styleId="2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51"/>
    <w:autoRedefine/>
    <w:qFormat/>
    <w:uiPriority w:val="99"/>
    <w:pPr>
      <w:widowControl/>
      <w:overflowPunct w:val="0"/>
      <w:autoSpaceDE w:val="0"/>
      <w:autoSpaceDN w:val="0"/>
      <w:adjustRightInd w:val="0"/>
      <w:jc w:val="center"/>
      <w:textAlignment w:val="baseline"/>
    </w:pPr>
    <w:rPr>
      <w:b/>
      <w:bCs/>
      <w:kern w:val="0"/>
      <w:sz w:val="24"/>
      <w:szCs w:val="24"/>
    </w:rPr>
  </w:style>
  <w:style w:type="paragraph" w:styleId="25">
    <w:name w:val="annotation subject"/>
    <w:basedOn w:val="11"/>
    <w:next w:val="11"/>
    <w:link w:val="52"/>
    <w:autoRedefine/>
    <w:qFormat/>
    <w:uiPriority w:val="99"/>
    <w:rPr>
      <w:b/>
      <w:bCs/>
    </w:rPr>
  </w:style>
  <w:style w:type="paragraph" w:styleId="26">
    <w:name w:val="Body Text First Indent"/>
    <w:basedOn w:val="12"/>
    <w:next w:val="1"/>
    <w:link w:val="43"/>
    <w:autoRedefine/>
    <w:qFormat/>
    <w:uiPriority w:val="99"/>
    <w:pPr>
      <w:ind w:firstLine="420"/>
    </w:pPr>
    <w:rPr>
      <w:sz w:val="21"/>
      <w:szCs w:val="21"/>
    </w:rPr>
  </w:style>
  <w:style w:type="table" w:styleId="28">
    <w:name w:val="Table Grid"/>
    <w:basedOn w:val="27"/>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99"/>
    <w:rPr>
      <w:rFonts w:ascii="Times New Roman" w:hAnsi="Times New Roman" w:eastAsia="宋体" w:cs="Times New Roman"/>
      <w:b/>
      <w:bCs/>
    </w:rPr>
  </w:style>
  <w:style w:type="character" w:styleId="31">
    <w:name w:val="Hyperlink"/>
    <w:basedOn w:val="29"/>
    <w:autoRedefine/>
    <w:qFormat/>
    <w:uiPriority w:val="99"/>
    <w:rPr>
      <w:rFonts w:ascii="Times New Roman" w:hAnsi="Times New Roman" w:eastAsia="宋体" w:cs="Times New Roman"/>
      <w:color w:val="0000FF"/>
      <w:u w:val="single"/>
    </w:rPr>
  </w:style>
  <w:style w:type="character" w:styleId="32">
    <w:name w:val="annotation reference"/>
    <w:basedOn w:val="29"/>
    <w:autoRedefine/>
    <w:qFormat/>
    <w:uiPriority w:val="99"/>
    <w:rPr>
      <w:rFonts w:ascii="Times New Roman" w:hAnsi="Times New Roman" w:eastAsia="宋体" w:cs="Times New Roman"/>
      <w:sz w:val="21"/>
      <w:szCs w:val="21"/>
    </w:rPr>
  </w:style>
  <w:style w:type="character" w:styleId="33">
    <w:name w:val="footnote reference"/>
    <w:basedOn w:val="29"/>
    <w:autoRedefine/>
    <w:qFormat/>
    <w:uiPriority w:val="99"/>
    <w:rPr>
      <w:vertAlign w:val="superscript"/>
    </w:rPr>
  </w:style>
  <w:style w:type="paragraph" w:customStyle="1" w:styleId="34">
    <w:name w:val="签发人"/>
    <w:basedOn w:val="1"/>
    <w:autoRedefine/>
    <w:qFormat/>
    <w:uiPriority w:val="0"/>
    <w:rPr>
      <w:rFonts w:eastAsia="楷体"/>
      <w:sz w:val="32"/>
    </w:rPr>
  </w:style>
  <w:style w:type="paragraph" w:customStyle="1" w:styleId="35">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6">
    <w:name w:val="明显引用1"/>
    <w:basedOn w:val="1"/>
    <w:next w:val="1"/>
    <w:autoRedefine/>
    <w:qFormat/>
    <w:uiPriority w:val="0"/>
    <w:pPr>
      <w:spacing w:before="200" w:after="280"/>
      <w:ind w:left="936" w:right="936"/>
    </w:pPr>
    <w:rPr>
      <w:i/>
      <w:color w:val="4F81BD"/>
      <w:sz w:val="20"/>
    </w:rPr>
  </w:style>
  <w:style w:type="paragraph" w:customStyle="1" w:styleId="37">
    <w:name w:val="目录 44"/>
    <w:next w:val="1"/>
    <w:autoRedefine/>
    <w:qFormat/>
    <w:uiPriority w:val="0"/>
    <w:pPr>
      <w:wordWrap w:val="0"/>
      <w:ind w:left="850"/>
      <w:jc w:val="both"/>
    </w:pPr>
    <w:rPr>
      <w:rFonts w:ascii="Times New Roman" w:hAnsi="Times New Roman" w:eastAsia="宋体" w:cs="Times New Roman"/>
      <w:sz w:val="21"/>
      <w:szCs w:val="22"/>
      <w:lang w:val="en-US" w:eastAsia="zh-CN" w:bidi="ar-SA"/>
    </w:rPr>
  </w:style>
  <w:style w:type="character" w:customStyle="1" w:styleId="38">
    <w:name w:val="标题 1 Char"/>
    <w:basedOn w:val="29"/>
    <w:link w:val="4"/>
    <w:autoRedefine/>
    <w:qFormat/>
    <w:uiPriority w:val="99"/>
    <w:rPr>
      <w:rFonts w:ascii="Times New Roman" w:hAnsi="Times New Roman" w:eastAsia="宋体" w:cs="Times New Roman"/>
      <w:b/>
      <w:bCs/>
      <w:kern w:val="44"/>
      <w:sz w:val="44"/>
      <w:szCs w:val="44"/>
    </w:rPr>
  </w:style>
  <w:style w:type="character" w:customStyle="1" w:styleId="39">
    <w:name w:val="标题 2 Char"/>
    <w:basedOn w:val="29"/>
    <w:link w:val="5"/>
    <w:autoRedefine/>
    <w:qFormat/>
    <w:uiPriority w:val="99"/>
    <w:rPr>
      <w:rFonts w:ascii="Cambria" w:hAnsi="Cambria" w:eastAsia="宋体" w:cs="Cambria"/>
      <w:b/>
      <w:bCs/>
      <w:sz w:val="32"/>
      <w:szCs w:val="32"/>
    </w:rPr>
  </w:style>
  <w:style w:type="character" w:customStyle="1" w:styleId="40">
    <w:name w:val="标题 3 Char"/>
    <w:basedOn w:val="29"/>
    <w:link w:val="6"/>
    <w:autoRedefine/>
    <w:qFormat/>
    <w:uiPriority w:val="99"/>
    <w:rPr>
      <w:rFonts w:ascii="Times New Roman" w:hAnsi="Times New Roman" w:eastAsia="宋体" w:cs="Times New Roman"/>
      <w:b/>
      <w:bCs/>
      <w:sz w:val="32"/>
      <w:szCs w:val="32"/>
    </w:rPr>
  </w:style>
  <w:style w:type="character" w:customStyle="1" w:styleId="41">
    <w:name w:val="批注文字 Char"/>
    <w:basedOn w:val="29"/>
    <w:link w:val="11"/>
    <w:autoRedefine/>
    <w:qFormat/>
    <w:uiPriority w:val="99"/>
    <w:rPr>
      <w:rFonts w:ascii="Times New Roman" w:hAnsi="Times New Roman" w:eastAsia="宋体" w:cs="Times New Roman"/>
      <w:kern w:val="2"/>
      <w:sz w:val="24"/>
      <w:szCs w:val="24"/>
    </w:rPr>
  </w:style>
  <w:style w:type="character" w:customStyle="1" w:styleId="42">
    <w:name w:val="正文文本 Char"/>
    <w:basedOn w:val="29"/>
    <w:link w:val="12"/>
    <w:autoRedefine/>
    <w:qFormat/>
    <w:uiPriority w:val="99"/>
    <w:rPr>
      <w:rFonts w:ascii="Times New Roman" w:hAnsi="Times New Roman" w:eastAsia="宋体" w:cs="Times New Roman"/>
      <w:sz w:val="24"/>
      <w:szCs w:val="24"/>
    </w:rPr>
  </w:style>
  <w:style w:type="character" w:customStyle="1" w:styleId="43">
    <w:name w:val="正文首行缩进 Char"/>
    <w:basedOn w:val="42"/>
    <w:link w:val="26"/>
    <w:autoRedefine/>
    <w:qFormat/>
    <w:uiPriority w:val="99"/>
    <w:rPr>
      <w:rFonts w:ascii="Times New Roman" w:hAnsi="Times New Roman" w:eastAsia="宋体" w:cs="Times New Roman"/>
      <w:sz w:val="21"/>
      <w:szCs w:val="21"/>
    </w:rPr>
  </w:style>
  <w:style w:type="character" w:customStyle="1" w:styleId="44">
    <w:name w:val="正文文本缩进 Char"/>
    <w:basedOn w:val="29"/>
    <w:link w:val="3"/>
    <w:autoRedefine/>
    <w:qFormat/>
    <w:uiPriority w:val="99"/>
    <w:rPr>
      <w:rFonts w:ascii="Times New Roman" w:hAnsi="Times New Roman" w:eastAsia="宋体" w:cs="Times New Roman"/>
      <w:kern w:val="2"/>
      <w:sz w:val="24"/>
      <w:szCs w:val="24"/>
    </w:rPr>
  </w:style>
  <w:style w:type="character" w:customStyle="1" w:styleId="45">
    <w:name w:val="纯文本 Char"/>
    <w:basedOn w:val="29"/>
    <w:link w:val="14"/>
    <w:autoRedefine/>
    <w:qFormat/>
    <w:uiPriority w:val="99"/>
    <w:rPr>
      <w:rFonts w:ascii="宋体" w:hAnsi="Courier New" w:eastAsia="宋体" w:cs="宋体"/>
      <w:sz w:val="21"/>
      <w:szCs w:val="21"/>
    </w:rPr>
  </w:style>
  <w:style w:type="character" w:customStyle="1" w:styleId="46">
    <w:name w:val="日期 Char"/>
    <w:basedOn w:val="29"/>
    <w:link w:val="15"/>
    <w:autoRedefine/>
    <w:qFormat/>
    <w:uiPriority w:val="99"/>
    <w:rPr>
      <w:rFonts w:ascii="Times New Roman" w:hAnsi="Times New Roman" w:eastAsia="宋体" w:cs="Times New Roman"/>
      <w:sz w:val="24"/>
      <w:szCs w:val="24"/>
    </w:rPr>
  </w:style>
  <w:style w:type="character" w:customStyle="1" w:styleId="47">
    <w:name w:val="批注框文本 Char"/>
    <w:basedOn w:val="29"/>
    <w:link w:val="16"/>
    <w:autoRedefine/>
    <w:qFormat/>
    <w:uiPriority w:val="99"/>
    <w:rPr>
      <w:rFonts w:ascii="Times New Roman" w:hAnsi="Times New Roman" w:eastAsia="宋体" w:cs="Times New Roman"/>
      <w:kern w:val="2"/>
      <w:sz w:val="18"/>
      <w:szCs w:val="18"/>
    </w:rPr>
  </w:style>
  <w:style w:type="character" w:customStyle="1" w:styleId="48">
    <w:name w:val="页脚 Char"/>
    <w:basedOn w:val="29"/>
    <w:link w:val="17"/>
    <w:autoRedefine/>
    <w:qFormat/>
    <w:uiPriority w:val="99"/>
    <w:rPr>
      <w:rFonts w:ascii="Times New Roman" w:hAnsi="Times New Roman" w:eastAsia="宋体" w:cs="Times New Roman"/>
      <w:sz w:val="18"/>
      <w:szCs w:val="18"/>
    </w:rPr>
  </w:style>
  <w:style w:type="character" w:customStyle="1" w:styleId="49">
    <w:name w:val="页眉 Char"/>
    <w:basedOn w:val="29"/>
    <w:link w:val="18"/>
    <w:autoRedefine/>
    <w:qFormat/>
    <w:uiPriority w:val="99"/>
    <w:rPr>
      <w:rFonts w:ascii="Times New Roman" w:hAnsi="Times New Roman" w:eastAsia="宋体" w:cs="Times New Roman"/>
      <w:sz w:val="18"/>
      <w:szCs w:val="18"/>
    </w:rPr>
  </w:style>
  <w:style w:type="character" w:customStyle="1" w:styleId="50">
    <w:name w:val="脚注文本 Char"/>
    <w:basedOn w:val="29"/>
    <w:link w:val="20"/>
    <w:autoRedefine/>
    <w:qFormat/>
    <w:uiPriority w:val="99"/>
    <w:rPr>
      <w:sz w:val="18"/>
      <w:szCs w:val="18"/>
    </w:rPr>
  </w:style>
  <w:style w:type="character" w:customStyle="1" w:styleId="51">
    <w:name w:val="标题 Char"/>
    <w:basedOn w:val="29"/>
    <w:link w:val="24"/>
    <w:autoRedefine/>
    <w:qFormat/>
    <w:uiPriority w:val="99"/>
    <w:rPr>
      <w:rFonts w:ascii="Cambria" w:hAnsi="Cambria" w:cs="Cambria"/>
      <w:b/>
      <w:bCs/>
      <w:sz w:val="32"/>
      <w:szCs w:val="32"/>
    </w:rPr>
  </w:style>
  <w:style w:type="character" w:customStyle="1" w:styleId="52">
    <w:name w:val="批注主题 Char"/>
    <w:basedOn w:val="41"/>
    <w:link w:val="25"/>
    <w:autoRedefine/>
    <w:qFormat/>
    <w:uiPriority w:val="99"/>
    <w:rPr>
      <w:rFonts w:ascii="Times New Roman" w:hAnsi="Times New Roman" w:eastAsia="宋体" w:cs="Times New Roman"/>
      <w:b/>
      <w:bCs/>
      <w:kern w:val="2"/>
      <w:sz w:val="24"/>
      <w:szCs w:val="24"/>
    </w:rPr>
  </w:style>
  <w:style w:type="character" w:customStyle="1" w:styleId="53">
    <w:name w:val="正文首行缩进 2 Char"/>
    <w:basedOn w:val="44"/>
    <w:link w:val="2"/>
    <w:autoRedefine/>
    <w:qFormat/>
    <w:uiPriority w:val="99"/>
    <w:rPr>
      <w:rFonts w:ascii="Times New Roman" w:hAnsi="Times New Roman" w:eastAsia="宋体" w:cs="Times New Roman"/>
      <w:kern w:val="2"/>
      <w:sz w:val="21"/>
      <w:szCs w:val="21"/>
    </w:rPr>
  </w:style>
  <w:style w:type="paragraph" w:customStyle="1" w:styleId="54">
    <w:name w:val="BodyText1I2"/>
    <w:basedOn w:val="55"/>
    <w:next w:val="1"/>
    <w:autoRedefine/>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55">
    <w:name w:val="BodyTextIndent"/>
    <w:basedOn w:val="1"/>
    <w:next w:val="1"/>
    <w:autoRedefine/>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56">
    <w:name w:val="正文（首行缩进2字符）"/>
    <w:basedOn w:val="1"/>
    <w:autoRedefine/>
    <w:qFormat/>
    <w:uiPriority w:val="99"/>
    <w:pPr>
      <w:spacing w:line="360" w:lineRule="auto"/>
      <w:ind w:firstLine="420" w:firstLineChars="200"/>
    </w:pPr>
  </w:style>
  <w:style w:type="paragraph" w:customStyle="1" w:styleId="57">
    <w:name w:val="章正文"/>
    <w:basedOn w:val="1"/>
    <w:autoRedefine/>
    <w:qFormat/>
    <w:uiPriority w:val="99"/>
    <w:pPr>
      <w:spacing w:beforeLines="50" w:after="120" w:line="300" w:lineRule="auto"/>
      <w:ind w:firstLine="480"/>
    </w:pPr>
    <w:rPr>
      <w:rFonts w:ascii="Helvetica" w:hAnsi="Helvetica" w:cs="Helvetica"/>
      <w:kern w:val="0"/>
      <w:sz w:val="24"/>
      <w:szCs w:val="24"/>
    </w:rPr>
  </w:style>
  <w:style w:type="character" w:customStyle="1" w:styleId="58">
    <w:name w:val="font01"/>
    <w:autoRedefine/>
    <w:qFormat/>
    <w:uiPriority w:val="99"/>
    <w:rPr>
      <w:rFonts w:ascii="宋体" w:hAnsi="宋体" w:eastAsia="宋体" w:cs="宋体"/>
      <w:color w:val="000000"/>
      <w:sz w:val="24"/>
      <w:szCs w:val="24"/>
      <w:u w:val="none"/>
    </w:rPr>
  </w:style>
  <w:style w:type="character" w:customStyle="1" w:styleId="59">
    <w:name w:val="font11"/>
    <w:autoRedefine/>
    <w:qFormat/>
    <w:uiPriority w:val="99"/>
    <w:rPr>
      <w:rFonts w:ascii="Times New Roman" w:hAnsi="Times New Roman" w:eastAsia="宋体" w:cs="Times New Roman"/>
      <w:color w:val="000000"/>
      <w:sz w:val="24"/>
      <w:szCs w:val="24"/>
      <w:u w:val="none"/>
    </w:rPr>
  </w:style>
  <w:style w:type="character" w:customStyle="1" w:styleId="60">
    <w:name w:val="font31"/>
    <w:autoRedefine/>
    <w:qFormat/>
    <w:uiPriority w:val="99"/>
    <w:rPr>
      <w:rFonts w:ascii="宋体" w:hAnsi="宋体" w:eastAsia="宋体" w:cs="宋体"/>
      <w:color w:val="000000"/>
      <w:sz w:val="24"/>
      <w:szCs w:val="24"/>
      <w:u w:val="none"/>
    </w:rPr>
  </w:style>
  <w:style w:type="paragraph" w:customStyle="1" w:styleId="61">
    <w:name w:val="纯文本_3"/>
    <w:basedOn w:val="62"/>
    <w:autoRedefine/>
    <w:qFormat/>
    <w:uiPriority w:val="99"/>
    <w:pPr>
      <w:widowControl/>
      <w:jc w:val="left"/>
    </w:pPr>
    <w:rPr>
      <w:rFonts w:ascii="宋体" w:hAnsi="Courier New" w:cs="宋体"/>
    </w:rPr>
  </w:style>
  <w:style w:type="paragraph" w:customStyle="1" w:styleId="62">
    <w:name w:val="正文_1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3">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纯文本_0_1"/>
    <w:basedOn w:val="1"/>
    <w:autoRedefine/>
    <w:qFormat/>
    <w:uiPriority w:val="99"/>
    <w:pPr>
      <w:widowControl/>
      <w:jc w:val="left"/>
    </w:pPr>
    <w:rPr>
      <w:rFonts w:ascii="宋体" w:hAnsi="Courier New" w:cs="宋体"/>
    </w:rPr>
  </w:style>
  <w:style w:type="paragraph" w:customStyle="1" w:styleId="65">
    <w:name w:val="zw"/>
    <w:basedOn w:val="1"/>
    <w:autoRedefine/>
    <w:qFormat/>
    <w:uiPriority w:val="99"/>
    <w:pPr>
      <w:widowControl/>
      <w:spacing w:before="30"/>
      <w:ind w:left="100" w:right="100"/>
    </w:pPr>
    <w:rPr>
      <w:rFonts w:ascii="方正书宋简体" w:hAnsi="宋体" w:eastAsia="Times New Roman" w:cs="方正书宋简体"/>
      <w:color w:val="000000"/>
      <w:kern w:val="0"/>
    </w:rPr>
  </w:style>
  <w:style w:type="paragraph" w:customStyle="1" w:styleId="66">
    <w:name w:val="表格文字"/>
    <w:basedOn w:val="1"/>
    <w:next w:val="12"/>
    <w:autoRedefine/>
    <w:qFormat/>
    <w:uiPriority w:val="99"/>
    <w:pPr>
      <w:adjustRightInd w:val="0"/>
      <w:spacing w:line="420" w:lineRule="atLeast"/>
      <w:jc w:val="left"/>
      <w:textAlignment w:val="baseline"/>
    </w:pPr>
    <w:rPr>
      <w:kern w:val="0"/>
    </w:rPr>
  </w:style>
  <w:style w:type="paragraph" w:customStyle="1" w:styleId="67">
    <w:name w:val="Normal_15"/>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8">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
    <w:name w:val="无间隔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71">
    <w:name w:val="页眉与页脚"/>
    <w:autoRedefine/>
    <w:qFormat/>
    <w:uiPriority w:val="99"/>
    <w:pPr>
      <w:tabs>
        <w:tab w:val="right" w:pos="9020"/>
      </w:tabs>
    </w:pPr>
    <w:rPr>
      <w:rFonts w:ascii="Helvetica" w:hAnsi="Helvetica" w:eastAsia="宋体" w:cs="Helvetica"/>
      <w:color w:val="000000"/>
      <w:sz w:val="24"/>
      <w:szCs w:val="24"/>
      <w:lang w:val="en-US" w:eastAsia="zh-CN" w:bidi="ar-SA"/>
    </w:rPr>
  </w:style>
  <w:style w:type="paragraph" w:customStyle="1" w:styleId="72">
    <w:name w:val="无间隔1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73">
    <w:name w:val="正文_5"/>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正文_14"/>
    <w:autoRedefine/>
    <w:qFormat/>
    <w:uiPriority w:val="99"/>
    <w:rPr>
      <w:rFonts w:ascii="Times New Roman" w:hAnsi="Times New Roman" w:eastAsia="宋体" w:cs="Times New Roman"/>
      <w:sz w:val="21"/>
      <w:szCs w:val="21"/>
      <w:lang w:val="en-US" w:eastAsia="zh-CN" w:bidi="ar-SA"/>
    </w:rPr>
  </w:style>
  <w:style w:type="paragraph" w:customStyle="1" w:styleId="76">
    <w:name w:val="正文_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7">
    <w:name w:val="正文_2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列出段落1"/>
    <w:basedOn w:val="1"/>
    <w:autoRedefine/>
    <w:qFormat/>
    <w:uiPriority w:val="99"/>
    <w:pPr>
      <w:ind w:firstLine="420" w:firstLineChars="200"/>
    </w:pPr>
    <w:rPr>
      <w:rFonts w:ascii="Calibri" w:hAnsi="Calibri" w:cs="Calibri"/>
      <w:kern w:val="0"/>
    </w:rPr>
  </w:style>
  <w:style w:type="paragraph" w:customStyle="1" w:styleId="79">
    <w:name w:val="正文2"/>
    <w:basedOn w:val="1"/>
    <w:autoRedefine/>
    <w:qFormat/>
    <w:uiPriority w:val="99"/>
    <w:pPr>
      <w:spacing w:before="156" w:line="360" w:lineRule="auto"/>
      <w:ind w:firstLine="510" w:firstLineChars="200"/>
    </w:pPr>
    <w:rPr>
      <w:sz w:val="24"/>
      <w:szCs w:val="24"/>
    </w:rPr>
  </w:style>
  <w:style w:type="paragraph" w:customStyle="1" w:styleId="80">
    <w:name w:val="正文 A"/>
    <w:autoRedefine/>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81">
    <w:name w:val="列出段落2"/>
    <w:basedOn w:val="1"/>
    <w:autoRedefine/>
    <w:qFormat/>
    <w:uiPriority w:val="99"/>
    <w:pPr>
      <w:ind w:firstLine="420" w:firstLineChars="200"/>
    </w:pPr>
    <w:rPr>
      <w:rFonts w:ascii="Calibri" w:hAnsi="Calibri" w:cs="Calibri"/>
    </w:rPr>
  </w:style>
  <w:style w:type="paragraph" w:customStyle="1" w:styleId="82">
    <w:name w:val="正文段"/>
    <w:basedOn w:val="1"/>
    <w:autoRedefine/>
    <w:qFormat/>
    <w:uiPriority w:val="99"/>
    <w:pPr>
      <w:widowControl/>
      <w:snapToGrid w:val="0"/>
      <w:spacing w:afterLines="50"/>
      <w:ind w:firstLine="200" w:firstLineChars="200"/>
    </w:pPr>
    <w:rPr>
      <w:kern w:val="0"/>
      <w:sz w:val="24"/>
      <w:szCs w:val="24"/>
    </w:rPr>
  </w:style>
  <w:style w:type="paragraph" w:customStyle="1" w:styleId="83">
    <w:name w:val="p0"/>
    <w:basedOn w:val="1"/>
    <w:autoRedefine/>
    <w:qFormat/>
    <w:uiPriority w:val="99"/>
    <w:pPr>
      <w:widowControl/>
    </w:pPr>
    <w:rPr>
      <w:kern w:val="0"/>
    </w:rPr>
  </w:style>
  <w:style w:type="paragraph" w:styleId="84">
    <w:name w:val="List Paragraph"/>
    <w:basedOn w:val="1"/>
    <w:autoRedefine/>
    <w:qFormat/>
    <w:uiPriority w:val="99"/>
    <w:pPr>
      <w:ind w:firstLine="420" w:firstLineChars="200"/>
    </w:pPr>
    <w:rPr>
      <w:rFonts w:ascii="Calibri" w:hAnsi="Calibri" w:cs="Calibri"/>
    </w:rPr>
  </w:style>
  <w:style w:type="paragraph" w:customStyle="1" w:styleId="85">
    <w:name w:val="Plain Text1"/>
    <w:basedOn w:val="1"/>
    <w:autoRedefine/>
    <w:qFormat/>
    <w:uiPriority w:val="99"/>
    <w:rPr>
      <w:rFonts w:ascii="宋体" w:hAnsi="Courier New" w:cs="宋体"/>
    </w:rPr>
  </w:style>
  <w:style w:type="paragraph" w:customStyle="1" w:styleId="86">
    <w:name w:val="列出段落3"/>
    <w:next w:val="87"/>
    <w:autoRedefine/>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87">
    <w:name w:val="段"/>
    <w:autoRedefine/>
    <w:qFormat/>
    <w:uiPriority w:val="99"/>
    <w:pPr>
      <w:autoSpaceDE w:val="0"/>
      <w:autoSpaceDN w:val="0"/>
      <w:ind w:firstLine="200" w:firstLineChars="200"/>
      <w:jc w:val="both"/>
    </w:pPr>
    <w:rPr>
      <w:rFonts w:ascii="Arial" w:hAnsi="Arial" w:eastAsia="宋体" w:cs="Arial"/>
      <w:kern w:val="2"/>
      <w:sz w:val="21"/>
      <w:szCs w:val="21"/>
      <w:lang w:val="en-US" w:eastAsia="zh-CN" w:bidi="ar-SA"/>
    </w:rPr>
  </w:style>
  <w:style w:type="paragraph" w:customStyle="1" w:styleId="88">
    <w:name w:val="xiao b"/>
    <w:autoRedefine/>
    <w:qFormat/>
    <w:uiPriority w:val="99"/>
    <w:pPr>
      <w:widowControl w:val="0"/>
      <w:jc w:val="center"/>
    </w:pPr>
    <w:rPr>
      <w:rFonts w:ascii="Times New Roman" w:hAnsi="Times New Roman" w:eastAsia="黑体" w:cs="Times New Roman"/>
      <w:kern w:val="2"/>
      <w:sz w:val="24"/>
      <w:szCs w:val="24"/>
      <w:lang w:val="en-US" w:eastAsia="zh-CN" w:bidi="ar-SA"/>
    </w:rPr>
  </w:style>
  <w:style w:type="character" w:customStyle="1" w:styleId="89">
    <w:name w:val="font121"/>
    <w:autoRedefine/>
    <w:qFormat/>
    <w:uiPriority w:val="99"/>
    <w:rPr>
      <w:rFonts w:ascii="宋体" w:eastAsia="宋体" w:cs="宋体"/>
      <w:color w:val="000000"/>
      <w:sz w:val="22"/>
      <w:szCs w:val="22"/>
      <w:u w:val="none"/>
    </w:rPr>
  </w:style>
  <w:style w:type="paragraph" w:customStyle="1" w:styleId="90">
    <w:name w:val="正文_8_0_0"/>
    <w:autoRedefine/>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customStyle="1" w:styleId="91">
    <w:name w:val="正文_10_0"/>
    <w:autoRedefine/>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character" w:customStyle="1" w:styleId="92">
    <w:name w:val="NormalCharacter"/>
    <w:autoRedefine/>
    <w:qFormat/>
    <w:uiPriority w:val="0"/>
  </w:style>
  <w:style w:type="paragraph" w:customStyle="1" w:styleId="93">
    <w:name w:val="Default"/>
    <w:autoRedefine/>
    <w:qFormat/>
    <w:uiPriority w:val="99"/>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paragraph" w:customStyle="1" w:styleId="94">
    <w:name w:val="样式 首行缩进:  0 字符"/>
    <w:basedOn w:val="1"/>
    <w:autoRedefine/>
    <w:qFormat/>
    <w:uiPriority w:val="0"/>
    <w:pPr>
      <w:spacing w:line="360" w:lineRule="auto"/>
      <w:ind w:firstLine="200" w:firstLineChars="200"/>
    </w:pPr>
    <w:rPr>
      <w:rFonts w:ascii="Arial" w:hAnsi="Arial" w:cs="宋体"/>
      <w:sz w:val="24"/>
      <w:szCs w:val="20"/>
    </w:rPr>
  </w:style>
  <w:style w:type="paragraph" w:customStyle="1" w:styleId="95">
    <w:name w:val="2级标题"/>
    <w:basedOn w:val="84"/>
    <w:autoRedefine/>
    <w:qFormat/>
    <w:uiPriority w:val="0"/>
    <w:pPr>
      <w:keepLines/>
      <w:tabs>
        <w:tab w:val="left" w:pos="0"/>
      </w:tabs>
      <w:spacing w:before="240" w:after="120" w:line="360" w:lineRule="auto"/>
      <w:ind w:firstLine="0" w:firstLineChars="0"/>
      <w:contextualSpacing/>
      <w:jc w:val="left"/>
      <w:outlineLvl w:val="1"/>
    </w:pPr>
    <w:rPr>
      <w:rFonts w:ascii="黑体" w:hAnsi="黑体" w:eastAsia="黑体"/>
      <w:kern w:val="0"/>
      <w:sz w:val="32"/>
      <w:szCs w:val="36"/>
      <w:lang w:eastAsia="en-US" w:bidi="en-US"/>
    </w:rPr>
  </w:style>
  <w:style w:type="paragraph" w:customStyle="1" w:styleId="96">
    <w:name w:val="正文（1）"/>
    <w:basedOn w:val="1"/>
    <w:autoRedefine/>
    <w:qFormat/>
    <w:uiPriority w:val="0"/>
    <w:pPr>
      <w:numPr>
        <w:ilvl w:val="0"/>
        <w:numId w:val="4"/>
      </w:numPr>
      <w:spacing w:line="360" w:lineRule="auto"/>
    </w:pPr>
    <w:rPr>
      <w:sz w:val="24"/>
    </w:rPr>
  </w:style>
  <w:style w:type="paragraph" w:customStyle="1" w:styleId="97">
    <w:name w:val="1级标题"/>
    <w:basedOn w:val="84"/>
    <w:autoRedefine/>
    <w:qFormat/>
    <w:uiPriority w:val="0"/>
    <w:pPr>
      <w:keepLines/>
      <w:pageBreakBefore/>
      <w:tabs>
        <w:tab w:val="left" w:pos="0"/>
      </w:tabs>
      <w:spacing w:before="240" w:after="240" w:line="360" w:lineRule="auto"/>
      <w:ind w:firstLine="0" w:firstLineChars="0"/>
      <w:contextualSpacing/>
      <w:jc w:val="center"/>
      <w:outlineLvl w:val="0"/>
    </w:pPr>
    <w:rPr>
      <w:rFonts w:ascii="黑体" w:hAnsi="黑体" w:eastAsia="黑体"/>
      <w:kern w:val="0"/>
      <w:sz w:val="36"/>
      <w:szCs w:val="36"/>
      <w:lang w:eastAsia="en-US" w:bidi="en-US"/>
    </w:rPr>
  </w:style>
  <w:style w:type="paragraph" w:customStyle="1" w:styleId="98">
    <w:name w:val="Other|1"/>
    <w:basedOn w:val="1"/>
    <w:autoRedefine/>
    <w:qFormat/>
    <w:uiPriority w:val="0"/>
    <w:pPr>
      <w:spacing w:line="396" w:lineRule="auto"/>
      <w:ind w:firstLine="400"/>
    </w:pPr>
    <w:rPr>
      <w:rFonts w:ascii="宋体" w:hAnsi="宋体" w:cs="宋体"/>
      <w:lang w:val="zh-TW" w:eastAsia="zh-TW" w:bidi="zh-TW"/>
    </w:rPr>
  </w:style>
  <w:style w:type="paragraph" w:customStyle="1" w:styleId="99">
    <w:name w:val="标题1"/>
    <w:basedOn w:val="4"/>
    <w:autoRedefine/>
    <w:qFormat/>
    <w:uiPriority w:val="99"/>
    <w:pPr>
      <w:widowControl/>
      <w:spacing w:before="120" w:after="120"/>
      <w:ind w:left="100" w:leftChars="100" w:right="100" w:rightChars="100"/>
      <w:jc w:val="left"/>
    </w:pPr>
    <w:rPr>
      <w:rFonts w:ascii="宋体" w:hAnsi="宋体" w:eastAsia="黑体"/>
      <w:kern w:val="2"/>
      <w:sz w:val="24"/>
      <w:szCs w:val="20"/>
    </w:rPr>
  </w:style>
  <w:style w:type="paragraph" w:customStyle="1" w:styleId="100">
    <w:name w:val="a正文"/>
    <w:basedOn w:val="18"/>
    <w:autoRedefine/>
    <w:qFormat/>
    <w:uiPriority w:val="0"/>
  </w:style>
  <w:style w:type="paragraph" w:customStyle="1" w:styleId="101">
    <w:name w:val="hik 正文"/>
    <w:basedOn w:val="1"/>
    <w:autoRedefine/>
    <w:qFormat/>
    <w:uiPriority w:val="0"/>
    <w:rPr>
      <w:szCs w:val="24"/>
    </w:rPr>
  </w:style>
  <w:style w:type="paragraph" w:customStyle="1" w:styleId="102">
    <w:name w:val="*正文"/>
    <w:basedOn w:val="1"/>
    <w:autoRedefine/>
    <w:qFormat/>
    <w:uiPriority w:val="0"/>
    <w:pPr>
      <w:widowControl/>
      <w:spacing w:line="360" w:lineRule="auto"/>
      <w:ind w:firstLine="200" w:firstLineChars="200"/>
    </w:pPr>
    <w:rPr>
      <w:rFonts w:ascii="宋体" w:hAnsi="宋体" w:eastAsia="仿宋"/>
      <w:sz w:val="24"/>
      <w:szCs w:val="24"/>
    </w:rPr>
  </w:style>
  <w:style w:type="paragraph" w:customStyle="1" w:styleId="103">
    <w:name w:val="_Style 3"/>
    <w:basedOn w:val="1"/>
    <w:next w:val="1"/>
    <w:autoRedefine/>
    <w:qFormat/>
    <w:uiPriority w:val="99"/>
    <w:pPr>
      <w:pBdr>
        <w:bottom w:val="single" w:color="auto" w:sz="6" w:space="1"/>
      </w:pBdr>
      <w:jc w:val="center"/>
    </w:pPr>
    <w:rPr>
      <w:rFonts w:ascii="Arial"/>
      <w:vanish/>
      <w:sz w:val="16"/>
    </w:rPr>
  </w:style>
  <w:style w:type="paragraph" w:customStyle="1" w:styleId="104">
    <w:name w:val="段落"/>
    <w:autoRedefine/>
    <w:qFormat/>
    <w:uiPriority w:val="0"/>
    <w:pPr>
      <w:adjustRightInd w:val="0"/>
      <w:snapToGrid w:val="0"/>
      <w:spacing w:before="120" w:after="120"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customStyle="1" w:styleId="105">
    <w:name w:val="[Normal]"/>
    <w:autoRedefine/>
    <w:qFormat/>
    <w:uiPriority w:val="0"/>
    <w:rPr>
      <w:rFonts w:ascii="宋体" w:hAnsi="宋体" w:eastAsia="宋体" w:cs="Times New Roman"/>
      <w:sz w:val="24"/>
      <w:szCs w:val="22"/>
      <w:lang w:val="zh-CN" w:eastAsia="zh-CN" w:bidi="ar-SA"/>
    </w:rPr>
  </w:style>
  <w:style w:type="paragraph" w:customStyle="1" w:styleId="106">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976A-8774-46AC-8929-960A142F48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106</Pages>
  <Words>54865</Words>
  <Characters>63880</Characters>
  <Paragraphs>4520</Paragraphs>
  <TotalTime>22</TotalTime>
  <ScaleCrop>false</ScaleCrop>
  <LinksUpToDate>false</LinksUpToDate>
  <CharactersWithSpaces>65886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2022-02-28T08:05:00Z</dcterms:created>
  <dc:creator>S-mile</dc:creator>
  <cp:lastModifiedBy>生如夏花</cp:lastModifiedBy>
  <cp:lastPrinted>2020-05-13T01:08:00Z</cp:lastPrinted>
  <dcterms:modified xsi:type="dcterms:W3CDTF">2024-01-19T01:22:39Z</dcterms:modified>
  <cp:revision>1241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52F9CA059150460D802422E6CFA47A95</vt:lpwstr>
  </property>
</Properties>
</file>